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5136d1_8k.htm"/>
      <w:bookmarkStart w:id="1" w:name="kstm241513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3_edei--DocumentType_c2024052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May 20,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4" w:name="xdx_906_edei--EntityRegistrantName_c2024"/>
      <w:bookmarkEnd w:id="4"/>
      <w:r>
        <w:rPr>
          <w:rFonts w:ascii="Times New Roman;Times;Serif" w:hAnsi="Times New Roman;Times;Serif"/>
          <w:b/>
          <w:i w:val="false"/>
          <w:caps w:val="false"/>
          <w:smallCaps w:val="false"/>
          <w:sz w:val="28"/>
        </w:rPr>
        <w:t>Presto Automation Inc.</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720"/>
        <w:gridCol w:w="60"/>
        <w:gridCol w:w="2765"/>
        <w:gridCol w:w="60"/>
        <w:gridCol w:w="1880"/>
      </w:tblGrid>
      <w:tr>
        <w:trPr/>
        <w:tc>
          <w:tcPr>
            <w:tcW w:w="2720" w:type="dxa"/>
            <w:tcBorders>
              <w:bottom w:val="single" w:sz="8" w:space="0" w:color="000000"/>
            </w:tcBorders>
            <w:vAlign w:val="center"/>
          </w:tcPr>
          <w:p>
            <w:pPr>
              <w:pStyle w:val="TableContents"/>
              <w:bidi w:val="0"/>
              <w:spacing w:before="0" w:after="283"/>
              <w:jc w:val="center"/>
              <w:rPr>
                <w:b/>
              </w:rPr>
            </w:pPr>
            <w:bookmarkStart w:id="5" w:name="xdx_907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8" w:space="0" w:color="000000"/>
            </w:tcBorders>
            <w:vAlign w:val="center"/>
          </w:tcPr>
          <w:p>
            <w:pPr>
              <w:pStyle w:val="TableContents"/>
              <w:bidi w:val="0"/>
              <w:spacing w:before="0" w:after="283"/>
              <w:jc w:val="center"/>
              <w:rPr>
                <w:b/>
              </w:rPr>
            </w:pPr>
            <w:bookmarkStart w:id="6" w:name="xdx_900_edei--EntityFileNumber_c20240520"/>
            <w:bookmarkEnd w:id="6"/>
            <w:r>
              <w:rPr>
                <w:b/>
              </w:rPr>
              <w:t>001-39830</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center"/>
              <w:rPr>
                <w:b/>
              </w:rPr>
            </w:pPr>
            <w:bookmarkStart w:id="7" w:name="xdx_904_edei--EntityTaxIdentificationNum"/>
            <w:bookmarkEnd w:id="7"/>
            <w:r>
              <w:rPr>
                <w:b/>
              </w:rPr>
              <w:t>84-2968594</w:t>
            </w:r>
          </w:p>
        </w:tc>
      </w:tr>
      <w:tr>
        <w:trPr/>
        <w:tc>
          <w:tcPr>
            <w:tcW w:w="2720"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8" w:space="0" w:color="000000"/>
            </w:tcBorders>
            <w:vAlign w:val="center"/>
          </w:tcPr>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985 Industrial Road</w:t>
            </w:r>
          </w:p>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San Carlos, </w:t>
            </w:r>
            <w:bookmarkStart w:id="10" w:name="xdx_906_edei--EntityAddressStateOrProvin"/>
            <w:bookmarkEnd w:id="10"/>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8" w:space="0" w:color="000000"/>
            </w:tcBorders>
            <w:vAlign w:val="center"/>
          </w:tcPr>
          <w:p>
            <w:pPr>
              <w:pStyle w:val="TableContents"/>
              <w:bidi w:val="0"/>
              <w:spacing w:before="0" w:after="283"/>
              <w:jc w:val="center"/>
              <w:rPr>
                <w:b/>
                <w:sz w:val="20"/>
              </w:rPr>
            </w:pPr>
            <w:bookmarkStart w:id="11" w:name="xdx_90B_edei--EntityAddressPostalZipCode"/>
            <w:bookmarkEnd w:id="11"/>
            <w:r>
              <w:rPr>
                <w:b/>
                <w:sz w:val="20"/>
              </w:rPr>
              <w:t>94070</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5225" w:type="dxa"/>
        <w:jc w:val="left"/>
        <w:tblInd w:w="0" w:type="dxa"/>
        <w:tblLayout w:type="fixed"/>
        <w:tblCellMar>
          <w:top w:w="0" w:type="dxa"/>
          <w:left w:w="0" w:type="dxa"/>
          <w:bottom w:w="28" w:type="dxa"/>
          <w:right w:w="0" w:type="dxa"/>
        </w:tblCellMar>
      </w:tblPr>
      <w:tblGrid>
        <w:gridCol w:w="5225"/>
      </w:tblGrid>
      <w:tr>
        <w:trPr/>
        <w:tc>
          <w:tcPr>
            <w:tcW w:w="5225" w:type="dxa"/>
            <w:tcBorders>
              <w:bottom w:val="single" w:sz="8" w:space="0" w:color="000000"/>
            </w:tcBorders>
            <w:vAlign w:val="center"/>
          </w:tcPr>
          <w:p>
            <w:pPr>
              <w:pStyle w:val="TableContents"/>
              <w:bidi w:val="0"/>
              <w:spacing w:before="0" w:after="283"/>
              <w:jc w:val="center"/>
              <w:rPr>
                <w:b/>
                <w:sz w:val="20"/>
              </w:rPr>
            </w:pPr>
            <w:r>
              <w:rPr>
                <w:b/>
                <w:sz w:val="20"/>
              </w:rPr>
              <w:t>(</w:t>
            </w:r>
            <w:bookmarkStart w:id="12" w:name="xdx_90D_edei--CityAreaCode_c20240520__20"/>
            <w:bookmarkEnd w:id="12"/>
            <w:r>
              <w:rPr>
                <w:b/>
                <w:sz w:val="20"/>
              </w:rPr>
              <w:t xml:space="preserve">650) </w:t>
            </w:r>
            <w:bookmarkStart w:id="13" w:name="xdx_90F_edei--LocalPhoneNumber_c20240520"/>
            <w:bookmarkEnd w:id="13"/>
            <w:r>
              <w:rPr>
                <w:b/>
                <w:sz w:val="20"/>
              </w:rPr>
              <w:t>817-9012</w:t>
            </w:r>
          </w:p>
        </w:tc>
      </w:tr>
      <w:tr>
        <w:trPr/>
        <w:tc>
          <w:tcPr>
            <w:tcW w:w="5225" w:type="dxa"/>
            <w:tcBorders/>
            <w:tcMar>
              <w:bottom w:w="0" w:type="dxa"/>
            </w:tcMar>
            <w:vAlign w:val="center"/>
          </w:tcPr>
          <w:p>
            <w:pPr>
              <w:pStyle w:val="TableContents"/>
              <w:bidi w:val="0"/>
              <w:spacing w:before="0" w:after="283"/>
              <w:jc w:val="center"/>
              <w:rPr>
                <w:b/>
                <w:sz w:val="20"/>
              </w:rPr>
            </w:pPr>
            <w:r>
              <w:rPr>
                <w:b/>
                <w:sz w:val="20"/>
              </w:rPr>
              <w:t>(Registrant’s telephone number, including area code)</w:t>
            </w:r>
          </w:p>
        </w:tc>
      </w:tr>
      <w:tr>
        <w:trPr/>
        <w:tc>
          <w:tcPr>
            <w:tcW w:w="5225" w:type="dxa"/>
            <w:tcBorders/>
            <w:tcMar>
              <w:bottom w:w="0" w:type="dxa"/>
            </w:tcMar>
            <w:vAlign w:val="center"/>
          </w:tcPr>
          <w:p>
            <w:pPr>
              <w:pStyle w:val="TableContents"/>
              <w:bidi w:val="0"/>
              <w:spacing w:before="0" w:after="283"/>
              <w:jc w:val="left"/>
              <w:rPr/>
            </w:pPr>
            <w:r>
              <w:rPr/>
              <w:t> </w:t>
            </w:r>
          </w:p>
        </w:tc>
      </w:tr>
      <w:tr>
        <w:trPr/>
        <w:tc>
          <w:tcPr>
            <w:tcW w:w="5225" w:type="dxa"/>
            <w:tcBorders>
              <w:bottom w:val="single" w:sz="8" w:space="0" w:color="000000"/>
            </w:tcBorders>
            <w:vAlign w:val="center"/>
          </w:tcPr>
          <w:p>
            <w:pPr>
              <w:pStyle w:val="TableContents"/>
              <w:bidi w:val="0"/>
              <w:spacing w:before="0" w:after="283"/>
              <w:jc w:val="center"/>
              <w:rPr>
                <w:b/>
                <w:sz w:val="20"/>
              </w:rPr>
            </w:pPr>
            <w:r>
              <w:rPr>
                <w:b/>
                <w:sz w:val="20"/>
              </w:rPr>
              <w:t>N/A</w:t>
            </w:r>
          </w:p>
        </w:tc>
      </w:tr>
      <w:tr>
        <w:trPr/>
        <w:tc>
          <w:tcPr>
            <w:tcW w:w="5225" w:type="dxa"/>
            <w:tcBorders/>
            <w:tcMar>
              <w:bottom w:w="0" w:type="dxa"/>
            </w:tcMar>
            <w:vAlign w:val="center"/>
          </w:tcPr>
          <w:p>
            <w:pPr>
              <w:pStyle w:val="TableContents"/>
              <w:bidi w:val="0"/>
              <w:spacing w:before="0" w:after="283"/>
              <w:jc w:val="center"/>
              <w:rPr>
                <w:b/>
                <w:sz w:val="20"/>
              </w:rPr>
            </w:pPr>
            <w:r>
              <w:rPr>
                <w:b/>
                <w:sz w:val="20"/>
              </w:rPr>
              <w:t>(Former name or former address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4_edei--SolicitingMaterial_c202405"/>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11"/>
        <w:gridCol w:w="60"/>
        <w:gridCol w:w="998"/>
        <w:gridCol w:w="60"/>
        <w:gridCol w:w="3076"/>
      </w:tblGrid>
      <w:tr>
        <w:trPr/>
        <w:tc>
          <w:tcPr>
            <w:tcW w:w="6011"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998"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076" w:type="dxa"/>
            <w:tcBorders>
              <w:bottom w:val="single" w:sz="8" w:space="0" w:color="000000"/>
            </w:tcBorders>
            <w:vAlign w:val="center"/>
          </w:tcPr>
          <w:p>
            <w:pPr>
              <w:pStyle w:val="TableContents"/>
              <w:bidi w:val="0"/>
              <w:spacing w:before="0" w:after="283"/>
              <w:jc w:val="center"/>
              <w:rPr>
                <w:b/>
              </w:rPr>
            </w:pPr>
            <w:r>
              <w:rPr>
                <w:b/>
              </w:rPr>
              <w:t xml:space="preserve">Name of each exchange on which </w:t>
              <w:br/>
              <w:t>registered</w:t>
            </w:r>
          </w:p>
        </w:tc>
      </w:tr>
      <w:tr>
        <w:trPr/>
        <w:tc>
          <w:tcPr>
            <w:tcW w:w="6011" w:type="dxa"/>
            <w:tcBorders/>
            <w:shd w:fill="CCEEFF" w:val="clear"/>
            <w:tcMar>
              <w:bottom w:w="0" w:type="dxa"/>
            </w:tcMar>
            <w:vAlign w:val="center"/>
          </w:tcPr>
          <w:p>
            <w:pPr>
              <w:pStyle w:val="TableContents"/>
              <w:bidi w:val="0"/>
              <w:spacing w:before="0" w:after="283"/>
              <w:jc w:val="center"/>
              <w:rPr/>
            </w:pPr>
            <w:bookmarkStart w:id="18" w:name="xdx_90B_edei--Security12bTitle_c20240520"/>
            <w:bookmarkEnd w:id="18"/>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8" w:type="dxa"/>
            <w:tcBorders/>
            <w:shd w:fill="CCEEFF" w:val="clear"/>
            <w:tcMar>
              <w:bottom w:w="0" w:type="dxa"/>
            </w:tcMar>
            <w:vAlign w:val="center"/>
          </w:tcPr>
          <w:p>
            <w:pPr>
              <w:pStyle w:val="TableContents"/>
              <w:bidi w:val="0"/>
              <w:spacing w:before="0" w:after="283"/>
              <w:jc w:val="center"/>
              <w:rPr/>
            </w:pPr>
            <w:bookmarkStart w:id="19" w:name="xdx_907_edei--TradingSymbol_c20240520__2"/>
            <w:bookmarkEnd w:id="19"/>
            <w:r>
              <w:rPr/>
              <w:t>PRST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076" w:type="dxa"/>
            <w:tcBorders/>
            <w:shd w:fill="CCEEFF" w:val="clear"/>
            <w:tcMar>
              <w:bottom w:w="0" w:type="dxa"/>
            </w:tcMar>
            <w:vAlign w:val="center"/>
          </w:tcPr>
          <w:p>
            <w:pPr>
              <w:pStyle w:val="TableContents"/>
              <w:bidi w:val="0"/>
              <w:spacing w:before="0" w:after="283"/>
              <w:jc w:val="center"/>
              <w:rPr/>
            </w:pPr>
            <w:bookmarkStart w:id="20" w:name="xdx_901_edei--SecurityExchangeName_c2024"/>
            <w:bookmarkEnd w:id="20"/>
            <w:r>
              <w:rPr/>
              <w:t>The Nasdaq Stock Market LLC</w:t>
            </w:r>
          </w:p>
        </w:tc>
      </w:tr>
      <w:tr>
        <w:trPr/>
        <w:tc>
          <w:tcPr>
            <w:tcW w:w="6011" w:type="dxa"/>
            <w:tcBorders/>
            <w:shd w:fill="FFFFFF" w:val="clear"/>
            <w:tcMar>
              <w:bottom w:w="0" w:type="dxa"/>
            </w:tcMar>
            <w:vAlign w:val="center"/>
          </w:tcPr>
          <w:p>
            <w:pPr>
              <w:pStyle w:val="TableContents"/>
              <w:bidi w:val="0"/>
              <w:spacing w:before="0" w:after="283"/>
              <w:jc w:val="center"/>
              <w:rPr/>
            </w:pPr>
            <w:bookmarkStart w:id="21" w:name="xdx_907_edei--Security12bTitle_c20240520"/>
            <w:bookmarkEnd w:id="21"/>
            <w:r>
              <w:rPr/>
              <w:t>Warrants, each whole warrant exercisable for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98" w:type="dxa"/>
            <w:tcBorders/>
            <w:shd w:fill="FFFFFF" w:val="clear"/>
            <w:tcMar>
              <w:bottom w:w="0" w:type="dxa"/>
            </w:tcMar>
            <w:vAlign w:val="center"/>
          </w:tcPr>
          <w:p>
            <w:pPr>
              <w:pStyle w:val="TableContents"/>
              <w:bidi w:val="0"/>
              <w:spacing w:before="0" w:after="283"/>
              <w:jc w:val="center"/>
              <w:rPr/>
            </w:pPr>
            <w:bookmarkStart w:id="22" w:name="xdx_902_edei--TradingSymbol_c20240520__2"/>
            <w:bookmarkEnd w:id="22"/>
            <w:r>
              <w:rPr/>
              <w:t>PRSTW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076" w:type="dxa"/>
            <w:tcBorders/>
            <w:shd w:fill="FFFFFF" w:val="clear"/>
            <w:tcMar>
              <w:bottom w:w="0" w:type="dxa"/>
            </w:tcMar>
            <w:vAlign w:val="center"/>
          </w:tcPr>
          <w:p>
            <w:pPr>
              <w:pStyle w:val="TableContents"/>
              <w:bidi w:val="0"/>
              <w:spacing w:before="0" w:after="283"/>
              <w:jc w:val="center"/>
              <w:rPr/>
            </w:pPr>
            <w:bookmarkStart w:id="23" w:name="xdx_903_edei--SecurityExchangeName_c2024"/>
            <w:bookmarkEnd w:id="23"/>
            <w:r>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4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2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2024, Presto Automation Inc. (the “Company”) entered into a securities purchase agreement (the “Purchase Agreement”) with several investors (the “Purchasers”) relating to the issuance and sale of an aggregate of 10,892,851 shares of the Company’s common stock, par value $0.0001 per share (the “Common Stock”) (the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issued 10,892,851 shares of common stock at an offering price of $0.14. The aggregate gross proceeds to the Company from the Offering were approximately $1,525,000, before deducting estimated offering expenses payable by the Company. The Offering closed on May 22,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made pursuant to the Company’s effective shelf registration statement on Form S-3 (Registration No. 333-275112), which was previously filed with the Securities and Exchange Commission (the “SEC”) on October 20, 2023 and declared effective on October 30, 2023, and a prospectus supplement, dated May 20, 2024, and accompanying prospectus, dated October 30,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does not purport to be complete and is subject to, and qualified in its entirety by, the full text of the Purchase Agreement filed as Exhibit 10.1 to this Current Report on Form 8-K and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Impact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triggered anti-dilution adjustment provisions in the (1) Securities Purchase Agreement, dated October 10, 2023, with Presto CA LLC (“CA”) (the “CA Purchase Agreement”), (2) warrants to purchase Common Stock of the Company initially issued to the Lenders (as defined below) on October 16, 2023 (as amended and restated, the “Third Amendment Conversion Warrants”), (3) warrants to purchase Common Stock of the Company initially issued to the Lenders on January 30, 2024 (as amended and restated, the “Fifth Amendment Conversion Warrants”) and (4) subordinated convertible notes issued on January 30, 2024 (the “January 2024 Notes”). A summary of the impact of these anti-dilution protections is set forth below:</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67"/>
        <w:gridCol w:w="60"/>
        <w:gridCol w:w="2230"/>
        <w:gridCol w:w="60"/>
        <w:gridCol w:w="6088"/>
      </w:tblGrid>
      <w:tr>
        <w:trPr/>
        <w:tc>
          <w:tcPr>
            <w:tcW w:w="1767"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Securityholder</w:t>
            </w:r>
          </w:p>
        </w:tc>
        <w:tc>
          <w:tcPr>
            <w:tcW w:w="60" w:type="dxa"/>
            <w:tcBorders/>
            <w:shd w:fill="FFFFFF" w:val="clear"/>
            <w:tcMar>
              <w:bottom w:w="0" w:type="dxa"/>
            </w:tcMar>
            <w:vAlign w:val="center"/>
          </w:tcPr>
          <w:p>
            <w:pPr>
              <w:pStyle w:val="TableContents"/>
              <w:bidi w:val="0"/>
              <w:spacing w:before="0" w:after="283"/>
              <w:jc w:val="both"/>
              <w:rPr/>
            </w:pPr>
            <w:r>
              <w:rPr/>
              <w:t> </w:t>
            </w:r>
          </w:p>
        </w:tc>
        <w:tc>
          <w:tcPr>
            <w:tcW w:w="223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Subject Security</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88"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Impact of Current Offering</w:t>
            </w:r>
          </w:p>
        </w:tc>
      </w:tr>
      <w:tr>
        <w:trPr/>
        <w:tc>
          <w:tcPr>
            <w:tcW w:w="176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w:t>
            </w:r>
          </w:p>
        </w:tc>
        <w:tc>
          <w:tcPr>
            <w:tcW w:w="60" w:type="dxa"/>
            <w:tcBorders/>
            <w:shd w:fill="CCEEFF" w:val="clear"/>
            <w:tcMar>
              <w:bottom w:w="0" w:type="dxa"/>
            </w:tcMar>
            <w:vAlign w:val="center"/>
          </w:tcPr>
          <w:p>
            <w:pPr>
              <w:pStyle w:val="TableContents"/>
              <w:bidi w:val="0"/>
              <w:spacing w:before="0" w:after="283"/>
              <w:jc w:val="both"/>
              <w:rPr/>
            </w:pPr>
            <w:r>
              <w:rPr/>
              <w:t> </w:t>
            </w:r>
          </w:p>
        </w:tc>
        <w:tc>
          <w:tcPr>
            <w:tcW w:w="223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Common Stock</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8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Issuance of 9,428,571 additional shares. </w:t>
              <w:br/>
              <w:t>Reduction of New Issuance Price from $0.25 to $0.14.</w:t>
            </w:r>
          </w:p>
        </w:tc>
      </w:tr>
      <w:tr>
        <w:trPr/>
        <w:tc>
          <w:tcPr>
            <w:tcW w:w="176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Lenders</w:t>
            </w:r>
          </w:p>
        </w:tc>
        <w:tc>
          <w:tcPr>
            <w:tcW w:w="60" w:type="dxa"/>
            <w:tcBorders/>
            <w:shd w:fill="FFFFFF" w:val="clear"/>
            <w:tcMar>
              <w:bottom w:w="0" w:type="dxa"/>
            </w:tcMar>
            <w:vAlign w:val="center"/>
          </w:tcPr>
          <w:p>
            <w:pPr>
              <w:pStyle w:val="TableContents"/>
              <w:bidi w:val="0"/>
              <w:spacing w:before="0" w:after="283"/>
              <w:jc w:val="both"/>
              <w:rPr/>
            </w:pPr>
            <w:r>
              <w:rPr/>
              <w:t> </w:t>
            </w:r>
          </w:p>
        </w:tc>
        <w:tc>
          <w:tcPr>
            <w:tcW w:w="2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 Amendment Conversion Warrants</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88"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Increase in the number of shares underlying the Third Amendment Conversion Warrants from 24,000,000 to 42,857,143 shares. </w:t>
              <w:br/>
              <w:t>Reduction in the Applicable Price from $0.25 to $0.14.</w:t>
            </w:r>
          </w:p>
        </w:tc>
      </w:tr>
      <w:tr>
        <w:trPr/>
        <w:tc>
          <w:tcPr>
            <w:tcW w:w="1767"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2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Fifth Amendment Conversion Warrants</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8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Increase in the number of shares underlying the Fifth Amendment Conversion Warrants from 8,517,278 to 15,209,425 shares. </w:t>
              <w:br/>
              <w:t>Reduction in the Applicable Price from $0.25 to $0.14.</w:t>
            </w:r>
          </w:p>
        </w:tc>
      </w:tr>
      <w:tr>
        <w:trPr/>
        <w:tc>
          <w:tcPr>
            <w:tcW w:w="176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2024 Noteholders</w:t>
            </w:r>
          </w:p>
        </w:tc>
        <w:tc>
          <w:tcPr>
            <w:tcW w:w="60" w:type="dxa"/>
            <w:tcBorders/>
            <w:shd w:fill="FFFFFF" w:val="clear"/>
            <w:tcMar>
              <w:bottom w:w="0" w:type="dxa"/>
            </w:tcMar>
            <w:vAlign w:val="center"/>
          </w:tcPr>
          <w:p>
            <w:pPr>
              <w:pStyle w:val="TableContents"/>
              <w:bidi w:val="0"/>
              <w:spacing w:before="0" w:after="283"/>
              <w:jc w:val="both"/>
              <w:rPr/>
            </w:pPr>
            <w:r>
              <w:rPr/>
              <w:t> </w:t>
            </w:r>
          </w:p>
        </w:tc>
        <w:tc>
          <w:tcPr>
            <w:tcW w:w="2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2024 Notes</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88"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Issuance of an aggregate 28,285,714 additional shares underlying the principal of the January 2024 Notes. </w:t>
              <w:br/>
              <w:t>Reduction of Conversion Price from $0.25 to $0.14.</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and the purchasers from the Company’s November 2023 registered direct offering (the “November 2023 Purchasers”) that participated in this Offering have agreed to reinstate the anti-dilution provisions in their respective November 2023 purchase agreements, such that such anti-dilution provisions apply for any future issuances undertaken after this Offering that are below the Per Share Purchase Price (as defined in such agreements) of $0.25.</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CA Purchase Agreement, the Third Amendment Conversion Warrants, the Fifth Amendment Conversion Warrants and the January 2024 Notes do not purport to be complete and are subject to, and qualified in their entirety by, the full text of the applicable agreements filed as exhibits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the Current Report on the Company’s Form 8-K filed with the SEC on May 16, 2024 is hereby incorporated by reference into this Item 3.02 in its entirety. The May Note was issued pursuant to the exemption from registration provided by Section 4(a)(2)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and Restatement of Third and Fifth Amendment Conversion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previously-disclosed issuance of </w:t>
      </w:r>
      <w:r>
        <w:rPr>
          <w:rFonts w:ascii="Times New Roman;Times;Serif" w:hAnsi="Times New Roman;Times;Serif"/>
          <w:b w:val="false"/>
          <w:i w:val="false"/>
          <w:caps w:val="false"/>
          <w:smallCaps w:val="false"/>
          <w:sz w:val="20"/>
          <w:shd w:fill="FFFFFF" w:val="clear"/>
        </w:rPr>
        <w:t>a subordinated convertible note in the principal amount of $1.5 million on May 16, 2024 (the “May Note”) and the Offering (together with the May Note, the “May Offering”)</w:t>
      </w:r>
      <w:r>
        <w:rPr>
          <w:rFonts w:ascii="Times New Roman;Times;Serif" w:hAnsi="Times New Roman;Times;Serif"/>
          <w:b w:val="false"/>
          <w:i w:val="false"/>
          <w:caps w:val="false"/>
          <w:smallCaps w:val="false"/>
          <w:sz w:val="20"/>
        </w:rPr>
        <w:t>, anti-dilution adjustments were triggered with respect to the Third Amendment Conversion Warrants and the Fifth Amendment Conversion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Third Amendment Conversion Warrants were originally issued on October 10, 2023 in connection with a third amendment to the Credit Agreement, dated as of September 21, 2022 (as subsequently amended, the “Credit Agreement”) </w:t>
      </w:r>
      <w:r>
        <w:rPr>
          <w:rFonts w:ascii="Times New Roman;Times;Serif" w:hAnsi="Times New Roman;Times;Serif"/>
          <w:b w:val="false"/>
          <w:i w:val="false"/>
          <w:caps w:val="false"/>
          <w:smallCaps w:val="false"/>
          <w:sz w:val="20"/>
          <w:shd w:fill="FFFFFF" w:val="clear"/>
        </w:rPr>
        <w:t xml:space="preserve">with Metropolitan Levered Partners Fund VII, LP, Metropolitan Partners Fund VII, LP, Metropolitan Offshore Partners Fund VII, LP and CEOF Holdings LP (collectively, the “Lenders”) with Metropolitan Partners Group Administration, LLC, as agent (the “Agent”), and the other parties thereto. </w:t>
      </w:r>
      <w:r>
        <w:rPr>
          <w:rFonts w:ascii="Times New Roman;Times;Serif" w:hAnsi="Times New Roman;Times;Serif"/>
          <w:b w:val="false"/>
          <w:i w:val="false"/>
          <w:caps w:val="false"/>
          <w:smallCaps w:val="false"/>
          <w:sz w:val="20"/>
        </w:rPr>
        <w:t>Upon the initial issuance, the Third Amendment Conversion Warrants entitled the Lenders to purchase 3,000,000 shares of the Company’s Common Stock at a purchase price of $0.01 per share. The Third Amendment Conversion Warrants have been subject to adjustments previously disclosed and, as a result of the May Offering, became exercisable for 42,857,143 shares of the Company’s common stock. The Third Amendment Conversion Warrants contained anti-dilution provisions relating to future issuances or deemed issuances of the Company’s common stock from October 16, 2023 through September 30, 2024. That period was extended through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Fifth Amendment Conversion Warrants were originally issued on January 31, 2024 in connection with a fifth amendment to the Credit Agreement and, upon initial issuance, entitled the Lenders to purchase 5,323,298 shares of the Company’s common stock at a purchase price of $0.01 per share. The Fifth Amendment Conversion Warrants have been subject to adjustments previously disclosed and, as a result of the May Offering, became exercisable for 15,209,425 shares of the Company’s common stock. The Fifth Amendment Conversion Warrants contained anti-dilution provisions relating to future issuances or deemed issuances of the Company’s common stock from October 16, 2023 through September 30, 2024. That period was extended through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Third Amendment Conversion Warrants and the Fifth Amendment Conversion Warrants do not purport to be complete and are subject to, and qualified in their entirety by, the full text of the Third Amendment Conversion Warrants and the Fifth Amendment Conversion Warrants filed as exhibits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Update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projects that the net proceeds from the Offering, together with the Company’s other cash resources and projected revenues, are sufficient for the Company to sustain its operations through June 14, 2024. After that time, absent a further capital raise, and assuming the Lenders have not previously sold their loan, the Agent and Lenders will no longer be required to forbear from exercising rights and remedies against us under the Credit Agreement as a result of defaults under the Credit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both"/>
              <w:rPr/>
            </w:pPr>
            <w:r>
              <w:rPr/>
              <w:t> </w:t>
            </w:r>
          </w:p>
        </w:tc>
        <w:tc>
          <w:tcPr>
            <w:tcW w:w="94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FFFFFF" w:val="clear"/>
            <w:tcMar>
              <w:bottom w:w="0" w:type="dxa"/>
            </w:tcMar>
            <w:vAlign w:val="center"/>
          </w:tcPr>
          <w:p>
            <w:pPr>
              <w:pStyle w:val="TableContents"/>
              <w:bidi w:val="0"/>
              <w:spacing w:before="0" w:after="283"/>
              <w:jc w:val="both"/>
              <w:rPr/>
            </w:pPr>
            <w:hyperlink w:anchor="tm2415136d1_ex5-1.htm">
              <w:r>
                <w:rPr>
                  <w:rStyle w:val="InternetLink"/>
                  <w:rFonts w:ascii="Times New Roman;Times;Serif" w:hAnsi="Times New Roman;Times;Serif"/>
                  <w:sz w:val="20"/>
                </w:rPr>
                <w:t>5.1</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5-1.htm">
              <w:r>
                <w:rPr>
                  <w:rStyle w:val="InternetLink"/>
                  <w:rFonts w:ascii="Times New Roman;Times;Serif" w:hAnsi="Times New Roman;Times;Serif"/>
                  <w:sz w:val="20"/>
                </w:rPr>
                <w:t>Opinion of Paul Hastings LLP</w:t>
              </w:r>
            </w:hyperlink>
          </w:p>
        </w:tc>
      </w:tr>
      <w:tr>
        <w:trPr/>
        <w:tc>
          <w:tcPr>
            <w:tcW w:w="665" w:type="dxa"/>
            <w:tcBorders/>
            <w:shd w:fill="FFFFFF" w:val="clear"/>
            <w:tcMar>
              <w:bottom w:w="0" w:type="dxa"/>
            </w:tcMar>
            <w:vAlign w:val="center"/>
          </w:tcPr>
          <w:p>
            <w:pPr>
              <w:pStyle w:val="TableContents"/>
              <w:bidi w:val="0"/>
              <w:spacing w:before="0" w:after="283"/>
              <w:jc w:val="both"/>
              <w:rPr/>
            </w:pPr>
            <w:hyperlink w:anchor="tm2415136d1_ex10-1.htm">
              <w:r>
                <w:rPr>
                  <w:rStyle w:val="InternetLink"/>
                  <w:rFonts w:ascii="Times New Roman;Times;Serif" w:hAnsi="Times New Roman;Times;Serif"/>
                  <w:sz w:val="20"/>
                </w:rPr>
                <w:t>10.1</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10-1.htm">
              <w:r>
                <w:rPr>
                  <w:rStyle w:val="InternetLink"/>
                  <w:rFonts w:ascii="Times New Roman;Times;Serif" w:hAnsi="Times New Roman;Times;Serif"/>
                  <w:sz w:val="20"/>
                </w:rPr>
                <w:t>Form of Securities Purchase Agreement</w:t>
              </w:r>
            </w:hyperlink>
          </w:p>
        </w:tc>
      </w:tr>
      <w:tr>
        <w:trPr/>
        <w:tc>
          <w:tcPr>
            <w:tcW w:w="665" w:type="dxa"/>
            <w:tcBorders/>
            <w:shd w:fill="FFFFFF" w:val="clear"/>
            <w:tcMar>
              <w:bottom w:w="0" w:type="dxa"/>
            </w:tcMar>
            <w:vAlign w:val="center"/>
          </w:tcPr>
          <w:p>
            <w:pPr>
              <w:pStyle w:val="TableContents"/>
              <w:bidi w:val="0"/>
              <w:spacing w:before="0" w:after="283"/>
              <w:jc w:val="both"/>
              <w:rPr/>
            </w:pPr>
            <w:hyperlink w:anchor="tm2415136d1_ex10-2.htm">
              <w:r>
                <w:rPr>
                  <w:rStyle w:val="InternetLink"/>
                  <w:rFonts w:ascii="Times New Roman;Times;Serif" w:hAnsi="Times New Roman;Times;Serif"/>
                  <w:sz w:val="20"/>
                </w:rPr>
                <w:t>10.2</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10-2.htm">
              <w:r>
                <w:rPr>
                  <w:rStyle w:val="InternetLink"/>
                  <w:rFonts w:ascii="Times New Roman;Times;Serif" w:hAnsi="Times New Roman;Times;Serif"/>
                  <w:sz w:val="20"/>
                </w:rPr>
                <w:t>Amended and Restated Warrant to Purchase Common Stock, dated May 16, 2024, by and between Presto Automation Inc. and Metropolitan Levered Partners Fund VII, LP (originally issued on January 30, 2024).</w:t>
              </w:r>
            </w:hyperlink>
          </w:p>
        </w:tc>
      </w:tr>
      <w:tr>
        <w:trPr/>
        <w:tc>
          <w:tcPr>
            <w:tcW w:w="665" w:type="dxa"/>
            <w:tcBorders/>
            <w:shd w:fill="FFFFFF" w:val="clear"/>
            <w:tcMar>
              <w:bottom w:w="0" w:type="dxa"/>
            </w:tcMar>
            <w:vAlign w:val="center"/>
          </w:tcPr>
          <w:p>
            <w:pPr>
              <w:pStyle w:val="TableContents"/>
              <w:bidi w:val="0"/>
              <w:spacing w:before="0" w:after="283"/>
              <w:jc w:val="both"/>
              <w:rPr/>
            </w:pPr>
            <w:hyperlink w:anchor="tm2415136d1_ex10-3.htm">
              <w:r>
                <w:rPr>
                  <w:rStyle w:val="InternetLink"/>
                  <w:rFonts w:ascii="Times New Roman;Times;Serif" w:hAnsi="Times New Roman;Times;Serif"/>
                  <w:sz w:val="20"/>
                </w:rPr>
                <w:t>10.3</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10-3.htm">
              <w:r>
                <w:rPr>
                  <w:rStyle w:val="InternetLink"/>
                  <w:rFonts w:ascii="Times New Roman;Times;Serif" w:hAnsi="Times New Roman;Times;Serif"/>
                  <w:sz w:val="20"/>
                </w:rPr>
                <w:t>Amended and Restated Warrant to Purchase Common Stock, dated May 16, 2024, by and between Presto Automation Inc. and Metropolitan Partners Fund VII, LP (originally issued on January 30, 2024).</w:t>
              </w:r>
            </w:hyperlink>
          </w:p>
        </w:tc>
      </w:tr>
      <w:tr>
        <w:trPr/>
        <w:tc>
          <w:tcPr>
            <w:tcW w:w="665" w:type="dxa"/>
            <w:tcBorders/>
            <w:shd w:fill="FFFFFF" w:val="clear"/>
            <w:tcMar>
              <w:bottom w:w="0" w:type="dxa"/>
            </w:tcMar>
            <w:vAlign w:val="center"/>
          </w:tcPr>
          <w:p>
            <w:pPr>
              <w:pStyle w:val="TableContents"/>
              <w:bidi w:val="0"/>
              <w:spacing w:before="0" w:after="283"/>
              <w:jc w:val="both"/>
              <w:rPr/>
            </w:pPr>
            <w:hyperlink w:anchor="tm2415136d1_ex10-4.htm">
              <w:r>
                <w:rPr>
                  <w:rStyle w:val="InternetLink"/>
                  <w:rFonts w:ascii="Times New Roman;Times;Serif" w:hAnsi="Times New Roman;Times;Serif"/>
                  <w:sz w:val="20"/>
                </w:rPr>
                <w:t>10.4</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10-4.htm">
              <w:r>
                <w:rPr>
                  <w:rStyle w:val="InternetLink"/>
                  <w:rFonts w:ascii="Times New Roman;Times;Serif" w:hAnsi="Times New Roman;Times;Serif"/>
                  <w:sz w:val="20"/>
                </w:rPr>
                <w:t>Amended and Restated Warrant to Purchase Common Stock, dated May 16, 2024, by and between Presto Automation Inc. and Metropolitan Offshore Partners Fund VII, LP (originally issued on January 30, 2024).</w:t>
              </w:r>
            </w:hyperlink>
          </w:p>
        </w:tc>
      </w:tr>
      <w:tr>
        <w:trPr/>
        <w:tc>
          <w:tcPr>
            <w:tcW w:w="665" w:type="dxa"/>
            <w:tcBorders/>
            <w:shd w:fill="FFFFFF" w:val="clear"/>
            <w:tcMar>
              <w:bottom w:w="0" w:type="dxa"/>
            </w:tcMar>
            <w:vAlign w:val="center"/>
          </w:tcPr>
          <w:p>
            <w:pPr>
              <w:pStyle w:val="TableContents"/>
              <w:bidi w:val="0"/>
              <w:spacing w:before="0" w:after="283"/>
              <w:jc w:val="both"/>
              <w:rPr/>
            </w:pPr>
            <w:hyperlink w:anchor="tm2415136d1_ex10-5.htm">
              <w:r>
                <w:rPr>
                  <w:rStyle w:val="InternetLink"/>
                  <w:rFonts w:ascii="Times New Roman;Times;Serif" w:hAnsi="Times New Roman;Times;Serif"/>
                  <w:sz w:val="20"/>
                </w:rPr>
                <w:t>10.5</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10-5.htm">
              <w:r>
                <w:rPr>
                  <w:rStyle w:val="InternetLink"/>
                  <w:rFonts w:ascii="Times New Roman;Times;Serif" w:hAnsi="Times New Roman;Times;Serif"/>
                  <w:sz w:val="20"/>
                </w:rPr>
                <w:t>Amended and Restated Warrant to Purchase Common Stock, dated May 16, 2024, by and between Presto Automation Inc. and CEOF Holdings, LP(originally issued on January 30, 2024).</w:t>
              </w:r>
            </w:hyperlink>
          </w:p>
        </w:tc>
      </w:tr>
      <w:tr>
        <w:trPr/>
        <w:tc>
          <w:tcPr>
            <w:tcW w:w="665" w:type="dxa"/>
            <w:tcBorders/>
            <w:shd w:fill="FFFFFF" w:val="clear"/>
            <w:tcMar>
              <w:bottom w:w="0" w:type="dxa"/>
            </w:tcMar>
            <w:vAlign w:val="center"/>
          </w:tcPr>
          <w:p>
            <w:pPr>
              <w:pStyle w:val="TableContents"/>
              <w:bidi w:val="0"/>
              <w:spacing w:before="0" w:after="283"/>
              <w:jc w:val="both"/>
              <w:rPr/>
            </w:pPr>
            <w:hyperlink w:anchor="tm2415136d1_ex10-6.htm">
              <w:r>
                <w:rPr>
                  <w:rStyle w:val="InternetLink"/>
                  <w:rFonts w:ascii="Times New Roman;Times;Serif" w:hAnsi="Times New Roman;Times;Serif"/>
                  <w:sz w:val="20"/>
                </w:rPr>
                <w:t>10.6</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10-6.htm">
              <w:r>
                <w:rPr>
                  <w:rStyle w:val="InternetLink"/>
                  <w:rFonts w:ascii="Times New Roman;Times;Serif" w:hAnsi="Times New Roman;Times;Serif"/>
                  <w:sz w:val="20"/>
                </w:rPr>
                <w:t>Amended and Restated Warrant to Purchase Common Stock, dated May 16, 2024, by and between Presto Automation Inc. and Metropolitan Levered Partners Fund VII, LP (originally issued on October 16, 2023).</w:t>
              </w:r>
            </w:hyperlink>
          </w:p>
        </w:tc>
      </w:tr>
      <w:tr>
        <w:trPr/>
        <w:tc>
          <w:tcPr>
            <w:tcW w:w="665" w:type="dxa"/>
            <w:tcBorders/>
            <w:shd w:fill="FFFFFF" w:val="clear"/>
            <w:tcMar>
              <w:bottom w:w="0" w:type="dxa"/>
            </w:tcMar>
            <w:vAlign w:val="center"/>
          </w:tcPr>
          <w:p>
            <w:pPr>
              <w:pStyle w:val="TableContents"/>
              <w:bidi w:val="0"/>
              <w:spacing w:before="0" w:after="283"/>
              <w:jc w:val="both"/>
              <w:rPr/>
            </w:pPr>
            <w:hyperlink w:anchor="tm2415136d1_ex10-7.htm">
              <w:r>
                <w:rPr>
                  <w:rStyle w:val="InternetLink"/>
                  <w:rFonts w:ascii="Times New Roman;Times;Serif" w:hAnsi="Times New Roman;Times;Serif"/>
                  <w:sz w:val="20"/>
                </w:rPr>
                <w:t>10.7</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10-7.htm">
              <w:r>
                <w:rPr>
                  <w:rStyle w:val="InternetLink"/>
                  <w:rFonts w:ascii="Times New Roman;Times;Serif" w:hAnsi="Times New Roman;Times;Serif"/>
                  <w:sz w:val="20"/>
                </w:rPr>
                <w:t>Amended and Restated Warrant to Purchase Common Stock, dated May 16, 2024, by and between Presto Automation Inc. and Metropolitan Partners Fund VII, LP (originally issued on October 16, 2023).</w:t>
              </w:r>
            </w:hyperlink>
          </w:p>
        </w:tc>
      </w:tr>
      <w:tr>
        <w:trPr/>
        <w:tc>
          <w:tcPr>
            <w:tcW w:w="665" w:type="dxa"/>
            <w:tcBorders/>
            <w:shd w:fill="FFFFFF" w:val="clear"/>
            <w:tcMar>
              <w:bottom w:w="0" w:type="dxa"/>
            </w:tcMar>
            <w:vAlign w:val="center"/>
          </w:tcPr>
          <w:p>
            <w:pPr>
              <w:pStyle w:val="TableContents"/>
              <w:bidi w:val="0"/>
              <w:spacing w:before="0" w:after="283"/>
              <w:jc w:val="both"/>
              <w:rPr/>
            </w:pPr>
            <w:hyperlink w:anchor="tm2415136d1_ex10-8.htm">
              <w:r>
                <w:rPr>
                  <w:rStyle w:val="InternetLink"/>
                  <w:rFonts w:ascii="Times New Roman;Times;Serif" w:hAnsi="Times New Roman;Times;Serif"/>
                  <w:sz w:val="20"/>
                </w:rPr>
                <w:t>10.8</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10-8.htm">
              <w:r>
                <w:rPr>
                  <w:rStyle w:val="InternetLink"/>
                  <w:rFonts w:ascii="Times New Roman;Times;Serif" w:hAnsi="Times New Roman;Times;Serif"/>
                  <w:sz w:val="20"/>
                </w:rPr>
                <w:t>Amended and Restated Warrant to Purchase Common Stock, dated May 16, 2024, by and between Presto Automation Inc. and Metropolitan Offshore Partners Fund VII, LP (originally issued on October 16, 2023).</w:t>
              </w:r>
            </w:hyperlink>
          </w:p>
        </w:tc>
      </w:tr>
      <w:tr>
        <w:trPr/>
        <w:tc>
          <w:tcPr>
            <w:tcW w:w="665" w:type="dxa"/>
            <w:tcBorders/>
            <w:shd w:fill="FFFFFF" w:val="clear"/>
            <w:tcMar>
              <w:bottom w:w="0" w:type="dxa"/>
            </w:tcMar>
            <w:vAlign w:val="center"/>
          </w:tcPr>
          <w:p>
            <w:pPr>
              <w:pStyle w:val="TableContents"/>
              <w:bidi w:val="0"/>
              <w:spacing w:before="0" w:after="283"/>
              <w:jc w:val="both"/>
              <w:rPr/>
            </w:pPr>
            <w:hyperlink w:anchor="tm2415136d1_ex10-9.htm">
              <w:r>
                <w:rPr>
                  <w:rStyle w:val="InternetLink"/>
                  <w:rFonts w:ascii="Times New Roman;Times;Serif" w:hAnsi="Times New Roman;Times;Serif"/>
                  <w:sz w:val="20"/>
                </w:rPr>
                <w:t>10.9</w:t>
              </w:r>
            </w:hyperlink>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15136d1_ex10-9.htm">
              <w:r>
                <w:rPr>
                  <w:rStyle w:val="InternetLink"/>
                  <w:rFonts w:ascii="Times New Roman;Times;Serif" w:hAnsi="Times New Roman;Times;Serif"/>
                  <w:sz w:val="20"/>
                </w:rPr>
                <w:t>Amended and Restated Warrant to Purchase Common Stock, dated May 16, 2024, by and between Presto Automation Inc. and CEOF Holdings, LP (originally issued on October 16, 2023).</w:t>
              </w:r>
            </w:hyperlink>
          </w:p>
        </w:tc>
      </w:tr>
      <w:tr>
        <w:trPr/>
        <w:tc>
          <w:tcPr>
            <w:tcW w:w="665" w:type="dxa"/>
            <w:tcBorders/>
            <w:shd w:fill="FFFFFF" w:val="clear"/>
            <w:tcMar>
              <w:bottom w:w="0" w:type="dxa"/>
            </w:tcMar>
            <w:vAlign w:val="center"/>
          </w:tcPr>
          <w:p>
            <w:pPr>
              <w:pStyle w:val="TableContents"/>
              <w:bidi w:val="0"/>
              <w:spacing w:before="0" w:after="283"/>
              <w:jc w:val="both"/>
              <w:rPr/>
            </w:pPr>
            <w:r>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r>
              <w:rPr/>
              <w:t>Cover Page Interactive Data File (embedded with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1655"/>
        <w:gridCol w:w="320"/>
        <w:gridCol w:w="590"/>
        <w:gridCol w:w="3380"/>
      </w:tblGrid>
      <w:tr>
        <w:trPr/>
        <w:tc>
          <w:tcPr>
            <w:tcW w:w="1655" w:type="dxa"/>
            <w:tcBorders/>
            <w:vAlign w:val="center"/>
          </w:tcPr>
          <w:p>
            <w:pPr>
              <w:pStyle w:val="TableContents"/>
              <w:bidi w:val="0"/>
              <w:spacing w:before="0" w:after="283"/>
              <w:jc w:val="both"/>
              <w:rPr/>
            </w:pPr>
            <w:r>
              <w:rPr/>
              <w:t> </w:t>
            </w:r>
          </w:p>
        </w:tc>
        <w:tc>
          <w:tcPr>
            <w:tcW w:w="4290"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PRESTO AUTOMATION, INC.</w:t>
            </w:r>
          </w:p>
        </w:tc>
      </w:tr>
      <w:tr>
        <w:trPr/>
        <w:tc>
          <w:tcPr>
            <w:tcW w:w="165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970" w:type="dxa"/>
            <w:gridSpan w:val="2"/>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May 22, 2024</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7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Susan Shinoff</w:t>
            </w:r>
          </w:p>
        </w:tc>
      </w:tr>
      <w:tr>
        <w:trPr/>
        <w:tc>
          <w:tcPr>
            <w:tcW w:w="165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Susan Shinoff</w:t>
            </w:r>
          </w:p>
        </w:tc>
      </w:tr>
      <w:tr>
        <w:trPr/>
        <w:tc>
          <w:tcPr>
            <w:tcW w:w="165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 and Corporate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tm2415136d1_ex5-1.htm"/>
      <w:bookmarkStart w:id="27" w:name="kstm2415136d1_ex5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9812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1175"/>
        <w:gridCol w:w="1130"/>
      </w:tblGrid>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22, 2024</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52763.00005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Presto Automation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pursuant to Rule 424(b) of the rules and regulations of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of a prospectus supplement, dated May 20, 2024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to the Company’s Registration Statement on Form S-3 (File No. 333-275112) originally filed with the Commission under the Act on October 20, 2023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and the related prospectus, dated October 30, 2023, included in the Registration Statement at the time it originally became effective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and, together with the Prospectus Supplement,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relating to the offering by the Company of 10,892,851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The Shares are being sold to institutional investors named in, and pursuant to, a securities purchase agreement, dated as of May 20, 2024, between the Company and such investors (the “</w:t>
      </w:r>
      <w:r>
        <w:rPr>
          <w:rFonts w:ascii="Times New Roman;Times;Serif" w:hAnsi="Times New Roman;Times;Serif"/>
          <w:b/>
          <w:i/>
          <w:caps w:val="false"/>
          <w:smallCaps w:val="false"/>
          <w:sz w:val="20"/>
        </w:rPr>
        <w:t>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Registration Statement, the Prospectus, the form of Securities Purchase Agreement, the Company’s Second Amended and Restated Certificate of Incorporation, as amended, and the Company’s Amended and Restated Bylaws, each as currently in effect, and the originals or copies certified to our satisfaction of such records, documents, certificates, memoranda and other instruments as in our judgment are necessary or appropriate to enable us to render the opinion expressed below. As to certain factual matters, we have relied upon a certificate of an officer of the Company and have not independently verified such matters. We have assumed the genuineness and authenticity of all documents submitted to us as originals, and the conformity to originals of all documents submitted to us as copies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and in rendering the opinions expressed below, we have assumed, without independent investigation or verification: (i) the genuineness of all signatures on all agreements, instruments, corporate records, certificates and other documents submitted to us; (ii) the legal capacity, competency and authority of all individuals executing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the originals thereof, and that such originals are authentic and complete;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Securities Purchase Agreement is the valid and binding obligation of each of the parties thereto, enforceable against such parties in accordance with their terms and that they have not been amended or terminated orally or in writing; and (viii) that the statements contained in the certificates and comparable documents of public officials, officers and representatives of the Company and other persons on which we have relied for the purposes of this opinion letter are true and correct on and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952750"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52750"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543050" cy="57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43050" cy="571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We are not rendering any opinion as to compliance with any federal or state antifraud law, rule or regulation relating to securities, or to the sale or issuance thereof. Our opinion is based on these laws as in effect on the date hereof, and we disclaim any obligation to advise you of facts, circumstances, events or developments which hereafter may be brought to our attention and which may alter, affect or modify the opinion expressed herein. We express no opinion as to whether the laws of any particular jurisdiction other than those identified above are applicable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Shares, when issued and sold against payment therefor in accordance with the Securities Purchase Agreement,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“Legal Matters” in the Prospectus Supplement and to the filing of this opinion as an exhibit to a Current Report of the Company on Form 8-K.</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75"/>
        <w:gridCol w:w="2105"/>
      </w:tblGrid>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/s/ Paul Hastings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8" w:name="tm2415136d1_ex10-1.htm"/>
      <w:bookmarkStart w:id="29" w:name="kstm2415136d1_ex101"/>
      <w:bookmarkEnd w:id="28"/>
      <w:bookmarkEnd w:id="29"/>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May 20, 2024, between Presto Automation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Shares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or at the election of the Company, immediately following, the date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Paul Hastings LLP, with offices located at 200 Park Avenue, New York, NY 10166.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(a) shares of Common Stock, options, restricted stock units or equity awards to employees, officers, or directors or consultants of the Company pursuant to any equity incentive plan duly adopted for such purpose, by a majority of the non-employee members of the Board of Directors or a majority of the members of a committee of non-employee directors established for such purpose for services rendered to the Company, provided that such securities are issued pursuant to a registration statement on Form S-8 filed by the Company, (b) securities upon the exercise or exchange of or conversion of any Shares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convertible into or exercisable for Common Stock that are issued pursuant to Section 4(a)(2) of the Securities Act or Regulation D under the Securities Act and (d)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 herein, and provided that any such issuance shall only be to a Person (or to the equityholders of a Person) which is, itself or through its subsidiaries, an operating company or an owner of an asset in a business synergistic with the business of the Company, as determined by the Board of Directors in good faith,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$0.14, subject to adjustment for reverse and forward stock splits, stock dividends, stock combinations and other similar transactions of the Common Stock that occur after the date of this Agreement and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filed for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was or will be filed with the Commission and delivered by the Company to the Purchasers before entering into this Agreement and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filed with the Commission (File No. 333-275112) that registers the sale of the Shares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each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NYSE American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all exhibits and schedules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30th Floor, New York, New York 10004 ,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$1,800,000 of Shares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Each Purchaser shall deliver to the Company, via wire transfer, immediately available funds equal to such Purchaser’s Subscription Amount as set forth on the signature page hereto executed by such Purchaser, and the Company shall deliver to each Purchaser its respective Shares as determined pursuant to Section 2.3(a), and the Company and each Purchaser shall deliver the other items set forth in Section 2.3 deliverable at the Closing. Upon satisfaction or waiver of the covenants and conditions set forth in Sections 2.3 and 2.4, the Closing shall take place remotely by electronic transfer of the Closing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Each Purchaser represents to the Company that it has received (or otherwise had made available to it by the filing by the Company of an electronic version thereof with the Commission) the Prospectus contained in the Registration Statement filed by the Company with the Commission, and the Prospectus Supplement relating thereto. Each Purchaser acknowledges that, prior to the delivery of this Agreement by it to the Company, the Purchaser will receive certain additional information regarding the offering, including pricing information. Such information may be provided to the Purchaser by any means permitted under the Securities Act, including the Prospectus Supplement and oral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Prospectus and Prospectus Supplement (which may be delivered in accordance with Rule 172 under the Securities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have provided each Purchaser with wire instructions, on Company letterhead and executed by the Chief Executive Officer or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to the extent not previously delivered,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which shall be made available for DVP settlement with the Company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from the date hereof to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or otherwise made herein to the extent of the disclosure contained in the corresponding section of the Disclosure Schedules, or as set forth in the SEC Reports, the Company hereby makes the following representations and warranties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Exhibit 21.1 of the Company’s Annual Report on Form 10-K for the year ended June 30, 2023 filed with the Commission on October 11, 2023. The Company owns, directly or indirectly, all of the capital stock or other equity interests of each Subsidiary free and clear of any Liens except as disclosed in the SEC Reports,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provided, however, that changes in the market price or trading volume of the Common Stock shall not alone, in and of itself, constitute a Material Adverse Effect). No Proceeding has been instituted in any such jurisdiction revoking, limiting or curtailing or seeking to revoke, limit or curtail such power and authority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material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(except for such conflicts or defaults as have been waived or for which consent has been obtained prior to the Closing Date), or (iii) subject to receipt of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issuance and sale of the Shares and the listing of the Shares for trading thereon in the time and manner required thereby, (iv) the filing of Form D with the Commission and such filings as are required to be made under applicable state securities laws and (v) such consents or waivers that shall have been obtained prior to the Closing Date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Shares; Registration</w:t>
      </w:r>
      <w:r>
        <w:rPr>
          <w:rFonts w:ascii="Times New Roman;Times;Serif" w:hAnsi="Times New Roman;Times;Serif"/>
          <w:b w:val="false"/>
          <w:i w:val="false"/>
          <w:caps w:val="false"/>
          <w:smallCaps w:val="false"/>
          <w:sz w:val="20"/>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October 30, 2023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applicable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or other equity plans. The Company does not have pending before the Commission any request for confidential treatment of information. Except for the issuance of the Shares contemplated by this Agreement or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material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that would reasonably be expected to have a Material Adverse Effect.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material agreement or instrument to which it is a party or by which it or any of its material properties is bound (except for such breaches, violations or defaults as have been waived or for which consent has been obtained prior to the Closing Date),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To the knowledge of the Company,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written notice that any of, the Intellectual Property Rights that are material to the Company have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or other equity awards under any stock option plan or other equity plan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 due to an arrangement or agreement made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Shares will not be an “investment company” required to register under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Subsidiary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to the Company’s knowledge,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SEC Reports set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$250,000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$250,000 due under leases required to be capitalized in accordance with GAAP. Neither the Company nor any Subsidiary is in default with respect to any Indebtedness (except for such breaches, violations or defaults as have been waived or for which consent has been obtained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Acknowledgment Regarding Purchasers’ Purchase of Shares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xml:space="preserve"> Anything in this Agreement or elsewhere herein to the contrary notwithstanding (except for Sections 3.2(g)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Placement Agent in connection with the placement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or other equity plan was granted (i) in accordance with the terms of the Company’s stock option plan or other equity plan and (ii) with an exercise price at least equal to the fair market value of the Common Stock on the date such stock option would be considered granted under GAAP and applicable law. No stock option granted under the Company’s stock option plan or other equity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Except as would not, individually or in the aggregate, have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Shares, it was and, as of the date hereof, it is either: (i) an “accredited investor” as defined in Rule 501(a)(1), (a)(2), (a)(3), (a)(5), (a)(6), (a)(7), (a)(8), (a)(9), (a)(12), or (a)(13) under the Securities Act or (ii) a “qualified institutional buyer” as defined in Rule 144(A)(a)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have acted as a financial advisor or fiduciary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that are bound by confidentiality obligations,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or make a filing with the SEC disclosing the material terms of the transactions contemplated hereby and any Nonpublic Information,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other than required filings with the Commission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and any Nonpublic Information,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(for purposes of this sentence, each Purchaser shall be deemed to have consented to the receipt of any Nonpublic Information),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Shares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4.7,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To the extent that a Purchaser Party fails to provide timely notice of a claim for indemnity under this Section 4.7 and such failure materially prejudices the Company’s ability to defend against such claim, the Company shall have no obligation under this Section 4.7 to indemnify the Purchaser Party for the claim (or portion thereof) that was so affected.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4.7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a Purchaser was not entitled to receive such periodic payments, such Purchaser shall promptly (but in no event later than five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Each Purchaser, severally and not jointly with the other Purchasers, covenants that until such time as the transactions contemplated by this Agreement are publicly disclosed by the Company pursuant to the initial press release as described in Section 4.3,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4.3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4.3.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Shares may result in dilution of the outstanding shares of Common Stock and will trigger certain additional anti-dilution adjustments,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ANTI-DILUTION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after the Closing Date but prior to December 31,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Article V is deemed to have issued or sold, any shares of Common Stock (including the issuance or sale of shares of Common Stock owned or held by or for the account of the Company, but excluding Excluded Securities) for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the Per Share Purchase Price (as adjusted for any stock split, stock dividend, recapitalization or otherwise that occurs during the Anti-Dilution Period)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Company shall issue to the Purchaser such number of additional Shares equal to (i) the product of (a) the number of Shares purchased by the Purchaser pursuant to this Agreement and held by the Purchaser as of the date of the Dilutive Issuance, multiplied by (b) the quotient of (x) the Per Share Purchase Price (as adjusted for stock splits and consolidations and related corporate events), divided by (y) the New Issuance Price, less (ii) the number of Shares originally issued to the Purchaser pursuant to this Agreement and held by the Purchaser as of the date of the Dilutive Issuance. For all purposes of the foregoing (including, without limitation, determining the number of additional Shares and the New Issuance Price under this Article V), the following shall be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7"/>
        <w:gridCol w:w="10041"/>
      </w:tblGrid>
      <w:tr>
        <w:trPr/>
        <w:tc>
          <w:tcPr>
            <w:tcW w:w="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pPr>
            <w:r>
              <w:rPr/>
              <w:t>a)</w:t>
            </w:r>
          </w:p>
        </w:tc>
        <w:tc>
          <w:tcPr>
            <w:tcW w:w="10041" w:type="dxa"/>
            <w:tcBorders/>
            <w:vAlign w:val="center"/>
          </w:tcPr>
          <w:p>
            <w:pPr>
              <w:pStyle w:val="TableContents"/>
              <w:bidi w:val="0"/>
              <w:spacing w:before="0" w:after="283"/>
              <w:jc w:val="both"/>
              <w:rPr/>
            </w:pPr>
            <w:r>
              <w:rPr/>
              <w:t>Issuance of Options. If, during the Anti-Dilution Period, the Company in any manner grants or sells any rights, warrants or options to subscribe for or purchase shares of Common Stock or Convertible Securities (“</w:t>
            </w:r>
            <w:r>
              <w:rPr>
                <w:u w:val="single"/>
              </w:rPr>
              <w:t>Options</w:t>
            </w:r>
            <w:r>
              <w:rPr/>
              <w:t>”) and the lowest price per share for which one share of Common Stock is at any time issuable upon the exercise of any such Option or upon conversion, exercise or exchange of any stock or securities (other than Options) directly or indirectly convertible into or exercisable or exchangeable for shares of Common Stock (“</w:t>
            </w:r>
            <w:r>
              <w:rPr>
                <w:u w:val="single"/>
              </w:rPr>
              <w:t xml:space="preserve">Convertible Securities”) </w:t>
            </w:r>
            <w:r>
              <w:rPr/>
              <w:t>issuable upon exercise of any such Option or otherwise pursuant to the terms thereof is less than the Per Share Purchase Price (such lowest price to be deemed the “New Issuance Price” for purposes of this Section 5.1), then such share of Common Stock shall be deemed to be outstanding and to have been issued and sold by the Company at the time of the granting or sale of such Option for such price per share. For purposes of this Section 5.1(a),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additional Shares shall be issued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b)</w:t>
            </w:r>
          </w:p>
        </w:tc>
        <w:tc>
          <w:tcPr>
            <w:tcW w:w="10025" w:type="dxa"/>
            <w:tcBorders/>
            <w:vAlign w:val="center"/>
          </w:tcPr>
          <w:p>
            <w:pPr>
              <w:pStyle w:val="TableContents"/>
              <w:bidi w:val="0"/>
              <w:spacing w:before="0" w:after="283"/>
              <w:jc w:val="both"/>
              <w:rPr/>
            </w:pPr>
            <w:r>
              <w:rPr/>
              <w:t>Issuance of Convertible Securities.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Per Share Purchase Price (such lowest price to be deemed the “New Issuance Price” for purposes of this Section 5.1), then such share of Common Stock shall be deemed to be outstanding and to have been issued and sold by the Company at the time of the issuance or sale of such Convertible Securities for such price per share. For the purposes of this Section 5.1(b), the “lowest price per share for which one share of Common Stock is at any time issuable upon the conversion, exercise or exchange thereof or otherwise pursuant to the terms thereof” shall be equal to (1)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additional Shares shall be issued upon the actual issuance of such shares of Common Stock upon conversion, exercise or exchange of such Convertible Securities or otherwise pursuant to the terms thereof, and if any such issuance or sale of such Convertible Securities is made upon exercise of any Options for which issuance of additional Shares has been or is to be made pursuant to other provisions of this Section 5.1, except as contemplated below, no additional Shares shall be issued by reason of such issuance or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6"/>
        <w:gridCol w:w="10042"/>
      </w:tblGrid>
      <w:tr>
        <w:trPr/>
        <w:tc>
          <w:tcPr>
            <w:tcW w:w="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c)</w:t>
            </w:r>
          </w:p>
        </w:tc>
        <w:tc>
          <w:tcPr>
            <w:tcW w:w="10042" w:type="dxa"/>
            <w:tcBorders/>
            <w:vAlign w:val="center"/>
          </w:tcPr>
          <w:p>
            <w:pPr>
              <w:pStyle w:val="TableContents"/>
              <w:bidi w:val="0"/>
              <w:spacing w:before="0" w:after="283"/>
              <w:jc w:val="both"/>
              <w:rPr/>
            </w:pPr>
            <w:r>
              <w:rPr/>
              <w:t>Calculation of Consideration Received. If any Option and/or Convertible Security and/or any right granted with respect to any securities issued in connection with, or with respect to, any issuance or sale (or deemed issuance or sale in accordance with Section 5.1) of shares of Common Stock that could result in a decrease in the net consideration received by the Company in connection with, or with respect to, such securities (including, without limitation, any cash settlement rights, cash adjustment or other similar rights) (an “</w:t>
            </w:r>
            <w:r>
              <w:rPr>
                <w:u w:val="single"/>
              </w:rPr>
              <w:t>Adjustment Right</w:t>
            </w:r>
            <w:r>
              <w:rPr/>
              <w:t>”) is issued in connection with the issuance or sale or deemed issuance or sale of any other securities of the Company (as determined by the Purchaser, the “</w:t>
            </w:r>
            <w:r>
              <w:rPr>
                <w:u w:val="single"/>
              </w:rPr>
              <w:t>Primary Security</w:t>
            </w:r>
            <w:r>
              <w:rPr/>
              <w:t>”, and such Option and/or Convertible Security and/or Adjustment Right, the “</w:t>
            </w:r>
            <w:r>
              <w:rPr>
                <w:u w:val="single"/>
              </w:rPr>
              <w:t>Secondary Securities</w:t>
            </w:r>
            <w:r>
              <w:rPr/>
              <w:t>” and together with the Primary Security, each a “</w:t>
            </w:r>
            <w:r>
              <w:rPr>
                <w:u w:val="single"/>
              </w:rPr>
              <w:t>Unit</w:t>
            </w:r>
            <w:r>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5.1(a), (b) or (c) above and (z) the quotient of (I) the sum of the three lowest VWAPs of the Common Stock during the five Trading Day period immediately following the public announcement of such Dilutive Issuance, divided by (II) three (for the avoidance of doubt, if such public announcement is released prior to the opening of the Trading Market on a Trading Day, such Trading Day shall be the first Trading Day in such five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Purchaser. If such parties are unable to reach agreement within 10 days after the occurrence of an event requiring valuation (the “</w:t>
            </w:r>
            <w:r>
              <w:rPr>
                <w:u w:val="single"/>
              </w:rPr>
              <w:t>Valuation Event</w:t>
            </w:r>
            <w:r>
              <w:rPr/>
              <w:t>”), the fair value of such consideration will be determined within five Trading Days after the 10th day following such Valuation Event by an independent, reputable appraiser jointly selected by the Company and the Purchaser. The determination of such appraiser shall be final and binding upon all parties absent manifest error and the fees and expenses of such appraiser shall be borne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Applicability to Previously Purchased Shares</w:t>
      </w:r>
      <w:r>
        <w:rPr>
          <w:rFonts w:ascii="Times New Roman;Times;Serif" w:hAnsi="Times New Roman;Times;Serif"/>
          <w:b w:val="false"/>
          <w:i w:val="false"/>
          <w:caps w:val="false"/>
          <w:smallCaps w:val="false"/>
          <w:sz w:val="20"/>
        </w:rPr>
        <w:t>. To the extent the Purchaser either (i) previously purchased shares of Common Stock (the “</w:t>
      </w:r>
      <w:r>
        <w:rPr>
          <w:rFonts w:ascii="Times New Roman;Times;Serif" w:hAnsi="Times New Roman;Times;Serif"/>
          <w:b w:val="false"/>
          <w:i w:val="false"/>
          <w:caps w:val="false"/>
          <w:smallCaps w:val="false"/>
          <w:sz w:val="20"/>
          <w:u w:val="single"/>
        </w:rPr>
        <w:t>November Shares</w:t>
      </w:r>
      <w:r>
        <w:rPr>
          <w:rFonts w:ascii="Times New Roman;Times;Serif" w:hAnsi="Times New Roman;Times;Serif"/>
          <w:b w:val="false"/>
          <w:i w:val="false"/>
          <w:caps w:val="false"/>
          <w:smallCaps w:val="false"/>
          <w:sz w:val="20"/>
        </w:rPr>
        <w:t>”) pursuant to those certain common stock purchase agreements entered into on November 17, 2023 (“</w:t>
      </w:r>
      <w:r>
        <w:rPr>
          <w:rFonts w:ascii="Times New Roman;Times;Serif" w:hAnsi="Times New Roman;Times;Serif"/>
          <w:b w:val="false"/>
          <w:i w:val="false"/>
          <w:caps w:val="false"/>
          <w:smallCaps w:val="false"/>
          <w:sz w:val="20"/>
          <w:u w:val="single"/>
        </w:rPr>
        <w:t>November Agreements</w:t>
      </w:r>
      <w:r>
        <w:rPr>
          <w:rFonts w:ascii="Times New Roman;Times;Serif" w:hAnsi="Times New Roman;Times;Serif"/>
          <w:b w:val="false"/>
          <w:i w:val="false"/>
          <w:caps w:val="false"/>
          <w:smallCaps w:val="false"/>
          <w:sz w:val="20"/>
        </w:rPr>
        <w:t>”), or (ii) previously purchased convertible notes convertible into shares of Common Stock (“</w:t>
      </w:r>
      <w:r>
        <w:rPr>
          <w:rFonts w:ascii="Times New Roman;Times;Serif" w:hAnsi="Times New Roman;Times;Serif"/>
          <w:b w:val="false"/>
          <w:i w:val="false"/>
          <w:caps w:val="false"/>
          <w:smallCaps w:val="false"/>
          <w:sz w:val="20"/>
          <w:u w:val="single"/>
        </w:rPr>
        <w:t>January Shares</w:t>
      </w:r>
      <w:r>
        <w:rPr>
          <w:rFonts w:ascii="Times New Roman;Times;Serif" w:hAnsi="Times New Roman;Times;Serif"/>
          <w:b w:val="false"/>
          <w:i w:val="false"/>
          <w:caps w:val="false"/>
          <w:smallCaps w:val="false"/>
          <w:sz w:val="20"/>
        </w:rPr>
        <w:t>”) pursuant to those certain securities purchase agreements entered into on January 30, 2024 (“</w:t>
      </w:r>
      <w:r>
        <w:rPr>
          <w:rFonts w:ascii="Times New Roman;Times;Serif" w:hAnsi="Times New Roman;Times;Serif"/>
          <w:b w:val="false"/>
          <w:i w:val="false"/>
          <w:caps w:val="false"/>
          <w:smallCaps w:val="false"/>
          <w:sz w:val="20"/>
          <w:u w:val="single"/>
        </w:rPr>
        <w:t>January Agreements</w:t>
      </w:r>
      <w:r>
        <w:rPr>
          <w:rFonts w:ascii="Times New Roman;Times;Serif" w:hAnsi="Times New Roman;Times;Serif"/>
          <w:b w:val="false"/>
          <w:i w:val="false"/>
          <w:caps w:val="false"/>
          <w:smallCaps w:val="false"/>
          <w:sz w:val="20"/>
        </w:rPr>
        <w:t>”), then the provisions of Section 5.1 shall apply to the November Shares or the January Shares, as applicable, for the duration of the Anti-Dilution Period, and only to the extent that the Purchaser holds November Shares or January Shares upon the date of a Dilutive Issuance thereunder. For purposes of the November Shares, the “Per Share Purchase Price” for purposes of this Section 5 is $0.25. For the avoidance of doubt, the provisions of Section 5.1 shall not apply to the issuance of securities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 xml:space="preserve">Issuance Cap. </w:t>
      </w:r>
      <w:r>
        <w:rPr>
          <w:rFonts w:ascii="Times New Roman;Times;Serif" w:hAnsi="Times New Roman;Times;Serif"/>
          <w:b w:val="false"/>
          <w:i w:val="false"/>
          <w:caps w:val="false"/>
          <w:smallCaps w:val="false"/>
          <w:sz w:val="20"/>
        </w:rPr>
        <w:t>Notwithstanding anything to the contrary contained herein, the Purchaser and the Company agree that the total number of shares of Common Stock issued in connection with the Offering, including, for the avoidance of doubt, any shares of Common Stock issued pursuant to anti-dilution protections triggered by the Offering and the shares of Common Stock underlying the subordinated convertible note, dated May 16, 2024, by and between the Company and Remus Capital Series B II, L.P.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val="false"/>
          <w:i w:val="false"/>
          <w:caps w:val="false"/>
          <w:smallCaps w:val="false"/>
          <w:sz w:val="20"/>
          <w:u w:val="single"/>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in connection with the Offering reaches the Nasdaq 19.99% Cap, so as not to violate the 20% limit established in Listing Rule 5635(d), the Company shall as soon as reasonably practicable take all action necessary to obtain stockholder approval of the issuance of additional shares of Common Stock issuable pursuant to the terms of this Agreement in accordance with the requirements of Nasdaq Listing Rule 5635(d) (the “</w:t>
      </w:r>
      <w:r>
        <w:rPr>
          <w:rFonts w:ascii="Times New Roman;Times;Serif" w:hAnsi="Times New Roman;Times;Serif"/>
          <w:b w:val="false"/>
          <w:i w:val="false"/>
          <w:caps w:val="false"/>
          <w:smallCaps w:val="false"/>
          <w:sz w:val="20"/>
          <w:u w:val="single"/>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90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issuances of Common Stock pursuant to Section 5.1 hereof shall be allocated (i) first to shares of Common Stock purchased in the Offering, (ii) then to shares of Common Stock issuable under the Note, and (iii) lastly to any shares of Common Stock issued pursuant to anti-dilution protections triggered by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before the Closing,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 provided, further, that the right to terminate this Agreement pursuant to this Section 6.1 shall not be available to a party if such party’s breach of any representation, warranty, covenant or other agreement contained in this Agreement is the primary cause of the failure of the Closing to be consummated in accordance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(based on the initial Subscription Amounts hereunder)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6.5 shall be binding upon each Purchaser and holder of Shares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4.7 and this Section 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Replacement of Shares</w:t>
      </w:r>
      <w:r>
        <w:rPr>
          <w:rFonts w:ascii="Times New Roman;Times;Serif" w:hAnsi="Times New Roman;Times;Serif"/>
          <w:b w:val="false"/>
          <w:i w:val="false"/>
          <w:caps w:val="false"/>
          <w:smallCaps w:val="false"/>
          <w:sz w:val="20"/>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934"/>
        <w:gridCol w:w="1725"/>
        <w:gridCol w:w="75"/>
      </w:tblGrid>
      <w:tr>
        <w:trPr/>
        <w:tc>
          <w:tcPr>
            <w:tcW w:w="2659"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presto automation inc.</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4" w:type="dxa"/>
            <w:tcBorders/>
            <w:vAlign w:val="center"/>
          </w:tcPr>
          <w:p>
            <w:pPr>
              <w:pStyle w:val="TableContents"/>
              <w:bidi w:val="0"/>
              <w:spacing w:before="0" w:after="283"/>
              <w:jc w:val="left"/>
              <w:rPr/>
            </w:pPr>
            <w:r>
              <w:rPr/>
              <w:t>By:</w:t>
            </w:r>
          </w:p>
        </w:tc>
        <w:tc>
          <w:tcPr>
            <w:tcW w:w="172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4" w:type="dxa"/>
            <w:tcBorders/>
            <w:vAlign w:val="center"/>
          </w:tcPr>
          <w:p>
            <w:pPr>
              <w:pStyle w:val="TableContents"/>
              <w:bidi w:val="0"/>
              <w:spacing w:before="0" w:after="283"/>
              <w:jc w:val="left"/>
              <w:rPr/>
            </w:pPr>
            <w:r>
              <w:rPr/>
              <w:t> </w:t>
            </w:r>
          </w:p>
        </w:tc>
        <w:tc>
          <w:tcPr>
            <w:tcW w:w="1725"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934" w:type="dxa"/>
            <w:tcBorders/>
            <w:vAlign w:val="center"/>
          </w:tcPr>
          <w:p>
            <w:pPr>
              <w:pStyle w:val="TableContents"/>
              <w:bidi w:val="0"/>
              <w:spacing w:before="0" w:after="283"/>
              <w:jc w:val="left"/>
              <w:rPr/>
            </w:pPr>
            <w:r>
              <w:rPr/>
              <w:t> </w:t>
            </w:r>
          </w:p>
        </w:tc>
        <w:tc>
          <w:tcPr>
            <w:tcW w:w="1725"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 Industrial Road</w:t>
        <w:br/>
        <w:t>San Carlos, California 94070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10166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Colin Diamond; Will Burns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colindiamond@paulhastings.com; willburns@paulhastings.com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0" w:name="tm2415136d1_ex10-2.htm"/>
      <w:bookmarkStart w:id="31" w:name="kstm2415136d1_ex102"/>
      <w:bookmarkEnd w:id="30"/>
      <w:bookmarkEnd w:id="31"/>
      <w:r>
        <w:rPr/>
        <w:t> </w:t>
      </w:r>
      <w:r>
        <w:br w:type="page"/>
      </w:r>
    </w:p>
    <w:p>
      <w:pPr>
        <w:pStyle w:val="TextBody"/>
        <w:bidi w:val="0"/>
        <w:jc w:val="right"/>
        <w:rPr>
          <w:b/>
        </w:rPr>
      </w:pPr>
      <w:r>
        <w:rPr>
          <w:b/>
        </w:rPr>
        <w:t>Exhibit 10.2</w:t>
      </w:r>
    </w:p>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4,877,895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January 30, 2024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May 16, 2024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Levered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4,877,895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Times;Serif" w:hAnsi="Times New Roman;Times;Serif"/>
          <w:b/>
          <w:i w:val="false"/>
          <w:caps w:val="false"/>
          <w:smallCaps w:val="false"/>
          <w:sz w:val="20"/>
        </w:rPr>
        <w:t>Forbearance Agreement</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Forbearance Agreement or the Credit Agreement (as defined in the Forbearance Agreement). This Warrant amends, restates and supersedes in its entirety (i) that certain Warrant for 1,707,263 shares of Common Stock issued by the Company to the Holder on January 30, 2024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and (ii) that certain Warrant for 2,731,621 shares of Common Stock issued by the Company to the Holder on March 21, 2024 (the “March 2024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144"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216"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8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3672"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pStyle w:val="TextBody"/>
        <w:bidi w:val="0"/>
        <w:spacing w:before="0" w:after="0"/>
        <w:ind w:left="144" w:right="216"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216" w:firstLine="2232"/>
        <w:jc w:val="both"/>
        <w:rPr>
          <w:caps w:val="false"/>
          <w:smallCaps w:val="false"/>
        </w:rPr>
      </w:pPr>
      <w:r>
        <w:rPr>
          <w:caps w:val="false"/>
          <w:smallCaps w:val="false"/>
        </w:rPr>
        <w:t> </w:t>
      </w:r>
    </w:p>
    <w:p>
      <w:pPr>
        <w:pStyle w:val="TextBody"/>
        <w:bidi w:val="0"/>
        <w:spacing w:before="0" w:after="0"/>
        <w:ind w:left="144" w:right="216" w:firstLine="22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144" w:right="216" w:firstLine="223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Times;Serif" w:hAnsi="Times New Roman;Times;Serif"/>
          <w:b/>
          <w:i w:val="false"/>
          <w:caps w:val="false"/>
          <w:smallCaps w:val="false"/>
          <w:sz w:val="20"/>
        </w:rPr>
        <w:t>Forbearance Warrants</w:t>
      </w:r>
      <w:r>
        <w:rPr>
          <w:rFonts w:ascii="Times New Roman;Times;Serif" w:hAnsi="Times New Roman;Times;Serif"/>
          <w:b w:val="false"/>
          <w:i w:val="false"/>
          <w:caps w:val="false"/>
          <w:smallCaps w:val="false"/>
          <w:sz w:val="20"/>
        </w:rPr>
        <w:t>”), together with the total number of shares of Common Stock issuable upon conversion of the Company’s Subordinated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sold by the Company on the date hereof to certain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 xml:space="preserve">ADJUSTMENT OF EXERCISE PRICE AND NUMBER OF WARRANT SHARES. </w:t>
      </w:r>
      <w:r>
        <w:rPr>
          <w:rFonts w:ascii="Times New Roman;Times;Serif" w:hAnsi="Times New Roman;Times;Serif"/>
          <w:b w:val="false"/>
          <w:i w:val="false"/>
          <w:caps w:val="false"/>
          <w:smallCaps w:val="false"/>
          <w:sz w:val="20"/>
        </w:rPr>
        <w:t>The Exercise Price and the number of Warrant Shares issuable upon exercise of this Warrant are subject to adjustments from time to time as set forth in this Section 2.</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December 31,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$0.14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$0.40 per share, the March 2024 Warrant had an Applicable Price of $0.25 per share and the amendment and restatement is as of a result of a Dilutive Issuance with a $0.14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216" w:right="144" w:firstLine="25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216" w:right="144" w:firstLine="2592"/>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216" w:right="144"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144" w:right="144" w:firstLine="2952"/>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144" w:right="144" w:firstLine="295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216" w:right="144" w:firstLine="136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216" w:right="144" w:firstLine="136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216" w:right="144" w:firstLine="136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216" w:right="0" w:firstLine="136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216" w:right="144"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216" w:right="0" w:firstLine="144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216" w:right="144" w:firstLine="2160"/>
        <w:jc w:val="left"/>
        <w:rPr>
          <w:caps w:val="false"/>
          <w:smallCaps w:val="false"/>
        </w:rPr>
      </w:pPr>
      <w:r>
        <w:rPr>
          <w:caps w:val="false"/>
          <w:smallCaps w:val="false"/>
        </w:rPr>
        <w:t> </w:t>
      </w:r>
    </w:p>
    <w:p>
      <w:pPr>
        <w:pStyle w:val="TextBody"/>
        <w:bidi w:val="0"/>
        <w:spacing w:before="0" w:after="0"/>
        <w:ind w:left="216"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216" w:right="144" w:firstLine="216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216" w:right="144" w:firstLine="136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216" w:right="0" w:firstLine="216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216"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216"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144" w:right="216"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144" w:right="144"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650"/>
        <w:gridCol w:w="303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/s/ Guillaume Lefevre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035" w:type="dxa"/>
            <w:tcBorders/>
            <w:vAlign w:val="center"/>
          </w:tcPr>
          <w:p>
            <w:pPr>
              <w:pStyle w:val="TableContents"/>
              <w:bidi w:val="0"/>
              <w:spacing w:before="0" w:after="283"/>
              <w:jc w:val="left"/>
              <w:rPr/>
            </w:pPr>
            <w:r>
              <w:rPr/>
              <w:t>Guillaume Lefevre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035" w:type="dxa"/>
            <w:tcBorders/>
            <w:vAlign w:val="center"/>
          </w:tcPr>
          <w:p>
            <w:pPr>
              <w:pStyle w:val="TableContents"/>
              <w:bidi w:val="0"/>
              <w:spacing w:before="0" w:after="283"/>
              <w:jc w:val="left"/>
              <w:rPr/>
            </w:pPr>
            <w:r>
              <w:rPr/>
              <w:t>Interim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381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purchase________________</w:t>
        <w:tab/>
        <w:t>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to_________________</w:t>
        <w:tab/>
        <w:t>Warrant Shares;</w:t>
      </w:r>
    </w:p>
    <w:p>
      <w:pPr>
        <w:pStyle w:val="TextBody"/>
        <w:bidi w:val="0"/>
        <w:spacing w:before="0" w:after="0"/>
        <w:ind w:left="3168" w:right="0" w:hanging="0"/>
        <w:jc w:val="left"/>
        <w:rPr>
          <w:caps w:val="false"/>
          <w:smallCaps w:val="false"/>
        </w:rPr>
      </w:pPr>
      <w:r>
        <w:rPr>
          <w:caps w:val="false"/>
          <w:smallCaps w:val="false"/>
        </w:rPr>
        <w:t> </w:t>
      </w:r>
    </w:p>
    <w:p>
      <w:pPr>
        <w:pStyle w:val="TextBody"/>
        <w:bidi w:val="0"/>
        <w:spacing w:before="0" w:after="0"/>
        <w:ind w:left="316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to______________</w:t>
        <w:tab/>
        <w:t>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w:t>
        <w:tab/>
        <w:t>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holder_________________</w:t>
        <w:tab/>
        <w:t>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380"/>
        <w:gridCol w:w="1730"/>
        <w:gridCol w:w="75"/>
      </w:tblGrid>
      <w:tr>
        <w:trPr/>
        <w:tc>
          <w:tcPr>
            <w:tcW w:w="3380" w:type="dxa"/>
            <w:tcBorders/>
            <w:vAlign w:val="center"/>
          </w:tcPr>
          <w:p>
            <w:pPr>
              <w:pStyle w:val="TableContents"/>
              <w:bidi w:val="0"/>
              <w:spacing w:before="0" w:after="283"/>
              <w:jc w:val="left"/>
              <w:rPr/>
            </w:pPr>
            <w:r>
              <w:rPr/>
              <w:t>____________ Electronic Delivery</w:t>
            </w:r>
          </w:p>
        </w:tc>
        <w:tc>
          <w:tcPr>
            <w:tcW w:w="1730" w:type="dxa"/>
            <w:tcBorders/>
            <w:vAlign w:val="center"/>
          </w:tcPr>
          <w:p>
            <w:pPr>
              <w:pStyle w:val="TableContents"/>
              <w:bidi w:val="0"/>
              <w:spacing w:before="0" w:after="283"/>
              <w:jc w:val="both"/>
              <w:rPr/>
            </w:pPr>
            <w:r>
              <w:rPr/>
              <w:t>DTC Participant: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DTC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Name: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____________ Physical Delivery</w:t>
            </w:r>
          </w:p>
        </w:tc>
        <w:tc>
          <w:tcPr>
            <w:tcW w:w="1730" w:type="dxa"/>
            <w:tcBorders/>
            <w:vAlign w:val="center"/>
          </w:tcPr>
          <w:p>
            <w:pPr>
              <w:pStyle w:val="TableContents"/>
              <w:bidi w:val="0"/>
              <w:spacing w:before="0" w:after="283"/>
              <w:jc w:val="both"/>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Date:____________ ____, ______</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Name of Registered Holder</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dated_________________</w:t>
        <w:tab/>
        <w:t>from the Company and acknowledged and agreed to by [TRANSFER AGENT].</w:t>
      </w:r>
    </w:p>
    <w:p>
      <w:pPr>
        <w:pStyle w:val="TextBody"/>
        <w:bidi w:val="0"/>
        <w:spacing w:before="0" w:after="0"/>
        <w:ind w:left="144" w:right="144"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2138"/>
        <w:gridCol w:w="1226"/>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both"/>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8" w:type="dxa"/>
            <w:tcBorders/>
            <w:vAlign w:val="center"/>
          </w:tcPr>
          <w:p>
            <w:pPr>
              <w:pStyle w:val="TableContents"/>
              <w:bidi w:val="0"/>
              <w:spacing w:before="0" w:after="283"/>
              <w:jc w:val="both"/>
              <w:rPr/>
            </w:pPr>
            <w:r>
              <w:rPr/>
              <w:t>By:</w:t>
            </w:r>
          </w:p>
        </w:tc>
        <w:tc>
          <w:tcPr>
            <w:tcW w:w="122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Title:</w:t>
            </w:r>
          </w:p>
        </w:tc>
      </w:tr>
    </w:tbl>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caps w:val="false"/>
          <w:smallCaps w:val="false"/>
        </w:rPr>
      </w:pPr>
      <w:r>
        <w:rPr>
          <w:caps w:val="false"/>
          <w:smallCaps w:val="false"/>
        </w:rPr>
        <w:t> </w:t>
      </w:r>
    </w:p>
    <w:tbl>
      <w:tblPr>
        <w:tblW w:w="1505" w:type="dxa"/>
        <w:jc w:val="left"/>
        <w:tblInd w:w="0" w:type="dxa"/>
        <w:tblLayout w:type="fixed"/>
        <w:tblCellMar>
          <w:top w:w="0" w:type="dxa"/>
          <w:left w:w="0" w:type="dxa"/>
          <w:bottom w:w="28" w:type="dxa"/>
          <w:right w:w="0" w:type="dxa"/>
        </w:tblCellMar>
      </w:tblPr>
      <w:tblGrid>
        <w:gridCol w:w="75"/>
        <w:gridCol w:w="1430"/>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r>
              <w:rPr>
                <w:rFonts w:ascii="Times New Roman;Times;Serif" w:hAnsi="Times New Roman;Times;Serif"/>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 ______</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tbl>
      <w:tblPr>
        <w:tblW w:w="2075" w:type="dxa"/>
        <w:jc w:val="left"/>
        <w:tblInd w:w="0" w:type="dxa"/>
        <w:tblLayout w:type="fixed"/>
        <w:tblCellMar>
          <w:top w:w="0" w:type="dxa"/>
          <w:left w:w="0" w:type="dxa"/>
          <w:bottom w:w="0" w:type="dxa"/>
          <w:right w:w="0" w:type="dxa"/>
        </w:tblCellMar>
      </w:tblPr>
      <w:tblGrid>
        <w:gridCol w:w="75"/>
        <w:gridCol w:w="1865"/>
        <w:gridCol w:w="60"/>
        <w:gridCol w:w="75"/>
      </w:tblGrid>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2" w:name="tm2415136d1_ex10-3.htm"/>
      <w:bookmarkStart w:id="33" w:name="kstm2415136d1_ex103"/>
      <w:bookmarkEnd w:id="32"/>
      <w:bookmarkEnd w:id="33"/>
      <w:r>
        <w:rPr/>
        <w:t> </w:t>
      </w:r>
      <w:r>
        <w:br w:type="page"/>
      </w:r>
    </w:p>
    <w:p>
      <w:pPr>
        <w:pStyle w:val="TextBody"/>
        <w:bidi w:val="0"/>
        <w:jc w:val="right"/>
        <w:rPr>
          <w:b/>
        </w:rPr>
      </w:pPr>
      <w:r>
        <w:rPr>
          <w:b/>
        </w:rPr>
        <w:t>Exhibit 10.3</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6,787,866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January 30, 2024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May 16, 2024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6,787,866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Times;Serif" w:hAnsi="Times New Roman;Times;Serif"/>
          <w:b/>
          <w:i w:val="false"/>
          <w:caps w:val="false"/>
          <w:smallCaps w:val="false"/>
          <w:sz w:val="20"/>
        </w:rPr>
        <w:t>Forbearance Agreement</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Forbearance Agreement or the Credit Agreement (as defined in the Forbearance Agreement). This Warrant amends, restates and supersedes in its entirety (i) that certain Warrant for 2,375,753 shares of Common Stock issued by the Company to the Holder on January 30, 2024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and (ii) that certain Warrant for 3,801,205 shares of Common Stock issued by the Company to the Holder on March 21, 2024 (the “March 2024 Warrant”).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216" w:right="0" w:firstLine="216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2736"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Times;Serif" w:hAnsi="Times New Roman;Times;Serif"/>
          <w:b/>
          <w:i w:val="false"/>
          <w:caps w:val="false"/>
          <w:smallCaps w:val="false"/>
          <w:sz w:val="20"/>
        </w:rPr>
        <w:t>Forbearance Warrants</w:t>
      </w:r>
      <w:r>
        <w:rPr>
          <w:rFonts w:ascii="Times New Roman;Times;Serif" w:hAnsi="Times New Roman;Times;Serif"/>
          <w:b w:val="false"/>
          <w:i w:val="false"/>
          <w:caps w:val="false"/>
          <w:smallCaps w:val="false"/>
          <w:sz w:val="20"/>
        </w:rPr>
        <w:t>”), together with the total number of shares of Common Stock issuable upon conversion of the Company’s Subordinated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sold by the Company on the date hereof to certain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December 31,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$0.14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$0.40 per share, the March 2024 Warrant had an Applicable Price of $0.25 per share and the amendment and restatement is as of a result of a Dilutive Issuance with a $0.14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0" w:right="0" w:firstLine="2664"/>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xml:space="preserve">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2016"/>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0" w:right="0"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2304"/>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 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4464"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650"/>
        <w:gridCol w:w="303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By:</w:t>
            </w:r>
          </w:p>
        </w:tc>
        <w:tc>
          <w:tcPr>
            <w:tcW w:w="3035" w:type="dxa"/>
            <w:tcBorders>
              <w:bottom w:val="single" w:sz="8" w:space="0" w:color="000000"/>
            </w:tcBorders>
            <w:tcMar>
              <w:bottom w:w="28" w:type="dxa"/>
            </w:tcMar>
            <w:vAlign w:val="center"/>
          </w:tcPr>
          <w:p>
            <w:pPr>
              <w:pStyle w:val="TableContents"/>
              <w:bidi w:val="0"/>
              <w:spacing w:before="0" w:after="283"/>
              <w:jc w:val="both"/>
              <w:rPr/>
            </w:pPr>
            <w:r>
              <w:rPr/>
              <w:t>/s/ Guillaume Lefevre</w:t>
            </w:r>
          </w:p>
        </w:tc>
      </w:tr>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3035" w:type="dxa"/>
            <w:tcBorders/>
            <w:vAlign w:val="center"/>
          </w:tcPr>
          <w:p>
            <w:pPr>
              <w:pStyle w:val="TableContents"/>
              <w:bidi w:val="0"/>
              <w:spacing w:before="0" w:after="283"/>
              <w:jc w:val="both"/>
              <w:rPr/>
            </w:pPr>
            <w:r>
              <w:rPr/>
              <w:t>Guillaume Lefevre</w:t>
            </w:r>
          </w:p>
        </w:tc>
      </w:tr>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3035" w:type="dxa"/>
            <w:tcBorders/>
            <w:vAlign w:val="center"/>
          </w:tcPr>
          <w:p>
            <w:pPr>
              <w:pStyle w:val="TableContents"/>
              <w:bidi w:val="0"/>
              <w:spacing w:before="0" w:after="283"/>
              <w:jc w:val="both"/>
              <w:rPr/>
            </w:pPr>
            <w:r>
              <w:rPr/>
              <w:t>Interim Chief Executive Officer</w:t>
            </w:r>
          </w:p>
        </w:tc>
      </w:tr>
    </w:tbl>
    <w:p>
      <w:pPr>
        <w:pStyle w:val="TextBody"/>
        <w:bidi w:val="0"/>
        <w:spacing w:before="0" w:after="0"/>
        <w:ind w:left="4464"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 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0" w:right="0" w:firstLine="792"/>
        <w:jc w:val="left"/>
        <w:rPr>
          <w:caps w:val="false"/>
          <w:smallCaps w:val="false"/>
        </w:rPr>
      </w:pPr>
      <w:r>
        <w:rPr>
          <w:caps w:val="false"/>
          <w:smallCaps w:val="false"/>
        </w:rPr>
        <w:t> </w:t>
      </w:r>
    </w:p>
    <w:p>
      <w:pPr>
        <w:pStyle w:val="TextBody"/>
        <w:bidi w:val="0"/>
        <w:spacing w:before="0" w:after="0"/>
        <w:ind w:left="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5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and/or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 Warrant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 Warrant Shares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tbl>
      <w:tblPr>
        <w:tblW w:w="3715" w:type="dxa"/>
        <w:jc w:val="left"/>
        <w:tblInd w:w="0" w:type="dxa"/>
        <w:tblLayout w:type="fixed"/>
        <w:tblCellMar>
          <w:top w:w="0" w:type="dxa"/>
          <w:left w:w="0" w:type="dxa"/>
          <w:bottom w:w="28" w:type="dxa"/>
          <w:right w:w="0" w:type="dxa"/>
        </w:tblCellMar>
      </w:tblPr>
      <w:tblGrid>
        <w:gridCol w:w="75"/>
        <w:gridCol w:w="1925"/>
        <w:gridCol w:w="1640"/>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r>
              <w:rPr/>
              <w:t>Electronic Delivery</w:t>
            </w:r>
          </w:p>
        </w:tc>
        <w:tc>
          <w:tcPr>
            <w:tcW w:w="1640" w:type="dxa"/>
            <w:tcBorders/>
            <w:tcMar>
              <w:bottom w:w="0" w:type="dxa"/>
            </w:tcMar>
            <w:vAlign w:val="center"/>
          </w:tcPr>
          <w:p>
            <w:pPr>
              <w:pStyle w:val="TableContents"/>
              <w:bidi w:val="0"/>
              <w:spacing w:before="0" w:after="283"/>
              <w:jc w:val="left"/>
              <w:rPr/>
            </w:pPr>
            <w:r>
              <w:rPr/>
              <w:t>DTC Participant:</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DTC Number:</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 Name</w:t>
            </w:r>
            <w:r>
              <w:rPr>
                <w:rFonts w:ascii="Times New Roman;Times;Serif" w:hAnsi="Times New Roman;Times;Serif"/>
                <w:sz w:val="20"/>
                <w:u w:val="single"/>
              </w:rPr>
              <w:t>:</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 Number:</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Physical Delivery</w:t>
            </w:r>
          </w:p>
        </w:tc>
        <w:tc>
          <w:tcPr>
            <w:tcW w:w="1640" w:type="dxa"/>
            <w:tcBorders/>
            <w:tcMar>
              <w:bottom w:w="0" w:type="dxa"/>
            </w:tcMar>
            <w:vAlign w:val="center"/>
          </w:tcPr>
          <w:p>
            <w:pPr>
              <w:pStyle w:val="TableContents"/>
              <w:bidi w:val="0"/>
              <w:spacing w:before="0" w:after="283"/>
              <w:jc w:val="left"/>
              <w:rPr/>
            </w:pPr>
            <w:r>
              <w:rPr/>
              <w:t>Address:</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 __, ______</w:t>
      </w:r>
    </w:p>
    <w:p>
      <w:pPr>
        <w:pStyle w:val="TextBody"/>
        <w:bidi w:val="0"/>
        <w:spacing w:before="0" w:after="0"/>
        <w:ind w:left="144" w:right="0" w:hanging="0"/>
        <w:jc w:val="left"/>
        <w:rPr>
          <w:caps w:val="false"/>
          <w:smallCaps w:val="false"/>
        </w:rPr>
      </w:pPr>
      <w:r>
        <w:rPr>
          <w:caps w:val="false"/>
          <w:smallCaps w:val="false"/>
        </w:rPr>
        <w:t> </w:t>
      </w:r>
    </w:p>
    <w:tbl>
      <w:tblPr>
        <w:tblW w:w="2720" w:type="dxa"/>
        <w:jc w:val="left"/>
        <w:tblInd w:w="0" w:type="dxa"/>
        <w:tblLayout w:type="fixed"/>
        <w:tblCellMar>
          <w:top w:w="0" w:type="dxa"/>
          <w:left w:w="0" w:type="dxa"/>
          <w:bottom w:w="28" w:type="dxa"/>
          <w:right w:w="0" w:type="dxa"/>
        </w:tblCellMar>
      </w:tblPr>
      <w:tblGrid>
        <w:gridCol w:w="2645"/>
        <w:gridCol w:w="75"/>
      </w:tblGrid>
      <w:tr>
        <w:trPr/>
        <w:tc>
          <w:tcPr>
            <w:tcW w:w="2645" w:type="dxa"/>
            <w:tcBorders>
              <w:bottom w:val="single" w:sz="8" w:space="0" w:color="000000"/>
            </w:tcBorders>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645" w:type="dxa"/>
            <w:tcBorders/>
            <w:tcMar>
              <w:bottom w:w="0" w:type="dxa"/>
            </w:tcMar>
            <w:vAlign w:val="center"/>
          </w:tcPr>
          <w:p>
            <w:pPr>
              <w:pStyle w:val="TableContents"/>
              <w:bidi w:val="0"/>
              <w:spacing w:before="0" w:after="283"/>
              <w:jc w:val="both"/>
              <w:rPr/>
            </w:pPr>
            <w:r>
              <w:rPr/>
              <w:t>Name of Registered Holder</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380"/>
        <w:gridCol w:w="710"/>
        <w:gridCol w:w="75"/>
      </w:tblGrid>
      <w:tr>
        <w:trPr/>
        <w:tc>
          <w:tcPr>
            <w:tcW w:w="380" w:type="dxa"/>
            <w:tcBorders/>
            <w:vAlign w:val="center"/>
          </w:tcPr>
          <w:p>
            <w:pPr>
              <w:pStyle w:val="TableContents"/>
              <w:bidi w:val="0"/>
              <w:spacing w:before="0" w:after="283"/>
              <w:jc w:val="left"/>
              <w:rPr/>
            </w:pPr>
            <w:r>
              <w:rPr/>
              <w:t>By:</w:t>
            </w:r>
          </w:p>
        </w:tc>
        <w:tc>
          <w:tcPr>
            <w:tcW w:w="7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both"/>
              <w:rPr/>
            </w:pPr>
            <w:r>
              <w:rPr/>
              <w:t xml:space="preserve">Name: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both"/>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50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pStyle w:val="TextBody"/>
        <w:bidi w:val="0"/>
        <w:spacing w:before="0" w:after="0"/>
        <w:ind w:left="3024"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1480"/>
        <w:gridCol w:w="11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27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0" w:hanging="0"/>
        <w:jc w:val="both"/>
        <w:rPr>
          <w:caps w:val="false"/>
          <w:smallCaps w:val="false"/>
        </w:rPr>
      </w:pPr>
      <w:r>
        <w:rPr>
          <w:caps w:val="false"/>
          <w:smallCaps w:val="false"/>
        </w:rPr>
        <w:t> </w:t>
      </w:r>
    </w:p>
    <w:tbl>
      <w:tblPr>
        <w:tblW w:w="1760" w:type="dxa"/>
        <w:jc w:val="left"/>
        <w:tblInd w:w="0" w:type="dxa"/>
        <w:tblLayout w:type="fixed"/>
        <w:tblCellMar>
          <w:top w:w="0" w:type="dxa"/>
          <w:left w:w="0" w:type="dxa"/>
          <w:bottom w:w="28" w:type="dxa"/>
          <w:right w:w="0" w:type="dxa"/>
        </w:tblCellMar>
      </w:tblPr>
      <w:tblGrid>
        <w:gridCol w:w="75"/>
        <w:gridCol w:w="1685"/>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685" w:type="dxa"/>
            <w:tcBorders/>
            <w:tcMar>
              <w:bottom w:w="0" w:type="dxa"/>
            </w:tcMar>
            <w:vAlign w:val="center"/>
          </w:tcPr>
          <w:p>
            <w:pPr>
              <w:pStyle w:val="TableContents"/>
              <w:bidi w:val="0"/>
              <w:spacing w:before="0" w:after="283"/>
              <w:jc w:val="both"/>
              <w:rPr/>
            </w:pPr>
            <w:r>
              <w:rPr/>
              <w:t> </w:t>
            </w:r>
            <w:r>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5832" w:right="0" w:hanging="0"/>
        <w:jc w:val="left"/>
        <w:rPr>
          <w:caps w:val="false"/>
          <w:smallCaps w:val="false"/>
        </w:rPr>
      </w:pPr>
      <w:r>
        <w:rPr>
          <w:caps w:val="false"/>
          <w:smallCaps w:val="false"/>
        </w:rPr>
        <w:t> </w:t>
      </w:r>
    </w:p>
    <w:p>
      <w:pPr>
        <w:pStyle w:val="TextBody"/>
        <w:bidi w:val="0"/>
        <w:spacing w:before="0" w:after="0"/>
        <w:ind w:left="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 __, ______</w:t>
      </w:r>
    </w:p>
    <w:p>
      <w:pPr>
        <w:pStyle w:val="TextBody"/>
        <w:bidi w:val="0"/>
        <w:spacing w:before="0" w:after="0"/>
        <w:ind w:left="5832"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1865"/>
        <w:gridCol w:w="60"/>
        <w:gridCol w:w="75"/>
      </w:tblGrid>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144" w:right="0" w:hanging="0"/>
        <w:jc w:val="left"/>
        <w:rPr/>
      </w:pPr>
      <w:r>
        <w:rPr/>
        <w:t> </w:t>
      </w:r>
    </w:p>
    <w:p>
      <w:pPr>
        <w:pStyle w:val="TextBody"/>
        <w:bidi w:val="0"/>
        <w:jc w:val="left"/>
        <w:rPr/>
      </w:pPr>
      <w:bookmarkStart w:id="34" w:name="tm2415136d1_ex10-4.htm"/>
      <w:bookmarkStart w:id="35" w:name="kstm2415136d1_ex104"/>
      <w:bookmarkEnd w:id="34"/>
      <w:bookmarkEnd w:id="35"/>
      <w:r>
        <w:rPr/>
        <w:t> </w:t>
      </w:r>
      <w:r>
        <w:br w:type="page"/>
      </w:r>
    </w:p>
    <w:p>
      <w:pPr>
        <w:pStyle w:val="TextBody"/>
        <w:bidi w:val="0"/>
        <w:jc w:val="right"/>
        <w:rPr>
          <w:b/>
        </w:rPr>
      </w:pPr>
      <w:r>
        <w:rPr>
          <w:b/>
        </w:rPr>
        <w:t>Exhibit 10.4</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1,607,918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January 30, 2024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Offshore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1,607,918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Times;Serif" w:hAnsi="Times New Roman;Times;Serif"/>
          <w:b/>
          <w:i w:val="false"/>
          <w:caps w:val="false"/>
          <w:smallCaps w:val="false"/>
          <w:sz w:val="20"/>
        </w:rPr>
        <w:t>Forbearance Agreement</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Forbearance Agreement or the Credit Agreement (as defined in the Forbearance Agreement). This Warrant amends, restates and supersedes in its entirety (i) that certain Warrant for 562,771 shares of Common Stock issued by the Company to the Holder on January 30, 2024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and (ii) that certain Warrant for 900,434 shares of Common Stock issued by the Company to the Holder on March 19, 2024 (the “March 2024 Warrant”).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3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3300"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Times;Serif" w:hAnsi="Times New Roman;Times;Serif"/>
          <w:b/>
          <w:i w:val="false"/>
          <w:caps w:val="false"/>
          <w:smallCaps w:val="false"/>
          <w:sz w:val="20"/>
        </w:rPr>
        <w:t>Forbearance Warrants</w:t>
      </w:r>
      <w:r>
        <w:rPr>
          <w:rFonts w:ascii="Times New Roman;Times;Serif" w:hAnsi="Times New Roman;Times;Serif"/>
          <w:b w:val="false"/>
          <w:i w:val="false"/>
          <w:caps w:val="false"/>
          <w:smallCaps w:val="false"/>
          <w:sz w:val="20"/>
        </w:rPr>
        <w:t>”), together with the total number of shares of Common Stock issuable upon conversion of the Company’s Subordinated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sold by the Company on the date hereof to certain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December 31,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$0.14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$0.40 per share, the March 2024 Warrant had an Applicable Price of $0.25 per share and the amendment and restatement is as of a result of a Dilutive Issuance with a $0.14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2808" w:right="0" w:hanging="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216"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216" w:right="0" w:firstLine="25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216"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0" w:right="0" w:firstLine="2808"/>
        <w:jc w:val="both"/>
        <w:rPr>
          <w:caps w:val="false"/>
          <w:smallCaps w:val="false"/>
        </w:rPr>
      </w:pPr>
      <w:r>
        <w:rPr>
          <w:caps w:val="false"/>
          <w:smallCaps w:val="false"/>
        </w:rPr>
        <w:t> </w:t>
      </w:r>
    </w:p>
    <w:p>
      <w:pPr>
        <w:pStyle w:val="TextBody"/>
        <w:bidi w:val="0"/>
        <w:spacing w:before="0" w:after="0"/>
        <w:ind w:left="0" w:right="0" w:firstLine="2808"/>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80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0" w:right="0" w:firstLine="280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144" w:right="144"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sz w:val="4"/>
                <w:szCs w:val="4"/>
              </w:rPr>
            </w:pPr>
            <w:r>
              <w:rPr>
                <w:sz w:val="4"/>
                <w:szCs w:val="4"/>
              </w:rPr>
            </w:r>
          </w:p>
        </w:tc>
        <w:tc>
          <w:tcPr>
            <w:tcW w:w="3130" w:type="dxa"/>
            <w:gridSpan w:val="2"/>
            <w:tcBorders/>
            <w:vAlign w:val="center"/>
          </w:tcPr>
          <w:p>
            <w:pPr>
              <w:pStyle w:val="TableContents"/>
              <w:bidi w:val="0"/>
              <w:spacing w:before="0" w:after="283"/>
              <w:jc w:val="both"/>
              <w:rPr>
                <w:b/>
                <w:sz w:val="20"/>
              </w:rPr>
            </w:pPr>
            <w:r>
              <w:rPr>
                <w:b/>
                <w:sz w:val="20"/>
              </w:rPr>
              <w:t>PRESTO AUTOMATION INC.</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sz w:val="20"/>
              </w:rPr>
            </w:pPr>
            <w:r>
              <w:rPr>
                <w:sz w:val="20"/>
              </w:rPr>
              <w:t>By:</w:t>
            </w:r>
          </w:p>
        </w:tc>
        <w:tc>
          <w:tcPr>
            <w:tcW w:w="2585" w:type="dxa"/>
            <w:tcBorders>
              <w:bottom w:val="single" w:sz="8" w:space="0" w:color="000000"/>
            </w:tcBorders>
            <w:tcMar>
              <w:bottom w:w="28" w:type="dxa"/>
            </w:tcMar>
            <w:vAlign w:val="center"/>
          </w:tcPr>
          <w:p>
            <w:pPr>
              <w:pStyle w:val="TableContents"/>
              <w:bidi w:val="0"/>
              <w:spacing w:before="0" w:after="283"/>
              <w:jc w:val="both"/>
              <w:rPr>
                <w:sz w:val="20"/>
              </w:rPr>
            </w:pPr>
            <w:r>
              <w:rPr>
                <w:sz w:val="20"/>
              </w:rPr>
              <w:t>/s/ 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sz w:val="20"/>
              </w:rPr>
            </w:pPr>
            <w:r>
              <w:rPr>
                <w:sz w:val="20"/>
              </w:rPr>
              <w:t>Name:</w:t>
            </w:r>
          </w:p>
        </w:tc>
        <w:tc>
          <w:tcPr>
            <w:tcW w:w="2585"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sz w:val="20"/>
              </w:rPr>
            </w:pPr>
            <w:r>
              <w:rPr>
                <w:sz w:val="20"/>
              </w:rPr>
              <w:t>Title:</w:t>
            </w:r>
          </w:p>
        </w:tc>
        <w:tc>
          <w:tcPr>
            <w:tcW w:w="2585"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381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purchase________________</w:t>
        <w:tab/>
        <w:t>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to_________________</w:t>
        <w:tab/>
        <w:t>Warrant Shares;</w:t>
      </w:r>
    </w:p>
    <w:p>
      <w:pPr>
        <w:pStyle w:val="TextBody"/>
        <w:bidi w:val="0"/>
        <w:spacing w:before="0" w:after="0"/>
        <w:ind w:left="3168" w:right="0" w:hanging="0"/>
        <w:jc w:val="left"/>
        <w:rPr>
          <w:caps w:val="false"/>
          <w:smallCaps w:val="false"/>
        </w:rPr>
      </w:pPr>
      <w:r>
        <w:rPr>
          <w:caps w:val="false"/>
          <w:smallCaps w:val="false"/>
        </w:rPr>
        <w:t> </w:t>
      </w:r>
    </w:p>
    <w:p>
      <w:pPr>
        <w:pStyle w:val="TextBody"/>
        <w:bidi w:val="0"/>
        <w:spacing w:before="0" w:after="0"/>
        <w:ind w:left="316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to______________</w:t>
        <w:tab/>
        <w:t>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w:t>
        <w:tab/>
        <w:t>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holder_________________</w:t>
        <w:tab/>
        <w:t>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380"/>
        <w:gridCol w:w="1730"/>
        <w:gridCol w:w="75"/>
      </w:tblGrid>
      <w:tr>
        <w:trPr/>
        <w:tc>
          <w:tcPr>
            <w:tcW w:w="3380" w:type="dxa"/>
            <w:tcBorders/>
            <w:vAlign w:val="center"/>
          </w:tcPr>
          <w:p>
            <w:pPr>
              <w:pStyle w:val="TableContents"/>
              <w:bidi w:val="0"/>
              <w:spacing w:before="0" w:after="283"/>
              <w:jc w:val="left"/>
              <w:rPr/>
            </w:pPr>
            <w:r>
              <w:rPr/>
              <w:t>____________ Electronic Delivery</w:t>
            </w:r>
          </w:p>
        </w:tc>
        <w:tc>
          <w:tcPr>
            <w:tcW w:w="1730" w:type="dxa"/>
            <w:tcBorders/>
            <w:vAlign w:val="center"/>
          </w:tcPr>
          <w:p>
            <w:pPr>
              <w:pStyle w:val="TableContents"/>
              <w:bidi w:val="0"/>
              <w:spacing w:before="0" w:after="283"/>
              <w:jc w:val="both"/>
              <w:rPr/>
            </w:pPr>
            <w:r>
              <w:rPr/>
              <w:t>DTC Participant: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DTC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Name: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____________Physical Delivery</w:t>
            </w:r>
          </w:p>
        </w:tc>
        <w:tc>
          <w:tcPr>
            <w:tcW w:w="1730" w:type="dxa"/>
            <w:tcBorders/>
            <w:vAlign w:val="center"/>
          </w:tcPr>
          <w:p>
            <w:pPr>
              <w:pStyle w:val="TableContents"/>
              <w:bidi w:val="0"/>
              <w:spacing w:before="0" w:after="283"/>
              <w:jc w:val="both"/>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Date:____________ ____, ______</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Name of Registered Holder</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dated_________________</w:t>
        <w:tab/>
        <w:t>from the Company and acknowledged and agreed to by [TRANSFER AGENT].</w:t>
      </w:r>
    </w:p>
    <w:p>
      <w:pPr>
        <w:pStyle w:val="TextBody"/>
        <w:bidi w:val="0"/>
        <w:spacing w:before="0" w:after="0"/>
        <w:ind w:left="144" w:right="144"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2138"/>
        <w:gridCol w:w="1226"/>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both"/>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8" w:type="dxa"/>
            <w:tcBorders/>
            <w:vAlign w:val="center"/>
          </w:tcPr>
          <w:p>
            <w:pPr>
              <w:pStyle w:val="TableContents"/>
              <w:bidi w:val="0"/>
              <w:spacing w:before="0" w:after="283"/>
              <w:jc w:val="both"/>
              <w:rPr/>
            </w:pPr>
            <w:r>
              <w:rPr/>
              <w:t>By:</w:t>
            </w:r>
          </w:p>
        </w:tc>
        <w:tc>
          <w:tcPr>
            <w:tcW w:w="122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Title:</w:t>
            </w:r>
          </w:p>
        </w:tc>
      </w:tr>
    </w:tbl>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295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caps w:val="false"/>
          <w:smallCaps w:val="false"/>
        </w:rPr>
      </w:pPr>
      <w:r>
        <w:rPr>
          <w:caps w:val="false"/>
          <w:smallCaps w:val="false"/>
        </w:rPr>
        <w:t> </w:t>
      </w:r>
    </w:p>
    <w:tbl>
      <w:tblPr>
        <w:tblW w:w="1445" w:type="dxa"/>
        <w:jc w:val="left"/>
        <w:tblInd w:w="0" w:type="dxa"/>
        <w:tblLayout w:type="fixed"/>
        <w:tblCellMar>
          <w:top w:w="0" w:type="dxa"/>
          <w:left w:w="0" w:type="dxa"/>
          <w:bottom w:w="28" w:type="dxa"/>
          <w:right w:w="0" w:type="dxa"/>
        </w:tblCellMar>
      </w:tblPr>
      <w:tblGrid>
        <w:gridCol w:w="75"/>
        <w:gridCol w:w="1370"/>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 ______</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tbl>
      <w:tblPr>
        <w:tblW w:w="2075" w:type="dxa"/>
        <w:jc w:val="left"/>
        <w:tblInd w:w="0" w:type="dxa"/>
        <w:tblLayout w:type="fixed"/>
        <w:tblCellMar>
          <w:top w:w="0" w:type="dxa"/>
          <w:left w:w="0" w:type="dxa"/>
          <w:bottom w:w="0" w:type="dxa"/>
          <w:right w:w="0" w:type="dxa"/>
        </w:tblCellMar>
      </w:tblPr>
      <w:tblGrid>
        <w:gridCol w:w="75"/>
        <w:gridCol w:w="1865"/>
        <w:gridCol w:w="60"/>
        <w:gridCol w:w="75"/>
      </w:tblGrid>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6" w:name="tm2415136d1_ex10-5.htm"/>
      <w:bookmarkStart w:id="37" w:name="kstm2415136d1_ex105"/>
      <w:bookmarkEnd w:id="36"/>
      <w:bookmarkEnd w:id="37"/>
      <w:r>
        <w:rPr/>
        <w:t> </w:t>
      </w:r>
      <w:r>
        <w:br w:type="page"/>
      </w:r>
    </w:p>
    <w:p>
      <w:pPr>
        <w:pStyle w:val="TextBody"/>
        <w:bidi w:val="0"/>
        <w:spacing w:before="0" w:after="0"/>
        <w:ind w:left="0" w:right="0" w:hanging="0"/>
        <w:jc w:val="right"/>
        <w:rPr>
          <w:b/>
          <w:sz w:val="20"/>
        </w:rPr>
      </w:pPr>
      <w:r>
        <w:rPr>
          <w:b/>
          <w:sz w:val="20"/>
        </w:rPr>
        <w:t>Exhibit 10.5</w:t>
      </w:r>
    </w:p>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1,935,746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January 30, 2024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CEOF Holdings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1,935,746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Times;Serif" w:hAnsi="Times New Roman;Times;Serif"/>
          <w:b/>
          <w:i w:val="false"/>
          <w:caps w:val="false"/>
          <w:smallCaps w:val="false"/>
          <w:sz w:val="20"/>
        </w:rPr>
        <w:t>Forbearance Agreement</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Forbearance Agreement or the Credit Agreement (as defined in the Forbearance Agreement). This Warrant amends, restates and supersedes in its entirety (i) that certain Warrant for 677,511 shares of Common Stock issued by the Company to the Holder on January 30, 2024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and (ii) that certain Warrant for 1,084,018 shares of Common Stock issued by the Company to the Holder on March 21, 2024 (the “March 2024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216" w:right="0" w:firstLine="216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31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3312"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144" w:right="144" w:firstLine="2232"/>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Times;Serif" w:hAnsi="Times New Roman;Times;Serif"/>
          <w:b/>
          <w:i w:val="false"/>
          <w:caps w:val="false"/>
          <w:smallCaps w:val="false"/>
          <w:sz w:val="20"/>
        </w:rPr>
        <w:t>Forbearance Warrants</w:t>
      </w:r>
      <w:r>
        <w:rPr>
          <w:rFonts w:ascii="Times New Roman;Times;Serif" w:hAnsi="Times New Roman;Times;Serif"/>
          <w:b w:val="false"/>
          <w:i w:val="false"/>
          <w:caps w:val="false"/>
          <w:smallCaps w:val="false"/>
          <w:sz w:val="20"/>
        </w:rPr>
        <w:t>”), together with the total number of shares of Common Stock issuable upon conversion of the Company’s Subordinated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sold by the Company on the date hereof to certain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December 31,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$0.14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$0.40 per share, the March 2024 Warrant had an Applicable Price of $0.25 per share and the amendment and restatement is as of a result of a Dilutive Issuance with a $0.14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216" w:right="144" w:firstLine="25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216" w:right="144" w:firstLine="2808"/>
        <w:jc w:val="both"/>
        <w:rPr>
          <w:caps w:val="false"/>
          <w:smallCaps w:val="false"/>
        </w:rPr>
      </w:pPr>
      <w:r>
        <w:rPr>
          <w:caps w:val="false"/>
          <w:smallCaps w:val="false"/>
        </w:rPr>
        <w:t> </w:t>
      </w:r>
    </w:p>
    <w:p>
      <w:pPr>
        <w:pStyle w:val="TextBody"/>
        <w:bidi w:val="0"/>
        <w:spacing w:before="0" w:after="0"/>
        <w:ind w:left="216" w:right="144" w:firstLine="2808"/>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216" w:right="144" w:firstLine="280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144" w:right="144" w:firstLine="1512"/>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216" w:right="0" w:firstLine="144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216" w:right="0" w:firstLine="2088"/>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216" w:right="144" w:firstLine="136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216" w:right="144" w:firstLine="216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216" w:right="144" w:firstLine="216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144" w:right="144"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625"/>
        <w:gridCol w:w="2739"/>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sz w:val="20"/>
              </w:rPr>
            </w:pPr>
            <w:r>
              <w:rPr>
                <w:sz w:val="20"/>
              </w:rPr>
              <w:t>By:</w:t>
            </w:r>
          </w:p>
        </w:tc>
        <w:tc>
          <w:tcPr>
            <w:tcW w:w="2739" w:type="dxa"/>
            <w:tcBorders>
              <w:bottom w:val="single" w:sz="8" w:space="0" w:color="000000"/>
            </w:tcBorders>
            <w:tcMar>
              <w:bottom w:w="28" w:type="dxa"/>
            </w:tcMar>
            <w:vAlign w:val="center"/>
          </w:tcPr>
          <w:p>
            <w:pPr>
              <w:pStyle w:val="TableContents"/>
              <w:bidi w:val="0"/>
              <w:spacing w:before="0" w:after="283"/>
              <w:jc w:val="left"/>
              <w:rPr/>
            </w:pPr>
            <w:r>
              <w:rPr/>
              <w:t>/s/ Guillaume Lefevre</w:t>
            </w:r>
          </w:p>
        </w:tc>
      </w:tr>
      <w:tr>
        <w:trPr/>
        <w:tc>
          <w:tcPr>
            <w:tcW w:w="7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sz w:val="20"/>
              </w:rPr>
            </w:pPr>
            <w:r>
              <w:rPr>
                <w:sz w:val="20"/>
              </w:rPr>
              <w:t xml:space="preserve">Name: </w:t>
            </w:r>
          </w:p>
        </w:tc>
        <w:tc>
          <w:tcPr>
            <w:tcW w:w="2739"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sz w:val="20"/>
              </w:rPr>
            </w:pPr>
            <w:r>
              <w:rPr>
                <w:sz w:val="20"/>
              </w:rPr>
              <w:t xml:space="preserve">Title: </w:t>
            </w:r>
          </w:p>
        </w:tc>
        <w:tc>
          <w:tcPr>
            <w:tcW w:w="2739"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January 2024 Warrant (CEOF Holdings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108" w:right="108"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381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purchase________________</w:t>
        <w:tab/>
        <w:t>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r>
        <w:rPr>
          <w:caps w:val="false"/>
          <w:smallCaps w:val="false"/>
          <w:u w:val="single"/>
        </w:rPr>
        <w:t>                           </w:t>
      </w: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to_________________</w:t>
        <w:tab/>
        <w:t>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30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r>
        <w:rPr>
          <w:caps w:val="false"/>
          <w:smallCaps w:val="false"/>
          <w:u w:val="single"/>
        </w:rPr>
        <w:t>                           </w:t>
      </w: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to______________</w:t>
        <w:tab/>
        <w:t>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$__________________</w:t>
        <w:tab/>
        <w:t>to the Company in accordance with the terms of the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holder_____________________</w:t>
        <w:tab/>
        <w:t>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3220" w:type="dxa"/>
        <w:jc w:val="left"/>
        <w:tblInd w:w="0" w:type="dxa"/>
        <w:tblLayout w:type="fixed"/>
        <w:tblCellMar>
          <w:top w:w="0" w:type="dxa"/>
          <w:left w:w="0" w:type="dxa"/>
          <w:bottom w:w="28" w:type="dxa"/>
          <w:right w:w="0" w:type="dxa"/>
        </w:tblCellMar>
      </w:tblPr>
      <w:tblGrid>
        <w:gridCol w:w="75"/>
        <w:gridCol w:w="1610"/>
        <w:gridCol w:w="1460"/>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sz w:val="20"/>
              </w:rPr>
            </w:pPr>
            <w:r>
              <w:rPr>
                <w:sz w:val="20"/>
              </w:rPr>
              <w:t>Electronic Delivery</w:t>
            </w:r>
          </w:p>
        </w:tc>
        <w:tc>
          <w:tcPr>
            <w:tcW w:w="1460" w:type="dxa"/>
            <w:tcBorders/>
            <w:tcMar>
              <w:bottom w:w="0" w:type="dxa"/>
            </w:tcMar>
            <w:vAlign w:val="center"/>
          </w:tcPr>
          <w:p>
            <w:pPr>
              <w:pStyle w:val="TableContents"/>
              <w:bidi w:val="0"/>
              <w:spacing w:before="0" w:after="283"/>
              <w:jc w:val="left"/>
              <w:rPr>
                <w:sz w:val="20"/>
              </w:rPr>
            </w:pPr>
            <w:r>
              <w:rPr>
                <w:sz w:val="20"/>
              </w:rPr>
              <w:t>DTC Participant:</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sz w:val="20"/>
              </w:rPr>
            </w:pPr>
            <w:r>
              <w:rPr>
                <w:sz w:val="20"/>
              </w:rPr>
              <w:t>DTC Number:</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sz w:val="20"/>
              </w:rPr>
            </w:pPr>
            <w:r>
              <w:rPr>
                <w:sz w:val="20"/>
              </w:rPr>
              <w:t>Account Name:</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sz w:val="20"/>
              </w:rPr>
            </w:pPr>
            <w:r>
              <w:rPr>
                <w:sz w:val="20"/>
              </w:rPr>
              <w:t>Account Number:</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sz w:val="20"/>
              </w:rPr>
            </w:pPr>
            <w:r>
              <w:rPr>
                <w:sz w:val="20"/>
              </w:rPr>
              <w:t>Physical Delivery</w:t>
            </w:r>
          </w:p>
        </w:tc>
        <w:tc>
          <w:tcPr>
            <w:tcW w:w="1460" w:type="dxa"/>
            <w:tcBorders/>
            <w:tcMar>
              <w:bottom w:w="0" w:type="dxa"/>
            </w:tcMar>
            <w:vAlign w:val="center"/>
          </w:tcPr>
          <w:p>
            <w:pPr>
              <w:pStyle w:val="TableContents"/>
              <w:bidi w:val="0"/>
              <w:spacing w:before="0" w:after="283"/>
              <w:jc w:val="left"/>
              <w:rPr>
                <w:sz w:val="20"/>
              </w:rPr>
            </w:pPr>
            <w:r>
              <w:rPr>
                <w:sz w:val="20"/>
              </w:rPr>
              <w:t>Address:</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w:t>
        <w:tab/>
        <w:t>__, ______</w:t>
      </w:r>
    </w:p>
    <w:p>
      <w:pPr>
        <w:pStyle w:val="TextBody"/>
        <w:bidi w:val="0"/>
        <w:spacing w:before="0" w:after="0"/>
        <w:ind w:left="144"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28" w:type="dxa"/>
          <w:right w:w="0" w:type="dxa"/>
        </w:tblCellMar>
      </w:tblPr>
      <w:tblGrid>
        <w:gridCol w:w="2630"/>
        <w:gridCol w:w="60"/>
      </w:tblGrid>
      <w:tr>
        <w:trPr/>
        <w:tc>
          <w:tcPr>
            <w:tcW w:w="263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Name of Registered Holder</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380"/>
        <w:gridCol w:w="545"/>
        <w:gridCol w:w="75"/>
      </w:tblGrid>
      <w:tr>
        <w:trPr/>
        <w:tc>
          <w:tcPr>
            <w:tcW w:w="380" w:type="dxa"/>
            <w:tcBorders/>
            <w:vAlign w:val="center"/>
          </w:tcPr>
          <w:p>
            <w:pPr>
              <w:pStyle w:val="TableContents"/>
              <w:bidi w:val="0"/>
              <w:spacing w:before="0" w:after="283"/>
              <w:jc w:val="left"/>
              <w:rPr>
                <w:sz w:val="20"/>
              </w:rPr>
            </w:pPr>
            <w:r>
              <w:rPr>
                <w:sz w:val="20"/>
              </w:rPr>
              <w:t xml:space="preserve">By: </w:t>
            </w:r>
          </w:p>
        </w:tc>
        <w:tc>
          <w:tcPr>
            <w:tcW w:w="54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 w:right="14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dated_________________</w:t>
        <w:tab/>
        <w:t>from the Company and acknowledged and agreed to by [TRANSFER AGENT].</w:t>
      </w:r>
    </w:p>
    <w:p>
      <w:pPr>
        <w:pStyle w:val="TextBody"/>
        <w:bidi w:val="0"/>
        <w:spacing w:before="0" w:after="0"/>
        <w:ind w:left="144" w:right="144" w:hanging="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2182"/>
        <w:gridCol w:w="1182"/>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sz w:val="20"/>
              </w:rPr>
            </w:pPr>
            <w:r>
              <w:rPr>
                <w:sz w:val="20"/>
              </w:rPr>
              <w:t>By:</w:t>
            </w:r>
          </w:p>
        </w:tc>
        <w:tc>
          <w:tcPr>
            <w:tcW w:w="118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sz w:val="20"/>
              </w:rPr>
            </w:pPr>
            <w:r>
              <w:rPr>
                <w:sz w:val="20"/>
              </w:rPr>
              <w:t xml:space="preserve">Name: </w:t>
            </w:r>
          </w:p>
        </w:tc>
        <w:tc>
          <w:tcPr>
            <w:tcW w:w="1182"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sz w:val="20"/>
              </w:rPr>
            </w:pPr>
            <w:r>
              <w:rPr>
                <w:sz w:val="20"/>
              </w:rPr>
              <w:t xml:space="preserve">Title: </w:t>
            </w:r>
          </w:p>
        </w:tc>
        <w:tc>
          <w:tcPr>
            <w:tcW w:w="118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caps w:val="false"/>
          <w:smallCaps w:val="false"/>
        </w:rPr>
      </w:pPr>
      <w:r>
        <w:rPr>
          <w:caps w:val="false"/>
          <w:smallCaps w:val="false"/>
        </w:rPr>
        <w:t> </w:t>
      </w:r>
    </w:p>
    <w:tbl>
      <w:tblPr>
        <w:tblW w:w="1730" w:type="dxa"/>
        <w:jc w:val="left"/>
        <w:tblInd w:w="0" w:type="dxa"/>
        <w:tblLayout w:type="fixed"/>
        <w:tblCellMar>
          <w:top w:w="0" w:type="dxa"/>
          <w:left w:w="0" w:type="dxa"/>
          <w:bottom w:w="28" w:type="dxa"/>
          <w:right w:w="0" w:type="dxa"/>
        </w:tblCellMar>
      </w:tblPr>
      <w:tblGrid>
        <w:gridCol w:w="60"/>
        <w:gridCol w:w="1670"/>
      </w:tblGrid>
      <w:tr>
        <w:trPr/>
        <w:tc>
          <w:tcPr>
            <w:tcW w:w="60"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p>
        </w:tc>
        <w:tc>
          <w:tcPr>
            <w:tcW w:w="1670" w:type="dxa"/>
            <w:tcBorders/>
            <w:tcMar>
              <w:bottom w:w="0" w:type="dxa"/>
            </w:tcMar>
            <w:vAlign w:val="center"/>
          </w:tcPr>
          <w:p>
            <w:pPr>
              <w:pStyle w:val="TableContents"/>
              <w:bidi w:val="0"/>
              <w:spacing w:before="0" w:after="283"/>
              <w:jc w:val="left"/>
              <w:rPr/>
            </w:pPr>
            <w:r>
              <w:rPr/>
              <w:t> </w:t>
            </w:r>
            <w:r>
              <w:rPr/>
              <w:t>whose address is</w:t>
            </w:r>
          </w:p>
        </w:tc>
      </w:tr>
      <w:tr>
        <w:trPr/>
        <w:tc>
          <w:tcPr>
            <w:tcW w:w="60" w:type="dxa"/>
            <w:tcBorders>
              <w:bottom w:val="single" w:sz="8" w:space="0" w:color="000000"/>
            </w:tcBorders>
            <w:vAlign w:val="center"/>
          </w:tcPr>
          <w:p>
            <w:pPr>
              <w:pStyle w:val="TableContents"/>
              <w:bidi w:val="0"/>
              <w:spacing w:before="0" w:after="283"/>
              <w:ind w:left="0" w:right="0" w:hanging="0"/>
              <w:jc w:val="left"/>
              <w:rPr/>
            </w:pPr>
            <w:r>
              <w:rPr/>
              <w:t> </w:t>
            </w:r>
          </w:p>
        </w:tc>
        <w:tc>
          <w:tcPr>
            <w:tcW w:w="1670" w:type="dxa"/>
            <w:tcBorders/>
            <w:tcMar>
              <w:bottom w:w="0" w:type="dxa"/>
            </w:tcMar>
            <w:vAlign w:val="center"/>
          </w:tcPr>
          <w:p>
            <w:pPr>
              <w:pStyle w:val="TableContents"/>
              <w:bidi w:val="0"/>
              <w:spacing w:before="0" w:after="283"/>
              <w:ind w:left="0" w:right="0" w:hanging="0"/>
              <w:jc w:val="left"/>
              <w:rPr/>
            </w:pPr>
            <w:r>
              <w:rPr/>
              <w:t> </w:t>
            </w:r>
          </w:p>
        </w:tc>
      </w:tr>
      <w:tr>
        <w:trPr/>
        <w:tc>
          <w:tcPr>
            <w:tcW w:w="60" w:type="dxa"/>
            <w:tcBorders>
              <w:bottom w:val="single" w:sz="8" w:space="0" w:color="000000"/>
            </w:tcBorders>
            <w:vAlign w:val="center"/>
          </w:tcPr>
          <w:p>
            <w:pPr>
              <w:pStyle w:val="TableContents"/>
              <w:bidi w:val="0"/>
              <w:spacing w:before="0" w:after="283"/>
              <w:ind w:left="0" w:right="0" w:hanging="0"/>
              <w:jc w:val="left"/>
              <w:rPr/>
            </w:pPr>
            <w:r>
              <w:rPr/>
              <w:t> </w:t>
            </w:r>
          </w:p>
        </w:tc>
        <w:tc>
          <w:tcPr>
            <w:tcW w:w="16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344" w:right="0" w:hanging="0"/>
        <w:jc w:val="left"/>
        <w:rPr>
          <w:caps w:val="false"/>
          <w:smallCaps w:val="false"/>
        </w:rPr>
      </w:pPr>
      <w:r>
        <w:rPr>
          <w:caps w:val="false"/>
          <w:smallCaps w:val="false"/>
        </w:rPr>
        <w:t> </w:t>
      </w:r>
    </w:p>
    <w:p>
      <w:pPr>
        <w:pStyle w:val="TextBody"/>
        <w:bidi w:val="0"/>
        <w:spacing w:before="0" w:after="0"/>
        <w:ind w:left="864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 ______</w:t>
      </w:r>
    </w:p>
    <w:p>
      <w:pPr>
        <w:pStyle w:val="TextBody"/>
        <w:bidi w:val="0"/>
        <w:spacing w:before="0" w:after="0"/>
        <w:ind w:left="5832"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60"/>
        <w:gridCol w:w="1865"/>
        <w:gridCol w:w="60"/>
        <w:gridCol w:w="60"/>
      </w:tblGrid>
      <w:tr>
        <w:trPr/>
        <w:tc>
          <w:tcPr>
            <w:tcW w:w="60" w:type="dxa"/>
            <w:tcBorders/>
            <w:vAlign w:val="center"/>
          </w:tcPr>
          <w:p>
            <w:pPr>
              <w:pStyle w:val="TableContents"/>
              <w:bidi w:val="0"/>
              <w:spacing w:before="0" w:after="283"/>
              <w:ind w:left="0" w:right="0" w:hanging="0"/>
              <w:jc w:val="left"/>
              <w:rPr/>
            </w:pPr>
            <w:r>
              <w:rPr/>
              <w:t> </w:t>
            </w:r>
          </w:p>
        </w:tc>
        <w:tc>
          <w:tcPr>
            <w:tcW w:w="1865" w:type="dxa"/>
            <w:tcBorders/>
            <w:vAlign w:val="center"/>
          </w:tcPr>
          <w:p>
            <w:pPr>
              <w:pStyle w:val="TableContents"/>
              <w:bidi w:val="0"/>
              <w:spacing w:before="0" w:after="283"/>
              <w:ind w:left="0" w:right="0" w:hanging="0"/>
              <w:jc w:val="left"/>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865" w:type="dxa"/>
            <w:tcBorders/>
            <w:vAlign w:val="center"/>
          </w:tcPr>
          <w:p>
            <w:pPr>
              <w:pStyle w:val="TableContents"/>
              <w:bidi w:val="0"/>
              <w:spacing w:before="0" w:after="283"/>
              <w:ind w:left="0" w:right="0" w:hanging="0"/>
              <w:jc w:val="left"/>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865" w:type="dxa"/>
            <w:tcBorders/>
            <w:vAlign w:val="center"/>
          </w:tcPr>
          <w:p>
            <w:pPr>
              <w:pStyle w:val="TableContents"/>
              <w:bidi w:val="0"/>
              <w:spacing w:before="0" w:after="283"/>
              <w:ind w:left="0" w:right="0" w:hanging="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8" w:name="tm2415136d1_ex10-6.htm"/>
      <w:bookmarkStart w:id="39" w:name="kstm2415136d1_ex106"/>
      <w:bookmarkEnd w:id="38"/>
      <w:bookmarkEnd w:id="39"/>
      <w:r>
        <w:rPr/>
        <w:t> </w:t>
      </w:r>
      <w:r>
        <w:br w:type="page"/>
      </w:r>
    </w:p>
    <w:p>
      <w:pPr>
        <w:pStyle w:val="TextBody"/>
        <w:bidi w:val="0"/>
        <w:spacing w:before="0" w:after="0"/>
        <w:ind w:left="0" w:right="0" w:hanging="0"/>
        <w:jc w:val="right"/>
        <w:rPr>
          <w:b/>
        </w:rPr>
      </w:pPr>
      <w:r>
        <w:rPr>
          <w:b/>
        </w:rPr>
        <w:t>Exhibit 10.6</w:t>
      </w:r>
    </w:p>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13,744,286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October 16, 2023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May 16, 2024</w:t>
      </w:r>
    </w:p>
    <w:p>
      <w:pPr>
        <w:pStyle w:val="TextBody"/>
        <w:bidi w:val="0"/>
        <w:spacing w:before="0" w:after="0"/>
        <w:ind w:left="360" w:right="36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Levered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13,744,286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Amended and Restated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and to Section 7 of that certain Third Amended and Restated Fee Letter, dated October 10, 2023, among E La Carte, LLC, the Company and Metropolitan Partners Group Administration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Credit Agreement (as defined in the Fee Letter). This Warrant amends, restates and supersedes in its entirety (i) that certain Warrant for 962,100 shares of Common Stock issued by the Company to the Holder on October 16, 2023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(ii)that certain Warrant for 1,924,200 shares of Common Stock issued by the Company to the Holder on November 21, 2023 (the “</w:t>
      </w:r>
      <w:r>
        <w:rPr>
          <w:rFonts w:ascii="Times New Roman;Times;Serif" w:hAnsi="Times New Roman;Times;Serif"/>
          <w:b/>
          <w:i w:val="false"/>
          <w:caps w:val="false"/>
          <w:smallCaps w:val="false"/>
          <w:sz w:val="20"/>
        </w:rPr>
        <w:t>November 2023 Warrant</w:t>
      </w:r>
      <w:r>
        <w:rPr>
          <w:rFonts w:ascii="Times New Roman;Times;Serif" w:hAnsi="Times New Roman;Times;Serif"/>
          <w:b w:val="false"/>
          <w:i w:val="false"/>
          <w:caps w:val="false"/>
          <w:smallCaps w:val="false"/>
          <w:sz w:val="20"/>
        </w:rPr>
        <w:t>”), (iii) that certain Warrant for 4,810,500 shares of Common Stock issued by the Company to the Holder on January 30, 2024 (the “</w:t>
      </w:r>
      <w:r>
        <w:rPr>
          <w:rFonts w:ascii="Times New Roman;Times;Serif" w:hAnsi="Times New Roman;Times;Serif"/>
          <w:b/>
          <w:i w:val="false"/>
          <w:caps w:val="false"/>
          <w:smallCaps w:val="false"/>
          <w:sz w:val="20"/>
        </w:rPr>
        <w:t>January 2024 Warrant</w:t>
      </w:r>
      <w:r>
        <w:rPr>
          <w:rFonts w:ascii="Times New Roman;Times;Serif" w:hAnsi="Times New Roman;Times;Serif"/>
          <w:b w:val="false"/>
          <w:i w:val="false"/>
          <w:caps w:val="false"/>
          <w:smallCaps w:val="false"/>
          <w:sz w:val="20"/>
        </w:rPr>
        <w:t>”), and (iv) that certain Warrant for 7,696,800 shares of Common Stock issued by the Company to the Holder on March 21, 2024 (the “March 2024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168"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144" w:hanging="0"/>
        <w:jc w:val="both"/>
        <w:rPr>
          <w:caps w:val="false"/>
          <w:smallCaps w:val="false"/>
        </w:rPr>
      </w:pPr>
      <w:r>
        <w:rPr>
          <w:caps w:val="false"/>
          <w:smallCaps w:val="false"/>
        </w:rPr>
        <w:t> </w:t>
      </w:r>
    </w:p>
    <w:p>
      <w:pPr>
        <w:pStyle w:val="TextBody"/>
        <w:bidi w:val="0"/>
        <w:spacing w:before="0" w:after="0"/>
        <w:ind w:left="158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144" w:hanging="0"/>
        <w:jc w:val="both"/>
        <w:rPr>
          <w:caps w:val="false"/>
          <w:smallCaps w:val="false"/>
        </w:rPr>
      </w:pPr>
      <w:r>
        <w:rPr>
          <w:caps w:val="false"/>
          <w:smallCaps w:val="false"/>
        </w:rPr>
        <w:t> </w:t>
      </w:r>
    </w:p>
    <w:p>
      <w:pPr>
        <w:pStyle w:val="TextBody"/>
        <w:bidi w:val="0"/>
        <w:spacing w:before="0" w:after="0"/>
        <w:ind w:left="158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Times;Serif" w:hAnsi="Times New Roman;Times;Serif"/>
          <w:b/>
          <w:i w:val="false"/>
          <w:caps w:val="false"/>
          <w:smallCaps w:val="false"/>
          <w:sz w:val="20"/>
        </w:rPr>
        <w:t>Third Amendment Warrants</w:t>
      </w:r>
      <w:r>
        <w:rPr>
          <w:rFonts w:ascii="Times New Roman;Times;Serif" w:hAnsi="Times New Roman;Times;Serif"/>
          <w:b w:val="false"/>
          <w:i w:val="false"/>
          <w:caps w:val="false"/>
          <w:smallCaps w:val="false"/>
          <w:sz w:val="20"/>
        </w:rPr>
        <w:t>”), together with the total number of shares of Common Stock issued pursuant to Section 4.11 of the stock purchase agreement, dated October 10, 2023 (the “</w:t>
      </w:r>
      <w:r>
        <w:rPr>
          <w:rFonts w:ascii="Times New Roman;Times;Serif" w:hAnsi="Times New Roman;Times;Serif"/>
          <w:b/>
          <w:i w:val="false"/>
          <w:caps w:val="false"/>
          <w:smallCaps w:val="false"/>
          <w:sz w:val="20"/>
        </w:rPr>
        <w:t>Cleveland Avenue Purchase Agreement</w:t>
      </w:r>
      <w:r>
        <w:rPr>
          <w:rFonts w:ascii="Times New Roman;Times;Serif" w:hAnsi="Times New Roman;Times;Serif"/>
          <w:b w:val="false"/>
          <w:i w:val="false"/>
          <w:caps w:val="false"/>
          <w:smallCaps w:val="false"/>
          <w:sz w:val="20"/>
        </w:rPr>
        <w:t>”), by and between the Company and Presto CA LLC (“</w:t>
      </w:r>
      <w:r>
        <w:rPr>
          <w:rFonts w:ascii="Times New Roman;Times;Serif" w:hAnsi="Times New Roman;Times;Serif"/>
          <w:b/>
          <w:i w:val="false"/>
          <w:caps w:val="false"/>
          <w:smallCaps w:val="false"/>
          <w:sz w:val="20"/>
        </w:rPr>
        <w:t>Cleveland Avenue</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ind w:left="2304"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December 31,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$0.14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the January 2024 Warrant had an Applicable Price of $0.40 per share, the March 2024 Warrant had an Applicable Price of $0.25 per share and the amendment and restatement is as of a result of a Dilutive Issuance with a $0.14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44" w:right="144" w:firstLine="259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144" w:right="144"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0" w:right="0"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144" w:right="144" w:firstLine="2592"/>
        <w:jc w:val="both"/>
        <w:rPr>
          <w:caps w:val="false"/>
          <w:smallCaps w:val="false"/>
        </w:rPr>
      </w:pPr>
      <w:r>
        <w:rPr>
          <w:caps w:val="false"/>
          <w:smallCaps w:val="false"/>
        </w:rPr>
        <w:t> </w:t>
      </w:r>
    </w:p>
    <w:p>
      <w:pPr>
        <w:pStyle w:val="TextBody"/>
        <w:bidi w:val="0"/>
        <w:spacing w:before="0" w:after="0"/>
        <w:ind w:left="144" w:right="144" w:firstLine="259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144" w:right="144"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0" w:right="0"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216" w:right="144"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216" w:right="144" w:firstLine="259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216" w:right="144" w:firstLine="2592"/>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144" w:right="144"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144" w:right="144"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144" w:right="144"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144" w:right="144" w:firstLine="1512"/>
        <w:jc w:val="both"/>
        <w:rPr>
          <w:caps w:val="false"/>
          <w:smallCaps w:val="false"/>
        </w:rPr>
      </w:pPr>
      <w:r>
        <w:rPr>
          <w:caps w:val="false"/>
          <w:smallCaps w:val="false"/>
        </w:rPr>
        <w:t> </w:t>
      </w:r>
    </w:p>
    <w:p>
      <w:pPr>
        <w:pStyle w:val="TextBody"/>
        <w:bidi w:val="0"/>
        <w:spacing w:before="0" w:after="0"/>
        <w:ind w:left="144" w:right="144" w:firstLine="151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144" w:right="144"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144" w:right="144"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144"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144" w:right="14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144" w:right="0" w:firstLine="2160"/>
        <w:jc w:val="left"/>
        <w:rPr>
          <w:caps w:val="false"/>
          <w:smallCaps w:val="false"/>
        </w:rPr>
      </w:pPr>
      <w:r>
        <w:rPr>
          <w:caps w:val="false"/>
          <w:smallCaps w:val="false"/>
        </w:rPr>
        <w:t> </w:t>
      </w:r>
    </w:p>
    <w:p>
      <w:pPr>
        <w:pStyle w:val="TextBody"/>
        <w:bidi w:val="0"/>
        <w:spacing w:before="0" w:after="0"/>
        <w:ind w:left="144"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144"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4680" w:right="1008" w:hanging="2376"/>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4680" w:right="1008" w:hanging="2376"/>
        <w:jc w:val="left"/>
        <w:rPr>
          <w:caps w:val="false"/>
          <w:smallCaps w:val="false"/>
        </w:rPr>
      </w:pPr>
      <w:r>
        <w:rPr>
          <w:caps w:val="false"/>
          <w:smallCaps w:val="false"/>
        </w:rPr>
        <w:t> </w:t>
      </w:r>
    </w:p>
    <w:p>
      <w:pPr>
        <w:pStyle w:val="TextBody"/>
        <w:bidi w:val="0"/>
        <w:spacing w:before="0" w:after="0"/>
        <w:ind w:left="4680" w:right="1008" w:hanging="2376"/>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4680" w:right="1008" w:hanging="2376"/>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144" w:right="216"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144" w:right="216"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144" w:right="216"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C2C2C"/>
          <w:sz w:val="20"/>
        </w:rPr>
      </w:pPr>
      <w:r>
        <w:rPr>
          <w:rFonts w:ascii="Times New Roman;Times;Serif" w:hAnsi="Times New Roman;Times;Serif"/>
          <w:b/>
          <w:i w:val="false"/>
          <w:caps w:val="false"/>
          <w:smallCaps w:val="false"/>
          <w:color w:val="2C2C2C"/>
          <w:sz w:val="20"/>
        </w:rPr>
        <w:t xml:space="preserve">IN WITNESS WHEREOF, </w:t>
      </w:r>
      <w:r>
        <w:rPr>
          <w:rFonts w:ascii="Times New Roman;Times;Serif" w:hAnsi="Times New Roman;Times;Serif"/>
          <w:b w:val="false"/>
          <w:i w:val="false"/>
          <w:caps w:val="false"/>
          <w:smallCaps w:val="false"/>
          <w:color w:val="2C2C2C"/>
          <w:sz w:val="20"/>
        </w:rPr>
        <w:t>the Company has caused this Amended and Restated Warrant to Purchase Common Stock to be duly executed as of the Issuance Date set out above.</w:t>
      </w:r>
    </w:p>
    <w:p>
      <w:pPr>
        <w:pStyle w:val="TextBody"/>
        <w:bidi w:val="0"/>
        <w:spacing w:before="0" w:after="0"/>
        <w:ind w:left="0" w:right="0" w:firstLine="720"/>
        <w:jc w:val="left"/>
        <w:rPr>
          <w:caps w:val="false"/>
          <w:smallCaps w:val="false"/>
          <w:color w:val="2C2C2C"/>
        </w:rPr>
      </w:pPr>
      <w:r>
        <w:rPr>
          <w:caps w:val="false"/>
          <w:smallCaps w:val="false"/>
          <w:color w:val="2C2C2C"/>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5"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spacing w:before="0" w:after="0"/>
        <w:ind w:left="5400" w:right="0" w:hanging="0"/>
        <w:jc w:val="left"/>
        <w:rPr>
          <w:caps w:val="false"/>
          <w:smallCaps w:val="false"/>
          <w:color w:val="2C2C2C"/>
        </w:rPr>
      </w:pPr>
      <w:r>
        <w:rPr>
          <w:caps w:val="false"/>
          <w:smallCaps w:val="false"/>
          <w:color w:val="2C2C2C"/>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 w:right="108" w:hanging="0"/>
        <w:jc w:val="right"/>
        <w:rPr>
          <w:caps w:val="false"/>
          <w:smallCaps w:val="false"/>
        </w:rPr>
      </w:pPr>
      <w:r>
        <w:rPr>
          <w:caps w:val="false"/>
          <w:smallCaps w:val="false"/>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 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Amended and Restated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144"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 and/or</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 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 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_________________ 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380"/>
        <w:gridCol w:w="1730"/>
        <w:gridCol w:w="75"/>
      </w:tblGrid>
      <w:tr>
        <w:trPr/>
        <w:tc>
          <w:tcPr>
            <w:tcW w:w="3380" w:type="dxa"/>
            <w:tcBorders/>
            <w:vAlign w:val="center"/>
          </w:tcPr>
          <w:p>
            <w:pPr>
              <w:pStyle w:val="TableContents"/>
              <w:bidi w:val="0"/>
              <w:spacing w:before="0" w:after="283"/>
              <w:jc w:val="left"/>
              <w:rPr/>
            </w:pPr>
            <w:r>
              <w:rPr/>
              <w:t>____________ Electronic Delivery</w:t>
            </w:r>
          </w:p>
        </w:tc>
        <w:tc>
          <w:tcPr>
            <w:tcW w:w="1730" w:type="dxa"/>
            <w:tcBorders/>
            <w:vAlign w:val="center"/>
          </w:tcPr>
          <w:p>
            <w:pPr>
              <w:pStyle w:val="TableContents"/>
              <w:bidi w:val="0"/>
              <w:spacing w:before="0" w:after="283"/>
              <w:jc w:val="both"/>
              <w:rPr/>
            </w:pPr>
            <w:r>
              <w:rPr/>
              <w:t>DTC Participant: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DTC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Name: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____________ Physical Delivery</w:t>
            </w:r>
          </w:p>
        </w:tc>
        <w:tc>
          <w:tcPr>
            <w:tcW w:w="1730" w:type="dxa"/>
            <w:tcBorders/>
            <w:vAlign w:val="center"/>
          </w:tcPr>
          <w:p>
            <w:pPr>
              <w:pStyle w:val="TableContents"/>
              <w:bidi w:val="0"/>
              <w:spacing w:before="0" w:after="283"/>
              <w:jc w:val="both"/>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Date:____________ ____, ______</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Name of Registered Holder</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dated_________________</w:t>
        <w:tab/>
        <w:t>from the Company and acknowledged and agreed to by [TRANSFER AGENT].</w:t>
      </w:r>
    </w:p>
    <w:p>
      <w:pPr>
        <w:pStyle w:val="TextBody"/>
        <w:bidi w:val="0"/>
        <w:spacing w:before="0" w:after="0"/>
        <w:ind w:left="144" w:right="144"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2182"/>
        <w:gridCol w:w="1182"/>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both"/>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both"/>
              <w:rPr/>
            </w:pPr>
            <w:r>
              <w:rPr/>
              <w:t>By:</w:t>
            </w:r>
          </w:p>
        </w:tc>
        <w:tc>
          <w:tcPr>
            <w:tcW w:w="1182"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Title:</w:t>
            </w:r>
          </w:p>
        </w:tc>
      </w:tr>
    </w:tbl>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caps w:val="false"/>
          <w:smallCaps w:val="false"/>
        </w:rPr>
      </w:pPr>
      <w:r>
        <w:rPr>
          <w:caps w:val="false"/>
          <w:smallCaps w:val="false"/>
        </w:rPr>
        <w:t> </w:t>
      </w:r>
    </w:p>
    <w:tbl>
      <w:tblPr>
        <w:tblW w:w="1505" w:type="dxa"/>
        <w:jc w:val="left"/>
        <w:tblInd w:w="0" w:type="dxa"/>
        <w:tblLayout w:type="fixed"/>
        <w:tblCellMar>
          <w:top w:w="0" w:type="dxa"/>
          <w:left w:w="0" w:type="dxa"/>
          <w:bottom w:w="28" w:type="dxa"/>
          <w:right w:w="0" w:type="dxa"/>
        </w:tblCellMar>
      </w:tblPr>
      <w:tblGrid>
        <w:gridCol w:w="75"/>
        <w:gridCol w:w="1430"/>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r>
              <w:rPr>
                <w:rFonts w:ascii="Times New Roman;Times;Serif" w:hAnsi="Times New Roman;Times;Serif"/>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 ______</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tbl>
      <w:tblPr>
        <w:tblW w:w="1955" w:type="dxa"/>
        <w:jc w:val="center"/>
        <w:tblInd w:w="0" w:type="dxa"/>
        <w:tblLayout w:type="fixed"/>
        <w:tblCellMar>
          <w:top w:w="0" w:type="dxa"/>
          <w:left w:w="0" w:type="dxa"/>
          <w:bottom w:w="0" w:type="dxa"/>
          <w:right w:w="0" w:type="dxa"/>
        </w:tblCellMar>
      </w:tblPr>
      <w:tblGrid>
        <w:gridCol w:w="1880"/>
        <w:gridCol w:w="75"/>
      </w:tblGrid>
      <w:tr>
        <w:trPr/>
        <w:tc>
          <w:tcPr>
            <w:tcW w:w="1880" w:type="dxa"/>
            <w:tcBorders/>
            <w:vAlign w:val="center"/>
          </w:tcPr>
          <w:p>
            <w:pPr>
              <w:pStyle w:val="TableContents"/>
              <w:bidi w:val="0"/>
              <w:spacing w:before="0" w:after="283"/>
              <w:jc w:val="left"/>
              <w:rPr/>
            </w:pPr>
            <w:r>
              <w:rPr/>
              <w:t>Holder’s Signature: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880" w:type="dxa"/>
            <w:tcBorders/>
            <w:vAlign w:val="center"/>
          </w:tcPr>
          <w:p>
            <w:pPr>
              <w:pStyle w:val="TableContents"/>
              <w:bidi w:val="0"/>
              <w:spacing w:before="0" w:after="283"/>
              <w:jc w:val="left"/>
              <w:rPr/>
            </w:pPr>
            <w:r>
              <w:rPr/>
              <w:t>Holder’s 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88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0" w:name="tm2415136d1_ex10-7.htm"/>
      <w:bookmarkStart w:id="41" w:name="kstm2415136d1_ex107"/>
      <w:bookmarkEnd w:id="40"/>
      <w:bookmarkEnd w:id="41"/>
      <w:r>
        <w:rPr/>
        <w:t> </w:t>
      </w:r>
      <w:r>
        <w:br w:type="page"/>
      </w:r>
    </w:p>
    <w:p>
      <w:pPr>
        <w:pStyle w:val="TextBody"/>
        <w:bidi w:val="0"/>
        <w:jc w:val="right"/>
        <w:rPr>
          <w:b/>
        </w:rPr>
      </w:pPr>
      <w:r>
        <w:rPr>
          <w:b/>
        </w:rPr>
        <w:t>Exhibit 10.7</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w:t>
      </w:r>
    </w:p>
    <w:p>
      <w:pPr>
        <w:pStyle w:val="TextBody"/>
        <w:bidi w:val="0"/>
        <w:jc w:val="center"/>
        <w:rPr>
          <w:rFonts w:ascii="Times New Roman;Times;Serif" w:hAnsi="Times New Roman;Times;Serif"/>
          <w:b w:val="false"/>
          <w:i w:val="false"/>
          <w:smallCaps/>
          <w:sz w:val="20"/>
        </w:rPr>
      </w:pPr>
      <w:r>
        <w:rPr>
          <w:rFonts w:ascii="Times New Roman;Times;Serif" w:hAnsi="Times New Roman;Times;Serif"/>
          <w:b/>
          <w:i w:val="false"/>
          <w:caps/>
          <w:sz w:val="20"/>
        </w:rPr>
        <w:t>W</w:t>
      </w:r>
      <w:r>
        <w:rPr>
          <w:rFonts w:ascii="Times New Roman;Times;Serif" w:hAnsi="Times New Roman;Times;Serif"/>
          <w:b/>
          <w:i w:val="false"/>
          <w:smallCaps/>
          <w:sz w:val="20"/>
        </w:rPr>
        <w:t xml:space="preserve">arrant </w:t>
      </w:r>
      <w:r>
        <w:rPr>
          <w:rFonts w:ascii="Times New Roman;Times;Serif" w:hAnsi="Times New Roman;Times;Serif"/>
          <w:b/>
          <w:i w:val="false"/>
          <w:caps/>
          <w:sz w:val="20"/>
        </w:rPr>
        <w:t>T</w:t>
      </w:r>
      <w:r>
        <w:rPr>
          <w:rFonts w:ascii="Times New Roman;Times;Serif" w:hAnsi="Times New Roman;Times;Serif"/>
          <w:b/>
          <w:i w:val="false"/>
          <w:smallCaps/>
          <w:sz w:val="20"/>
        </w:rPr>
        <w:t xml:space="preserve">o </w:t>
      </w:r>
      <w:r>
        <w:rPr>
          <w:rFonts w:ascii="Times New Roman;Times;Serif" w:hAnsi="Times New Roman;Times;Serif"/>
          <w:b/>
          <w:i w:val="false"/>
          <w:caps/>
          <w:sz w:val="20"/>
        </w:rPr>
        <w:t>p</w:t>
      </w:r>
      <w:r>
        <w:rPr>
          <w:rFonts w:ascii="Times New Roman;Times;Serif" w:hAnsi="Times New Roman;Times;Serif"/>
          <w:b/>
          <w:i w:val="false"/>
          <w:smallCaps/>
          <w:sz w:val="20"/>
        </w:rPr>
        <w:t xml:space="preserve">urchase </w:t>
      </w:r>
      <w:r>
        <w:rPr>
          <w:rFonts w:ascii="Times New Roman;Times;Serif" w:hAnsi="Times New Roman;Times;Serif"/>
          <w:b/>
          <w:i w:val="false"/>
          <w:caps/>
          <w:sz w:val="20"/>
        </w:rPr>
        <w:t>C</w:t>
      </w:r>
      <w:r>
        <w:rPr>
          <w:rFonts w:ascii="Times New Roman;Times;Serif" w:hAnsi="Times New Roman;Times;Serif"/>
          <w:b/>
          <w:i w:val="false"/>
          <w:smallCaps/>
          <w:sz w:val="20"/>
        </w:rPr>
        <w:t xml:space="preserve">ommon </w:t>
      </w:r>
      <w:r>
        <w:rPr>
          <w:rFonts w:ascii="Times New Roman;Times;Serif" w:hAnsi="Times New Roman;Times;Serif"/>
          <w:b/>
          <w:i w:val="false"/>
          <w:caps/>
          <w:sz w:val="20"/>
        </w:rPr>
        <w:t>S</w:t>
      </w:r>
      <w:r>
        <w:rPr>
          <w:rFonts w:ascii="Times New Roman;Times;Serif" w:hAnsi="Times New Roman;Times;Serif"/>
          <w:b/>
          <w:i w:val="false"/>
          <w:smallCaps/>
          <w:sz w:val="20"/>
        </w:rPr>
        <w:t>tock</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19,127,143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October 16, 2023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May 16,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19,127,143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Amended and Restated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and to Section 7 of that certain Third Amended and Restated Fee Letter, dated October 10, 2023, among E La Carte, LLC, the Company and Metropolitan Partners Group Administration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Credit Agreement (as defined in the Fee Letter). This Warrant amends, restates and supersedes in its entirety (i) that certain Warrant for 1,338,900 shares of Common Stock issued by the Company to the Holder on October 16, 2023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(ii) that certain Warrant for 2,677,800 shares of Common Stock issued by the Company to the Holder on November 21, 2023 (the “</w:t>
      </w:r>
      <w:r>
        <w:rPr>
          <w:rFonts w:ascii="Times New Roman;Times;Serif" w:hAnsi="Times New Roman;Times;Serif"/>
          <w:b/>
          <w:i w:val="false"/>
          <w:caps w:val="false"/>
          <w:smallCaps w:val="false"/>
          <w:sz w:val="20"/>
        </w:rPr>
        <w:t>November 2023 Warrant</w:t>
      </w:r>
      <w:r>
        <w:rPr>
          <w:rFonts w:ascii="Times New Roman;Times;Serif" w:hAnsi="Times New Roman;Times;Serif"/>
          <w:b w:val="false"/>
          <w:i w:val="false"/>
          <w:caps w:val="false"/>
          <w:smallCaps w:val="false"/>
          <w:sz w:val="20"/>
        </w:rPr>
        <w:t>”), (iii) that certain Warrant for 6,694,500 shares of Common Stock issued by the Company to the Holder on January 30, 2024 (the “</w:t>
      </w:r>
      <w:r>
        <w:rPr>
          <w:rFonts w:ascii="Times New Roman;Times;Serif" w:hAnsi="Times New Roman;Times;Serif"/>
          <w:b/>
          <w:i w:val="false"/>
          <w:caps w:val="false"/>
          <w:smallCaps w:val="false"/>
          <w:sz w:val="20"/>
        </w:rPr>
        <w:t>January 2024 Warrant</w:t>
      </w:r>
      <w:r>
        <w:rPr>
          <w:rFonts w:ascii="Times New Roman;Times;Serif" w:hAnsi="Times New Roman;Times;Serif"/>
          <w:b w:val="false"/>
          <w:i w:val="false"/>
          <w:caps w:val="false"/>
          <w:smallCaps w:val="false"/>
          <w:sz w:val="20"/>
        </w:rPr>
        <w:t>”), and (iv) that certain Warrant for 10,711,200 shares of Common Stock issued by the Company to the Holder on March 21, 2024 (the “March 2024 Warrant”).</w:t>
      </w:r>
    </w:p>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ind w:left="2304" w:right="0" w:hanging="0"/>
        <w:jc w:val="left"/>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180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jc w:val="left"/>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ind w:left="0" w:right="0" w:firstLine="180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(A x B) - (A x C)</w:t>
      </w:r>
    </w:p>
    <w:p>
      <w:pPr>
        <w:pStyle w:val="TextBody"/>
        <w:bidi w:val="0"/>
        <w:ind w:left="180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ind w:left="1800" w:right="0" w:firstLine="144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jc w:val="both"/>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Times;Serif" w:hAnsi="Times New Roman;Times;Serif"/>
          <w:b/>
          <w:i w:val="false"/>
          <w:caps w:val="false"/>
          <w:smallCaps w:val="false"/>
          <w:sz w:val="20"/>
        </w:rPr>
        <w:t>Third Amendment Warrants</w:t>
      </w:r>
      <w:r>
        <w:rPr>
          <w:rFonts w:ascii="Times New Roman;Times;Serif" w:hAnsi="Times New Roman;Times;Serif"/>
          <w:b w:val="false"/>
          <w:i w:val="false"/>
          <w:caps w:val="false"/>
          <w:smallCaps w:val="false"/>
          <w:sz w:val="20"/>
        </w:rPr>
        <w:t>”), together with the total number of shares of Common Stock issued pursuant to Section 4.11 of the stock purchase agreement, dated October 10, 2023 (the “</w:t>
      </w:r>
      <w:r>
        <w:rPr>
          <w:rFonts w:ascii="Times New Roman;Times;Serif" w:hAnsi="Times New Roman;Times;Serif"/>
          <w:b/>
          <w:i w:val="false"/>
          <w:caps w:val="false"/>
          <w:smallCaps w:val="false"/>
          <w:sz w:val="20"/>
        </w:rPr>
        <w:t>Cleveland Avenue Purchase Agreement</w:t>
      </w:r>
      <w:r>
        <w:rPr>
          <w:rFonts w:ascii="Times New Roman;Times;Serif" w:hAnsi="Times New Roman;Times;Serif"/>
          <w:b w:val="false"/>
          <w:i w:val="false"/>
          <w:caps w:val="false"/>
          <w:smallCaps w:val="false"/>
          <w:sz w:val="20"/>
        </w:rPr>
        <w:t>”), by and between the Company and Presto CA LLC (“</w:t>
      </w:r>
      <w:r>
        <w:rPr>
          <w:rFonts w:ascii="Times New Roman;Times;Serif" w:hAnsi="Times New Roman;Times;Serif"/>
          <w:b/>
          <w:i w:val="false"/>
          <w:caps w:val="false"/>
          <w:smallCaps w:val="false"/>
          <w:sz w:val="20"/>
        </w:rPr>
        <w:t>Cleveland Avenue</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pStyle w:val="TextBody"/>
        <w:bidi w:val="0"/>
        <w:ind w:left="0" w:right="0" w:firstLine="1829"/>
        <w:jc w:val="both"/>
        <w:rPr>
          <w:caps w:val="false"/>
          <w:smallCaps w:val="false"/>
        </w:rPr>
      </w:pPr>
      <w:r>
        <w:rPr>
          <w:caps w:val="false"/>
          <w:smallCaps w:val="false"/>
        </w:rPr>
        <w:t> </w:t>
      </w:r>
    </w:p>
    <w:p>
      <w:pPr>
        <w:pStyle w:val="TextBody"/>
        <w:bidi w:val="0"/>
        <w:spacing w:before="0" w:after="0"/>
        <w:ind w:left="0" w:right="0" w:firstLine="1829"/>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ind w:left="0" w:right="0" w:firstLine="1829"/>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xml:space="preserve"> The Exercise Price and the number of Warrant Shares issuable upon exercise of this Warrant are subject to adjustments from time to time as set forth in this Section 2.</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December 31,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$0.14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the January 2024 Warrant had an Applicable Price of $0.40 per share, the March 2024 Warrant had an Applicable Price of $0.25 per share and the amendment and restatement is as of a result of a Dilutive Issuance with a $0.14 per share New Issuance Price. For all purposes of the foregoing (including, without limitation, determining the adjusted number of Warrant Shares and the New Issuance Price under this Section 2(b)), the following shall be applicable:</w:t>
      </w:r>
    </w:p>
    <w:p>
      <w:pPr>
        <w:pStyle w:val="TextBody"/>
        <w:bidi w:val="0"/>
        <w:ind w:left="0" w:right="0" w:firstLine="1858"/>
        <w:jc w:val="left"/>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ind w:left="0" w:right="0" w:firstLine="2160"/>
        <w:jc w:val="left"/>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jc w:val="left"/>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Amended and Restated Warrant to Purchase Common Stock to be duly executed as of the Issuance Date set out above.</w:t>
      </w:r>
    </w:p>
    <w:p>
      <w:pPr>
        <w:pStyle w:val="TextBody"/>
        <w:bidi w:val="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5"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 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Amended and Restated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 and/or</w:t>
      </w:r>
    </w:p>
    <w:p>
      <w:pPr>
        <w:pStyle w:val="TextBody"/>
        <w:bidi w:val="0"/>
        <w:ind w:left="0" w:right="0" w:firstLine="1800"/>
        <w:jc w:val="left"/>
        <w:rPr>
          <w:caps w:val="false"/>
          <w:smallCaps w:val="false"/>
        </w:rPr>
      </w:pPr>
      <w:r>
        <w:rPr>
          <w:caps w:val="false"/>
          <w:smallCaps w:val="false"/>
        </w:rPr>
        <w:t> </w:t>
      </w:r>
    </w:p>
    <w:p>
      <w:pPr>
        <w:pStyle w:val="TextBody"/>
        <w:bidi w:val="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_________________ Warrant Shares.</w:t>
      </w:r>
    </w:p>
    <w:p>
      <w:pPr>
        <w:pStyle w:val="TextBody"/>
        <w:bidi w:val="0"/>
        <w:ind w:left="3643"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____________________________ Warrant Shares in accordance with the terms of the Warrant.</w:t>
      </w:r>
    </w:p>
    <w:p>
      <w:pPr>
        <w:pStyle w:val="TextBody"/>
        <w:bidi w:val="0"/>
        <w:ind w:left="0" w:right="0" w:firstLine="72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750"/>
        <w:gridCol w:w="1460"/>
        <w:gridCol w:w="75"/>
      </w:tblGrid>
      <w:tr>
        <w:trPr/>
        <w:tc>
          <w:tcPr>
            <w:tcW w:w="2750" w:type="dxa"/>
            <w:tcBorders/>
            <w:vAlign w:val="center"/>
          </w:tcPr>
          <w:p>
            <w:pPr>
              <w:pStyle w:val="TableContents"/>
              <w:bidi w:val="0"/>
              <w:spacing w:before="0" w:after="283"/>
              <w:jc w:val="left"/>
              <w:rPr>
                <w:caps w:val="false"/>
                <w:smallCaps w:val="false"/>
              </w:rPr>
            </w:pPr>
            <w:r>
              <w:rPr>
                <w:caps w:val="false"/>
                <w:smallCaps w:val="false"/>
                <w:u w:val="single"/>
              </w:rPr>
              <w:t>                  </w:t>
            </w:r>
            <w:r>
              <w:rPr>
                <w:caps w:val="false"/>
                <w:smallCaps w:val="false"/>
              </w:rPr>
              <w:t> </w:t>
            </w:r>
            <w:r>
              <w:rPr>
                <w:rFonts w:ascii="Times New Roman;Times;Serif" w:hAnsi="Times New Roman;Times;Serif"/>
                <w:b w:val="false"/>
                <w:i w:val="false"/>
                <w:caps w:val="false"/>
                <w:smallCaps w:val="false"/>
                <w:sz w:val="20"/>
              </w:rPr>
              <w:t>Electronic Delivery</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600"/>
        <w:gridCol w:w="725"/>
        <w:gridCol w:w="75"/>
      </w:tblGrid>
      <w:tr>
        <w:trPr/>
        <w:tc>
          <w:tcPr>
            <w:tcW w:w="2600" w:type="dxa"/>
            <w:tcBorders/>
            <w:vAlign w:val="center"/>
          </w:tcPr>
          <w:p>
            <w:pPr>
              <w:pStyle w:val="TableContents"/>
              <w:bidi w:val="0"/>
              <w:spacing w:before="0" w:after="283"/>
              <w:jc w:val="left"/>
              <w:rPr>
                <w:caps w:val="false"/>
                <w:smallCaps w:val="false"/>
              </w:rPr>
            </w:pPr>
            <w:r>
              <w:rPr>
                <w:caps w:val="false"/>
                <w:smallCaps w:val="false"/>
                <w:u w:val="single"/>
              </w:rPr>
              <w:t>                  </w:t>
            </w:r>
            <w:r>
              <w:rPr>
                <w:caps w:val="false"/>
                <w:smallCaps w:val="false"/>
              </w:rPr>
              <w:t> </w:t>
            </w:r>
            <w:r>
              <w:rPr>
                <w:rFonts w:ascii="Times New Roman;Times;Serif" w:hAnsi="Times New Roman;Times;Serif"/>
                <w:b w:val="false"/>
                <w:i w:val="false"/>
                <w:caps w:val="false"/>
                <w:smallCaps w:val="false"/>
                <w:sz w:val="20"/>
              </w:rPr>
              <w:t>Physical Delivery</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 ___, ______</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0" w:type="dxa"/>
        <w:jc w:val="left"/>
        <w:tblInd w:w="0" w:type="dxa"/>
        <w:tblLayout w:type="fixed"/>
        <w:tblCellMar>
          <w:top w:w="28" w:type="dxa"/>
          <w:left w:w="0" w:type="dxa"/>
          <w:bottom w:w="0" w:type="dxa"/>
          <w:right w:w="0" w:type="dxa"/>
        </w:tblCellMar>
      </w:tblPr>
      <w:tblGrid>
        <w:gridCol w:w="2225"/>
        <w:gridCol w:w="75"/>
      </w:tblGrid>
      <w:tr>
        <w:trPr/>
        <w:tc>
          <w:tcPr>
            <w:tcW w:w="2225"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tc>
        <w:tc>
          <w:tcPr>
            <w:tcW w:w="75"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pStyle w:val="TextBody"/>
        <w:bidi w:val="0"/>
        <w:ind w:left="0" w:right="0" w:firstLine="72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923"/>
        <w:gridCol w:w="1736"/>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3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and supply required information.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use this form to exercise the warrant.)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jc w:val="both"/>
        <w:rPr>
          <w:caps w:val="false"/>
          <w:smallCaps w:val="false"/>
        </w:rPr>
      </w:pPr>
      <w:r>
        <w:rPr>
          <w:caps w:val="false"/>
          <w:smallCaps w:val="false"/>
        </w:rPr>
        <w:t> </w:t>
      </w:r>
    </w:p>
    <w:tbl>
      <w:tblPr>
        <w:tblW w:w="1505" w:type="dxa"/>
        <w:jc w:val="left"/>
        <w:tblInd w:w="0" w:type="dxa"/>
        <w:tblLayout w:type="fixed"/>
        <w:tblCellMar>
          <w:top w:w="0" w:type="dxa"/>
          <w:left w:w="0" w:type="dxa"/>
          <w:bottom w:w="28" w:type="dxa"/>
          <w:right w:w="0" w:type="dxa"/>
        </w:tblCellMar>
      </w:tblPr>
      <w:tblGrid>
        <w:gridCol w:w="75"/>
        <w:gridCol w:w="1430"/>
      </w:tblGrid>
      <w:tr>
        <w:trPr/>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whose address is</w:t>
            </w:r>
          </w:p>
        </w:tc>
      </w:tr>
      <w:tr>
        <w:trPr/>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p>
      <w:pPr>
        <w:pStyle w:val="TextBody"/>
        <w:bidi w:val="0"/>
        <w:jc w:val="right"/>
        <w:rPr>
          <w:caps w:val="false"/>
          <w:smallCaps w:val="false"/>
        </w:rPr>
      </w:pPr>
      <w:r>
        <w:rPr>
          <w:caps w:val="false"/>
          <w:smallCaps w:val="false"/>
        </w:rPr>
        <w:t> </w:t>
      </w:r>
    </w:p>
    <w:tbl>
      <w:tblPr>
        <w:tblW w:w="1685" w:type="dxa"/>
        <w:jc w:val="center"/>
        <w:tblInd w:w="0" w:type="dxa"/>
        <w:tblLayout w:type="fixed"/>
        <w:tblCellMar>
          <w:top w:w="0" w:type="dxa"/>
          <w:left w:w="0" w:type="dxa"/>
          <w:bottom w:w="0" w:type="dxa"/>
          <w:right w:w="0" w:type="dxa"/>
        </w:tblCellMar>
      </w:tblPr>
      <w:tblGrid>
        <w:gridCol w:w="1610"/>
        <w:gridCol w:w="75"/>
      </w:tblGrid>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jc w:val="both"/>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2" w:name="tm2415136d1_ex10-8.htm"/>
      <w:bookmarkStart w:id="43" w:name="kstm2415136d1_ex108"/>
      <w:bookmarkEnd w:id="42"/>
      <w:bookmarkEnd w:id="43"/>
      <w:r>
        <w:rPr/>
        <w:t> </w:t>
      </w:r>
      <w:r>
        <w:br w:type="page"/>
      </w:r>
    </w:p>
    <w:p>
      <w:pPr>
        <w:pStyle w:val="TextBody"/>
        <w:bidi w:val="0"/>
        <w:spacing w:before="0" w:after="0"/>
        <w:ind w:left="0" w:right="0" w:hanging="0"/>
        <w:jc w:val="right"/>
        <w:rPr>
          <w:b/>
        </w:rPr>
      </w:pPr>
      <w:r>
        <w:rPr>
          <w:b/>
        </w:rPr>
        <w:t>Exhibit 10.8</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4,530,000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October 16, 2023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Offshore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4,530,000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Amended and Restated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and to Section 7 of that certain Third Amended and Restated Fee Letter, dated October 10, 2023, among E La Carte, LLC, the Company and Metropolitan Partners Group Administration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Credit Agreement (as defined in the Fee Letter). This Warrant amends, restates and supersedes in its entirety (i) that certain Warrant for 317,100 shares of Common Stock issued by the Company to the Holder on October 16, 2023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(ii) that certain Warrant for 634,200 shares of Common Stock issued by the Company to the Holder on November 21, 2023 (the “</w:t>
      </w:r>
      <w:r>
        <w:rPr>
          <w:rFonts w:ascii="Times New Roman;Times;Serif" w:hAnsi="Times New Roman;Times;Serif"/>
          <w:b/>
          <w:i w:val="false"/>
          <w:caps w:val="false"/>
          <w:smallCaps w:val="false"/>
          <w:sz w:val="20"/>
        </w:rPr>
        <w:t>November 2023 Warrant</w:t>
      </w:r>
      <w:r>
        <w:rPr>
          <w:rFonts w:ascii="Times New Roman;Times;Serif" w:hAnsi="Times New Roman;Times;Serif"/>
          <w:b w:val="false"/>
          <w:i w:val="false"/>
          <w:caps w:val="false"/>
          <w:smallCaps w:val="false"/>
          <w:sz w:val="20"/>
        </w:rPr>
        <w:t>”), (iii) that certain Warrant for 1,585,500 shares of Common Stock issued by the Company to the Holder on January 30, 2024 (the “</w:t>
      </w:r>
      <w:r>
        <w:rPr>
          <w:rFonts w:ascii="Times New Roman;Times;Serif" w:hAnsi="Times New Roman;Times;Serif"/>
          <w:b/>
          <w:i w:val="false"/>
          <w:caps w:val="false"/>
          <w:smallCaps w:val="false"/>
          <w:sz w:val="20"/>
        </w:rPr>
        <w:t>January 2024 Warrant</w:t>
      </w:r>
      <w:r>
        <w:rPr>
          <w:rFonts w:ascii="Times New Roman;Times;Serif" w:hAnsi="Times New Roman;Times;Serif"/>
          <w:b w:val="false"/>
          <w:i w:val="false"/>
          <w:caps w:val="false"/>
          <w:smallCaps w:val="false"/>
          <w:sz w:val="20"/>
        </w:rPr>
        <w:t>”), and (iv) that certain Warrant for 2,536,800 shares of Common Stock issued by the Company to the Holder on March 21, 2024 (the “March 2024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0" w:right="0" w:firstLine="1800"/>
        <w:jc w:val="both"/>
        <w:rPr>
          <w:caps w:val="false"/>
          <w:smallCaps w:val="false"/>
        </w:rPr>
      </w:pPr>
      <w:r>
        <w:rPr>
          <w:caps w:val="false"/>
          <w:smallCaps w:val="false"/>
        </w:rPr>
        <w:t> </w:t>
      </w:r>
    </w:p>
    <w:tbl>
      <w:tblPr>
        <w:tblW w:w="3201" w:type="dxa"/>
        <w:jc w:val="left"/>
        <w:tblInd w:w="0" w:type="dxa"/>
        <w:tblLayout w:type="fixed"/>
        <w:tblCellMar>
          <w:top w:w="0" w:type="dxa"/>
          <w:left w:w="0" w:type="dxa"/>
          <w:bottom w:w="0" w:type="dxa"/>
          <w:right w:w="0" w:type="dxa"/>
        </w:tblCellMar>
      </w:tblPr>
      <w:tblGrid>
        <w:gridCol w:w="38"/>
        <w:gridCol w:w="23"/>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both"/>
              <w:rPr/>
            </w:pPr>
            <w:r>
              <w:rPr/>
              <w:t xml:space="preserve">Net Number = </w:t>
            </w:r>
            <w:r>
              <w:rPr>
                <w:u w:val="single"/>
              </w:rPr>
              <w:t>(A x B) - (A x C)</w:t>
              <w:br/>
            </w:r>
            <w:r>
              <w:rPr/>
              <w:t>                                     B</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144" w:right="0" w:firstLine="216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Times;Serif" w:hAnsi="Times New Roman;Times;Serif"/>
          <w:b/>
          <w:i w:val="false"/>
          <w:caps w:val="false"/>
          <w:smallCaps w:val="false"/>
          <w:sz w:val="20"/>
        </w:rPr>
        <w:t>Third Amendment Warrants</w:t>
      </w:r>
      <w:r>
        <w:rPr>
          <w:rFonts w:ascii="Times New Roman;Times;Serif" w:hAnsi="Times New Roman;Times;Serif"/>
          <w:b w:val="false"/>
          <w:i w:val="false"/>
          <w:caps w:val="false"/>
          <w:smallCaps w:val="false"/>
          <w:sz w:val="20"/>
        </w:rPr>
        <w:t>”), together with the total number of shares of Common Stock issued pursuant to Section 4.11 of the stock purchase agreement, dated October 10, 2023 (the “</w:t>
      </w:r>
      <w:r>
        <w:rPr>
          <w:rFonts w:ascii="Times New Roman;Times;Serif" w:hAnsi="Times New Roman;Times;Serif"/>
          <w:b/>
          <w:i w:val="false"/>
          <w:caps w:val="false"/>
          <w:smallCaps w:val="false"/>
          <w:sz w:val="20"/>
        </w:rPr>
        <w:t>Cleveland Avenue Purchase Agreement</w:t>
      </w:r>
      <w:r>
        <w:rPr>
          <w:rFonts w:ascii="Times New Roman;Times;Serif" w:hAnsi="Times New Roman;Times;Serif"/>
          <w:b w:val="false"/>
          <w:i w:val="false"/>
          <w:caps w:val="false"/>
          <w:smallCaps w:val="false"/>
          <w:sz w:val="20"/>
        </w:rPr>
        <w:t>”), by and between the Company and Presto CA LLC (“</w:t>
      </w:r>
      <w:r>
        <w:rPr>
          <w:rFonts w:ascii="Times New Roman;Times;Serif" w:hAnsi="Times New Roman;Times;Serif"/>
          <w:b/>
          <w:i w:val="false"/>
          <w:caps w:val="false"/>
          <w:smallCaps w:val="false"/>
          <w:sz w:val="20"/>
        </w:rPr>
        <w:t>Cleveland Avenue</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December 31,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$0.14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the January 2024 Warrant had an Applicable Price of $0.40 per share, the March 2024 Warrant had an Applicable Price of $0.25 per share and the amendment and restatement is as of a result of a Dilutive Issuance with a $0.14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144" w:right="0" w:firstLine="216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144" w:right="0" w:firstLine="144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sz w:val="20"/>
        </w:rPr>
      </w:pPr>
      <w:r>
        <w:rPr>
          <w:b/>
          <w:sz w:val="20"/>
        </w:rPr>
        <w:t xml:space="preserve">IN WITNESS WHEREOF, </w:t>
      </w:r>
      <w:r>
        <w:rPr>
          <w:sz w:val="20"/>
        </w:rPr>
        <w:t>the Company has caused this Amended and Restated Warrant to Purchase Common Stock to be duly executed as of the Issuance Date set out above.</w:t>
      </w:r>
    </w:p>
    <w:p>
      <w:pPr>
        <w:pStyle w:val="TextBody"/>
        <w:bidi w:val="0"/>
        <w:spacing w:before="0" w:after="0"/>
        <w:ind w:left="0" w:right="0" w:firstLine="720"/>
        <w:jc w:val="both"/>
        <w:rPr/>
      </w:pPr>
      <w:r>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2C2C2C"/>
                <w:sz w:val="20"/>
              </w:rPr>
            </w:pPr>
            <w:r>
              <w:rPr>
                <w:rFonts w:ascii="Times New Roman;Times;Serif" w:hAnsi="Times New Roman;Times;Serif"/>
                <w:b/>
                <w:i w:val="false"/>
                <w:caps w:val="false"/>
                <w:smallCaps w:val="false"/>
                <w:color w:val="2C2C2C"/>
                <w:sz w:val="20"/>
              </w:rPr>
              <w:t>PRESTO AUTOMATION INC.</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caps w:val="false"/>
                <w:smallCaps w:val="false"/>
                <w:color w:val="2C2C2C"/>
              </w:rPr>
            </w:pPr>
            <w:r>
              <w:rPr>
                <w:caps w:val="false"/>
                <w:smallCaps w:val="false"/>
                <w:color w:val="2C2C2C"/>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By:</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/s/ 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Name: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Title: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Interim Chief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 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Amended and Restated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 and/or</w:t>
      </w:r>
    </w:p>
    <w:p>
      <w:pPr>
        <w:pStyle w:val="TextBody"/>
        <w:bidi w:val="0"/>
        <w:spacing w:before="0" w:after="0"/>
        <w:ind w:left="324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 Warrant Shares.</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 __________________ 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____________________________ Warrant Shares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615"/>
        <w:gridCol w:w="1460"/>
        <w:gridCol w:w="75"/>
      </w:tblGrid>
      <w:tr>
        <w:trPr/>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Electronic Delivery</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265" w:type="dxa"/>
        <w:jc w:val="left"/>
        <w:tblInd w:w="0" w:type="dxa"/>
        <w:tblLayout w:type="fixed"/>
        <w:tblCellMar>
          <w:top w:w="0" w:type="dxa"/>
          <w:left w:w="0" w:type="dxa"/>
          <w:bottom w:w="0" w:type="dxa"/>
          <w:right w:w="0" w:type="dxa"/>
        </w:tblCellMar>
      </w:tblPr>
      <w:tblGrid>
        <w:gridCol w:w="2465"/>
        <w:gridCol w:w="725"/>
        <w:gridCol w:w="7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Physical Delivery</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936"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3485"/>
        <w:gridCol w:w="60"/>
        <w:gridCol w:w="75"/>
      </w:tblGrid>
      <w:tr>
        <w:trPr/>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 ____, _________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75" w:type="dxa"/>
        <w:jc w:val="left"/>
        <w:tblInd w:w="0" w:type="dxa"/>
        <w:tblLayout w:type="fixed"/>
        <w:tblCellMar>
          <w:top w:w="0" w:type="dxa"/>
          <w:left w:w="0" w:type="dxa"/>
          <w:bottom w:w="0" w:type="dxa"/>
          <w:right w:w="0" w:type="dxa"/>
        </w:tblCellMar>
      </w:tblPr>
      <w:tblGrid>
        <w:gridCol w:w="335"/>
        <w:gridCol w:w="545"/>
        <w:gridCol w:w="60"/>
        <w:gridCol w:w="6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 _________________</w:t>
        <w:tab/>
        <w:t>from the Company and acknowledged and agreed to by [TRANSFER AGENT].</w:t>
      </w:r>
    </w:p>
    <w:p>
      <w:pPr>
        <w:pStyle w:val="TextBody"/>
        <w:bidi w:val="0"/>
        <w:spacing w:before="0" w:after="0"/>
        <w:ind w:left="0" w:right="0" w:firstLine="72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852"/>
        <w:gridCol w:w="1807"/>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0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tbl>
      <w:tblPr>
        <w:tblW w:w="1505" w:type="dxa"/>
        <w:jc w:val="left"/>
        <w:tblInd w:w="0" w:type="dxa"/>
        <w:tblLayout w:type="fixed"/>
        <w:tblCellMar>
          <w:top w:w="0" w:type="dxa"/>
          <w:left w:w="0" w:type="dxa"/>
          <w:bottom w:w="28" w:type="dxa"/>
          <w:right w:w="0" w:type="dxa"/>
        </w:tblCellMar>
      </w:tblPr>
      <w:tblGrid>
        <w:gridCol w:w="75"/>
        <w:gridCol w:w="1430"/>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30" w:type="dxa"/>
            <w:tcBorders/>
            <w:tcMar>
              <w:bottom w:w="0" w:type="dxa"/>
            </w:tcMar>
            <w:vAlign w:val="center"/>
          </w:tcPr>
          <w:p>
            <w:pPr>
              <w:pStyle w:val="TableContents"/>
              <w:bidi w:val="0"/>
              <w:spacing w:before="0" w:after="283"/>
              <w:jc w:val="both"/>
              <w:rPr/>
            </w:pPr>
            <w:r>
              <w:rPr/>
              <w:t> </w:t>
            </w:r>
            <w:r>
              <w:rPr>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0" w:firstLine="7344"/>
        <w:jc w:val="left"/>
        <w:rPr>
          <w:caps w:val="false"/>
          <w:smallCaps w:val="false"/>
        </w:rPr>
      </w:pPr>
      <w:r>
        <w:rPr>
          <w:caps w:val="false"/>
          <w:smallCaps w:val="false"/>
        </w:rPr>
        <w:t> </w:t>
      </w:r>
    </w:p>
    <w:tbl>
      <w:tblPr>
        <w:tblW w:w="4573" w:type="dxa"/>
        <w:jc w:val="left"/>
        <w:tblInd w:w="0" w:type="dxa"/>
        <w:tblLayout w:type="fixed"/>
        <w:tblCellMar>
          <w:top w:w="0" w:type="dxa"/>
          <w:left w:w="0" w:type="dxa"/>
          <w:bottom w:w="0" w:type="dxa"/>
          <w:right w:w="0" w:type="dxa"/>
        </w:tblCellMar>
      </w:tblPr>
      <w:tblGrid>
        <w:gridCol w:w="75"/>
        <w:gridCol w:w="23"/>
        <w:gridCol w:w="4400"/>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_____________________________, ______</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2030" w:type="dxa"/>
        <w:jc w:val="center"/>
        <w:tblInd w:w="0" w:type="dxa"/>
        <w:tblLayout w:type="fixed"/>
        <w:tblCellMar>
          <w:top w:w="0" w:type="dxa"/>
          <w:left w:w="0" w:type="dxa"/>
          <w:bottom w:w="0" w:type="dxa"/>
          <w:right w:w="0" w:type="dxa"/>
        </w:tblCellMar>
      </w:tblPr>
      <w:tblGrid>
        <w:gridCol w:w="1655"/>
        <w:gridCol w:w="375"/>
      </w:tblGrid>
      <w:tr>
        <w:trPr/>
        <w:tc>
          <w:tcPr>
            <w:tcW w:w="1655" w:type="dxa"/>
            <w:tcBorders/>
            <w:vAlign w:val="center"/>
          </w:tcPr>
          <w:p>
            <w:pPr>
              <w:pStyle w:val="TableContents"/>
              <w:bidi w:val="0"/>
              <w:spacing w:before="0" w:after="283"/>
              <w:jc w:val="left"/>
              <w:rPr>
                <w:sz w:val="20"/>
              </w:rPr>
            </w:pPr>
            <w:r>
              <w:rPr>
                <w:sz w:val="20"/>
              </w:rPr>
              <w:t>Holder’s Signature:</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Holder’s Address: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4" w:name="tm2415136d1_ex10-9.htm"/>
      <w:bookmarkStart w:id="45" w:name="kstm2415136d1_ex109"/>
      <w:bookmarkEnd w:id="44"/>
      <w:bookmarkEnd w:id="45"/>
      <w:r>
        <w:rPr/>
        <w:t> </w:t>
      </w:r>
      <w:r>
        <w:br w:type="page"/>
      </w:r>
    </w:p>
    <w:p>
      <w:pPr>
        <w:pStyle w:val="TextBody"/>
        <w:bidi w:val="0"/>
        <w:jc w:val="right"/>
        <w:rPr>
          <w:b/>
        </w:rPr>
      </w:pPr>
      <w:r>
        <w:rPr>
          <w:b/>
        </w:rPr>
        <w:t>Exhibit 10.9</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w:t>
      </w:r>
    </w:p>
    <w:p>
      <w:pPr>
        <w:pStyle w:val="TextBody"/>
        <w:bidi w:val="0"/>
        <w:jc w:val="center"/>
        <w:rPr>
          <w:rFonts w:ascii="Times New Roman;Times;Serif" w:hAnsi="Times New Roman;Times;Serif"/>
          <w:b w:val="false"/>
          <w:i w:val="false"/>
          <w:smallCaps/>
          <w:sz w:val="20"/>
        </w:rPr>
      </w:pPr>
      <w:r>
        <w:rPr>
          <w:rFonts w:ascii="Times New Roman;Times;Serif" w:hAnsi="Times New Roman;Times;Serif"/>
          <w:b/>
          <w:i w:val="false"/>
          <w:caps/>
          <w:sz w:val="20"/>
        </w:rPr>
        <w:t>W</w:t>
      </w:r>
      <w:r>
        <w:rPr>
          <w:rFonts w:ascii="Times New Roman;Times;Serif" w:hAnsi="Times New Roman;Times;Serif"/>
          <w:b/>
          <w:i w:val="false"/>
          <w:smallCaps/>
          <w:sz w:val="20"/>
        </w:rPr>
        <w:t xml:space="preserve">arrant </w:t>
      </w:r>
      <w:r>
        <w:rPr>
          <w:rFonts w:ascii="Times New Roman;Times;Serif" w:hAnsi="Times New Roman;Times;Serif"/>
          <w:b/>
          <w:i w:val="false"/>
          <w:caps/>
          <w:sz w:val="20"/>
        </w:rPr>
        <w:t>T</w:t>
      </w:r>
      <w:r>
        <w:rPr>
          <w:rFonts w:ascii="Times New Roman;Times;Serif" w:hAnsi="Times New Roman;Times;Serif"/>
          <w:b/>
          <w:i w:val="false"/>
          <w:smallCaps/>
          <w:sz w:val="20"/>
        </w:rPr>
        <w:t xml:space="preserve">o </w:t>
      </w:r>
      <w:r>
        <w:rPr>
          <w:rFonts w:ascii="Times New Roman;Times;Serif" w:hAnsi="Times New Roman;Times;Serif"/>
          <w:b/>
          <w:i w:val="false"/>
          <w:caps/>
          <w:sz w:val="20"/>
        </w:rPr>
        <w:t>p</w:t>
      </w:r>
      <w:r>
        <w:rPr>
          <w:rFonts w:ascii="Times New Roman;Times;Serif" w:hAnsi="Times New Roman;Times;Serif"/>
          <w:b/>
          <w:i w:val="false"/>
          <w:smallCaps/>
          <w:sz w:val="20"/>
        </w:rPr>
        <w:t xml:space="preserve">urchase </w:t>
      </w:r>
      <w:r>
        <w:rPr>
          <w:rFonts w:ascii="Times New Roman;Times;Serif" w:hAnsi="Times New Roman;Times;Serif"/>
          <w:b/>
          <w:i w:val="false"/>
          <w:caps/>
          <w:sz w:val="20"/>
        </w:rPr>
        <w:t>C</w:t>
      </w:r>
      <w:r>
        <w:rPr>
          <w:rFonts w:ascii="Times New Roman;Times;Serif" w:hAnsi="Times New Roman;Times;Serif"/>
          <w:b/>
          <w:i w:val="false"/>
          <w:smallCaps/>
          <w:sz w:val="20"/>
        </w:rPr>
        <w:t xml:space="preserve">ommon </w:t>
      </w:r>
      <w:r>
        <w:rPr>
          <w:rFonts w:ascii="Times New Roman;Times;Serif" w:hAnsi="Times New Roman;Times;Serif"/>
          <w:b/>
          <w:i w:val="false"/>
          <w:caps/>
          <w:sz w:val="20"/>
        </w:rPr>
        <w:t>S</w:t>
      </w:r>
      <w:r>
        <w:rPr>
          <w:rFonts w:ascii="Times New Roman;Times;Serif" w:hAnsi="Times New Roman;Times;Serif"/>
          <w:b/>
          <w:i w:val="false"/>
          <w:smallCaps/>
          <w:sz w:val="20"/>
        </w:rPr>
        <w:t>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5,455,714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October 16, 2023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CEOF Holdings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5,455,714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Amended and Restated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and to Section 7 of that certain Third Amended and Restated Fee Letter, dated October 10, 2023, among E La Carte, LLC, the Company and Metropolitan Partners Group Administration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Credit Agreement (as defined in the Fee Letter). This Warrant amends, restates and supersedes in its entirety (i) that certain Warrant for 381,900 shares of Common Stock issued by the Company to the Holder on October 16, 2023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(ii) that certain Warrant for 763,800 shares of Common Stock issued by the Company to the Holder on November 21, 2023 (the “</w:t>
      </w:r>
      <w:r>
        <w:rPr>
          <w:rFonts w:ascii="Times New Roman;Times;Serif" w:hAnsi="Times New Roman;Times;Serif"/>
          <w:b/>
          <w:i w:val="false"/>
          <w:caps w:val="false"/>
          <w:smallCaps w:val="false"/>
          <w:sz w:val="20"/>
        </w:rPr>
        <w:t>November 2023 Warrant</w:t>
      </w:r>
      <w:r>
        <w:rPr>
          <w:rFonts w:ascii="Times New Roman;Times;Serif" w:hAnsi="Times New Roman;Times;Serif"/>
          <w:b w:val="false"/>
          <w:i w:val="false"/>
          <w:caps w:val="false"/>
          <w:smallCaps w:val="false"/>
          <w:sz w:val="20"/>
        </w:rPr>
        <w:t>”), (iii) that certain Warrant for 1,909,500 shares of Common Stock issued by the Company to the Holder on January 30, 2024 (the “</w:t>
      </w:r>
      <w:r>
        <w:rPr>
          <w:rFonts w:ascii="Times New Roman;Times;Serif" w:hAnsi="Times New Roman;Times;Serif"/>
          <w:b/>
          <w:i w:val="false"/>
          <w:caps w:val="false"/>
          <w:smallCaps w:val="false"/>
          <w:sz w:val="20"/>
        </w:rPr>
        <w:t>January 2024 Warrant</w:t>
      </w:r>
      <w:r>
        <w:rPr>
          <w:rFonts w:ascii="Times New Roman;Times;Serif" w:hAnsi="Times New Roman;Times;Serif"/>
          <w:b w:val="false"/>
          <w:i w:val="false"/>
          <w:caps w:val="false"/>
          <w:smallCaps w:val="false"/>
          <w:sz w:val="20"/>
        </w:rPr>
        <w:t>”), and (iv) that certain Warrant for 3,055,200 shares of Common Stock issued by the Company to the Holder on March 21, 2024 (the “March 2024 Warrant”).</w:t>
      </w:r>
    </w:p>
    <w:p>
      <w:pPr>
        <w:pStyle w:val="TextBody"/>
        <w:bidi w:val="0"/>
        <w:spacing w:before="0" w:after="0"/>
        <w:ind w:left="360" w:right="360" w:firstLine="1440"/>
        <w:jc w:val="both"/>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360" w:right="360" w:firstLine="144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144" w:hanging="0"/>
        <w:jc w:val="both"/>
        <w:rPr>
          <w:caps w:val="false"/>
          <w:smallCaps w:val="false"/>
        </w:rPr>
      </w:pPr>
      <w:r>
        <w:rPr>
          <w:caps w:val="false"/>
          <w:smallCaps w:val="false"/>
        </w:rPr>
        <w:t> </w:t>
      </w:r>
    </w:p>
    <w:p>
      <w:pPr>
        <w:pStyle w:val="TextBody"/>
        <w:bidi w:val="0"/>
        <w:spacing w:before="0" w:after="0"/>
        <w:ind w:left="158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584" w:right="144"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Times;Serif" w:hAnsi="Times New Roman;Times;Serif"/>
          <w:b/>
          <w:i w:val="false"/>
          <w:caps w:val="false"/>
          <w:smallCaps w:val="false"/>
          <w:sz w:val="20"/>
        </w:rPr>
        <w:t>Third Amendment Warrants</w:t>
      </w:r>
      <w:r>
        <w:rPr>
          <w:rFonts w:ascii="Times New Roman;Times;Serif" w:hAnsi="Times New Roman;Times;Serif"/>
          <w:b w:val="false"/>
          <w:i w:val="false"/>
          <w:caps w:val="false"/>
          <w:smallCaps w:val="false"/>
          <w:sz w:val="20"/>
        </w:rPr>
        <w:t>”), together with the total number of shares of Common Stock issued pursuant to Section 4.11 of the stock purchase agreement, dated October 10, 2023 (the “</w:t>
      </w:r>
      <w:r>
        <w:rPr>
          <w:rFonts w:ascii="Times New Roman;Times;Serif" w:hAnsi="Times New Roman;Times;Serif"/>
          <w:b/>
          <w:i w:val="false"/>
          <w:caps w:val="false"/>
          <w:smallCaps w:val="false"/>
          <w:sz w:val="20"/>
        </w:rPr>
        <w:t>Cleveland Avenue Purchase Agreement</w:t>
      </w:r>
      <w:r>
        <w:rPr>
          <w:rFonts w:ascii="Times New Roman;Times;Serif" w:hAnsi="Times New Roman;Times;Serif"/>
          <w:b w:val="false"/>
          <w:i w:val="false"/>
          <w:caps w:val="false"/>
          <w:smallCaps w:val="false"/>
          <w:sz w:val="20"/>
        </w:rPr>
        <w:t>”), by and between the Company and Presto CA LLC (“</w:t>
      </w:r>
      <w:r>
        <w:rPr>
          <w:rFonts w:ascii="Times New Roman;Times;Serif" w:hAnsi="Times New Roman;Times;Serif"/>
          <w:b/>
          <w:i w:val="false"/>
          <w:caps w:val="false"/>
          <w:smallCaps w:val="false"/>
          <w:sz w:val="20"/>
        </w:rPr>
        <w:t>Cleveland Avenue</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December 31,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$0.14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the January 2024 Warrant had an Applicable Price of $0.40 per share, the March 2024 Warrant had an Applicable Price of $0.25 per share and the amendment and restatement is as of a result of a Dilutive Issuance with a $0.14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144" w:right="144"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144" w:right="144" w:firstLine="2592"/>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p>
      <w:pPr>
        <w:pStyle w:val="TextBody"/>
        <w:bidi w:val="0"/>
        <w:spacing w:before="0" w:after="0"/>
        <w:ind w:left="0" w:right="0" w:hanging="0"/>
        <w:jc w:val="left"/>
        <w:rPr/>
      </w:pPr>
      <w:r>
        <w:rPr/>
        <w:t> </w:t>
      </w:r>
    </w:p>
    <w:p>
      <w:pPr>
        <w:pStyle w:val="TextBody"/>
        <w:bidi w:val="0"/>
        <w:spacing w:before="0" w:after="0"/>
        <w:ind w:left="144" w:right="144" w:firstLine="2592"/>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144" w:right="144" w:firstLine="2664"/>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44" w:right="144" w:firstLine="2664"/>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144" w:right="144"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144" w:right="144"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144" w:right="144"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144" w:right="144"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p>
      <w:pPr>
        <w:pStyle w:val="TextBody"/>
        <w:bidi w:val="0"/>
        <w:spacing w:before="0" w:after="0"/>
        <w:ind w:left="0" w:right="0" w:hanging="0"/>
        <w:jc w:val="left"/>
        <w:rPr/>
      </w:pPr>
      <w:r>
        <w:rPr/>
        <w:t> </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144" w:right="0" w:firstLine="1512"/>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4680" w:right="0" w:hanging="2304"/>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p>
      <w:pPr>
        <w:pStyle w:val="TextBody"/>
        <w:bidi w:val="0"/>
        <w:spacing w:before="0" w:after="0"/>
        <w:ind w:left="0" w:right="0" w:hanging="0"/>
        <w:jc w:val="left"/>
        <w:rPr/>
      </w:pPr>
      <w:r>
        <w:rPr/>
        <w:t> </w:t>
      </w:r>
    </w:p>
    <w:p>
      <w:pPr>
        <w:pStyle w:val="TextBody"/>
        <w:bidi w:val="0"/>
        <w:spacing w:before="0" w:after="0"/>
        <w:ind w:left="4680" w:right="0" w:hanging="2304"/>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Amended and Restated Warrant to Purchase Common Stock to be duly executed as of the Issuance Date set out above.</w:t>
      </w:r>
    </w:p>
    <w:p>
      <w:pPr>
        <w:pStyle w:val="TextBody"/>
        <w:bidi w:val="0"/>
        <w:spacing w:before="0" w:after="0"/>
        <w:ind w:left="0" w:right="0" w:firstLine="144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676"/>
        <w:gridCol w:w="2688"/>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26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By:</w:t>
            </w:r>
          </w:p>
        </w:tc>
        <w:tc>
          <w:tcPr>
            <w:tcW w:w="2688" w:type="dxa"/>
            <w:tcBorders>
              <w:bottom w:val="single" w:sz="2" w:space="0" w:color="000000"/>
            </w:tcBorders>
            <w:tcMar>
              <w:bottom w:w="28" w:type="dxa"/>
            </w:tcMar>
            <w:vAlign w:val="center"/>
          </w:tcPr>
          <w:p>
            <w:pPr>
              <w:pStyle w:val="TableContents"/>
              <w:bidi w:val="0"/>
              <w:spacing w:before="0" w:after="283"/>
              <w:jc w:val="left"/>
              <w:rPr/>
            </w:pPr>
            <w:r>
              <w:rPr/>
              <w:t>/s/ Guillaume Lefevre</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Name:</w:t>
            </w:r>
          </w:p>
        </w:tc>
        <w:tc>
          <w:tcPr>
            <w:tcW w:w="2688"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Title:</w:t>
            </w:r>
          </w:p>
        </w:tc>
        <w:tc>
          <w:tcPr>
            <w:tcW w:w="2688"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w:t>
        <w:tab/>
        <w:t>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Amended and Restated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936"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 and/or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 Warrant Shares.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____________________ 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720"/>
        <w:gridCol w:w="1460"/>
        <w:gridCol w:w="75"/>
      </w:tblGrid>
      <w:tr>
        <w:trPr/>
        <w:tc>
          <w:tcPr>
            <w:tcW w:w="2720" w:type="dxa"/>
            <w:tcBorders/>
            <w:vAlign w:val="center"/>
          </w:tcPr>
          <w:p>
            <w:pPr>
              <w:pStyle w:val="TableContents"/>
              <w:bidi w:val="0"/>
              <w:spacing w:before="0" w:after="283"/>
              <w:jc w:val="left"/>
              <w:rPr>
                <w:sz w:val="20"/>
              </w:rPr>
            </w:pPr>
            <w:r>
              <w:rPr>
                <w:sz w:val="20"/>
              </w:rPr>
              <w:t>__________ Electronic Delivery</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sz w:val="20"/>
              </w:rPr>
            </w:pPr>
            <w:r>
              <w:rPr>
                <w:sz w:val="20"/>
              </w:rPr>
              <w:t>__________ Physical Delivery</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left"/>
              <w:rPr>
                <w:sz w:val="20"/>
              </w:rPr>
            </w:pPr>
            <w:r>
              <w:rPr>
                <w:sz w:val="20"/>
              </w:rPr>
              <w:t>Date:__________ ___, ______</w:t>
            </w:r>
          </w:p>
        </w:tc>
        <w:tc>
          <w:tcPr>
            <w:tcW w:w="153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bottom w:val="single" w:sz="2" w:space="0" w:color="000000"/>
            </w:tcBorders>
            <w:tcMar>
              <w:bottom w:w="28" w:type="dxa"/>
            </w:tcMar>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sz w:val="20"/>
              </w:rPr>
            </w:pPr>
            <w:r>
              <w:rPr>
                <w:sz w:val="20"/>
              </w:rPr>
              <w:t>Name of Registered Holder</w:t>
            </w:r>
          </w:p>
        </w:tc>
        <w:tc>
          <w:tcPr>
            <w:tcW w:w="1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 w:right="0" w:hanging="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 w:right="0" w:hanging="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pStyle w:val="TextBody"/>
        <w:bidi w:val="0"/>
        <w:spacing w:before="0" w:after="0"/>
        <w:ind w:left="144" w:right="144" w:firstLine="72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646"/>
        <w:gridCol w:w="2013"/>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013"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2952" w:right="0" w:hanging="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pPr>
      <w:r>
        <w:rPr>
          <w:caps w:val="false"/>
          <w:smallCaps w:val="false"/>
        </w:rPr>
        <w:t> </w:t>
      </w:r>
      <w:r>
        <w:rPr/>
        <w:t xml:space="preserve"> </w:t>
      </w:r>
    </w:p>
    <w:tbl>
      <w:tblPr>
        <w:tblW w:w="1490" w:type="dxa"/>
        <w:jc w:val="left"/>
        <w:tblInd w:w="0" w:type="dxa"/>
        <w:tblLayout w:type="fixed"/>
        <w:tblCellMar>
          <w:top w:w="0" w:type="dxa"/>
          <w:left w:w="0" w:type="dxa"/>
          <w:bottom w:w="28" w:type="dxa"/>
          <w:right w:w="0" w:type="dxa"/>
        </w:tblCellMar>
      </w:tblPr>
      <w:tblGrid>
        <w:gridCol w:w="75"/>
        <w:gridCol w:w="141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605"/>
        <w:gridCol w:w="2750"/>
      </w:tblGrid>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Dated: </w:t>
            </w:r>
          </w:p>
        </w:tc>
        <w:tc>
          <w:tcPr>
            <w:tcW w:w="2750" w:type="dxa"/>
            <w:tcBorders/>
            <w:vAlign w:val="center"/>
          </w:tcPr>
          <w:p>
            <w:pPr>
              <w:pStyle w:val="TableContents"/>
              <w:bidi w:val="0"/>
              <w:spacing w:before="0" w:after="283"/>
              <w:jc w:val="left"/>
              <w:rPr>
                <w:sz w:val="20"/>
              </w:rPr>
            </w:pPr>
            <w:r>
              <w:rPr>
                <w:sz w:val="20"/>
              </w:rPr>
              <w:t>____________________, _____</w:t>
            </w:r>
          </w:p>
        </w:tc>
      </w:tr>
    </w:tbl>
    <w:p>
      <w:pPr>
        <w:pStyle w:val="TextBody"/>
        <w:bidi w:val="0"/>
        <w:spacing w:before="0" w:after="0"/>
        <w:ind w:left="0" w:right="0" w:hanging="0"/>
        <w:jc w:val="left"/>
        <w:rPr>
          <w:caps w:val="false"/>
          <w:smallCaps w:val="false"/>
        </w:rPr>
      </w:pPr>
      <w:r>
        <w:rPr>
          <w:caps w:val="false"/>
          <w:smallCaps w:val="false"/>
        </w:rPr>
        <w:t> </w:t>
      </w:r>
    </w:p>
    <w:tbl>
      <w:tblPr>
        <w:tblW w:w="1685" w:type="dxa"/>
        <w:jc w:val="center"/>
        <w:tblInd w:w="0" w:type="dxa"/>
        <w:tblLayout w:type="fixed"/>
        <w:tblCellMar>
          <w:top w:w="0" w:type="dxa"/>
          <w:left w:w="0" w:type="dxa"/>
          <w:bottom w:w="0" w:type="dxa"/>
          <w:right w:w="0" w:type="dxa"/>
        </w:tblCellMar>
      </w:tblPr>
      <w:tblGrid>
        <w:gridCol w:w="1610"/>
        <w:gridCol w:w="75"/>
      </w:tblGrid>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Signature: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ind w:left="360" w:right="0" w:hanging="0"/>
        <w:jc w:val="both"/>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36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163668</Words>
  <Characters>845947</Characters>
  <CharactersWithSpaces>1017978</CharactersWithSpaces>
  <Paragraphs>4192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