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ind w:left="3904"/>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ind w:left="4624"/>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ind w:right="36"/>
        <w:spacing w:after="0"/>
        <w:rPr>
          <w:sz w:val="20"/>
          <w:szCs w:val="20"/>
          <w:color w:val="auto"/>
        </w:rPr>
      </w:pPr>
      <w:r>
        <w:rPr>
          <w:rFonts w:ascii="Arial" w:cs="Arial" w:eastAsia="Arial" w:hAnsi="Arial"/>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Date of Report (Date of earliest event reported): November 10, 2021</w:t>
      </w:r>
    </w:p>
    <w:p>
      <w:pPr>
        <w:spacing w:after="0" w:line="214"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7" w:lineRule="exact"/>
        <w:rPr>
          <w:sz w:val="24"/>
          <w:szCs w:val="24"/>
          <w:color w:val="auto"/>
        </w:rPr>
      </w:pPr>
    </w:p>
    <w:p>
      <w:pPr>
        <w:jc w:val="center"/>
        <w:ind w:right="7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224"/>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Delaware</w:t>
            </w:r>
          </w:p>
        </w:tc>
        <w:tc>
          <w:tcPr>
            <w:tcW w:w="4400" w:type="dxa"/>
            <w:vAlign w:val="bottom"/>
            <w:gridSpan w:val="3"/>
          </w:tcPr>
          <w:p>
            <w:pPr>
              <w:jc w:val="center"/>
              <w:ind w:left="720"/>
              <w:spacing w:after="0"/>
              <w:rPr>
                <w:sz w:val="20"/>
                <w:szCs w:val="20"/>
                <w:color w:val="auto"/>
              </w:rPr>
            </w:pPr>
            <w:r>
              <w:rPr>
                <w:rFonts w:ascii="Arial" w:cs="Arial" w:eastAsia="Arial" w:hAnsi="Arial"/>
                <w:sz w:val="16"/>
                <w:szCs w:val="16"/>
                <w:b w:val="1"/>
                <w:bCs w:val="1"/>
                <w:color w:val="auto"/>
                <w:w w:val="88"/>
              </w:rPr>
              <w:t>001-39830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jc w:val="center"/>
              <w:ind w:right="660"/>
              <w:spacing w:after="0"/>
              <w:rPr>
                <w:sz w:val="20"/>
                <w:szCs w:val="20"/>
                <w:color w:val="auto"/>
              </w:rPr>
            </w:pPr>
            <w:r>
              <w:rPr>
                <w:rFonts w:ascii="Arial" w:cs="Arial" w:eastAsia="Arial" w:hAnsi="Arial"/>
                <w:sz w:val="16"/>
                <w:szCs w:val="16"/>
                <w:b w:val="1"/>
                <w:bCs w:val="1"/>
                <w:color w:val="auto"/>
                <w:w w:val="91"/>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Arial" w:cs="Arial" w:eastAsia="Arial" w:hAnsi="Arial"/>
                <w:sz w:val="16"/>
                <w:szCs w:val="16"/>
                <w:b w:val="1"/>
                <w:bCs w:val="1"/>
                <w:color w:val="auto"/>
                <w:w w:val="90"/>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5" w:lineRule="exact"/>
              <w:rPr>
                <w:sz w:val="20"/>
                <w:szCs w:val="20"/>
                <w:color w:val="auto"/>
              </w:rPr>
            </w:pPr>
            <w:r>
              <w:rPr>
                <w:rFonts w:ascii="Arial" w:cs="Arial" w:eastAsia="Arial" w:hAnsi="Arial"/>
                <w:sz w:val="16"/>
                <w:szCs w:val="16"/>
                <w:b w:val="1"/>
                <w:bCs w:val="1"/>
                <w:color w:val="auto"/>
                <w:w w:val="93"/>
              </w:rPr>
              <w:t>(IRS Employer</w:t>
            </w:r>
          </w:p>
        </w:tc>
      </w:tr>
      <w:tr>
        <w:trPr>
          <w:trHeight w:val="208"/>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0"/>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1"/>
              </w:rPr>
              <w:t>Greenwich, CT 06830</w:t>
            </w:r>
          </w:p>
        </w:tc>
        <w:tc>
          <w:tcPr>
            <w:tcW w:w="288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8"/>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Registrant’s telephone number, including area code: (646) 465-9000</w:t>
            </w:r>
          </w:p>
        </w:tc>
        <w:tc>
          <w:tcPr>
            <w:tcW w:w="288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288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504"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r>
      <w:tr>
        <w:trPr>
          <w:trHeight w:val="212"/>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r>
      <w:tr>
        <w:trPr>
          <w:trHeight w:val="203"/>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VTAQ</w:t>
            </w:r>
          </w:p>
        </w:tc>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10"/>
        </w:trPr>
        <w:tc>
          <w:tcPr>
            <w:tcW w:w="3600" w:type="dxa"/>
            <w:vAlign w:val="bottom"/>
          </w:tcPr>
          <w:p>
            <w:pPr>
              <w:jc w:val="center"/>
              <w:spacing w:after="0"/>
              <w:rPr>
                <w:sz w:val="20"/>
                <w:szCs w:val="20"/>
                <w:color w:val="auto"/>
              </w:rPr>
            </w:pPr>
            <w:r>
              <w:rPr>
                <w:rFonts w:ascii="Arial" w:cs="Arial" w:eastAsia="Arial" w:hAnsi="Arial"/>
                <w:sz w:val="16"/>
                <w:szCs w:val="16"/>
                <w:color w:val="auto"/>
                <w:w w:val="86"/>
              </w:rPr>
              <w:t>Warrants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8"/>
              </w:rPr>
              <w:t>VTAQW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7"/>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Rights</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VTAQR</w:t>
            </w:r>
          </w:p>
        </w:tc>
        <w:tc>
          <w:tcPr>
            <w:tcW w:w="2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60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7"/>
              </w:rPr>
              <w:t>VTAQU</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90"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Merger Agreement</w:t>
      </w:r>
    </w:p>
    <w:p>
      <w:pPr>
        <w:spacing w:after="0" w:line="198"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4"/>
          <w:szCs w:val="14"/>
          <w:color w:val="auto"/>
        </w:rPr>
        <w:t>On November 10, 2021, Ventoux CCM Acquisition Corp., a Delaware corporation (“VTAQ”), entered into an agreement and plan of merger by and among VTAQ, Ventoux Merger Sub I Inc., a Delaware corporation and a direct, wholly-owned subsidiary of VTAQ (“Ventoux Merger Sub”), Ventoux Merger Sub II, LLC, a Delaware limited liability company and a direct, wholly-owned subsidiary of VTAQ (“Ventoux Merger Sub II”), and E La Carte, Inc., d/b/a Presto, Inc., a Delaware corporation (“Presto”) (as amended and/or restated from time to time, the “Merger Agreement”). The Merger Agreement has been approved by VTAQ’s and Presto’s board of directors. Subject to the satisfaction or waiver of certain closing conditions set forth in the Merger Agreement as described in more detail below, including the approval of the Merger Agreement and the transactions contemplated thereby by Presto and VTAQ’s stockholders, (a) Ventoux Merger Sub will merge with and into Presto (the “First Merger”), with Presto being the surviving entity in the First Merger and continuing (immediately following the First Merger) as a wholly-owned subsidiary of VTAQ (the “Surviving Corporation”), and (b) immediately following the First Merger and as part of the same overall transaction as the First Merger, the Surviving Corporation will merge with and into Ventoux Merger Sub</w:t>
      </w:r>
    </w:p>
    <w:p>
      <w:pPr>
        <w:spacing w:after="0" w:line="2" w:lineRule="exact"/>
        <w:rPr>
          <w:sz w:val="20"/>
          <w:szCs w:val="20"/>
          <w:color w:val="auto"/>
        </w:rPr>
      </w:pPr>
    </w:p>
    <w:p>
      <w:pPr>
        <w:jc w:val="both"/>
        <w:ind w:left="4" w:hanging="4"/>
        <w:spacing w:after="0" w:line="252" w:lineRule="auto"/>
        <w:tabs>
          <w:tab w:leader="none" w:pos="15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“Second Merger”), with Ventoux Merger Sub II being the surviving entity in the Second Merger and continuing (immediately following the Second Merger) as a wholly-owned subsidiary of VTAQ (the “Mergers” and the other agreements and transactions contemplated by the Merger Agreement, the “Business Combination”). In addition, in connection with the consummation of the Business Combination, VTAQ will be renamed Presto Technologies, Inc. and is referred to herein as “New Presto” as of the time of such change of name.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Merger Consideration</w:t>
      </w:r>
    </w:p>
    <w:p>
      <w:pPr>
        <w:spacing w:after="0" w:line="198"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Pursuant to the Merger Agreement, subject to the satisfaction or waiver of certain closing conditions set forth therein, at the closing of the Business Combination (the “Closing”), VTAQ will acquire all of the outstanding equity interests of Presto, and stockholders of Presto will receive $800,000,000 in aggregate consideration (the “Aggregate Base Consideration”) in the form of newly issued common stock in New Presto, calculated based on a price of $10.00 per share.</w:t>
      </w:r>
    </w:p>
    <w:p>
      <w:pPr>
        <w:spacing w:after="0" w:line="146"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In addition to the Aggregate Base Consideration, Presto stockholders may be entitled to receive, as additional consideration, and without any action on behalf of VTAQ, Ventoux Merger Sub, Ventoux Merger Sub II or VTAQ’s stockholders, 15,000,000 additional shares of common stock of New Presto (the “Presto Earnout Shares”), to be issued as follows: (A) 7,500,000 Presto Earnout Shares, if, during the period from and after the Closing until the third anniversary of the Closing, the Volume Weighted Average Price (“VWAP” as defined in the Business Combination Agreement) of New Presto common stock is greater than or equal to $12.50 for any 20 trading days within a period of 30 consecutive trading days, and (B) an additional 7,500,000 Presto Earnout Shares, if, during the period from and after the Closing until the fifth anniversary of the Closing, the VWAP of New Presto common stock is greater than or equal to $15.00 for any 20 trading days within a period of 30 consecutive trading days.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Equity Awards, Presto Convertible Notes and Warrants</w:t>
      </w:r>
    </w:p>
    <w:p>
      <w:pPr>
        <w:spacing w:after="0" w:line="198" w:lineRule="exact"/>
        <w:rPr>
          <w:sz w:val="20"/>
          <w:szCs w:val="20"/>
          <w:color w:val="auto"/>
        </w:rPr>
      </w:pPr>
    </w:p>
    <w:p>
      <w:pPr>
        <w:jc w:val="both"/>
        <w:ind w:left="4" w:right="20" w:firstLine="574"/>
        <w:spacing w:after="0" w:line="274" w:lineRule="auto"/>
        <w:rPr>
          <w:sz w:val="20"/>
          <w:szCs w:val="20"/>
          <w:color w:val="auto"/>
        </w:rPr>
      </w:pPr>
      <w:r>
        <w:rPr>
          <w:rFonts w:ascii="Arial" w:cs="Arial" w:eastAsia="Arial" w:hAnsi="Arial"/>
          <w:sz w:val="15"/>
          <w:szCs w:val="15"/>
          <w:color w:val="auto"/>
        </w:rPr>
        <w:t>Pursuant to the Merger Agreement, at the time the First Merger becomes effective (the “Effective Time”), each option exercisable for Presto equity that is outstanding and unexercised immediately prior to the Effective Time will be assumed and converted into a newly issued option exercisable for common stock of New Presto. At the Effective Time, each warrant of Presto that is outstanding and unexercised immediately prior to the Effective Time shall, in accordance with its terms, either be (i) cancelled and converted into the right to receive common stock of New Presto, or (ii) assumed and converted into a newly issued warrant exercisable for common stock of New Presto. Immediately prior to the Effective Time, each convertible promissory note convertible for Presto equity that is issued and outstanding shall be cancelled and converted into the right to receive common stock of New Presto in accordance with the terms therein.</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5" w:right="319" w:bottom="1440" w:gutter="0" w:footer="0" w:header="0"/>
        </w:sectPr>
      </w:pPr>
    </w:p>
    <w:bookmarkStart w:id="2" w:name="page3"/>
    <w:bookmarkEnd w:id="2"/>
    <w:p>
      <w:pPr>
        <w:ind w:left="4"/>
        <w:spacing w:after="0"/>
        <w:rPr>
          <w:sz w:val="20"/>
          <w:szCs w:val="20"/>
          <w:color w:val="auto"/>
        </w:rPr>
      </w:pPr>
      <w:r>
        <w:rPr>
          <w:rFonts w:ascii="Arial" w:cs="Arial" w:eastAsia="Arial" w:hAnsi="Arial"/>
          <w:sz w:val="16"/>
          <w:szCs w:val="16"/>
          <w:i w:val="1"/>
          <w:iCs w:val="1"/>
          <w:color w:val="auto"/>
        </w:rPr>
        <w:t>Representations and Warranties and Covenants</w:t>
      </w:r>
    </w:p>
    <w:p>
      <w:pPr>
        <w:spacing w:after="0" w:line="198"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The parties to the Merger Agreement have made customary representations and warranties for transactions of this type. The representations and warranties made under the Merger Agreement will generally not survive the Closing. In addition, the parties to the Merger Agreement agreed to be bound by certain customary covenants for transactions of this type, including, among others, covenants with respect to the conduct of Presto and VTAQ and their respective subsidiaries during the period between the execution of the Merger Agreement and the Closing, covenants with respect to making the filing under the Hart-Scott Rodino Antitrust Improvements Act of 1976 and covenants with respect to the preparation and filing of the Registration Statement on Form S-4 (“Registration Statement”), which will include the proxy statement/prospectus of VTAQ. The covenants made under the Merger Agreement will not survive the Closing, unless by their terms they are to be performed in whole or in part after the Closing.</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Conditions</w:t>
      </w:r>
    </w:p>
    <w:p>
      <w:pPr>
        <w:spacing w:after="0" w:line="198" w:lineRule="exact"/>
        <w:rPr>
          <w:sz w:val="20"/>
          <w:szCs w:val="20"/>
          <w:color w:val="auto"/>
        </w:rPr>
      </w:pPr>
    </w:p>
    <w:p>
      <w:pPr>
        <w:jc w:val="both"/>
        <w:ind w:left="4" w:right="20" w:firstLine="574"/>
        <w:spacing w:after="0" w:line="291" w:lineRule="auto"/>
        <w:rPr>
          <w:sz w:val="20"/>
          <w:szCs w:val="20"/>
          <w:color w:val="auto"/>
        </w:rPr>
      </w:pPr>
      <w:r>
        <w:rPr>
          <w:rFonts w:ascii="Arial" w:cs="Arial" w:eastAsia="Arial" w:hAnsi="Arial"/>
          <w:sz w:val="14"/>
          <w:szCs w:val="14"/>
          <w:color w:val="auto"/>
        </w:rPr>
        <w:t>The Closing is subject to certain customary conditions, including, among other things: (i) approval by VTAQ’s stockholders of the Merger Agreement, the Business Combination and certain other actions related thereto; (ii) approval by Presto’s stockholders of the Merger Agreement, the Business Combination and certain other actions related thereto; (iii) the expiration or termination of the waiting period (or any extension thereof) applicable under the Hart-Scott-Rodino Antitrust Improvements Act of 1976;</w:t>
      </w:r>
    </w:p>
    <w:p>
      <w:pPr>
        <w:spacing w:after="0" w:line="1" w:lineRule="exact"/>
        <w:rPr>
          <w:sz w:val="20"/>
          <w:szCs w:val="20"/>
          <w:color w:val="auto"/>
        </w:rPr>
      </w:pPr>
    </w:p>
    <w:p>
      <w:pPr>
        <w:jc w:val="both"/>
        <w:ind w:left="4" w:hanging="4"/>
        <w:spacing w:after="0" w:line="251" w:lineRule="auto"/>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VTAQ having at least $85,000,000 of cash available at the Closing, consisting of cash held in its trust account and the aggregate amount of cash actually invested in (or contributed to) VTAQ pursuant to the Subscription Agreements (as defined below), after giving effect to redemptions of public shares, if any, but before giving effect to the consummation of the Closing and the payment of Presto’s and certain of VTAQ’s outstanding transaction expenses as contemplated by the Merger Agreement (the “Minimum Cash Condition”); (v) the absence of any material adverse effect that is continuing with respect to Presto, between the date of the Merger Agreement and the date of the Closing; and (vi) the shares of common stock of New Presto to be issued in connection with the Business Combination having been approved for listing by the Nasdaq Stock Market LLC subject only to official notice of issuance thereof.</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Termination</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The Merger Agreement may be terminated by VTAQ or Presto under certain circumstances, including, among others, (i) by written consent of VTAQ and Presto, (ii) by either VTAQ or Presto if the Closing has not occurred before August 31, 2022, and (iii) by VTAQ or Presto if VTAQ has not obtained the required approval of its stockholders.</w:t>
      </w:r>
    </w:p>
    <w:p>
      <w:pPr>
        <w:spacing w:after="0" w:line="162" w:lineRule="exact"/>
        <w:rPr>
          <w:sz w:val="20"/>
          <w:szCs w:val="20"/>
          <w:color w:val="auto"/>
        </w:rPr>
      </w:pPr>
    </w:p>
    <w:p>
      <w:pPr>
        <w:jc w:val="both"/>
        <w:ind w:left="4" w:firstLine="574"/>
        <w:spacing w:after="0" w:line="289" w:lineRule="auto"/>
        <w:rPr>
          <w:sz w:val="20"/>
          <w:szCs w:val="20"/>
          <w:color w:val="auto"/>
        </w:rPr>
      </w:pPr>
      <w:r>
        <w:rPr>
          <w:rFonts w:ascii="Arial" w:cs="Arial" w:eastAsia="Arial" w:hAnsi="Arial"/>
          <w:sz w:val="14"/>
          <w:szCs w:val="14"/>
          <w:color w:val="auto"/>
        </w:rPr>
        <w:t>The foregoing description of the Merger Agreement and the Business Combination does not purport to be complete and is qualified in its entirety by the terms and conditions of the Merger Agreement, a copy of which is attached hereto as Exhibit 2.1 and is incorporated herein by reference. The Merger Agreement contains representations, warranties and covenants that the parties to the Merger Agreement made to each other as of the date of the Merger Agreement or other specific dates. The assertions embodied in those representations, warranties and covenants were made for purposes of the contract among the parties and are subject to important qualifications and limitations agreed to by the parties in connection with negotiating the Merger Agreement. The Merger Agreement has been attached to provide investors with information regarding its terms and is not intended to provide any other factual information about VTAQ, Presto or any other party to the Merger Agreement. In particular, the representations, warranties, covenants and agreements contained in the Merger Agreement, which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and reports and documents filed with the U.S. Securities and Exchange Commission (the “SEC”). Investors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VTAQ’s public disclosures.</w:t>
      </w: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9"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color w:val="auto"/>
        </w:rPr>
        <w:t>Subscription Agreements</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VTAQ entered into equity subscription agreements (the “Equity Subscription Agreements”) each dated as of November 10, 2021, with certain accredited investors, pursuant to which, among other things, VTAQ agreed to issue and sell, in private placements to close immediately prior to or substantially concurrently with the Closing, an aggregate of 1,500,000 shares of common stock for $10.00 per share. The Equity Subscription Agreements provide that VTAQ must file a registration statement to register the resale of the subscribed common stock no later than 30 days after the closing date of the Business Combination (the “Closing Date”).</w:t>
      </w:r>
    </w:p>
    <w:p>
      <w:pPr>
        <w:spacing w:after="0" w:line="151"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VTAQ also entered into a convertible note subscription agreement (the “Convertible Note Subscription Agreement” and, together with the Equity Subscription Agreements, the “Subscription Agreements”), each dated as of November 10, 2021, with an institutional accredited investor (collectively, the “Note Investor”), pursuant to which, among other things, VTAQ agreed to issue and sell, in a private placement to close immediately prior to the Closing, an aggregate of $55,000,000 in aggregate principal amount of convertible notes (the “Notes”) and an aggregate of 1,000,000 warrants (the “Note Financing Warrants”).</w:t>
      </w:r>
    </w:p>
    <w:p>
      <w:pPr>
        <w:spacing w:after="0" w:line="15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At any time prior to the close of business on the second trading day immediately preceding the maturity date of the Notes, the Notes will be convertible, at each holder’s option, into shares of common stock of New Presto at an initial conversion price equal to the lesser of (i) $13.00 and (ii) a 30% premium to the lowest per share price at which any equity of VTAQ is issued within 15 days prior to the Closing Date (the “Conversion Rate”). In the event of a conversion in connection with a Fundamental Change (as defined below) or a Company Redemption (as defined below), the Conversion Rate will be increased by a number of additional shares set forth in a usual and customary “make-whole table” to be included in the indenture governing the Notes (the “Indenture”), a copy of which is filed as Exhibit 4.1 hereto, respectively, and is incorporated herein by reference.</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At any time on or after the first anniversary of the issuance of the Notes until the second business day prior to maturity, the Notes will be convertible, in whole but not in part, at VTAQ’s option (a “Mandatory Conversion”) if the closing price of common stock is greater than or equal to 130% of the conversion price of the Notes for 20 trading days during any 30-consecutive-trading-day period ending on day before the notice of the Mandatory Conversion is given. The Conversion Rate in connection with a Mandatory Conversion will be increased by a number of additional shares pursuant to the make-whole table described above.</w:t>
      </w:r>
    </w:p>
    <w:p>
      <w:pPr>
        <w:spacing w:after="0" w:line="151"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In addition, VTAQ may redeem the Notes at any time prior to the 21st trading day before maturity by paying, in cash, the principal, accrued interest, and a premium equal to, (1) through third anniversary, the present value of all remaining scheduled interest payments, computed using a discount rate equal to the Treasury Rate (to be defined in the Indenture) plus 0.50%, and warrants to purchase a number of shares equal to 50% of the number of shares into which the Notes redeemed were convertible, or (2) between third anniversary and maturity, of all remaining scheduled interest payments, computed using a discount rate equal to the Treasury Rate.</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Each holder of a Note will have the right to cause VTAQ to repurchase for cash all or a portion of the Notes held by such holder at any time upon the occurrence of a “fundamental change,” a customary definition of which will be agreed in the Indenture (a “Fundamental Change”), at a repurchase price equal to 100% of the principal amount of such Notes plus accrued and unpaid interest thereon to, but excluding, the repurchase date.</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VTAQ will pay interest on the principal amount of the Notes in cash or in kind, at VTAQ’s election. If VTAQ elects to pay interest in cash (“Cash Interest”), the interest on the Notes will accrue at a rate of 9.0% per annum and be payable in cash. If VTAQ elects to pay interest in kind (“PIK Interest”), the interest on the Notes will be increased to a rate of 11.0% per annum. PIK Interest will be payable either (x) by increasing the principal amount of the outstanding Notes by an amount equal to the amount of PIK Interest for the applicable interest period (rounded up to the nearest $1.00) or (y) if the Notes are no longer held as global notes, by issuing additional Notes in certificated form in an aggregate principal amount equal to the amount of PIK Interest for the period (rounded up to the nearest $1.00). Following an increase in the principal amount of the outstanding Notes as a result of a PIK Interest payment, the Notes will bear interest on such increased principal amount.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4" w:name="page5"/>
    <w:bookmarkEnd w:id="4"/>
    <w:p>
      <w:pPr>
        <w:jc w:val="both"/>
        <w:ind w:right="20" w:firstLine="574"/>
        <w:spacing w:after="0" w:line="275" w:lineRule="auto"/>
        <w:rPr>
          <w:sz w:val="20"/>
          <w:szCs w:val="20"/>
          <w:color w:val="auto"/>
        </w:rPr>
      </w:pPr>
      <w:r>
        <w:rPr>
          <w:rFonts w:ascii="Arial" w:cs="Arial" w:eastAsia="Arial" w:hAnsi="Arial"/>
          <w:sz w:val="16"/>
          <w:szCs w:val="16"/>
          <w:color w:val="auto"/>
        </w:rPr>
        <w:t>Indenture will contain certain customary negative covenants, including limitations on indebtedness, restricted payments, liens, asset sales and transactions with affiliates.</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VTAQ is obligated to register the shares issuable upon conversion of the Notes. VTAQ agreed that, after the consummation of the Business Combination, Presto will file with the SEC a registration statement registering the resale of the shares of VTAQ common stock issuable upon conversion of the Notes.</w:t>
      </w:r>
    </w:p>
    <w:p>
      <w:pPr>
        <w:spacing w:after="0" w:line="129"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Note Financing Warrants have the same terms and conditions as VTAQ’s outstanding publicly held warrants, except that each Note Financing Warrant is exercisable into one whole share of common stock at an exercise price of $11.50 per share. The Note Financing Warrants, like the publicly held warrants, may be redeemed if, among other conditions, the reported last sale price of VTAQ common stock equals or exceeds $16.50 per share, for any 20 trading days within a 30-day trading period ending on the third business day prior to the date of the notice of redemption to warrantholders. The obligations of each party to consummate the transactions contemplated by the Convertible Note Subscription Agreement is conditioned upon, among other things, the entry into an indenture consistent with the terms set forth in the Convertible Note Subscription Agreement and the satisfaction or waiver of the conditions to the Closing. In connection with the execution and delivery of a Convertible Note Subscription Agreement with the lead investor of Notes subscription, Ventoux Acquisition Holdings LLC, a Delaware limited liability company, and Chardan International Investments, LLC, a Delaware limited liability company (together, the “Sponsors”) agreed to transfer, or cause to be transferred, 300,000 shares of Company common stock to a fund managed by such investor at the Closing. VTAQ has granted registration rights to the investors with respect to the Notes, the Note Financing Warrants and the common stock underlying the Notes and the Note Financing Warrants pursuant to the terms of the Amended and Restated Registration Rights Agreement as discussed below under the heading “Amended and Restated Registration Rights Agreement.”</w:t>
      </w:r>
    </w:p>
    <w:p>
      <w:pPr>
        <w:spacing w:after="0" w:line="16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foregoing descriptions of the Subscription Agreements do not purport to be complete and are qualified in their entirety by the terms and conditions of the forms of Indenture, the Equity Subscription Agreement, Convertible Note Subscription Agreement and Form of Amended and Restated Warrant Agreement, copies of which are filed as Exhibit 4.1, Exhibit 10.1, Exhibit 10.2 and Exhibit 10.3 hereto, respectively, and are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Warrant Agreement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At the Closing, New Presto, the Sponsors and Continental Stock Transfer &amp; Trust Company, as warrant agent, will enter into an amended and restated warrant agreement (the “Amended and Restated Warrant Agreement”) to reflect the issuance of the Note Financing Warrants. In addition, the Amended and Restated Warrant Agreement also provides that 600,000 of the Sponsors’ 6,675,000 private placement warrants will be cancelled. Each Note Financing Warrant and each private placement warrant is exercisable for one share of common stock at an exercise price of $11.50 per share.</w:t>
      </w:r>
    </w:p>
    <w:p>
      <w:pPr>
        <w:spacing w:after="0" w:line="165"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The foregoing description of the Amended and Restated Warrant Agreement does not purport to be complete and is qualified in its entirety by the terms and conditions of the Form of Amended and Restated Warrant Agreement, a copy of which is filed as Exhibit 10.3 hereto, respectively,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Registration Rights Agreement</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At the Closing, New Presto, the Sponsors, the Note Investor, certain investors and other holders of Presto capital stock (the “Presto Holders” and together with the Sponsors and the investors, the “Holders”) will enter into an amended and restated registration rights agreement (the “Amended and Restated Registration Rights Agreement”). Pursuant to the terms of the Amended and Restated Registration Rights Agreement, New Presto will be obligated to file a registration statement to register the resale of certain securities of New Presto held by the Holders. The Amended and Restated Registration Rights Agreement also provides the Holders with certain “demand” and “piggy-back” registration rights, subject to certain requirements and customary conditions.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foregoing description of the Amended and Restated Registration Rights Agreement does not purport to be complete and is qualified in its entirety by the terms and conditions of the Form of Amended and Restated Registration Rights Agreement, a copy of which is filed as Exhibit 10.4 hereto, respectively, and is incorporated herein by reference.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5" w:name="page6"/>
    <w:bookmarkEnd w:id="5"/>
    <w:p>
      <w:pPr>
        <w:ind w:left="4"/>
        <w:spacing w:after="0"/>
        <w:rPr>
          <w:sz w:val="20"/>
          <w:szCs w:val="20"/>
          <w:color w:val="auto"/>
        </w:rPr>
      </w:pPr>
      <w:r>
        <w:rPr>
          <w:rFonts w:ascii="Arial" w:cs="Arial" w:eastAsia="Arial" w:hAnsi="Arial"/>
          <w:sz w:val="16"/>
          <w:szCs w:val="16"/>
          <w:i w:val="1"/>
          <w:iCs w:val="1"/>
          <w:color w:val="auto"/>
        </w:rPr>
        <w:t>Sponsor Support Agreement</w:t>
      </w:r>
    </w:p>
    <w:p>
      <w:pPr>
        <w:spacing w:after="0" w:line="198" w:lineRule="exact"/>
        <w:rPr>
          <w:sz w:val="20"/>
          <w:szCs w:val="20"/>
          <w:color w:val="auto"/>
        </w:rPr>
      </w:pPr>
    </w:p>
    <w:p>
      <w:pPr>
        <w:jc w:val="both"/>
        <w:ind w:left="4" w:firstLine="574"/>
        <w:spacing w:after="0" w:line="306" w:lineRule="auto"/>
        <w:rPr>
          <w:sz w:val="20"/>
          <w:szCs w:val="20"/>
          <w:color w:val="auto"/>
        </w:rPr>
      </w:pPr>
      <w:r>
        <w:rPr>
          <w:rFonts w:ascii="Arial" w:cs="Arial" w:eastAsia="Arial" w:hAnsi="Arial"/>
          <w:sz w:val="14"/>
          <w:szCs w:val="14"/>
          <w:color w:val="auto"/>
        </w:rPr>
        <w:t>In connection with the execution of the Merger Agreement, the Sponsors, Presto’s directors and officers and certain affiliates of the Sponsors (together, the “Sponsor Parties”) entered into a Sponsor Support Agreement (the “Sponsor Agreement”) with VTAQ and Presto, pursuant to which the Sponsor Parties agreed, among other things, to vote all shares of VTAQ common stock beneficially owned by them in favor of each of the proposals at the VTAQ Special Meeting and against any proposal that would impede the Business Combination. The Sponsor Agreement also provides that the Sponsor Parties will not redeem any shares of VTAQ common stock.</w:t>
      </w:r>
    </w:p>
    <w:p>
      <w:pPr>
        <w:spacing w:after="0" w:line="135" w:lineRule="exact"/>
        <w:rPr>
          <w:sz w:val="20"/>
          <w:szCs w:val="20"/>
          <w:color w:val="auto"/>
        </w:rPr>
      </w:pPr>
    </w:p>
    <w:p>
      <w:pPr>
        <w:jc w:val="both"/>
        <w:ind w:left="4" w:right="20" w:firstLine="574"/>
        <w:spacing w:after="0" w:line="301" w:lineRule="auto"/>
        <w:rPr>
          <w:sz w:val="20"/>
          <w:szCs w:val="20"/>
          <w:color w:val="auto"/>
        </w:rPr>
      </w:pPr>
      <w:r>
        <w:rPr>
          <w:rFonts w:ascii="Arial" w:cs="Arial" w:eastAsia="Arial" w:hAnsi="Arial"/>
          <w:sz w:val="14"/>
          <w:szCs w:val="14"/>
          <w:color w:val="auto"/>
        </w:rPr>
        <w:t>The Sponsor Parties agreed to subject the founder shares they acquired prior to the VTAQ initial public offering to lock-up restrictions. During the period beginning on the Closing Date until the period beginning on the Closing Date to six months after the Closing Date, the Sponsor Parties may not transfer any of its, his or her founder shares, and during the period beginning on the date that is six months after the Closing Date to 12 twelve months after the Closing Date, the Sponsor Parties may only transfer up to 50% of its, his or her founder shares, in each case except for certain limited permitted transfers. In addition, the Sponsor Parties agreed that they will not transfer any privately placed warrants, acquired prior to the VTAQ initial public offering, during the period from the Closing Date to 12 months after the Closing Date.</w:t>
      </w:r>
    </w:p>
    <w:p>
      <w:pPr>
        <w:spacing w:after="0" w:line="138" w:lineRule="exact"/>
        <w:rPr>
          <w:sz w:val="20"/>
          <w:szCs w:val="20"/>
          <w:color w:val="auto"/>
        </w:rPr>
      </w:pPr>
    </w:p>
    <w:p>
      <w:pPr>
        <w:jc w:val="both"/>
        <w:ind w:left="4" w:firstLine="574"/>
        <w:spacing w:after="0" w:line="288" w:lineRule="auto"/>
        <w:rPr>
          <w:sz w:val="20"/>
          <w:szCs w:val="20"/>
          <w:color w:val="auto"/>
        </w:rPr>
      </w:pPr>
      <w:r>
        <w:rPr>
          <w:rFonts w:ascii="Arial" w:cs="Arial" w:eastAsia="Arial" w:hAnsi="Arial"/>
          <w:sz w:val="14"/>
          <w:szCs w:val="14"/>
          <w:color w:val="auto"/>
        </w:rPr>
        <w:t>The Sponsors also agreed to subject their founder shares to vesting and forfeiture provisions as set forth in the Sponsor Agreement based on the number of public shares redeemed at the closing of the Business Combination (such shares, the “Sponsors’ Earnout Shares”). Pursuant to the Sponsor Agreement, at the Closing, (i) in the case of redemptions of public shares of 90% or more, 15% of the Sponsors’ founder shares that are owned immediately after the Closing will be subject to vesting, (ii) in the case of redemptions of public shares of between 80% and 90%, 10% of the Sponsors’ founder shares that are owned immediately after the Closing will be subject to vesting, (iii) in the case of redemptions of public shares of between 70% and 80%, 5% of the Sponsors’ founder shares that are owned immediately after the Closing will be subject to vesting and</w:t>
      </w:r>
    </w:p>
    <w:p>
      <w:pPr>
        <w:spacing w:after="0" w:line="3" w:lineRule="exact"/>
        <w:rPr>
          <w:sz w:val="20"/>
          <w:szCs w:val="20"/>
          <w:color w:val="auto"/>
        </w:rPr>
      </w:pPr>
    </w:p>
    <w:p>
      <w:pPr>
        <w:jc w:val="both"/>
        <w:ind w:left="4" w:right="20" w:hanging="4"/>
        <w:spacing w:after="0" w:line="254" w:lineRule="auto"/>
        <w:tabs>
          <w:tab w:leader="none" w:pos="28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case of redemptions of public shares of less than 70%, none of the Sponsors’ founder shares will be subject to vesting. The Sponsors’ Earnout Shares will vest if, during the period from and after the Closing until the fifth anniversary of the Closing, the VWAP of New Presto common stock is greater than or equal to $12.50 for any 40 trading days within a period of 60 consecutive trading days.</w:t>
      </w:r>
    </w:p>
    <w:p>
      <w:pPr>
        <w:spacing w:after="0" w:line="168"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foregoing description of the Sponsor Agreement does not purport to be complete and is qualified in its entirety by the terms and conditions of the Sponsor Agreement filed as Exhibit 10.5 hereto and incorporated herein by reference.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Presto Stockholder Support Agreement</w:t>
      </w:r>
    </w:p>
    <w:p>
      <w:pPr>
        <w:spacing w:after="0" w:line="198" w:lineRule="exact"/>
        <w:rPr>
          <w:sz w:val="20"/>
          <w:szCs w:val="20"/>
          <w:color w:val="auto"/>
        </w:rPr>
      </w:pPr>
    </w:p>
    <w:p>
      <w:pPr>
        <w:jc w:val="both"/>
        <w:ind w:left="4" w:firstLine="626"/>
        <w:spacing w:after="0" w:line="258" w:lineRule="auto"/>
        <w:rPr>
          <w:sz w:val="20"/>
          <w:szCs w:val="20"/>
          <w:color w:val="auto"/>
        </w:rPr>
      </w:pPr>
      <w:r>
        <w:rPr>
          <w:rFonts w:ascii="Arial" w:cs="Arial" w:eastAsia="Arial" w:hAnsi="Arial"/>
          <w:sz w:val="16"/>
          <w:szCs w:val="16"/>
          <w:color w:val="auto"/>
        </w:rPr>
        <w:t>In connection with the execution of the Merger Agreement, certain stockholders of Presto (collectively, the “Presto Supporting Stockholders”) entered into support agreements (collectively, the “Stockholder Support Agreements”), pursuant to which each Presto Supporting Stockholder agreed to, among other things, vote in favor of the Merger Agreement and the transactions contemplated thereby (including the Business Combination), not to transfer his, her or its Presto shares prior to the Closing Date, and to execute the Amended and Restated Registration Rights Agreement (as defined below) at the Closing Date.</w:t>
      </w:r>
    </w:p>
    <w:p>
      <w:pPr>
        <w:spacing w:after="0" w:line="165" w:lineRule="exact"/>
        <w:rPr>
          <w:sz w:val="20"/>
          <w:szCs w:val="20"/>
          <w:color w:val="auto"/>
        </w:rPr>
      </w:pPr>
    </w:p>
    <w:p>
      <w:pPr>
        <w:jc w:val="both"/>
        <w:ind w:left="4" w:firstLine="574"/>
        <w:spacing w:after="0" w:line="258" w:lineRule="auto"/>
        <w:rPr>
          <w:sz w:val="20"/>
          <w:szCs w:val="20"/>
          <w:color w:val="auto"/>
        </w:rPr>
      </w:pPr>
      <w:r>
        <w:rPr>
          <w:rFonts w:ascii="Arial" w:cs="Arial" w:eastAsia="Arial" w:hAnsi="Arial"/>
          <w:sz w:val="16"/>
          <w:szCs w:val="16"/>
          <w:color w:val="auto"/>
        </w:rPr>
        <w:t>The Presto Stockholder Support Agreements provide that during the period beginning on the Closing Date and ending on the date that is six months after the Closing Date, the Presto Supporting Stockholders may not transfer any of their shares of New Presto common stock, and during the period beginning on the date that is six months after the Closing Date and ending on the date that is 12 months after the Closing Date, the Presto Supporting Stockholders may only transfer up to 50% of their New Presto common stock, in each case, except for certain limited permitted transfers.</w:t>
      </w:r>
    </w:p>
    <w:p>
      <w:pPr>
        <w:spacing w:after="0" w:line="165" w:lineRule="exact"/>
        <w:rPr>
          <w:sz w:val="20"/>
          <w:szCs w:val="20"/>
          <w:color w:val="auto"/>
        </w:rPr>
      </w:pPr>
    </w:p>
    <w:p>
      <w:pPr>
        <w:jc w:val="both"/>
        <w:ind w:left="4" w:firstLine="574"/>
        <w:spacing w:after="0" w:line="309" w:lineRule="auto"/>
        <w:rPr>
          <w:sz w:val="20"/>
          <w:szCs w:val="20"/>
          <w:color w:val="auto"/>
        </w:rPr>
      </w:pPr>
      <w:r>
        <w:rPr>
          <w:rFonts w:ascii="Arial" w:cs="Arial" w:eastAsia="Arial" w:hAnsi="Arial"/>
          <w:sz w:val="15"/>
          <w:szCs w:val="15"/>
          <w:color w:val="auto"/>
        </w:rPr>
        <w:t>The foregoing description of the Stockholder Support Agreements does not purport to be complete and is qualified in its entirety by the terms and conditions of the Stockholder Support Agreements, a form of which is attached as Exhibit 10.6 hereto, and the terms of which are incorporated herein by reference.</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629"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color w:val="auto"/>
        </w:rPr>
        <w:t>Governance Agreement</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At the Closing, New Presto, Rajat Suri, REMUS Capital, an affiliate of Presto, and certain other parties set forth therein, will enter into a Governance Agreement (the “Governance Agreement”) to provide for certain governance rights and address certain governance matters relating to New Presto. The Governance Agreement will provide REMUS Capital the right to designate a replacement New Presto director if a director appointed within class I of the board is removed within one year of Closing and also will provide each of Mr. Suri and REMUS Capital with the right to nominate one individual to the New Presto board of directors, subject to certain qualifications, requirements and exceptions as set forth therein.</w:t>
      </w:r>
    </w:p>
    <w:p>
      <w:pPr>
        <w:spacing w:after="0" w:line="170"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foregoing description of the Governance Agreement does not purport to be complete and is qualified in its entirety by the terms and conditions of the Governance Agreement, a form of which is attached as Exhibit 10.7 hereto, and the terms of which are incorporated herein by reference.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The disclosure set forth above in Item 1.01 of this Current Report on Form 8-K under the headings “Subscription Agreements” is incorporated by reference herein. The shares of common stock to be issued and sold pursuant to the Equity Subscription Agreements, the Notes and warrants issued pursuant to the Convertible Note Subscription Agreement, the shares of common stock issuable upon conversion of the Notes and the exercise of the warrants will not be registered under the Securities Act of 1933, as amended (the “Securities Act”), in reliance on the exemption from registration provided by Section 4(a)(2) of the Securities Act and/or Regulation D promulgated thereunder.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November 10, 2021, VTAQ issued a press release announcing the execution of the Merger Agreement and other matters relating to the Business Combination and Presto. The press release is attached hereto as Exhibit 99.1 and incorporated herein by reference.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Attached as Exhibit 99.2 hereto and incorporated herein by reference is the investor presentation dated November 2021, which will be used by VTAQ with respect to the Business Combination.</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On November 10, 2021, VTAQ and Presto made a webcast available on their respective websites in which members of their respective managements discussed the Business Combination (the “Webcast”). A copy of the transcript for the Webcast is attached hereto as Exhibit 99.3 and is incorporated herein by reference.</w:t>
      </w:r>
    </w:p>
    <w:p>
      <w:pPr>
        <w:spacing w:after="0" w:line="129"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information in this Item 7.01, including Exhibits 99.1, 99.2 and 99.3 are furnished and shall not be deemed “filed” for purposes of Section 18 of the Securities Exchange Act of 1934, as amended (the “Exchange Act”), or otherwise subject to liabilities under that section, and shall not be deemed to be incorporated by reference into the filings of VTAQ under the Securities Act or the Exchange Act, regardless of any general incorporation language in such filings. This Current Report on Form 8-K will not be deemed an admission as to the materiality of any information of the information in this Item 7.01, including Exhibits 99.1, 99.2 and 99.3.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Information and Where to Find It</w:t>
      </w:r>
    </w:p>
    <w:p>
      <w:pPr>
        <w:spacing w:after="0" w:line="19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In connection with the Business Combination, VTAQ intends to file a registration statement, which will include a preliminary proxy statement/prospectus, with the SEC. The proxy statement/prospectus will be sent to stockholders of VTAQ. This Current Report on Form 8-K is not a substitute for the proxy statement/prospectus.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VTAQ, THE BUSINESS COMBINATION AND RELATED MATTERS. The documents filed or that will be filed with the SEC relating to the Business Combination (when they are available) can be obtained free of charge from the SEC’s website at www.sec.gov. These documents (when they are available) can also be obtained free of charge from VTAQ upon written request at Ventoux CCM Acquisition Corp., 1 East Putnam Avenue, Floor 4, Greenwich, CT 06830.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Participants in Solicitation</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Current Report on Form 8-K is not a solicitation of a proxy from any investor or security holder. However, VTAQ, Presto, and certain of their directors and executive officers may be deemed to be participants in the solicitation of proxies in connection with the proposed business combination under the rules of the SEC. Information about VTAQ’s directors and executive officers and their ownership of VTAQ’s securities is set forth in filings with the SEC, including VTAQ’s Annual Report on Form 10-K filed with the SEC on March 30, 2021 and amended on June 22, 2021. To the extent that holdings of VTAQ’s securities have changed since the amounts included in VTAQ’s Annual Report on Form 10-K, such changes have been or will be reflected on Statements of Changes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This Current Report on Form 8-K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VTAQ, Presto and New Presto, VTAQ’s and Presto’s estimated future results and the proposed business combination,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59"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In addition to factors previously disclosed or that will be disclosed in VTAQ’s reports filed with the SEC and those identified elsewhere in this Current Report on Form 8-K,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VTAQ, Presto, VTAQ or others following the announcement of the Business Combination and any definitive agreements with respect thereto; (3) the inability to complete the Business Combination due to the failure to obtain approval of the stockholders of VTAQ or Presto; (4) the inability of Presto to satisfy other conditions to closing; (5) changes to the proposed structure of the Business Combination that may be required or appropriate as a result of applicable laws or regulations or as a condition to obtaining regulatory approval of the Business Combination; (6) the ability to meet stock exchange listing standards in connection with and following the consummation of the Business Combination; (7) the risk that the Business Combination disrupts current plans and operations of Presto as a result of the announcement and consummation of the Business Combination; (8) the ability to recognize the anticipated benefits of the Business Combination, which may be affected by, among other things, competition, the ability of VTAQ to grow and manage growth profitably, grow its customer base, maintain relationships with customers and suppliers and retain its management and key employees; (9) the impact of the COVID-19 pandemic on the business of Presto and VTAQ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the Business Combination; (13) changes in applicable laws or regulations; (14) the possibility that Presto or VTAQ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8" w:name="page9"/>
    <w:bookmarkEnd w:id="8"/>
    <w:p>
      <w:pPr>
        <w:jc w:val="both"/>
        <w:ind w:firstLine="574"/>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VTAQ and Presto or the date of such information in the case of information from persons other than VTAQ and Presto, and we disclaim any intention or obligation to update any forward-looking statements as a result of developments occurring after the date of this Current Report on Form 8-K.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Offer or Solicitation</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Current Report on Form 8-K is not intended to and shall not constitute a proxy statement or the solicitation of a proxy, consent or authorization with respect to any securities in respect of the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9"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 w:type="dxa"/>
            <w:vAlign w:val="bottom"/>
          </w:tcPr>
          <w:p>
            <w:pPr>
              <w:spacing w:after="0"/>
              <w:rPr>
                <w:sz w:val="17"/>
                <w:szCs w:val="17"/>
                <w:color w:val="auto"/>
              </w:rPr>
            </w:pPr>
          </w:p>
        </w:tc>
        <w:tc>
          <w:tcPr>
            <w:tcW w:w="10700" w:type="dxa"/>
            <w:vAlign w:val="bottom"/>
            <w:gridSpan w:val="17"/>
          </w:tcPr>
          <w:p>
            <w:pPr>
              <w:spacing w:after="0"/>
              <w:rPr>
                <w:sz w:val="20"/>
                <w:szCs w:val="20"/>
                <w:color w:val="auto"/>
              </w:rPr>
            </w:pPr>
            <w:r>
              <w:rPr>
                <w:rFonts w:ascii="Arial" w:cs="Arial" w:eastAsia="Arial" w:hAnsi="Arial"/>
                <w:sz w:val="16"/>
                <w:szCs w:val="16"/>
                <w:color w:val="auto"/>
              </w:rPr>
              <w:t>(d) Exhibits.</w:t>
            </w:r>
          </w:p>
        </w:tc>
      </w:tr>
      <w:tr>
        <w:trPr>
          <w:trHeight w:val="366"/>
        </w:trPr>
        <w:tc>
          <w:tcPr>
            <w:tcW w:w="56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Number</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120" w:type="dxa"/>
            <w:vAlign w:val="bottom"/>
            <w:tcBorders>
              <w:bottom w:val="single" w:sz="8" w:color="auto"/>
            </w:tcBorders>
            <w:gridSpan w:val="15"/>
          </w:tcPr>
          <w:p>
            <w:pPr>
              <w:spacing w:after="0"/>
              <w:rPr>
                <w:sz w:val="20"/>
                <w:szCs w:val="20"/>
                <w:color w:val="auto"/>
              </w:rPr>
            </w:pPr>
            <w:r>
              <w:rPr>
                <w:rFonts w:ascii="Arial" w:cs="Arial" w:eastAsia="Arial" w:hAnsi="Arial"/>
                <w:sz w:val="16"/>
                <w:szCs w:val="16"/>
                <w:b w:val="1"/>
                <w:bCs w:val="1"/>
                <w:color w:val="auto"/>
              </w:rPr>
              <w:t>Description</w:t>
            </w:r>
          </w:p>
        </w:tc>
      </w:tr>
      <w:tr>
        <w:trPr>
          <w:trHeight w:val="207"/>
        </w:trPr>
        <w:tc>
          <w:tcPr>
            <w:tcW w:w="560" w:type="dxa"/>
            <w:vAlign w:val="bottom"/>
            <w:tcBorders>
              <w:bottom w:val="single" w:sz="8" w:color="CCEEFF"/>
            </w:tcBorders>
            <w:shd w:val="clear" w:color="auto" w:fill="CCEEFF"/>
          </w:tcPr>
          <w:p>
            <w:pPr>
              <w:spacing w:after="0" w:line="191" w:lineRule="exact"/>
              <w:rPr>
                <w:sz w:val="20"/>
                <w:szCs w:val="20"/>
                <w:color w:val="auto"/>
              </w:rPr>
            </w:pPr>
            <w:r>
              <w:rPr>
                <w:rFonts w:ascii="Arial" w:cs="Arial" w:eastAsia="Arial" w:hAnsi="Arial"/>
                <w:sz w:val="14"/>
                <w:szCs w:val="14"/>
                <w:color w:val="auto"/>
              </w:rPr>
              <w:t>2.1</w:t>
            </w:r>
            <w:r>
              <w:rPr>
                <w:rFonts w:ascii="Arial" w:cs="Arial" w:eastAsia="Arial" w:hAnsi="Arial"/>
                <w:sz w:val="22"/>
                <w:szCs w:val="22"/>
                <w:color w:val="auto"/>
                <w:vertAlign w:val="superscript"/>
              </w:rPr>
              <w:t>†</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100" w:type="dxa"/>
            <w:vAlign w:val="bottom"/>
            <w:tcBorders>
              <w:bottom w:val="single" w:sz="8" w:color="0000EE"/>
            </w:tcBorders>
            <w:gridSpan w:val="12"/>
            <w:shd w:val="clear" w:color="auto" w:fill="CCEEFF"/>
          </w:tcPr>
          <w:p>
            <w:pPr>
              <w:spacing w:after="0"/>
              <w:rPr>
                <w:rFonts w:ascii="Arial" w:cs="Arial" w:eastAsia="Arial" w:hAnsi="Arial"/>
                <w:sz w:val="16"/>
                <w:szCs w:val="16"/>
                <w:color w:val="0000EE"/>
                <w:w w:val="90"/>
              </w:rPr>
            </w:pPr>
            <w:hyperlink w:anchor="page12">
              <w:r>
                <w:rPr>
                  <w:rFonts w:ascii="Arial" w:cs="Arial" w:eastAsia="Arial" w:hAnsi="Arial"/>
                  <w:sz w:val="16"/>
                  <w:szCs w:val="16"/>
                  <w:color w:val="0000EE"/>
                  <w:w w:val="90"/>
                </w:rPr>
                <w:t>Merger Agreement, dated as of November 10, 2021, by and among VTAQ, Ventoux Merger Sub Inc., Ventoux Merger Sub II, LLC and Presto.</w:t>
              </w:r>
            </w:hyperlink>
          </w:p>
        </w:tc>
        <w:tc>
          <w:tcPr>
            <w:tcW w:w="1020" w:type="dxa"/>
            <w:vAlign w:val="bottom"/>
            <w:tcBorders>
              <w:bottom w:val="single" w:sz="8" w:color="CCEEFF"/>
            </w:tcBorders>
            <w:gridSpan w:val="3"/>
            <w:shd w:val="clear" w:color="auto" w:fill="CCEEFF"/>
          </w:tcPr>
          <w:p>
            <w:pPr>
              <w:spacing w:after="0"/>
              <w:rPr>
                <w:sz w:val="18"/>
                <w:szCs w:val="18"/>
                <w:color w:val="auto"/>
              </w:rPr>
            </w:pPr>
          </w:p>
        </w:tc>
      </w:tr>
      <w:tr>
        <w:trPr>
          <w:trHeight w:val="163"/>
        </w:trPr>
        <w:tc>
          <w:tcPr>
            <w:tcW w:w="560" w:type="dxa"/>
            <w:vAlign w:val="bottom"/>
          </w:tcPr>
          <w:p>
            <w:pPr>
              <w:spacing w:after="0" w:line="155" w:lineRule="exact"/>
              <w:rPr>
                <w:sz w:val="20"/>
                <w:szCs w:val="20"/>
                <w:color w:val="auto"/>
              </w:rPr>
            </w:pPr>
            <w:r>
              <w:rPr>
                <w:rFonts w:ascii="Arial" w:cs="Arial" w:eastAsia="Arial" w:hAnsi="Arial"/>
                <w:sz w:val="16"/>
                <w:szCs w:val="16"/>
                <w:color w:val="auto"/>
              </w:rPr>
              <w:t>4.1*</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104">
              <w:r>
                <w:rPr>
                  <w:rFonts w:ascii="Arial" w:cs="Arial" w:eastAsia="Arial" w:hAnsi="Arial"/>
                  <w:sz w:val="16"/>
                  <w:szCs w:val="16"/>
                  <w:color w:val="0000EE"/>
                </w:rPr>
                <w:t>Form of Indenture, by and among VTAQ, the guarantors from time to time party thereto and U.S. Bank, National Association, as trustee.</w:t>
              </w:r>
            </w:hyperlink>
          </w:p>
        </w:tc>
      </w:tr>
      <w:tr>
        <w:trPr>
          <w:trHeight w:val="179"/>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4.2</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700" w:type="dxa"/>
            <w:vAlign w:val="bottom"/>
            <w:tcBorders>
              <w:top w:val="single" w:sz="8" w:color="0000EE"/>
            </w:tcBorders>
            <w:gridSpan w:val="11"/>
            <w:shd w:val="clear" w:color="auto" w:fill="CCEEFF"/>
          </w:tcPr>
          <w:p>
            <w:pPr>
              <w:spacing w:after="0" w:line="163" w:lineRule="exact"/>
              <w:rPr>
                <w:rFonts w:ascii="Arial" w:cs="Arial" w:eastAsia="Arial" w:hAnsi="Arial"/>
                <w:sz w:val="16"/>
                <w:szCs w:val="16"/>
                <w:color w:val="0000EE"/>
              </w:rPr>
            </w:pPr>
            <w:hyperlink w:anchor="page104">
              <w:r>
                <w:rPr>
                  <w:rFonts w:ascii="Arial" w:cs="Arial" w:eastAsia="Arial" w:hAnsi="Arial"/>
                  <w:sz w:val="16"/>
                  <w:szCs w:val="16"/>
                  <w:color w:val="0000EE"/>
                </w:rPr>
                <w:t>Form of 9.0%/11.0% Convertible Senior PIK Toggle Note due 2026 (included as Exhibit A to Exhibit 4.1 of this Form 8-K).</w:t>
              </w:r>
            </w:hyperlink>
          </w:p>
        </w:tc>
        <w:tc>
          <w:tcPr>
            <w:tcW w:w="1420" w:type="dxa"/>
            <w:vAlign w:val="bottom"/>
            <w:gridSpan w:val="4"/>
            <w:shd w:val="clear" w:color="auto" w:fill="CCEEFF"/>
          </w:tcPr>
          <w:p>
            <w:pPr>
              <w:spacing w:after="0"/>
              <w:rPr>
                <w:sz w:val="15"/>
                <w:szCs w:val="15"/>
                <w:color w:val="auto"/>
              </w:rPr>
            </w:pPr>
          </w:p>
        </w:tc>
      </w:tr>
      <w:tr>
        <w:trPr>
          <w:trHeight w:val="155"/>
        </w:trPr>
        <w:tc>
          <w:tcPr>
            <w:tcW w:w="56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10.1*</w:t>
            </w:r>
          </w:p>
        </w:tc>
        <w:tc>
          <w:tcPr>
            <w:tcW w:w="4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920" w:type="dxa"/>
            <w:vAlign w:val="bottom"/>
            <w:tcBorders>
              <w:top w:val="single" w:sz="8" w:color="0000EE"/>
            </w:tcBorders>
            <w:gridSpan w:val="10"/>
          </w:tcPr>
          <w:p>
            <w:pPr>
              <w:spacing w:after="0" w:line="155" w:lineRule="exact"/>
              <w:rPr>
                <w:rFonts w:ascii="Arial" w:cs="Arial" w:eastAsia="Arial" w:hAnsi="Arial"/>
                <w:sz w:val="16"/>
                <w:szCs w:val="16"/>
                <w:color w:val="0000EE"/>
              </w:rPr>
            </w:pPr>
            <w:hyperlink w:anchor="page204">
              <w:r>
                <w:rPr>
                  <w:rFonts w:ascii="Arial" w:cs="Arial" w:eastAsia="Arial" w:hAnsi="Arial"/>
                  <w:sz w:val="16"/>
                  <w:szCs w:val="16"/>
                  <w:color w:val="0000EE"/>
                </w:rPr>
                <w:t>Form of Equity Subscription Agreement.</w:t>
              </w:r>
            </w:hyperlink>
          </w:p>
        </w:tc>
        <w:tc>
          <w:tcPr>
            <w:tcW w:w="2200" w:type="dxa"/>
            <w:vAlign w:val="bottom"/>
            <w:tcBorders>
              <w:top w:val="single" w:sz="8" w:color="CCEEFF"/>
            </w:tcBorders>
            <w:gridSpan w:val="5"/>
          </w:tcPr>
          <w:p>
            <w:pPr>
              <w:spacing w:after="0"/>
              <w:rPr>
                <w:sz w:val="13"/>
                <w:szCs w:val="13"/>
                <w:color w:val="auto"/>
              </w:rPr>
            </w:pPr>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225">
              <w:r>
                <w:rPr>
                  <w:rFonts w:ascii="Arial" w:cs="Arial" w:eastAsia="Arial" w:hAnsi="Arial"/>
                  <w:sz w:val="16"/>
                  <w:szCs w:val="16"/>
                  <w:color w:val="0000EE"/>
                </w:rPr>
                <w:t>Form of Convertible Note Subscription Agreement.</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251">
              <w:r>
                <w:rPr>
                  <w:rFonts w:ascii="Arial" w:cs="Arial" w:eastAsia="Arial" w:hAnsi="Arial"/>
                  <w:sz w:val="16"/>
                  <w:szCs w:val="16"/>
                  <w:color w:val="0000EE"/>
                </w:rPr>
                <w:t>Form of Amended and Restated Warrant Agreement.</w:t>
              </w:r>
            </w:hyperlink>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270">
              <w:r>
                <w:rPr>
                  <w:rFonts w:ascii="Arial" w:cs="Arial" w:eastAsia="Arial" w:hAnsi="Arial"/>
                  <w:sz w:val="16"/>
                  <w:szCs w:val="16"/>
                  <w:color w:val="0000EE"/>
                </w:rPr>
                <w:t>Form of Amended and Restated Registration Rights Agreement.</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10.5</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w w:val="92"/>
              </w:rPr>
            </w:pPr>
            <w:hyperlink w:anchor="page303">
              <w:r>
                <w:rPr>
                  <w:rFonts w:ascii="Arial" w:cs="Arial" w:eastAsia="Arial" w:hAnsi="Arial"/>
                  <w:sz w:val="16"/>
                  <w:szCs w:val="16"/>
                  <w:color w:val="0000EE"/>
                  <w:w w:val="92"/>
                </w:rPr>
                <w:t>Sponsor Support Agreement, dated as of November 10, 2021, by and among Ventoux CCM Sponsor LLC, Chardan International Investments, LLC, VTAQ</w:t>
              </w:r>
            </w:hyperlink>
          </w:p>
        </w:tc>
      </w:tr>
      <w:tr>
        <w:trPr>
          <w:trHeight w:val="179"/>
        </w:trPr>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top w:val="single" w:sz="8" w:color="0000EE"/>
              <w:bottom w:val="single" w:sz="8" w:color="0000EE"/>
            </w:tcBorders>
          </w:tcPr>
          <w:p>
            <w:pPr>
              <w:spacing w:after="0" w:line="171" w:lineRule="exact"/>
              <w:rPr>
                <w:rFonts w:ascii="Arial" w:cs="Arial" w:eastAsia="Arial" w:hAnsi="Arial"/>
                <w:sz w:val="16"/>
                <w:szCs w:val="16"/>
                <w:color w:val="0000EE"/>
                <w:w w:val="83"/>
              </w:rPr>
            </w:pPr>
            <w:hyperlink w:anchor="page303">
              <w:r>
                <w:rPr>
                  <w:rFonts w:ascii="Arial" w:cs="Arial" w:eastAsia="Arial" w:hAnsi="Arial"/>
                  <w:sz w:val="16"/>
                  <w:szCs w:val="16"/>
                  <w:color w:val="0000EE"/>
                  <w:w w:val="83"/>
                </w:rPr>
                <w:t>and Presto.</w:t>
              </w:r>
            </w:hyperlink>
          </w:p>
        </w:tc>
        <w:tc>
          <w:tcPr>
            <w:tcW w:w="940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179"/>
        </w:trPr>
        <w:tc>
          <w:tcPr>
            <w:tcW w:w="56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10.6</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13"/>
            <w:shd w:val="clear" w:color="auto" w:fill="CCEEFF"/>
          </w:tcPr>
          <w:p>
            <w:pPr>
              <w:spacing w:after="0" w:line="163" w:lineRule="exact"/>
              <w:rPr>
                <w:rFonts w:ascii="Arial" w:cs="Arial" w:eastAsia="Arial" w:hAnsi="Arial"/>
                <w:sz w:val="16"/>
                <w:szCs w:val="16"/>
                <w:color w:val="0000EE"/>
                <w:w w:val="89"/>
              </w:rPr>
            </w:pPr>
            <w:hyperlink w:anchor="page320">
              <w:r>
                <w:rPr>
                  <w:rFonts w:ascii="Arial" w:cs="Arial" w:eastAsia="Arial" w:hAnsi="Arial"/>
                  <w:sz w:val="16"/>
                  <w:szCs w:val="16"/>
                  <w:color w:val="0000EE"/>
                  <w:w w:val="89"/>
                </w:rPr>
                <w:t>Form of Presto Stockholder Support Agreement, dated as of November 10, 2021, by and among certain stockholders of Presto, VTAQ and Presto.</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6"/>
                <w:szCs w:val="16"/>
                <w:color w:val="auto"/>
              </w:rPr>
              <w:t>10.7</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20" w:type="dxa"/>
            <w:vAlign w:val="bottom"/>
            <w:gridSpan w:val="15"/>
          </w:tcPr>
          <w:p>
            <w:pPr>
              <w:spacing w:after="0" w:line="155" w:lineRule="exact"/>
              <w:rPr>
                <w:rFonts w:ascii="Arial" w:cs="Arial" w:eastAsia="Arial" w:hAnsi="Arial"/>
                <w:sz w:val="16"/>
                <w:szCs w:val="16"/>
                <w:color w:val="0000EE"/>
              </w:rPr>
            </w:pPr>
            <w:hyperlink w:anchor="page337">
              <w:r>
                <w:rPr>
                  <w:rFonts w:ascii="Arial" w:cs="Arial" w:eastAsia="Arial" w:hAnsi="Arial"/>
                  <w:sz w:val="16"/>
                  <w:szCs w:val="16"/>
                  <w:color w:val="0000EE"/>
                </w:rPr>
                <w:t>Form of Governance Agreement.</w:t>
              </w:r>
            </w:hyperlink>
          </w:p>
        </w:tc>
      </w:tr>
      <w:tr>
        <w:trPr>
          <w:trHeight w:val="28"/>
        </w:trPr>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40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56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0000EE"/>
            </w:tcBorders>
            <w:gridSpan w:val="4"/>
            <w:shd w:val="clear" w:color="auto" w:fill="CCEEFF"/>
          </w:tcPr>
          <w:p>
            <w:pPr>
              <w:spacing w:after="0" w:line="163" w:lineRule="exact"/>
              <w:rPr>
                <w:rFonts w:ascii="Arial" w:cs="Arial" w:eastAsia="Arial" w:hAnsi="Arial"/>
                <w:sz w:val="16"/>
                <w:szCs w:val="16"/>
                <w:color w:val="0000EE"/>
                <w:w w:val="86"/>
              </w:rPr>
            </w:pPr>
            <w:hyperlink w:anchor="page348">
              <w:r>
                <w:rPr>
                  <w:rFonts w:ascii="Arial" w:cs="Arial" w:eastAsia="Arial" w:hAnsi="Arial"/>
                  <w:sz w:val="16"/>
                  <w:szCs w:val="16"/>
                  <w:color w:val="0000EE"/>
                  <w:w w:val="86"/>
                </w:rPr>
                <w:t>Press Release, dated November 10, 2021.</w:t>
              </w:r>
            </w:hyperlink>
          </w:p>
        </w:tc>
        <w:tc>
          <w:tcPr>
            <w:tcW w:w="7480" w:type="dxa"/>
            <w:vAlign w:val="bottom"/>
            <w:tcBorders>
              <w:bottom w:val="single" w:sz="8" w:color="CCEEFF"/>
            </w:tcBorders>
            <w:gridSpan w:val="11"/>
            <w:shd w:val="clear" w:color="auto" w:fill="CCEEFF"/>
          </w:tcPr>
          <w:p>
            <w:pPr>
              <w:spacing w:after="0"/>
              <w:rPr>
                <w:sz w:val="15"/>
                <w:szCs w:val="15"/>
                <w:color w:val="auto"/>
              </w:rPr>
            </w:pPr>
          </w:p>
        </w:tc>
      </w:tr>
      <w:tr>
        <w:trPr>
          <w:trHeight w:val="163"/>
        </w:trPr>
        <w:tc>
          <w:tcPr>
            <w:tcW w:w="560" w:type="dxa"/>
            <w:vAlign w:val="bottom"/>
          </w:tcPr>
          <w:p>
            <w:pPr>
              <w:spacing w:after="0" w:line="155" w:lineRule="exact"/>
              <w:rPr>
                <w:sz w:val="20"/>
                <w:szCs w:val="20"/>
                <w:color w:val="auto"/>
              </w:rPr>
            </w:pPr>
            <w:r>
              <w:rPr>
                <w:rFonts w:ascii="Arial" w:cs="Arial" w:eastAsia="Arial" w:hAnsi="Arial"/>
                <w:sz w:val="16"/>
                <w:szCs w:val="16"/>
                <w:color w:val="auto"/>
              </w:rPr>
              <w:t>99.2</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bottom w:val="single" w:sz="8" w:color="0000EE"/>
            </w:tcBorders>
            <w:gridSpan w:val="5"/>
          </w:tcPr>
          <w:p>
            <w:pPr>
              <w:spacing w:after="0" w:line="155" w:lineRule="exact"/>
              <w:rPr>
                <w:rFonts w:ascii="Arial" w:cs="Arial" w:eastAsia="Arial" w:hAnsi="Arial"/>
                <w:sz w:val="16"/>
                <w:szCs w:val="16"/>
                <w:color w:val="0000EE"/>
                <w:w w:val="88"/>
              </w:rPr>
            </w:pPr>
            <w:hyperlink w:anchor="page354">
              <w:r>
                <w:rPr>
                  <w:rFonts w:ascii="Arial" w:cs="Arial" w:eastAsia="Arial" w:hAnsi="Arial"/>
                  <w:sz w:val="16"/>
                  <w:szCs w:val="16"/>
                  <w:color w:val="0000EE"/>
                  <w:w w:val="88"/>
                </w:rPr>
                <w:t>Investor Presentation, dated November 2021.</w:t>
              </w:r>
            </w:hyperlink>
          </w:p>
        </w:tc>
        <w:tc>
          <w:tcPr>
            <w:tcW w:w="7240" w:type="dxa"/>
            <w:vAlign w:val="bottom"/>
            <w:gridSpan w:val="10"/>
          </w:tcPr>
          <w:p>
            <w:pPr>
              <w:spacing w:after="0"/>
              <w:rPr>
                <w:sz w:val="14"/>
                <w:szCs w:val="14"/>
                <w:color w:val="auto"/>
              </w:rPr>
            </w:pPr>
          </w:p>
        </w:tc>
      </w:tr>
      <w:tr>
        <w:trPr>
          <w:trHeight w:val="163"/>
        </w:trPr>
        <w:tc>
          <w:tcPr>
            <w:tcW w:w="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99.3</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15"/>
            <w:shd w:val="clear" w:color="auto" w:fill="CCEEFF"/>
          </w:tcPr>
          <w:p>
            <w:pPr>
              <w:spacing w:after="0" w:line="163" w:lineRule="exact"/>
              <w:rPr>
                <w:rFonts w:ascii="Arial" w:cs="Arial" w:eastAsia="Arial" w:hAnsi="Arial"/>
                <w:sz w:val="16"/>
                <w:szCs w:val="16"/>
                <w:color w:val="0000EE"/>
              </w:rPr>
            </w:pPr>
            <w:hyperlink w:anchor="page396">
              <w:r>
                <w:rPr>
                  <w:rFonts w:ascii="Arial" w:cs="Arial" w:eastAsia="Arial" w:hAnsi="Arial"/>
                  <w:sz w:val="16"/>
                  <w:szCs w:val="16"/>
                  <w:color w:val="0000EE"/>
                </w:rPr>
                <w:t>Transcript of Webcast, dated November 10, 2021.</w:t>
              </w:r>
            </w:hyperlink>
          </w:p>
        </w:tc>
      </w:tr>
      <w:tr>
        <w:trPr>
          <w:trHeight w:val="36"/>
        </w:trPr>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140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5"/>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166" w:lineRule="exact"/>
        <w:rPr>
          <w:sz w:val="20"/>
          <w:szCs w:val="20"/>
          <w:color w:val="auto"/>
        </w:rPr>
      </w:pPr>
    </w:p>
    <w:p>
      <w:pPr>
        <w:ind w:left="340" w:right="20" w:hanging="297"/>
        <w:spacing w:after="0" w:line="191" w:lineRule="auto"/>
        <w:tabs>
          <w:tab w:leader="none" w:pos="340" w:val="left"/>
        </w:tabs>
        <w:numPr>
          <w:ilvl w:val="0"/>
          <w:numId w:val="6"/>
        </w:numPr>
        <w:rPr>
          <w:rFonts w:ascii="Arial" w:cs="Arial" w:eastAsia="Arial" w:hAnsi="Arial"/>
          <w:sz w:val="27"/>
          <w:szCs w:val="27"/>
          <w:color w:val="auto"/>
          <w:vertAlign w:val="superscript"/>
        </w:rPr>
      </w:pPr>
      <w:r>
        <w:rPr>
          <w:rFonts w:ascii="Arial" w:cs="Arial" w:eastAsia="Arial" w:hAnsi="Arial"/>
          <w:sz w:val="16"/>
          <w:szCs w:val="16"/>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rFonts w:ascii="Arial" w:cs="Arial" w:eastAsia="Arial" w:hAnsi="Arial"/>
          <w:sz w:val="27"/>
          <w:szCs w:val="27"/>
          <w:color w:val="auto"/>
          <w:vertAlign w:val="superscript"/>
        </w:rPr>
      </w:pPr>
    </w:p>
    <w:p>
      <w:pPr>
        <w:ind w:left="80"/>
        <w:spacing w:after="0"/>
        <w:rPr>
          <w:rFonts w:ascii="Arial" w:cs="Arial" w:eastAsia="Arial" w:hAnsi="Arial"/>
          <w:sz w:val="27"/>
          <w:szCs w:val="27"/>
          <w:color w:val="auto"/>
          <w:vertAlign w:val="superscript"/>
        </w:rPr>
      </w:pPr>
      <w:r>
        <w:rPr>
          <w:rFonts w:ascii="Arial" w:cs="Arial" w:eastAsia="Arial" w:hAnsi="Arial"/>
          <w:sz w:val="16"/>
          <w:szCs w:val="16"/>
          <w:color w:val="auto"/>
        </w:rPr>
        <w:t>*  Portions of this exhibit (indicated by asterisks) have been omitted under rules of the SEC permitting the confidential treatment of select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20320</wp:posOffset>
            </wp:positionV>
            <wp:extent cx="257238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color w:val="auto"/>
        </w:rPr>
        <w:t>Exhibit 2.1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EXECUTION VERSION</w:t>
      </w:r>
    </w:p>
    <w:p>
      <w:pPr>
        <w:spacing w:after="0" w:line="194"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DATED NOVEMBER 10, 2021</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AGREEMENT AND PLAN OF MERGER</w:t>
      </w:r>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AMONG</w:t>
      </w:r>
    </w:p>
    <w:p>
      <w:pPr>
        <w:spacing w:after="0" w:line="194"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CCM ACQUISITION CORP.,</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ACQUIROR</w:t>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MERGER SUB I INC.</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FIRST MERGER SUB</w:t>
      </w:r>
    </w:p>
    <w:p>
      <w:pPr>
        <w:spacing w:after="0" w:line="182"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VENTOUX MERGER SUB II LLC</w:t>
      </w:r>
    </w:p>
    <w:p>
      <w:pPr>
        <w:spacing w:after="0" w:line="2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AS SECOND MERGER SUB</w:t>
      </w:r>
    </w:p>
    <w:p>
      <w:pPr>
        <w:spacing w:after="0" w:line="186"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E LA CARTE, INC.</w:t>
      </w:r>
    </w:p>
    <w:p>
      <w:pPr>
        <w:spacing w:after="0" w:line="24"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384175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1120" w:type="dxa"/>
            <w:vAlign w:val="bottom"/>
          </w:tcPr>
          <w:p>
            <w:pPr>
              <w:spacing w:after="0"/>
              <w:rPr>
                <w:sz w:val="18"/>
                <w:szCs w:val="18"/>
                <w:color w:val="auto"/>
              </w:rPr>
            </w:pPr>
          </w:p>
        </w:tc>
        <w:tc>
          <w:tcPr>
            <w:tcW w:w="9360" w:type="dxa"/>
            <w:vAlign w:val="bottom"/>
          </w:tcPr>
          <w:p>
            <w:pPr>
              <w:ind w:left="390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r>
      <w:tr>
        <w:trPr>
          <w:trHeight w:val="386"/>
        </w:trPr>
        <w:tc>
          <w:tcPr>
            <w:tcW w:w="1120" w:type="dxa"/>
            <w:vAlign w:val="bottom"/>
            <w:tcBorders>
              <w:bottom w:val="single" w:sz="8" w:color="CCEEFF"/>
            </w:tcBorders>
          </w:tcPr>
          <w:p>
            <w:pPr>
              <w:spacing w:after="0"/>
              <w:rPr>
                <w:sz w:val="24"/>
                <w:szCs w:val="24"/>
                <w:color w:val="auto"/>
              </w:rPr>
            </w:pPr>
          </w:p>
        </w:tc>
        <w:tc>
          <w:tcPr>
            <w:tcW w:w="936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CERTAIN 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1.01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1.02</w:t>
            </w:r>
          </w:p>
        </w:tc>
        <w:tc>
          <w:tcPr>
            <w:tcW w:w="9360" w:type="dxa"/>
            <w:vAlign w:val="bottom"/>
          </w:tcPr>
          <w:p>
            <w:pPr>
              <w:ind w:left="340"/>
              <w:spacing w:after="0"/>
              <w:rPr>
                <w:sz w:val="20"/>
                <w:szCs w:val="20"/>
                <w:color w:val="auto"/>
              </w:rPr>
            </w:pPr>
            <w:r>
              <w:rPr>
                <w:rFonts w:ascii="Arial" w:cs="Arial" w:eastAsia="Arial" w:hAnsi="Arial"/>
                <w:sz w:val="16"/>
                <w:szCs w:val="16"/>
                <w:color w:val="auto"/>
              </w:rPr>
              <w:t>Construction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1.03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Knowledge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 THE MERGER;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Effective Times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2.02</w:t>
            </w:r>
          </w:p>
        </w:tc>
        <w:tc>
          <w:tcPr>
            <w:tcW w:w="9360" w:type="dxa"/>
            <w:vAlign w:val="bottom"/>
          </w:tcPr>
          <w:p>
            <w:pPr>
              <w:ind w:left="340"/>
              <w:spacing w:after="0"/>
              <w:rPr>
                <w:sz w:val="20"/>
                <w:szCs w:val="20"/>
                <w:color w:val="auto"/>
              </w:rPr>
            </w:pPr>
            <w:r>
              <w:rPr>
                <w:rFonts w:ascii="Arial" w:cs="Arial" w:eastAsia="Arial" w:hAnsi="Arial"/>
                <w:sz w:val="16"/>
                <w:szCs w:val="16"/>
                <w:color w:val="auto"/>
              </w:rPr>
              <w:t>The Merger</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Effects of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2.04</w:t>
            </w:r>
          </w:p>
        </w:tc>
        <w:tc>
          <w:tcPr>
            <w:tcW w:w="9360" w:type="dxa"/>
            <w:vAlign w:val="bottom"/>
          </w:tcPr>
          <w:p>
            <w:pPr>
              <w:ind w:left="340"/>
              <w:spacing w:after="0"/>
              <w:rPr>
                <w:sz w:val="20"/>
                <w:szCs w:val="20"/>
                <w:color w:val="auto"/>
              </w:rPr>
            </w:pPr>
            <w:r>
              <w:rPr>
                <w:rFonts w:ascii="Arial" w:cs="Arial" w:eastAsia="Arial" w:hAnsi="Arial"/>
                <w:sz w:val="16"/>
                <w:szCs w:val="16"/>
                <w:color w:val="auto"/>
              </w:rPr>
              <w:t>Closing</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Registration Rights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2.06</w:t>
            </w:r>
          </w:p>
        </w:tc>
        <w:tc>
          <w:tcPr>
            <w:tcW w:w="9360" w:type="dxa"/>
            <w:vAlign w:val="bottom"/>
          </w:tcPr>
          <w:p>
            <w:pPr>
              <w:ind w:left="340"/>
              <w:spacing w:after="0"/>
              <w:rPr>
                <w:sz w:val="20"/>
                <w:szCs w:val="20"/>
                <w:color w:val="auto"/>
              </w:rPr>
            </w:pPr>
            <w:r>
              <w:rPr>
                <w:rFonts w:ascii="Arial" w:cs="Arial" w:eastAsia="Arial" w:hAnsi="Arial"/>
                <w:sz w:val="16"/>
                <w:szCs w:val="16"/>
                <w:color w:val="auto"/>
              </w:rPr>
              <w:t>Certificate of Incorporation and Bylaws of the Surviving Entity</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2.07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Directors and Officers of the Surviving Entity and the Surviving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III EFFECTS OF THE MERGERs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Conversion of Securities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3.02</w:t>
            </w:r>
          </w:p>
        </w:tc>
        <w:tc>
          <w:tcPr>
            <w:tcW w:w="9360" w:type="dxa"/>
            <w:vAlign w:val="bottom"/>
          </w:tcPr>
          <w:p>
            <w:pPr>
              <w:ind w:left="340"/>
              <w:spacing w:after="0"/>
              <w:rPr>
                <w:sz w:val="20"/>
                <w:szCs w:val="20"/>
                <w:color w:val="auto"/>
              </w:rPr>
            </w:pPr>
            <w:r>
              <w:rPr>
                <w:rFonts w:ascii="Arial" w:cs="Arial" w:eastAsia="Arial" w:hAnsi="Arial"/>
                <w:sz w:val="16"/>
                <w:szCs w:val="16"/>
                <w:color w:val="auto"/>
              </w:rPr>
              <w:t>Treatment of Company Options and Warrants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the Second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3.04</w:t>
            </w:r>
          </w:p>
        </w:tc>
        <w:tc>
          <w:tcPr>
            <w:tcW w:w="9360" w:type="dxa"/>
            <w:vAlign w:val="bottom"/>
          </w:tcPr>
          <w:p>
            <w:pPr>
              <w:ind w:left="340"/>
              <w:spacing w:after="0"/>
              <w:rPr>
                <w:sz w:val="20"/>
                <w:szCs w:val="20"/>
                <w:color w:val="auto"/>
              </w:rPr>
            </w:pPr>
            <w:r>
              <w:rPr>
                <w:rFonts w:ascii="Arial" w:cs="Arial" w:eastAsia="Arial" w:hAnsi="Arial"/>
                <w:sz w:val="16"/>
                <w:szCs w:val="16"/>
                <w:color w:val="auto"/>
              </w:rPr>
              <w:t>Equitable Adjustments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Delivery of Company Merger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3.06</w:t>
            </w:r>
          </w:p>
        </w:tc>
        <w:tc>
          <w:tcPr>
            <w:tcW w:w="9360" w:type="dxa"/>
            <w:vAlign w:val="bottom"/>
          </w:tcPr>
          <w:p>
            <w:pPr>
              <w:ind w:left="340"/>
              <w:spacing w:after="0"/>
              <w:rPr>
                <w:sz w:val="20"/>
                <w:szCs w:val="20"/>
                <w:color w:val="auto"/>
              </w:rPr>
            </w:pPr>
            <w:r>
              <w:rPr>
                <w:rFonts w:ascii="Arial" w:cs="Arial" w:eastAsia="Arial" w:hAnsi="Arial"/>
                <w:sz w:val="16"/>
                <w:szCs w:val="16"/>
                <w:color w:val="auto"/>
              </w:rPr>
              <w:t>Lost Certificate</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Earnout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3.08</w:t>
            </w:r>
          </w:p>
        </w:tc>
        <w:tc>
          <w:tcPr>
            <w:tcW w:w="9360" w:type="dxa"/>
            <w:vAlign w:val="bottom"/>
          </w:tcPr>
          <w:p>
            <w:pPr>
              <w:ind w:left="340"/>
              <w:spacing w:after="0"/>
              <w:rPr>
                <w:sz w:val="20"/>
                <w:szCs w:val="20"/>
                <w:color w:val="auto"/>
              </w:rPr>
            </w:pPr>
            <w:r>
              <w:rPr>
                <w:rFonts w:ascii="Arial" w:cs="Arial" w:eastAsia="Arial" w:hAnsi="Arial"/>
                <w:sz w:val="16"/>
                <w:szCs w:val="16"/>
                <w:color w:val="auto"/>
              </w:rPr>
              <w:t>Withholding</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3.09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in Lieu of Fractional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3.10</w:t>
            </w:r>
          </w:p>
        </w:tc>
        <w:tc>
          <w:tcPr>
            <w:tcW w:w="9360" w:type="dxa"/>
            <w:vAlign w:val="bottom"/>
          </w:tcPr>
          <w:p>
            <w:pPr>
              <w:ind w:left="340"/>
              <w:spacing w:after="0"/>
              <w:rPr>
                <w:sz w:val="20"/>
                <w:szCs w:val="20"/>
                <w:color w:val="auto"/>
              </w:rPr>
            </w:pPr>
            <w:r>
              <w:rPr>
                <w:rFonts w:ascii="Arial" w:cs="Arial" w:eastAsia="Arial" w:hAnsi="Arial"/>
                <w:sz w:val="16"/>
                <w:szCs w:val="16"/>
                <w:color w:val="auto"/>
              </w:rPr>
              <w:t>Payment of Expenses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3.11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Dissenting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048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1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Organization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4.02</w:t>
            </w:r>
          </w:p>
        </w:tc>
        <w:tc>
          <w:tcPr>
            <w:tcW w:w="9360" w:type="dxa"/>
            <w:vAlign w:val="bottom"/>
          </w:tcPr>
          <w:p>
            <w:pPr>
              <w:ind w:left="340"/>
              <w:spacing w:after="0"/>
              <w:rPr>
                <w:sz w:val="20"/>
                <w:szCs w:val="20"/>
                <w:color w:val="auto"/>
              </w:rPr>
            </w:pPr>
            <w:r>
              <w:rPr>
                <w:rFonts w:ascii="Arial" w:cs="Arial" w:eastAsia="Arial" w:hAnsi="Arial"/>
                <w:sz w:val="16"/>
                <w:szCs w:val="16"/>
                <w:color w:val="auto"/>
              </w:rPr>
              <w:t>Subsidiaries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Due Authorization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4.04</w:t>
            </w:r>
          </w:p>
        </w:tc>
        <w:tc>
          <w:tcPr>
            <w:tcW w:w="9360" w:type="dxa"/>
            <w:vAlign w:val="bottom"/>
          </w:tcPr>
          <w:p>
            <w:pPr>
              <w:ind w:left="340"/>
              <w:spacing w:after="0"/>
              <w:rPr>
                <w:sz w:val="20"/>
                <w:szCs w:val="20"/>
                <w:color w:val="auto"/>
              </w:rPr>
            </w:pPr>
            <w:r>
              <w:rPr>
                <w:rFonts w:ascii="Arial" w:cs="Arial" w:eastAsia="Arial" w:hAnsi="Arial"/>
                <w:sz w:val="16"/>
                <w:szCs w:val="16"/>
                <w:color w:val="auto"/>
              </w:rPr>
              <w:t>No Conflict</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Governmental Authorities; Consents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4.06</w:t>
            </w:r>
          </w:p>
        </w:tc>
        <w:tc>
          <w:tcPr>
            <w:tcW w:w="9360" w:type="dxa"/>
            <w:vAlign w:val="bottom"/>
          </w:tcPr>
          <w:p>
            <w:pPr>
              <w:ind w:left="340"/>
              <w:spacing w:after="0"/>
              <w:rPr>
                <w:sz w:val="20"/>
                <w:szCs w:val="20"/>
                <w:color w:val="auto"/>
              </w:rPr>
            </w:pPr>
            <w:r>
              <w:rPr>
                <w:rFonts w:ascii="Arial" w:cs="Arial" w:eastAsia="Arial" w:hAnsi="Arial"/>
                <w:sz w:val="16"/>
                <w:szCs w:val="16"/>
                <w:color w:val="auto"/>
              </w:rPr>
              <w:t>Capitalization</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4.08</w:t>
            </w:r>
          </w:p>
        </w:tc>
        <w:tc>
          <w:tcPr>
            <w:tcW w:w="9360" w:type="dxa"/>
            <w:vAlign w:val="bottom"/>
          </w:tcPr>
          <w:p>
            <w:pPr>
              <w:ind w:left="340"/>
              <w:spacing w:after="0"/>
              <w:rPr>
                <w:sz w:val="20"/>
                <w:szCs w:val="20"/>
                <w:color w:val="auto"/>
              </w:rPr>
            </w:pPr>
            <w:r>
              <w:rPr>
                <w:rFonts w:ascii="Arial" w:cs="Arial" w:eastAsia="Arial" w:hAnsi="Arial"/>
                <w:sz w:val="16"/>
                <w:szCs w:val="16"/>
                <w:color w:val="auto"/>
              </w:rPr>
              <w:t>Undisclosed Liabilities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4.09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Litigation and Proceedings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4.10</w:t>
            </w:r>
          </w:p>
        </w:tc>
        <w:tc>
          <w:tcPr>
            <w:tcW w:w="9360" w:type="dxa"/>
            <w:vAlign w:val="bottom"/>
          </w:tcPr>
          <w:p>
            <w:pPr>
              <w:ind w:left="340"/>
              <w:spacing w:after="0"/>
              <w:rPr>
                <w:sz w:val="20"/>
                <w:szCs w:val="20"/>
                <w:color w:val="auto"/>
              </w:rPr>
            </w:pPr>
            <w:r>
              <w:rPr>
                <w:rFonts w:ascii="Arial" w:cs="Arial" w:eastAsia="Arial" w:hAnsi="Arial"/>
                <w:sz w:val="16"/>
                <w:szCs w:val="16"/>
                <w:color w:val="auto"/>
              </w:rPr>
              <w:t>Compliance with Laws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4.11</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Intellectual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4.12</w:t>
            </w:r>
          </w:p>
        </w:tc>
        <w:tc>
          <w:tcPr>
            <w:tcW w:w="9360" w:type="dxa"/>
            <w:vAlign w:val="bottom"/>
          </w:tcPr>
          <w:p>
            <w:pPr>
              <w:ind w:left="340"/>
              <w:spacing w:after="0"/>
              <w:rPr>
                <w:sz w:val="20"/>
                <w:szCs w:val="20"/>
                <w:color w:val="auto"/>
              </w:rPr>
            </w:pPr>
            <w:r>
              <w:rPr>
                <w:rFonts w:ascii="Arial" w:cs="Arial" w:eastAsia="Arial" w:hAnsi="Arial"/>
                <w:sz w:val="16"/>
                <w:szCs w:val="16"/>
                <w:color w:val="auto"/>
              </w:rPr>
              <w:t>Contracts; No Defaults.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4.13</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Company Benefit Plans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4.14</w:t>
            </w:r>
          </w:p>
        </w:tc>
        <w:tc>
          <w:tcPr>
            <w:tcW w:w="9360" w:type="dxa"/>
            <w:vAlign w:val="bottom"/>
          </w:tcPr>
          <w:p>
            <w:pPr>
              <w:ind w:left="340"/>
              <w:spacing w:after="0"/>
              <w:rPr>
                <w:sz w:val="20"/>
                <w:szCs w:val="20"/>
                <w:color w:val="auto"/>
              </w:rPr>
            </w:pPr>
            <w:r>
              <w:rPr>
                <w:rFonts w:ascii="Arial" w:cs="Arial" w:eastAsia="Arial" w:hAnsi="Arial"/>
                <w:sz w:val="16"/>
                <w:szCs w:val="16"/>
                <w:color w:val="auto"/>
              </w:rPr>
              <w:t>Labor Matters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4.15</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4.16</w:t>
            </w:r>
          </w:p>
        </w:tc>
        <w:tc>
          <w:tcPr>
            <w:tcW w:w="9360" w:type="dxa"/>
            <w:vAlign w:val="bottom"/>
          </w:tcPr>
          <w:p>
            <w:pPr>
              <w:ind w:left="340"/>
              <w:spacing w:after="0"/>
              <w:rPr>
                <w:sz w:val="20"/>
                <w:szCs w:val="20"/>
                <w:color w:val="auto"/>
              </w:rPr>
            </w:pPr>
            <w:r>
              <w:rPr>
                <w:rFonts w:ascii="Arial" w:cs="Arial" w:eastAsia="Arial" w:hAnsi="Arial"/>
                <w:sz w:val="16"/>
                <w:szCs w:val="16"/>
                <w:color w:val="auto"/>
              </w:rPr>
              <w:t>Brokers’ Fees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4.17</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Insurance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4.18</w:t>
            </w:r>
          </w:p>
        </w:tc>
        <w:tc>
          <w:tcPr>
            <w:tcW w:w="9360" w:type="dxa"/>
            <w:vAlign w:val="bottom"/>
          </w:tcPr>
          <w:p>
            <w:pPr>
              <w:ind w:left="340"/>
              <w:spacing w:after="0"/>
              <w:rPr>
                <w:sz w:val="20"/>
                <w:szCs w:val="20"/>
                <w:color w:val="auto"/>
              </w:rPr>
            </w:pPr>
            <w:r>
              <w:rPr>
                <w:rFonts w:ascii="Arial" w:cs="Arial" w:eastAsia="Arial" w:hAnsi="Arial"/>
                <w:sz w:val="16"/>
                <w:szCs w:val="16"/>
                <w:color w:val="auto"/>
              </w:rPr>
              <w:t>Real Property; Assets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4.19</w:t>
            </w:r>
          </w:p>
        </w:tc>
        <w:tc>
          <w:tcPr>
            <w:tcW w:w="9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Environmental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Section 4.20</w:t>
            </w:r>
          </w:p>
        </w:tc>
        <w:tc>
          <w:tcPr>
            <w:tcW w:w="9360" w:type="dxa"/>
            <w:vAlign w:val="bottom"/>
          </w:tcPr>
          <w:p>
            <w:pPr>
              <w:ind w:left="340"/>
              <w:spacing w:after="0"/>
              <w:rPr>
                <w:sz w:val="20"/>
                <w:szCs w:val="20"/>
                <w:color w:val="auto"/>
              </w:rPr>
            </w:pPr>
            <w:r>
              <w:rPr>
                <w:rFonts w:ascii="Arial" w:cs="Arial" w:eastAsia="Arial" w:hAnsi="Arial"/>
                <w:sz w:val="16"/>
                <w:szCs w:val="16"/>
                <w:color w:val="auto"/>
              </w:rPr>
              <w:t>Absence of Changes</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Affiliate Agreements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42</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4.22</w:t>
            </w:r>
          </w:p>
        </w:tc>
        <w:tc>
          <w:tcPr>
            <w:tcW w:w="8440" w:type="dxa"/>
            <w:vAlign w:val="bottom"/>
          </w:tcPr>
          <w:p>
            <w:pPr>
              <w:ind w:left="340"/>
              <w:spacing w:after="0"/>
              <w:rPr>
                <w:sz w:val="20"/>
                <w:szCs w:val="20"/>
                <w:color w:val="auto"/>
              </w:rPr>
            </w:pPr>
            <w:r>
              <w:rPr>
                <w:rFonts w:ascii="Arial" w:cs="Arial" w:eastAsia="Arial" w:hAnsi="Arial"/>
                <w:sz w:val="16"/>
                <w:szCs w:val="16"/>
                <w:color w:val="auto"/>
              </w:rPr>
              <w:t>Internal Controls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Permits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4.24</w:t>
            </w:r>
          </w:p>
        </w:tc>
        <w:tc>
          <w:tcPr>
            <w:tcW w:w="8440" w:type="dxa"/>
            <w:vAlign w:val="bottom"/>
          </w:tcPr>
          <w:p>
            <w:pPr>
              <w:ind w:left="340"/>
              <w:spacing w:after="0"/>
              <w:rPr>
                <w:sz w:val="20"/>
                <w:szCs w:val="20"/>
                <w:color w:val="auto"/>
              </w:rPr>
            </w:pPr>
            <w:r>
              <w:rPr>
                <w:rFonts w:ascii="Arial" w:cs="Arial" w:eastAsia="Arial" w:hAnsi="Arial"/>
                <w:sz w:val="16"/>
                <w:szCs w:val="16"/>
                <w:color w:val="auto"/>
              </w:rPr>
              <w:t>Proxy Statement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4.25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Additional Representations and Warranties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43</w:t>
            </w:r>
          </w:p>
        </w:tc>
      </w:tr>
      <w:tr>
        <w:trPr>
          <w:trHeight w:val="191"/>
        </w:trPr>
        <w:tc>
          <w:tcPr>
            <w:tcW w:w="956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9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REPRESENTATIONS AND WARRANTIES OF ACQUIROR, FIRST MERGER SUB AND SECOND MERGER SUB</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 Organization.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5.02</w:t>
            </w:r>
          </w:p>
        </w:tc>
        <w:tc>
          <w:tcPr>
            <w:tcW w:w="8440" w:type="dxa"/>
            <w:vAlign w:val="bottom"/>
          </w:tcPr>
          <w:p>
            <w:pPr>
              <w:ind w:left="340"/>
              <w:spacing w:after="0"/>
              <w:rPr>
                <w:sz w:val="20"/>
                <w:szCs w:val="20"/>
                <w:color w:val="auto"/>
              </w:rPr>
            </w:pPr>
            <w:r>
              <w:rPr>
                <w:rFonts w:ascii="Arial" w:cs="Arial" w:eastAsia="Arial" w:hAnsi="Arial"/>
                <w:sz w:val="16"/>
                <w:szCs w:val="16"/>
                <w:color w:val="auto"/>
              </w:rPr>
              <w:t>Due Authorization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Conflict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45</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5.04</w:t>
            </w:r>
          </w:p>
        </w:tc>
        <w:tc>
          <w:tcPr>
            <w:tcW w:w="8440" w:type="dxa"/>
            <w:vAlign w:val="bottom"/>
          </w:tcPr>
          <w:p>
            <w:pPr>
              <w:ind w:left="340"/>
              <w:spacing w:after="0"/>
              <w:rPr>
                <w:sz w:val="20"/>
                <w:szCs w:val="20"/>
                <w:color w:val="auto"/>
              </w:rPr>
            </w:pPr>
            <w:r>
              <w:rPr>
                <w:rFonts w:ascii="Arial" w:cs="Arial" w:eastAsia="Arial" w:hAnsi="Arial"/>
                <w:sz w:val="16"/>
                <w:szCs w:val="16"/>
                <w:color w:val="auto"/>
              </w:rPr>
              <w:t>Litigation and Proceedings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Compliance with Laws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5.06</w:t>
            </w:r>
          </w:p>
        </w:tc>
        <w:tc>
          <w:tcPr>
            <w:tcW w:w="8440" w:type="dxa"/>
            <w:vAlign w:val="bottom"/>
          </w:tcPr>
          <w:p>
            <w:pPr>
              <w:ind w:left="340"/>
              <w:spacing w:after="0"/>
              <w:rPr>
                <w:sz w:val="20"/>
                <w:szCs w:val="20"/>
                <w:color w:val="auto"/>
              </w:rPr>
            </w:pPr>
            <w:r>
              <w:rPr>
                <w:rFonts w:ascii="Arial" w:cs="Arial" w:eastAsia="Arial" w:hAnsi="Arial"/>
                <w:sz w:val="16"/>
                <w:szCs w:val="16"/>
                <w:color w:val="auto"/>
              </w:rPr>
              <w:t>Governmental Authorities; Consents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46</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5.07</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Financial Ability; Trust Account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5.08</w:t>
            </w:r>
          </w:p>
        </w:tc>
        <w:tc>
          <w:tcPr>
            <w:tcW w:w="8440" w:type="dxa"/>
            <w:vAlign w:val="bottom"/>
          </w:tcPr>
          <w:p>
            <w:pPr>
              <w:ind w:left="340"/>
              <w:spacing w:after="0"/>
              <w:rPr>
                <w:sz w:val="20"/>
                <w:szCs w:val="20"/>
                <w:color w:val="auto"/>
              </w:rPr>
            </w:pPr>
            <w:r>
              <w:rPr>
                <w:rFonts w:ascii="Arial" w:cs="Arial" w:eastAsia="Arial" w:hAnsi="Arial"/>
                <w:sz w:val="16"/>
                <w:szCs w:val="16"/>
                <w:color w:val="auto"/>
              </w:rPr>
              <w:t>Taxes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48</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5.09</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Brokers’ Fees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49</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5.10</w:t>
            </w:r>
          </w:p>
        </w:tc>
        <w:tc>
          <w:tcPr>
            <w:tcW w:w="8440" w:type="dxa"/>
            <w:vAlign w:val="bottom"/>
          </w:tcPr>
          <w:p>
            <w:pPr>
              <w:ind w:left="340"/>
              <w:spacing w:after="0"/>
              <w:rPr>
                <w:sz w:val="20"/>
                <w:szCs w:val="20"/>
                <w:color w:val="auto"/>
              </w:rPr>
            </w:pPr>
            <w:r>
              <w:rPr>
                <w:rFonts w:ascii="Arial" w:cs="Arial" w:eastAsia="Arial" w:hAnsi="Arial"/>
                <w:sz w:val="16"/>
                <w:szCs w:val="16"/>
                <w:color w:val="auto"/>
              </w:rPr>
              <w:t>Acquiror SEC Reports; Financial Statements; Sarbanes-Oxley Act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49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5.11</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Activities; Undisclosed Liabilities; Absence of Changes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5.12</w:t>
            </w:r>
          </w:p>
        </w:tc>
        <w:tc>
          <w:tcPr>
            <w:tcW w:w="8440" w:type="dxa"/>
            <w:vAlign w:val="bottom"/>
          </w:tcPr>
          <w:p>
            <w:pPr>
              <w:ind w:left="340"/>
              <w:spacing w:after="0"/>
              <w:rPr>
                <w:sz w:val="20"/>
                <w:szCs w:val="20"/>
                <w:color w:val="auto"/>
              </w:rPr>
            </w:pPr>
            <w:r>
              <w:rPr>
                <w:rFonts w:ascii="Arial" w:cs="Arial" w:eastAsia="Arial" w:hAnsi="Arial"/>
                <w:sz w:val="16"/>
                <w:szCs w:val="16"/>
                <w:color w:val="auto"/>
              </w:rPr>
              <w:t>Proxy Statement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51</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5.13</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Outside Reliance</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51</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5.14</w:t>
            </w:r>
          </w:p>
        </w:tc>
        <w:tc>
          <w:tcPr>
            <w:tcW w:w="8440" w:type="dxa"/>
            <w:vAlign w:val="bottom"/>
          </w:tcPr>
          <w:p>
            <w:pPr>
              <w:ind w:left="340"/>
              <w:spacing w:after="0"/>
              <w:rPr>
                <w:sz w:val="20"/>
                <w:szCs w:val="20"/>
                <w:color w:val="auto"/>
              </w:rPr>
            </w:pPr>
            <w:r>
              <w:rPr>
                <w:rFonts w:ascii="Arial" w:cs="Arial" w:eastAsia="Arial" w:hAnsi="Arial"/>
                <w:sz w:val="16"/>
                <w:szCs w:val="16"/>
                <w:color w:val="auto"/>
              </w:rPr>
              <w:t>Capitalization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5.15</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Nasdaq Stock Market Quotation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5.16</w:t>
            </w:r>
          </w:p>
        </w:tc>
        <w:tc>
          <w:tcPr>
            <w:tcW w:w="8440" w:type="dxa"/>
            <w:vAlign w:val="bottom"/>
          </w:tcPr>
          <w:p>
            <w:pPr>
              <w:ind w:left="340"/>
              <w:spacing w:after="0"/>
              <w:rPr>
                <w:sz w:val="20"/>
                <w:szCs w:val="20"/>
                <w:color w:val="auto"/>
              </w:rPr>
            </w:pPr>
            <w:r>
              <w:rPr>
                <w:rFonts w:ascii="Arial" w:cs="Arial" w:eastAsia="Arial" w:hAnsi="Arial"/>
                <w:sz w:val="16"/>
                <w:szCs w:val="16"/>
                <w:color w:val="auto"/>
              </w:rPr>
              <w:t>Contracts; No Defaults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5.17</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Title to Property</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53</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5.18</w:t>
            </w:r>
          </w:p>
        </w:tc>
        <w:tc>
          <w:tcPr>
            <w:tcW w:w="8440" w:type="dxa"/>
            <w:vAlign w:val="bottom"/>
          </w:tcPr>
          <w:p>
            <w:pPr>
              <w:ind w:left="340"/>
              <w:spacing w:after="0"/>
              <w:rPr>
                <w:sz w:val="20"/>
                <w:szCs w:val="20"/>
                <w:color w:val="auto"/>
              </w:rPr>
            </w:pPr>
            <w:r>
              <w:rPr>
                <w:rFonts w:ascii="Arial" w:cs="Arial" w:eastAsia="Arial" w:hAnsi="Arial"/>
                <w:sz w:val="16"/>
                <w:szCs w:val="16"/>
                <w:color w:val="auto"/>
              </w:rPr>
              <w:t>Investment Company Act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5.19</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Affiliate Agreements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5.20</w:t>
            </w:r>
          </w:p>
        </w:tc>
        <w:tc>
          <w:tcPr>
            <w:tcW w:w="8440" w:type="dxa"/>
            <w:vAlign w:val="bottom"/>
          </w:tcPr>
          <w:p>
            <w:pPr>
              <w:ind w:left="340"/>
              <w:spacing w:after="0"/>
              <w:rPr>
                <w:sz w:val="20"/>
                <w:szCs w:val="20"/>
                <w:color w:val="auto"/>
              </w:rPr>
            </w:pPr>
            <w:r>
              <w:rPr>
                <w:rFonts w:ascii="Arial" w:cs="Arial" w:eastAsia="Arial" w:hAnsi="Arial"/>
                <w:sz w:val="16"/>
                <w:szCs w:val="16"/>
                <w:color w:val="auto"/>
              </w:rPr>
              <w:t>Subscription Agreements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54</w:t>
            </w:r>
          </w:p>
        </w:tc>
      </w:tr>
      <w:tr>
        <w:trPr>
          <w:trHeight w:val="191"/>
        </w:trPr>
        <w:tc>
          <w:tcPr>
            <w:tcW w:w="956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9560" w:type="dxa"/>
            <w:vAlign w:val="bottom"/>
            <w:gridSpan w:val="2"/>
          </w:tcPr>
          <w:p>
            <w:pPr>
              <w:spacing w:after="0"/>
              <w:rPr>
                <w:sz w:val="20"/>
                <w:szCs w:val="20"/>
                <w:color w:val="auto"/>
              </w:rPr>
            </w:pPr>
            <w:r>
              <w:rPr>
                <w:rFonts w:ascii="Arial" w:cs="Arial" w:eastAsia="Arial" w:hAnsi="Arial"/>
                <w:sz w:val="16"/>
                <w:szCs w:val="16"/>
                <w:color w:val="auto"/>
              </w:rPr>
              <w:t>Article VI COVENANTS OF THE COMPANY</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55</w:t>
            </w:r>
          </w:p>
        </w:tc>
      </w:tr>
      <w:tr>
        <w:trPr>
          <w:trHeight w:val="191"/>
        </w:trPr>
        <w:tc>
          <w:tcPr>
            <w:tcW w:w="1120" w:type="dxa"/>
            <w:vAlign w:val="bottom"/>
            <w:shd w:val="clear" w:color="auto" w:fill="CCEEFF"/>
          </w:tcPr>
          <w:p>
            <w:pPr>
              <w:spacing w:after="0"/>
              <w:rPr>
                <w:sz w:val="16"/>
                <w:szCs w:val="16"/>
                <w:color w:val="auto"/>
              </w:rPr>
            </w:pPr>
          </w:p>
        </w:tc>
        <w:tc>
          <w:tcPr>
            <w:tcW w:w="84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6.01</w:t>
            </w:r>
          </w:p>
        </w:tc>
        <w:tc>
          <w:tcPr>
            <w:tcW w:w="8440" w:type="dxa"/>
            <w:vAlign w:val="bottom"/>
          </w:tcPr>
          <w:p>
            <w:pPr>
              <w:ind w:left="340"/>
              <w:spacing w:after="0"/>
              <w:rPr>
                <w:sz w:val="20"/>
                <w:szCs w:val="20"/>
                <w:color w:val="auto"/>
              </w:rPr>
            </w:pPr>
            <w:r>
              <w:rPr>
                <w:rFonts w:ascii="Arial" w:cs="Arial" w:eastAsia="Arial" w:hAnsi="Arial"/>
                <w:sz w:val="16"/>
                <w:szCs w:val="16"/>
                <w:color w:val="auto"/>
              </w:rPr>
              <w:t>Conduct of Business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6.02</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Inspection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58</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6.03</w:t>
            </w:r>
          </w:p>
        </w:tc>
        <w:tc>
          <w:tcPr>
            <w:tcW w:w="8440" w:type="dxa"/>
            <w:vAlign w:val="bottom"/>
          </w:tcPr>
          <w:p>
            <w:pPr>
              <w:ind w:left="340"/>
              <w:spacing w:after="0"/>
              <w:rPr>
                <w:sz w:val="20"/>
                <w:szCs w:val="20"/>
                <w:color w:val="auto"/>
              </w:rPr>
            </w:pPr>
            <w:r>
              <w:rPr>
                <w:rFonts w:ascii="Arial" w:cs="Arial" w:eastAsia="Arial" w:hAnsi="Arial"/>
                <w:sz w:val="16"/>
                <w:szCs w:val="16"/>
                <w:color w:val="auto"/>
              </w:rPr>
              <w:t>HSR Act and Regulatory Approvals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59</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6.04</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 Acquiror Common Stock Transactions</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6.05</w:t>
            </w:r>
          </w:p>
        </w:tc>
        <w:tc>
          <w:tcPr>
            <w:tcW w:w="8440" w:type="dxa"/>
            <w:vAlign w:val="bottom"/>
          </w:tcPr>
          <w:p>
            <w:pPr>
              <w:ind w:left="340"/>
              <w:spacing w:after="0"/>
              <w:rPr>
                <w:sz w:val="20"/>
                <w:szCs w:val="20"/>
                <w:color w:val="auto"/>
              </w:rPr>
            </w:pPr>
            <w:r>
              <w:rPr>
                <w:rFonts w:ascii="Arial" w:cs="Arial" w:eastAsia="Arial" w:hAnsi="Arial"/>
                <w:sz w:val="16"/>
                <w:szCs w:val="16"/>
                <w:color w:val="auto"/>
              </w:rPr>
              <w:t>No Claim Against the Trust Account</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6.06</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No-Solicitation</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60</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6.07</w:t>
            </w:r>
          </w:p>
        </w:tc>
        <w:tc>
          <w:tcPr>
            <w:tcW w:w="8440" w:type="dxa"/>
            <w:vAlign w:val="bottom"/>
          </w:tcPr>
          <w:p>
            <w:pPr>
              <w:ind w:left="340"/>
              <w:spacing w:after="0"/>
              <w:rPr>
                <w:sz w:val="20"/>
                <w:szCs w:val="20"/>
                <w:color w:val="auto"/>
              </w:rPr>
            </w:pPr>
            <w:r>
              <w:rPr>
                <w:rFonts w:ascii="Arial" w:cs="Arial" w:eastAsia="Arial" w:hAnsi="Arial"/>
                <w:sz w:val="16"/>
                <w:szCs w:val="16"/>
                <w:color w:val="auto"/>
              </w:rPr>
              <w:t>Section 280G</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61</w:t>
            </w:r>
          </w:p>
        </w:tc>
      </w:tr>
      <w:tr>
        <w:trPr>
          <w:trHeight w:val="191"/>
        </w:trPr>
        <w:tc>
          <w:tcPr>
            <w:tcW w:w="9560" w:type="dxa"/>
            <w:vAlign w:val="bottom"/>
            <w:gridSpan w:val="2"/>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9560" w:type="dxa"/>
            <w:vAlign w:val="bottom"/>
            <w:gridSpan w:val="2"/>
          </w:tcPr>
          <w:p>
            <w:pPr>
              <w:spacing w:after="0"/>
              <w:rPr>
                <w:sz w:val="20"/>
                <w:szCs w:val="20"/>
                <w:color w:val="auto"/>
              </w:rPr>
            </w:pPr>
            <w:r>
              <w:rPr>
                <w:rFonts w:ascii="Arial" w:cs="Arial" w:eastAsia="Arial" w:hAnsi="Arial"/>
                <w:sz w:val="16"/>
                <w:szCs w:val="16"/>
                <w:color w:val="auto"/>
              </w:rPr>
              <w:t>Article VII COVENANTS OF ACQUIROR</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120" w:type="dxa"/>
            <w:vAlign w:val="bottom"/>
            <w:shd w:val="clear" w:color="auto" w:fill="CCEEFF"/>
          </w:tcPr>
          <w:p>
            <w:pPr>
              <w:spacing w:after="0"/>
              <w:rPr>
                <w:sz w:val="16"/>
                <w:szCs w:val="16"/>
                <w:color w:val="auto"/>
              </w:rPr>
            </w:pPr>
          </w:p>
        </w:tc>
        <w:tc>
          <w:tcPr>
            <w:tcW w:w="84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7.01</w:t>
            </w:r>
          </w:p>
        </w:tc>
        <w:tc>
          <w:tcPr>
            <w:tcW w:w="8440" w:type="dxa"/>
            <w:vAlign w:val="bottom"/>
          </w:tcPr>
          <w:p>
            <w:pPr>
              <w:ind w:left="340"/>
              <w:spacing w:after="0"/>
              <w:rPr>
                <w:sz w:val="20"/>
                <w:szCs w:val="20"/>
                <w:color w:val="auto"/>
              </w:rPr>
            </w:pPr>
            <w:r>
              <w:rPr>
                <w:rFonts w:ascii="Arial" w:cs="Arial" w:eastAsia="Arial" w:hAnsi="Arial"/>
                <w:sz w:val="16"/>
                <w:szCs w:val="16"/>
                <w:color w:val="auto"/>
              </w:rPr>
              <w:t>HSR Act and Regulatory Approvals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62</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7.02</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Indemnification and Insurance</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64</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7.03</w:t>
            </w:r>
          </w:p>
        </w:tc>
        <w:tc>
          <w:tcPr>
            <w:tcW w:w="8440" w:type="dxa"/>
            <w:vAlign w:val="bottom"/>
          </w:tcPr>
          <w:p>
            <w:pPr>
              <w:ind w:left="340"/>
              <w:spacing w:after="0"/>
              <w:rPr>
                <w:sz w:val="20"/>
                <w:szCs w:val="20"/>
                <w:color w:val="auto"/>
              </w:rPr>
            </w:pPr>
            <w:r>
              <w:rPr>
                <w:rFonts w:ascii="Arial" w:cs="Arial" w:eastAsia="Arial" w:hAnsi="Arial"/>
                <w:sz w:val="16"/>
                <w:szCs w:val="16"/>
                <w:color w:val="auto"/>
              </w:rPr>
              <w:t>Conduct of Acquiror During the Interim Period</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65</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7.04</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Trust Account</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66</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7.05</w:t>
            </w:r>
          </w:p>
        </w:tc>
        <w:tc>
          <w:tcPr>
            <w:tcW w:w="8440" w:type="dxa"/>
            <w:vAlign w:val="bottom"/>
          </w:tcPr>
          <w:p>
            <w:pPr>
              <w:ind w:left="340"/>
              <w:spacing w:after="0"/>
              <w:rPr>
                <w:sz w:val="20"/>
                <w:szCs w:val="20"/>
                <w:color w:val="auto"/>
              </w:rPr>
            </w:pPr>
            <w:r>
              <w:rPr>
                <w:rFonts w:ascii="Arial" w:cs="Arial" w:eastAsia="Arial" w:hAnsi="Arial"/>
                <w:sz w:val="16"/>
                <w:szCs w:val="16"/>
                <w:color w:val="auto"/>
              </w:rPr>
              <w:t>Inspection</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7.06</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Acquiror Nasdaq Listing</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tcPr>
          <w:p>
            <w:pPr>
              <w:spacing w:after="0"/>
              <w:rPr>
                <w:sz w:val="20"/>
                <w:szCs w:val="20"/>
                <w:color w:val="auto"/>
              </w:rPr>
            </w:pPr>
            <w:r>
              <w:rPr>
                <w:rFonts w:ascii="Arial" w:cs="Arial" w:eastAsia="Arial" w:hAnsi="Arial"/>
                <w:sz w:val="16"/>
                <w:szCs w:val="16"/>
                <w:color w:val="auto"/>
              </w:rPr>
              <w:t>Section 7.07</w:t>
            </w:r>
          </w:p>
        </w:tc>
        <w:tc>
          <w:tcPr>
            <w:tcW w:w="8440" w:type="dxa"/>
            <w:vAlign w:val="bottom"/>
          </w:tcPr>
          <w:p>
            <w:pPr>
              <w:ind w:left="340"/>
              <w:spacing w:after="0"/>
              <w:rPr>
                <w:sz w:val="20"/>
                <w:szCs w:val="20"/>
                <w:color w:val="auto"/>
              </w:rPr>
            </w:pPr>
            <w:r>
              <w:rPr>
                <w:rFonts w:ascii="Arial" w:cs="Arial" w:eastAsia="Arial" w:hAnsi="Arial"/>
                <w:sz w:val="16"/>
                <w:szCs w:val="16"/>
                <w:color w:val="auto"/>
              </w:rPr>
              <w:t>Acquiror Public Filings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67</w:t>
            </w:r>
          </w:p>
        </w:tc>
      </w:tr>
      <w:tr>
        <w:trPr>
          <w:trHeight w:val="191"/>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Section 7.08</w:t>
            </w:r>
          </w:p>
        </w:tc>
        <w:tc>
          <w:tcPr>
            <w:tcW w:w="8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Financing</w:t>
            </w:r>
          </w:p>
        </w:tc>
        <w:tc>
          <w:tcPr>
            <w:tcW w:w="1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67</w:t>
            </w:r>
          </w:p>
        </w:tc>
      </w:tr>
      <w:tr>
        <w:trPr>
          <w:trHeight w:val="204"/>
        </w:trPr>
        <w:tc>
          <w:tcPr>
            <w:tcW w:w="1120" w:type="dxa"/>
            <w:vAlign w:val="bottom"/>
          </w:tcPr>
          <w:p>
            <w:pPr>
              <w:spacing w:after="0"/>
              <w:rPr>
                <w:sz w:val="20"/>
                <w:szCs w:val="20"/>
                <w:color w:val="auto"/>
              </w:rPr>
            </w:pPr>
            <w:r>
              <w:rPr>
                <w:rFonts w:ascii="Arial" w:cs="Arial" w:eastAsia="Arial" w:hAnsi="Arial"/>
                <w:sz w:val="16"/>
                <w:szCs w:val="16"/>
                <w:color w:val="auto"/>
              </w:rPr>
              <w:t>Section 7.09</w:t>
            </w:r>
          </w:p>
        </w:tc>
        <w:tc>
          <w:tcPr>
            <w:tcW w:w="8440" w:type="dxa"/>
            <w:vAlign w:val="bottom"/>
          </w:tcPr>
          <w:p>
            <w:pPr>
              <w:ind w:left="340"/>
              <w:spacing w:after="0"/>
              <w:rPr>
                <w:sz w:val="20"/>
                <w:szCs w:val="20"/>
                <w:color w:val="auto"/>
              </w:rPr>
            </w:pPr>
            <w:r>
              <w:rPr>
                <w:rFonts w:ascii="Arial" w:cs="Arial" w:eastAsia="Arial" w:hAnsi="Arial"/>
                <w:sz w:val="16"/>
                <w:szCs w:val="16"/>
                <w:color w:val="auto"/>
              </w:rPr>
              <w:t>Additional Insurance Matters</w:t>
            </w:r>
          </w:p>
        </w:tc>
        <w:tc>
          <w:tcPr>
            <w:tcW w:w="1700" w:type="dxa"/>
            <w:vAlign w:val="bottom"/>
          </w:tcPr>
          <w:p>
            <w:pPr>
              <w:jc w:val="right"/>
              <w:ind w:right="240"/>
              <w:spacing w:after="0"/>
              <w:rPr>
                <w:sz w:val="20"/>
                <w:szCs w:val="20"/>
                <w:color w:val="auto"/>
              </w:rPr>
            </w:pPr>
            <w:r>
              <w:rPr>
                <w:rFonts w:ascii="Arial" w:cs="Arial" w:eastAsia="Arial" w:hAnsi="Arial"/>
                <w:sz w:val="16"/>
                <w:szCs w:val="16"/>
                <w:color w:val="auto"/>
              </w:rPr>
              <w:t>68</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7.10</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Section 16 Matters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68</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7.11</w:t>
            </w:r>
          </w:p>
        </w:tc>
        <w:tc>
          <w:tcPr>
            <w:tcW w:w="8000" w:type="dxa"/>
            <w:vAlign w:val="bottom"/>
          </w:tcPr>
          <w:p>
            <w:pPr>
              <w:ind w:left="300"/>
              <w:spacing w:after="0"/>
              <w:rPr>
                <w:sz w:val="20"/>
                <w:szCs w:val="20"/>
                <w:color w:val="auto"/>
              </w:rPr>
            </w:pPr>
            <w:r>
              <w:rPr>
                <w:rFonts w:ascii="Arial" w:cs="Arial" w:eastAsia="Arial" w:hAnsi="Arial"/>
                <w:sz w:val="16"/>
                <w:szCs w:val="16"/>
                <w:color w:val="auto"/>
              </w:rPr>
              <w:t>No Solicitation.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68</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Bylaws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69</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7.13</w:t>
            </w:r>
          </w:p>
        </w:tc>
        <w:tc>
          <w:tcPr>
            <w:tcW w:w="8000" w:type="dxa"/>
            <w:vAlign w:val="bottom"/>
          </w:tcPr>
          <w:p>
            <w:pPr>
              <w:ind w:left="300"/>
              <w:spacing w:after="0"/>
              <w:rPr>
                <w:sz w:val="20"/>
                <w:szCs w:val="20"/>
                <w:color w:val="auto"/>
              </w:rPr>
            </w:pPr>
            <w:r>
              <w:rPr>
                <w:rFonts w:ascii="Arial" w:cs="Arial" w:eastAsia="Arial" w:hAnsi="Arial"/>
                <w:sz w:val="16"/>
                <w:szCs w:val="16"/>
                <w:color w:val="auto"/>
              </w:rPr>
              <w:t>Director Appointments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69</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7.14</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Employee Matters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7.15</w:t>
            </w:r>
          </w:p>
        </w:tc>
        <w:tc>
          <w:tcPr>
            <w:tcW w:w="8000" w:type="dxa"/>
            <w:vAlign w:val="bottom"/>
          </w:tcPr>
          <w:p>
            <w:pPr>
              <w:ind w:left="300"/>
              <w:spacing w:after="0"/>
              <w:rPr>
                <w:sz w:val="20"/>
                <w:szCs w:val="20"/>
                <w:color w:val="auto"/>
              </w:rPr>
            </w:pPr>
            <w:r>
              <w:rPr>
                <w:rFonts w:ascii="Arial" w:cs="Arial" w:eastAsia="Arial" w:hAnsi="Arial"/>
                <w:sz w:val="16"/>
                <w:szCs w:val="16"/>
                <w:color w:val="auto"/>
              </w:rPr>
              <w:t>Transaction Litigation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7.16</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Termination of Acquiror Affiliate Agreements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70</w:t>
            </w:r>
          </w:p>
        </w:tc>
      </w:tr>
      <w:tr>
        <w:trPr>
          <w:trHeight w:val="191"/>
        </w:trPr>
        <w:tc>
          <w:tcPr>
            <w:tcW w:w="9160" w:type="dxa"/>
            <w:vAlign w:val="bottom"/>
            <w:gridSpan w:val="2"/>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VIII JOINT COVENANTS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Support of Transaction</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8.02</w:t>
            </w:r>
          </w:p>
        </w:tc>
        <w:tc>
          <w:tcPr>
            <w:tcW w:w="8000" w:type="dxa"/>
            <w:vAlign w:val="bottom"/>
          </w:tcPr>
          <w:p>
            <w:pPr>
              <w:ind w:left="300"/>
              <w:spacing w:after="0"/>
              <w:rPr>
                <w:sz w:val="20"/>
                <w:szCs w:val="20"/>
                <w:color w:val="auto"/>
              </w:rPr>
            </w:pPr>
            <w:r>
              <w:rPr>
                <w:rFonts w:ascii="Arial" w:cs="Arial" w:eastAsia="Arial" w:hAnsi="Arial"/>
                <w:sz w:val="16"/>
                <w:szCs w:val="16"/>
                <w:color w:val="auto"/>
              </w:rPr>
              <w:t>Preparation of Proxy Statement/Registration Statement; Shareholders’ Meeting and Approvals.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Company Requisite Approval.</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8.04</w:t>
            </w:r>
          </w:p>
        </w:tc>
        <w:tc>
          <w:tcPr>
            <w:tcW w:w="8000" w:type="dxa"/>
            <w:vAlign w:val="bottom"/>
          </w:tcPr>
          <w:p>
            <w:pPr>
              <w:ind w:left="300"/>
              <w:spacing w:after="0"/>
              <w:rPr>
                <w:sz w:val="20"/>
                <w:szCs w:val="20"/>
                <w:color w:val="auto"/>
              </w:rPr>
            </w:pPr>
            <w:r>
              <w:rPr>
                <w:rFonts w:ascii="Arial" w:cs="Arial" w:eastAsia="Arial" w:hAnsi="Arial"/>
                <w:sz w:val="16"/>
                <w:szCs w:val="16"/>
                <w:color w:val="auto"/>
              </w:rPr>
              <w:t>Tax Matters.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74</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8.05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Confidentiality; Publicity</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8.06</w:t>
            </w:r>
          </w:p>
        </w:tc>
        <w:tc>
          <w:tcPr>
            <w:tcW w:w="8000" w:type="dxa"/>
            <w:vAlign w:val="bottom"/>
          </w:tcPr>
          <w:p>
            <w:pPr>
              <w:ind w:left="300"/>
              <w:spacing w:after="0"/>
              <w:rPr>
                <w:sz w:val="20"/>
                <w:szCs w:val="20"/>
                <w:color w:val="auto"/>
              </w:rPr>
            </w:pPr>
            <w:r>
              <w:rPr>
                <w:rFonts w:ascii="Arial" w:cs="Arial" w:eastAsia="Arial" w:hAnsi="Arial"/>
                <w:sz w:val="16"/>
                <w:szCs w:val="16"/>
                <w:color w:val="auto"/>
              </w:rPr>
              <w:t>Post-Closing Cooperation; Further Assurances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75</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color w:val="auto"/>
              </w:rPr>
              <w:t>Article IX CONDITIONS TO OBLIGATIONS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shd w:val="clear" w:color="auto" w:fill="CCEEFF"/>
          </w:tcPr>
          <w:p>
            <w:pPr>
              <w:spacing w:after="0"/>
              <w:rPr>
                <w:sz w:val="16"/>
                <w:szCs w:val="16"/>
                <w:color w:val="auto"/>
              </w:rPr>
            </w:pPr>
          </w:p>
        </w:tc>
        <w:tc>
          <w:tcPr>
            <w:tcW w:w="80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9.01</w:t>
            </w:r>
          </w:p>
        </w:tc>
        <w:tc>
          <w:tcPr>
            <w:tcW w:w="8000" w:type="dxa"/>
            <w:vAlign w:val="bottom"/>
          </w:tcPr>
          <w:p>
            <w:pPr>
              <w:ind w:left="300"/>
              <w:spacing w:after="0"/>
              <w:rPr>
                <w:sz w:val="20"/>
                <w:szCs w:val="20"/>
                <w:color w:val="auto"/>
              </w:rPr>
            </w:pPr>
            <w:r>
              <w:rPr>
                <w:rFonts w:ascii="Arial" w:cs="Arial" w:eastAsia="Arial" w:hAnsi="Arial"/>
                <w:sz w:val="16"/>
                <w:szCs w:val="16"/>
                <w:color w:val="auto"/>
              </w:rPr>
              <w:t>Conditions to Obligations of All Parties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9.02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Conditions to Obligations of Acquiror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76</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9.03</w:t>
            </w:r>
          </w:p>
        </w:tc>
        <w:tc>
          <w:tcPr>
            <w:tcW w:w="8000" w:type="dxa"/>
            <w:vAlign w:val="bottom"/>
          </w:tcPr>
          <w:p>
            <w:pPr>
              <w:ind w:left="300"/>
              <w:spacing w:after="0"/>
              <w:rPr>
                <w:sz w:val="20"/>
                <w:szCs w:val="20"/>
                <w:color w:val="auto"/>
              </w:rPr>
            </w:pPr>
            <w:r>
              <w:rPr>
                <w:rFonts w:ascii="Arial" w:cs="Arial" w:eastAsia="Arial" w:hAnsi="Arial"/>
                <w:sz w:val="16"/>
                <w:szCs w:val="16"/>
                <w:color w:val="auto"/>
              </w:rPr>
              <w:t>Additional Conditions to the Obligations of the Company</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77</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color w:val="auto"/>
              </w:rPr>
              <w:t>Article X TERMINATION/EFFECTIVENESS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1160" w:type="dxa"/>
            <w:vAlign w:val="bottom"/>
            <w:shd w:val="clear" w:color="auto" w:fill="CCEEFF"/>
          </w:tcPr>
          <w:p>
            <w:pPr>
              <w:spacing w:after="0"/>
              <w:rPr>
                <w:sz w:val="16"/>
                <w:szCs w:val="16"/>
                <w:color w:val="auto"/>
              </w:rPr>
            </w:pPr>
          </w:p>
        </w:tc>
        <w:tc>
          <w:tcPr>
            <w:tcW w:w="80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10.01</w:t>
            </w:r>
          </w:p>
        </w:tc>
        <w:tc>
          <w:tcPr>
            <w:tcW w:w="8000" w:type="dxa"/>
            <w:vAlign w:val="bottom"/>
          </w:tcPr>
          <w:p>
            <w:pPr>
              <w:ind w:left="300"/>
              <w:spacing w:after="0"/>
              <w:rPr>
                <w:sz w:val="20"/>
                <w:szCs w:val="20"/>
                <w:color w:val="auto"/>
              </w:rPr>
            </w:pPr>
            <w:r>
              <w:rPr>
                <w:rFonts w:ascii="Arial" w:cs="Arial" w:eastAsia="Arial" w:hAnsi="Arial"/>
                <w:sz w:val="16"/>
                <w:szCs w:val="16"/>
                <w:color w:val="auto"/>
              </w:rPr>
              <w:t>Termination</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10.02</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Effect of Termination</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79</w:t>
            </w:r>
          </w:p>
        </w:tc>
      </w:tr>
      <w:tr>
        <w:trPr>
          <w:trHeight w:val="191"/>
        </w:trPr>
        <w:tc>
          <w:tcPr>
            <w:tcW w:w="9160" w:type="dxa"/>
            <w:vAlign w:val="bottom"/>
            <w:gridSpan w:val="2"/>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 MISCELLANEOUS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Waiver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11.02</w:t>
            </w:r>
          </w:p>
        </w:tc>
        <w:tc>
          <w:tcPr>
            <w:tcW w:w="8000" w:type="dxa"/>
            <w:vAlign w:val="bottom"/>
          </w:tcPr>
          <w:p>
            <w:pPr>
              <w:ind w:left="300"/>
              <w:spacing w:after="0"/>
              <w:rPr>
                <w:sz w:val="20"/>
                <w:szCs w:val="20"/>
                <w:color w:val="auto"/>
              </w:rPr>
            </w:pPr>
            <w:r>
              <w:rPr>
                <w:rFonts w:ascii="Arial" w:cs="Arial" w:eastAsia="Arial" w:hAnsi="Arial"/>
                <w:sz w:val="16"/>
                <w:szCs w:val="16"/>
                <w:color w:val="auto"/>
              </w:rPr>
              <w:t>Notices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80</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Assignment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11.04</w:t>
            </w:r>
          </w:p>
        </w:tc>
        <w:tc>
          <w:tcPr>
            <w:tcW w:w="8000" w:type="dxa"/>
            <w:vAlign w:val="bottom"/>
          </w:tcPr>
          <w:p>
            <w:pPr>
              <w:ind w:left="300"/>
              <w:spacing w:after="0"/>
              <w:rPr>
                <w:sz w:val="20"/>
                <w:szCs w:val="20"/>
                <w:color w:val="auto"/>
              </w:rPr>
            </w:pPr>
            <w:r>
              <w:rPr>
                <w:rFonts w:ascii="Arial" w:cs="Arial" w:eastAsia="Arial" w:hAnsi="Arial"/>
                <w:sz w:val="16"/>
                <w:szCs w:val="16"/>
                <w:color w:val="auto"/>
              </w:rPr>
              <w:t>Rights of Third Parties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Expenses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11.06</w:t>
            </w:r>
          </w:p>
        </w:tc>
        <w:tc>
          <w:tcPr>
            <w:tcW w:w="8000" w:type="dxa"/>
            <w:vAlign w:val="bottom"/>
          </w:tcPr>
          <w:p>
            <w:pPr>
              <w:ind w:left="300"/>
              <w:spacing w:after="0"/>
              <w:rPr>
                <w:sz w:val="20"/>
                <w:szCs w:val="20"/>
                <w:color w:val="auto"/>
              </w:rPr>
            </w:pPr>
            <w:r>
              <w:rPr>
                <w:rFonts w:ascii="Arial" w:cs="Arial" w:eastAsia="Arial" w:hAnsi="Arial"/>
                <w:sz w:val="16"/>
                <w:szCs w:val="16"/>
                <w:color w:val="auto"/>
              </w:rPr>
              <w:t>Governing Law</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11.07</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Captions; Counterparts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81</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11.08</w:t>
            </w:r>
          </w:p>
        </w:tc>
        <w:tc>
          <w:tcPr>
            <w:tcW w:w="8000" w:type="dxa"/>
            <w:vAlign w:val="bottom"/>
          </w:tcPr>
          <w:p>
            <w:pPr>
              <w:ind w:left="300"/>
              <w:spacing w:after="0"/>
              <w:rPr>
                <w:sz w:val="20"/>
                <w:szCs w:val="20"/>
                <w:color w:val="auto"/>
              </w:rPr>
            </w:pPr>
            <w:r>
              <w:rPr>
                <w:rFonts w:ascii="Arial" w:cs="Arial" w:eastAsia="Arial" w:hAnsi="Arial"/>
                <w:sz w:val="16"/>
                <w:szCs w:val="16"/>
                <w:color w:val="auto"/>
              </w:rPr>
              <w:t>Schedules and Exhibits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11.09</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Entire Agreement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11.10</w:t>
            </w:r>
          </w:p>
        </w:tc>
        <w:tc>
          <w:tcPr>
            <w:tcW w:w="8000" w:type="dxa"/>
            <w:vAlign w:val="bottom"/>
          </w:tcPr>
          <w:p>
            <w:pPr>
              <w:ind w:left="300"/>
              <w:spacing w:after="0"/>
              <w:rPr>
                <w:sz w:val="20"/>
                <w:szCs w:val="20"/>
                <w:color w:val="auto"/>
              </w:rPr>
            </w:pPr>
            <w:r>
              <w:rPr>
                <w:rFonts w:ascii="Arial" w:cs="Arial" w:eastAsia="Arial" w:hAnsi="Arial"/>
                <w:sz w:val="16"/>
                <w:szCs w:val="16"/>
                <w:color w:val="auto"/>
              </w:rPr>
              <w:t>Amendments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11.11</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Severability</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11.12</w:t>
            </w:r>
          </w:p>
        </w:tc>
        <w:tc>
          <w:tcPr>
            <w:tcW w:w="8000" w:type="dxa"/>
            <w:vAlign w:val="bottom"/>
          </w:tcPr>
          <w:p>
            <w:pPr>
              <w:ind w:left="300"/>
              <w:spacing w:after="0"/>
              <w:rPr>
                <w:sz w:val="20"/>
                <w:szCs w:val="20"/>
                <w:color w:val="auto"/>
              </w:rPr>
            </w:pPr>
            <w:r>
              <w:rPr>
                <w:rFonts w:ascii="Arial" w:cs="Arial" w:eastAsia="Arial" w:hAnsi="Arial"/>
                <w:sz w:val="16"/>
                <w:szCs w:val="16"/>
                <w:color w:val="auto"/>
              </w:rPr>
              <w:t>Jurisdiction; WAIVER OF TRIAL BY JURY</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82</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11.13</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Enforcement</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11.14</w:t>
            </w:r>
          </w:p>
        </w:tc>
        <w:tc>
          <w:tcPr>
            <w:tcW w:w="8000" w:type="dxa"/>
            <w:vAlign w:val="bottom"/>
          </w:tcPr>
          <w:p>
            <w:pPr>
              <w:ind w:left="300"/>
              <w:spacing w:after="0"/>
              <w:rPr>
                <w:sz w:val="20"/>
                <w:szCs w:val="20"/>
                <w:color w:val="auto"/>
              </w:rPr>
            </w:pPr>
            <w:r>
              <w:rPr>
                <w:rFonts w:ascii="Arial" w:cs="Arial" w:eastAsia="Arial" w:hAnsi="Arial"/>
                <w:sz w:val="16"/>
                <w:szCs w:val="16"/>
                <w:color w:val="auto"/>
              </w:rPr>
              <w:t>Non-Recourse</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shd w:val="clear" w:color="auto" w:fill="CCEEFF"/>
          </w:tcPr>
          <w:p>
            <w:pPr>
              <w:spacing w:after="0"/>
              <w:rPr>
                <w:sz w:val="20"/>
                <w:szCs w:val="20"/>
                <w:color w:val="auto"/>
              </w:rPr>
            </w:pPr>
            <w:r>
              <w:rPr>
                <w:rFonts w:ascii="Arial" w:cs="Arial" w:eastAsia="Arial" w:hAnsi="Arial"/>
                <w:sz w:val="16"/>
                <w:szCs w:val="16"/>
                <w:color w:val="auto"/>
              </w:rPr>
              <w:t>Section 11.15</w:t>
            </w:r>
          </w:p>
        </w:tc>
        <w:tc>
          <w:tcPr>
            <w:tcW w:w="80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Nonsurvival of Representations, Warranties and Covenants</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83</w:t>
            </w:r>
          </w:p>
        </w:tc>
      </w:tr>
      <w:tr>
        <w:trPr>
          <w:trHeight w:val="191"/>
        </w:trPr>
        <w:tc>
          <w:tcPr>
            <w:tcW w:w="1160" w:type="dxa"/>
            <w:vAlign w:val="bottom"/>
          </w:tcPr>
          <w:p>
            <w:pPr>
              <w:spacing w:after="0"/>
              <w:rPr>
                <w:sz w:val="20"/>
                <w:szCs w:val="20"/>
                <w:color w:val="auto"/>
              </w:rPr>
            </w:pPr>
            <w:r>
              <w:rPr>
                <w:rFonts w:ascii="Arial" w:cs="Arial" w:eastAsia="Arial" w:hAnsi="Arial"/>
                <w:sz w:val="16"/>
                <w:szCs w:val="16"/>
                <w:color w:val="auto"/>
              </w:rPr>
              <w:t>Section 11.16</w:t>
            </w:r>
          </w:p>
        </w:tc>
        <w:tc>
          <w:tcPr>
            <w:tcW w:w="8000" w:type="dxa"/>
            <w:vAlign w:val="bottom"/>
          </w:tcPr>
          <w:p>
            <w:pPr>
              <w:ind w:left="300"/>
              <w:spacing w:after="0"/>
              <w:rPr>
                <w:sz w:val="20"/>
                <w:szCs w:val="20"/>
                <w:color w:val="auto"/>
              </w:rPr>
            </w:pPr>
            <w:r>
              <w:rPr>
                <w:rFonts w:ascii="Arial" w:cs="Arial" w:eastAsia="Arial" w:hAnsi="Arial"/>
                <w:sz w:val="16"/>
                <w:szCs w:val="16"/>
                <w:color w:val="auto"/>
              </w:rPr>
              <w:t>Acknowledgements</w:t>
            </w:r>
          </w:p>
        </w:tc>
        <w:tc>
          <w:tcPr>
            <w:tcW w:w="2100" w:type="dxa"/>
            <w:vAlign w:val="bottom"/>
          </w:tcPr>
          <w:p>
            <w:pPr>
              <w:jc w:val="right"/>
              <w:ind w:right="240"/>
              <w:spacing w:after="0"/>
              <w:rPr>
                <w:sz w:val="20"/>
                <w:szCs w:val="20"/>
                <w:color w:val="auto"/>
              </w:rPr>
            </w:pPr>
            <w:r>
              <w:rPr>
                <w:rFonts w:ascii="Arial" w:cs="Arial" w:eastAsia="Arial" w:hAnsi="Arial"/>
                <w:sz w:val="16"/>
                <w:szCs w:val="16"/>
                <w:color w:val="auto"/>
              </w:rPr>
              <w:t>84</w:t>
            </w:r>
          </w:p>
        </w:tc>
      </w:tr>
      <w:tr>
        <w:trPr>
          <w:trHeight w:val="191"/>
        </w:trPr>
        <w:tc>
          <w:tcPr>
            <w:tcW w:w="9160" w:type="dxa"/>
            <w:vAlign w:val="bottom"/>
            <w:gridSpan w:val="2"/>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r>
      <w:tr>
        <w:trPr>
          <w:trHeight w:val="191"/>
        </w:trPr>
        <w:tc>
          <w:tcPr>
            <w:tcW w:w="9160" w:type="dxa"/>
            <w:vAlign w:val="bottom"/>
            <w:gridSpan w:val="2"/>
          </w:tcPr>
          <w:p>
            <w:pPr>
              <w:spacing w:after="0"/>
              <w:rPr>
                <w:sz w:val="20"/>
                <w:szCs w:val="20"/>
                <w:color w:val="auto"/>
              </w:rPr>
            </w:pPr>
            <w:r>
              <w:rPr>
                <w:rFonts w:ascii="Arial" w:cs="Arial" w:eastAsia="Arial" w:hAnsi="Arial"/>
                <w:sz w:val="16"/>
                <w:szCs w:val="16"/>
                <w:b w:val="1"/>
                <w:bCs w:val="1"/>
                <w:color w:val="auto"/>
              </w:rPr>
              <w:t>EXHIBIT A Form of Amended and Restated Certificate of Incorporation of Acquiror</w:t>
            </w:r>
          </w:p>
        </w:tc>
        <w:tc>
          <w:tcPr>
            <w:tcW w:w="2100" w:type="dxa"/>
            <w:vAlign w:val="bottom"/>
          </w:tcPr>
          <w:p>
            <w:pPr>
              <w:jc w:val="right"/>
              <w:ind w:right="240"/>
              <w:spacing w:after="0"/>
              <w:rPr>
                <w:sz w:val="20"/>
                <w:szCs w:val="20"/>
                <w:color w:val="auto"/>
              </w:rPr>
            </w:pPr>
            <w:r>
              <w:rPr>
                <w:rFonts w:ascii="Arial" w:cs="Arial" w:eastAsia="Arial" w:hAnsi="Arial"/>
                <w:sz w:val="16"/>
                <w:szCs w:val="16"/>
                <w:b w:val="1"/>
                <w:bCs w:val="1"/>
                <w:color w:val="auto"/>
              </w:rPr>
              <w:t>86</w:t>
            </w:r>
          </w:p>
        </w:tc>
      </w:tr>
      <w:tr>
        <w:trPr>
          <w:trHeight w:val="191"/>
        </w:trPr>
        <w:tc>
          <w:tcPr>
            <w:tcW w:w="9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EXHIBIT B Form of Amended and Restated Bylaws of Acquiror</w:t>
            </w:r>
          </w:p>
        </w:tc>
        <w:tc>
          <w:tcPr>
            <w:tcW w:w="2100" w:type="dxa"/>
            <w:vAlign w:val="bottom"/>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87</w:t>
            </w:r>
          </w:p>
        </w:tc>
      </w:tr>
      <w:tr>
        <w:trPr>
          <w:trHeight w:val="208"/>
        </w:trPr>
        <w:tc>
          <w:tcPr>
            <w:tcW w:w="9160" w:type="dxa"/>
            <w:vAlign w:val="bottom"/>
            <w:gridSpan w:val="2"/>
          </w:tcPr>
          <w:p>
            <w:pPr>
              <w:spacing w:after="0"/>
              <w:rPr>
                <w:sz w:val="20"/>
                <w:szCs w:val="20"/>
                <w:color w:val="auto"/>
              </w:rPr>
            </w:pPr>
            <w:r>
              <w:rPr>
                <w:rFonts w:ascii="Arial" w:cs="Arial" w:eastAsia="Arial" w:hAnsi="Arial"/>
                <w:sz w:val="16"/>
                <w:szCs w:val="16"/>
                <w:b w:val="1"/>
                <w:bCs w:val="1"/>
                <w:color w:val="auto"/>
              </w:rPr>
              <w:t>EXHIBIT C Form of Registration Rights Agreement</w:t>
            </w:r>
          </w:p>
        </w:tc>
        <w:tc>
          <w:tcPr>
            <w:tcW w:w="2100" w:type="dxa"/>
            <w:vAlign w:val="bottom"/>
          </w:tcPr>
          <w:p>
            <w:pPr>
              <w:jc w:val="right"/>
              <w:ind w:right="240"/>
              <w:spacing w:after="0"/>
              <w:rPr>
                <w:sz w:val="20"/>
                <w:szCs w:val="20"/>
                <w:color w:val="auto"/>
              </w:rPr>
            </w:pPr>
            <w:r>
              <w:rPr>
                <w:rFonts w:ascii="Arial" w:cs="Arial" w:eastAsia="Arial" w:hAnsi="Arial"/>
                <w:sz w:val="16"/>
                <w:szCs w:val="16"/>
                <w:b w:val="1"/>
                <w:bCs w:val="1"/>
                <w:color w:val="auto"/>
              </w:rPr>
              <w:t>88</w:t>
            </w:r>
          </w:p>
        </w:tc>
      </w:tr>
    </w:tbl>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AGREEMENT AND PLAN OF MERGER</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10, 2021, is entered into by and among Ventoux CCM Acquisition Corp., a Delaware corporation (“</w:t>
      </w:r>
      <w:r>
        <w:rPr>
          <w:rFonts w:ascii="Arial" w:cs="Arial" w:eastAsia="Arial" w:hAnsi="Arial"/>
          <w:sz w:val="16"/>
          <w:szCs w:val="16"/>
          <w:u w:val="single" w:color="auto"/>
          <w:color w:val="auto"/>
        </w:rPr>
        <w:t>Acquiror</w:t>
      </w:r>
      <w:r>
        <w:rPr>
          <w:rFonts w:ascii="Arial" w:cs="Arial" w:eastAsia="Arial" w:hAnsi="Arial"/>
          <w:sz w:val="16"/>
          <w:szCs w:val="16"/>
          <w:color w:val="auto"/>
        </w:rPr>
        <w:t>”), Ventoux Merger Sub I Inc., a Delaware corporation (“</w:t>
      </w:r>
      <w:r>
        <w:rPr>
          <w:rFonts w:ascii="Arial" w:cs="Arial" w:eastAsia="Arial" w:hAnsi="Arial"/>
          <w:sz w:val="16"/>
          <w:szCs w:val="16"/>
          <w:u w:val="single" w:color="auto"/>
          <w:color w:val="auto"/>
        </w:rPr>
        <w:t>First Merger Sub</w:t>
      </w:r>
      <w:r>
        <w:rPr>
          <w:rFonts w:ascii="Arial" w:cs="Arial" w:eastAsia="Arial" w:hAnsi="Arial"/>
          <w:sz w:val="16"/>
          <w:szCs w:val="16"/>
          <w:color w:val="auto"/>
        </w:rPr>
        <w:t>”), Ventoux Merger Sub II LLC, a Delaware limited liability company (“</w:t>
      </w:r>
      <w:r>
        <w:rPr>
          <w:rFonts w:ascii="Arial" w:cs="Arial" w:eastAsia="Arial" w:hAnsi="Arial"/>
          <w:sz w:val="16"/>
          <w:szCs w:val="16"/>
          <w:u w:val="single" w:color="auto"/>
          <w:color w:val="auto"/>
        </w:rPr>
        <w:t>Second Merger Sub</w:t>
      </w:r>
      <w:r>
        <w:rPr>
          <w:rFonts w:ascii="Arial" w:cs="Arial" w:eastAsia="Arial" w:hAnsi="Arial"/>
          <w:sz w:val="16"/>
          <w:szCs w:val="16"/>
          <w:color w:val="auto"/>
        </w:rPr>
        <w:t>”) and E La Carte,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Except as otherwise indicated, capitalized terms used but not defined herein shall have the meanings set forth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Acquiror is a blank check company incorporated to acquire one or more operating businesses through a Business Combination;</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WHEREAS, each of First Merger Sub and Second Merger Sub is a newly formed, wholly owned, direct subsidiary of Acquiror, and was formed for the sole purpose of the Mergers;</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WHEREAS, subject to the terms and conditions hereof, at the Closing: (a) First Merger Sub is to merge with and into the Company pursuant to the First Merger, with the Company surviving as the Surviving Entity; and (b) immediately following the First Merger and as part of the same overall transaction as the First Merger, the Surviving Entity will merge with and into Second Merger Sub pursuant to the Second Merger, with Second Merger Sub surviving as the Surviving Company;</w:t>
      </w:r>
    </w:p>
    <w:p>
      <w:pPr>
        <w:spacing w:after="0" w:line="14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the respective boards of directors or similar governing bodies of each of Acquiror, First Merger Sub, Second Merger Sub and the Company have each approved and declared advisable the Transactions upon the terms and subject to the conditions of this Agreement and in accordance with the Delaware General Corporation Law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WHEREAS, in connection with the Transactions, Acquiror has entered into subscription agreements (each, as amended or modified from time to time, a “</w:t>
      </w:r>
      <w:r>
        <w:rPr>
          <w:rFonts w:ascii="Arial" w:cs="Arial" w:eastAsia="Arial" w:hAnsi="Arial"/>
          <w:sz w:val="14"/>
          <w:szCs w:val="14"/>
          <w:u w:val="single" w:color="auto"/>
          <w:color w:val="auto"/>
        </w:rPr>
        <w:t>Subscription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with the Investors pursuant to which, and on the terms and subject to the conditions of which, such Investors agreed to purchase from Acquiror, as applicable, (i) shares of Acquiror Common Stock and (ii) convertible debt securities of Acquiror and warrants to purchase shares of Acquiror Common Stock, for a total $70,000,000 (the “</w:t>
      </w:r>
      <w:r>
        <w:rPr>
          <w:rFonts w:ascii="Arial" w:cs="Arial" w:eastAsia="Arial" w:hAnsi="Arial"/>
          <w:sz w:val="14"/>
          <w:szCs w:val="14"/>
          <w:u w:val="single" w:color="auto"/>
          <w:color w:val="auto"/>
        </w:rPr>
        <w:t>Base Subscription Amount</w:t>
      </w:r>
      <w:r>
        <w:rPr>
          <w:rFonts w:ascii="Arial" w:cs="Arial" w:eastAsia="Arial" w:hAnsi="Arial"/>
          <w:sz w:val="14"/>
          <w:szCs w:val="14"/>
          <w:color w:val="auto"/>
        </w:rPr>
        <w:t>”) in gross proceeds to Acquiror, such purchases to be consummated prior to or substantially concurrently with the Closing;</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Company shall have the right hereunder to elect to approve new Subscription Agreements in amounts in excess of the Base Subscription Amount;</w:t>
      </w:r>
    </w:p>
    <w:p>
      <w:pPr>
        <w:spacing w:after="0" w:line="22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the Sponsor Parties (as defined therein) have entered into that certain Sponsor Agreement with Acquiror and the Company, dated as of the date hereof (the “</w:t>
      </w:r>
      <w:r>
        <w:rPr>
          <w:rFonts w:ascii="Arial" w:cs="Arial" w:eastAsia="Arial" w:hAnsi="Arial"/>
          <w:sz w:val="16"/>
          <w:szCs w:val="16"/>
          <w:u w:val="single" w:color="auto"/>
          <w:color w:val="auto"/>
        </w:rPr>
        <w:t>Sponsor Agreement</w:t>
      </w:r>
      <w:r>
        <w:rPr>
          <w:rFonts w:ascii="Arial" w:cs="Arial" w:eastAsia="Arial" w:hAnsi="Arial"/>
          <w:sz w:val="16"/>
          <w:szCs w:val="16"/>
          <w:color w:val="auto"/>
        </w:rPr>
        <w:t>”), pursuant to which, among other things, the Sponsor Parties have agreed, on the terms and subject to the conditions set forth therein, to (i) vote all of their shares of Acquiror Common Stock in favor of the approval and (to the extent applicable) adoption of this Agreement and the transactions contemplated hereby; (ii) the transfer restrictions contained therein; (iii) not effect any sale or distribution of any Acquiror Common Stock held by such stockholders; and (iv) subject a portion of their shares of Acquiror Common Stock to certain vesting and forfeiture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right="20" w:firstLine="574"/>
        <w:spacing w:after="0" w:line="275"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certain stockholders of the Company have entered into that certain Support Agreement, dated as of the date hereof (the “</w:t>
      </w:r>
      <w:r>
        <w:rPr>
          <w:rFonts w:ascii="Arial" w:cs="Arial" w:eastAsia="Arial" w:hAnsi="Arial"/>
          <w:sz w:val="16"/>
          <w:szCs w:val="16"/>
          <w:u w:val="single" w:color="auto"/>
          <w:color w:val="auto"/>
        </w:rPr>
        <w:t>Support Agreement</w:t>
      </w:r>
      <w:r>
        <w:rPr>
          <w:rFonts w:ascii="Arial" w:cs="Arial" w:eastAsia="Arial" w:hAnsi="Arial"/>
          <w:sz w:val="16"/>
          <w:szCs w:val="16"/>
          <w:color w:val="auto"/>
        </w:rPr>
        <w:t>”), with Acquiror and the Company;</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pursuant to the Acquiror Organizational Documents, Acquiror shall provide an opportunity to its stockholders to have their Acquiror Common Stock redeemed for the consideration, and on the terms and subject to the conditions and limitations, set forth in this Agreement, the Acquiror Organizational Documents, the Trust Agreement, and the Proxy Statement in conjunction with, inter alia, obtaining approval from the stockholders of Acquiror for the Business Combination (the “</w:t>
      </w:r>
      <w:r>
        <w:rPr>
          <w:rFonts w:ascii="Arial" w:cs="Arial" w:eastAsia="Arial" w:hAnsi="Arial"/>
          <w:sz w:val="15"/>
          <w:szCs w:val="15"/>
          <w:u w:val="single" w:color="auto"/>
          <w:color w:val="auto"/>
        </w:rPr>
        <w:t>Offer</w:t>
      </w:r>
      <w:r>
        <w:rPr>
          <w:rFonts w:ascii="Arial" w:cs="Arial" w:eastAsia="Arial" w:hAnsi="Arial"/>
          <w:sz w:val="15"/>
          <w:szCs w:val="15"/>
          <w:color w:val="auto"/>
        </w:rPr>
        <w:t>”);</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the amended and restated certificate of incorporation (the “</w:t>
      </w:r>
      <w:r>
        <w:rPr>
          <w:rFonts w:ascii="Arial" w:cs="Arial" w:eastAsia="Arial" w:hAnsi="Arial"/>
          <w:sz w:val="16"/>
          <w:szCs w:val="16"/>
          <w:u w:val="single" w:color="auto"/>
          <w:color w:val="auto"/>
        </w:rPr>
        <w:t>Acquiror A&amp;R Charter</w:t>
      </w:r>
      <w:r>
        <w:rPr>
          <w:rFonts w:ascii="Arial" w:cs="Arial" w:eastAsia="Arial" w:hAnsi="Arial"/>
          <w:sz w:val="16"/>
          <w:szCs w:val="16"/>
          <w:color w:val="auto"/>
        </w:rPr>
        <w:t>”) in the form set forth on Exhibit A, to provide for, among other things, an increase to the number of Acquiror’s authorized shares of Acquiror Common Stock in connection with the Transactions;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adopt the amended and restated bylaws (the “</w:t>
      </w:r>
      <w:r>
        <w:rPr>
          <w:rFonts w:ascii="Arial" w:cs="Arial" w:eastAsia="Arial" w:hAnsi="Arial"/>
          <w:sz w:val="16"/>
          <w:szCs w:val="16"/>
          <w:u w:val="single" w:color="auto"/>
          <w:color w:val="auto"/>
        </w:rPr>
        <w:t>Acquiror A&amp;R Bylaws</w:t>
      </w:r>
      <w:r>
        <w:rPr>
          <w:rFonts w:ascii="Arial" w:cs="Arial" w:eastAsia="Arial" w:hAnsi="Arial"/>
          <w:sz w:val="16"/>
          <w:szCs w:val="16"/>
          <w:color w:val="auto"/>
        </w:rPr>
        <w:t>”) in the form set forth on Exhibit B;</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an equity incentive plan in a form mutually agreed to by Acquiror and the Company (the “</w:t>
      </w:r>
      <w:r>
        <w:rPr>
          <w:rFonts w:ascii="Arial" w:cs="Arial" w:eastAsia="Arial" w:hAnsi="Arial"/>
          <w:sz w:val="16"/>
          <w:szCs w:val="16"/>
          <w:u w:val="single" w:color="auto"/>
          <w:color w:val="auto"/>
        </w:rPr>
        <w:t>Acquiror Incentive Plan</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prior to the consummation of the Transactions, the Acquiror shall, subject to obtaining the Acquiror Stockholder Approval, adopt an employee stock purchase plan in a form mutually agreed to by Acquiror and the Company (the “</w:t>
      </w:r>
      <w:r>
        <w:rPr>
          <w:rFonts w:ascii="Arial" w:cs="Arial" w:eastAsia="Arial" w:hAnsi="Arial"/>
          <w:sz w:val="16"/>
          <w:szCs w:val="16"/>
          <w:u w:val="single" w:color="auto"/>
          <w:color w:val="auto"/>
        </w:rPr>
        <w:t>Acquiror ESPP</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WHEREAS, prior to the consummation of the Transactions, the Acquiror, the Sponsors, certain of the members of the Sponsors and certain former stockholders of the Company shall enter into an Amended and Restated Registration Rights Agreement in substantially the form set forth on Exhibit C (the “</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and</w:t>
      </w:r>
    </w:p>
    <w:p>
      <w:pPr>
        <w:spacing w:after="0" w:line="10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WHEREAS, each of the parties intends that, for U.S. federal income tax purposes, (i) this Agreement shall constitute a “plan of reorganization” within the meaning of Section 368 of the Internal Revenue Code of 1986 (the “</w:t>
      </w:r>
      <w:r>
        <w:rPr>
          <w:rFonts w:ascii="Arial" w:cs="Arial" w:eastAsia="Arial" w:hAnsi="Arial"/>
          <w:sz w:val="14"/>
          <w:szCs w:val="14"/>
          <w:u w:val="single" w:color="auto"/>
          <w:color w:val="auto"/>
        </w:rPr>
        <w:t>Code</w:t>
      </w:r>
      <w:r>
        <w:rPr>
          <w:rFonts w:ascii="Arial" w:cs="Arial" w:eastAsia="Arial" w:hAnsi="Arial"/>
          <w:sz w:val="14"/>
          <w:szCs w:val="14"/>
          <w:color w:val="auto"/>
        </w:rPr>
        <w:t>”) and the Treasury Regulations promulgated thereunder and (ii) the First Merger and the Second Merger, taken together, shall constitute an integrated transaction that qualifies as a “reorganization” within the meaning of Section 368(a) of the Code (the “</w:t>
      </w:r>
      <w:r>
        <w:rPr>
          <w:rFonts w:ascii="Arial" w:cs="Arial" w:eastAsia="Arial" w:hAnsi="Arial"/>
          <w:sz w:val="14"/>
          <w:szCs w:val="14"/>
          <w:u w:val="single" w:color="auto"/>
          <w:color w:val="auto"/>
        </w:rPr>
        <w:t>Intended Tax Treatment</w:t>
      </w:r>
      <w:r>
        <w:rPr>
          <w:rFonts w:ascii="Arial" w:cs="Arial" w:eastAsia="Arial" w:hAnsi="Arial"/>
          <w:sz w:val="14"/>
          <w:szCs w:val="14"/>
          <w:color w:val="auto"/>
        </w:rPr>
        <w:t>”).</w:t>
      </w:r>
    </w:p>
    <w:p>
      <w:pPr>
        <w:spacing w:after="0" w:line="12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 Agreement, and intending to be legally bound hereby, Acquiror, First Merger Sub, Second Merger Sub and the Company agree as follows: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1.01 </w:t>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As used herein, the following terms shall have the following meanings: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A&amp;R Charter</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Affiliate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Acquiror and Merger Sub Representations</w:t>
      </w:r>
      <w:r>
        <w:rPr>
          <w:rFonts w:ascii="Arial" w:cs="Arial" w:eastAsia="Arial" w:hAnsi="Arial"/>
          <w:sz w:val="15"/>
          <w:szCs w:val="15"/>
          <w:color w:val="auto"/>
        </w:rPr>
        <w:t xml:space="preserve">” means the representations and warranties of each of Acquiror, First Merger Sub and Second Merger Sub expressly and specifically set forth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of this Agreement, and the certificates delivered by Acquiror at Closing hereunder, in each case, as qualified by the Schedules. For the avoidance of doubt, the Acquiror and Merger Sub Representations are solely made by Acquiror, First Merger Sub and Second Merger Sub.</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Board</w:t>
      </w:r>
      <w:r>
        <w:rPr>
          <w:rFonts w:ascii="Arial" w:cs="Arial" w:eastAsia="Arial" w:hAnsi="Arial"/>
          <w:sz w:val="16"/>
          <w:szCs w:val="16"/>
          <w:color w:val="auto"/>
        </w:rPr>
        <w:t>” means the board of directors of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Common Stock</w:t>
      </w:r>
      <w:r>
        <w:rPr>
          <w:rFonts w:ascii="Arial" w:cs="Arial" w:eastAsia="Arial" w:hAnsi="Arial"/>
          <w:sz w:val="16"/>
          <w:szCs w:val="16"/>
          <w:color w:val="auto"/>
        </w:rPr>
        <w:t>” means Acquiror’s Common Stock, par value $0.0001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Cure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ESPP</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Incentive Plan</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Acquiror Material Adverse Effect</w:t>
      </w:r>
      <w:r>
        <w:rPr>
          <w:rFonts w:ascii="Arial" w:cs="Arial" w:eastAsia="Arial" w:hAnsi="Arial"/>
          <w:sz w:val="15"/>
          <w:szCs w:val="15"/>
          <w:color w:val="auto"/>
        </w:rPr>
        <w:t>” means any change, event or effect that would have a material adverse effect: on the ability of Acquiror, First Merger Sub or Second Merger Sub to enter into and perform its obligations under this Agreement and the other agreements, certificates and documents referenced herein and consummate the Transactions and the other transactions contemplated by such other agreements, certificates and documents; provided, however, that in no event would any redemption of Acquiror Common Stock made in accordance with the Certificate of Incorporation, alone or in combination, be deemed to constitute, or be taken into account in determining whether there has been or will be, an “Acquiror Material Adverse Effect”, in each case, solely with respect to such redemption.</w:t>
      </w:r>
    </w:p>
    <w:p>
      <w:pPr>
        <w:spacing w:after="0" w:line="15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Organizational Documents</w:t>
      </w:r>
      <w:r>
        <w:rPr>
          <w:rFonts w:ascii="Arial" w:cs="Arial" w:eastAsia="Arial" w:hAnsi="Arial"/>
          <w:sz w:val="16"/>
          <w:szCs w:val="16"/>
          <w:color w:val="auto"/>
        </w:rPr>
        <w:t>” means the Certificate of Incorporation and Acquiror’s bylaws, in each case as may be amended from time to time in accordance with the terms of this Agreement.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Preferred Stock</w:t>
      </w:r>
      <w:r>
        <w:rPr>
          <w:rFonts w:ascii="Arial" w:cs="Arial" w:eastAsia="Arial" w:hAnsi="Arial"/>
          <w:sz w:val="16"/>
          <w:szCs w:val="16"/>
          <w:color w:val="auto"/>
        </w:rPr>
        <w:t>” means the preferred stock, par value $0.0001 per share, of the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Private Placement Warrant</w:t>
      </w:r>
      <w:r>
        <w:rPr>
          <w:rFonts w:ascii="Arial" w:cs="Arial" w:eastAsia="Arial" w:hAnsi="Arial"/>
          <w:sz w:val="16"/>
          <w:szCs w:val="16"/>
          <w:color w:val="auto"/>
        </w:rPr>
        <w:t>” means a warrant entitling the holder to purchase one share of Acquiror Common Stock per warrant.</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Right</w:t>
      </w:r>
      <w:r>
        <w:rPr>
          <w:rFonts w:ascii="Arial" w:cs="Arial" w:eastAsia="Arial" w:hAnsi="Arial"/>
          <w:sz w:val="16"/>
          <w:szCs w:val="16"/>
          <w:color w:val="auto"/>
        </w:rPr>
        <w:t>” means a right entitling the holder to receive one twentieth (1/20</w:t>
      </w:r>
      <w:r>
        <w:rPr>
          <w:rFonts w:ascii="Arial" w:cs="Arial" w:eastAsia="Arial" w:hAnsi="Arial"/>
          <w:sz w:val="26"/>
          <w:szCs w:val="26"/>
          <w:color w:val="auto"/>
          <w:vertAlign w:val="superscript"/>
        </w:rPr>
        <w:t>th</w:t>
      </w:r>
      <w:r>
        <w:rPr>
          <w:rFonts w:ascii="Arial" w:cs="Arial" w:eastAsia="Arial" w:hAnsi="Arial"/>
          <w:sz w:val="16"/>
          <w:szCs w:val="16"/>
          <w:color w:val="auto"/>
        </w:rPr>
        <w:t>) of a share of Acquiror Common Stock per right.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SEC Reports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5.10(a)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Stockholder</w:t>
      </w:r>
      <w:r>
        <w:rPr>
          <w:rFonts w:ascii="Arial" w:cs="Arial" w:eastAsia="Arial" w:hAnsi="Arial"/>
          <w:sz w:val="16"/>
          <w:szCs w:val="16"/>
          <w:color w:val="auto"/>
        </w:rPr>
        <w:t>” means a holder of Acquiror Common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Stockholder Approval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Unit</w:t>
      </w:r>
      <w:r>
        <w:rPr>
          <w:rFonts w:ascii="Arial" w:cs="Arial" w:eastAsia="Arial" w:hAnsi="Arial"/>
          <w:sz w:val="16"/>
          <w:szCs w:val="16"/>
          <w:color w:val="auto"/>
        </w:rPr>
        <w:t>” means one share of Acquiror Common Stock and one Acquiror Warrant.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Acquiror Warrant</w:t>
      </w:r>
      <w:r>
        <w:rPr>
          <w:rFonts w:ascii="Arial" w:cs="Arial" w:eastAsia="Arial" w:hAnsi="Arial"/>
          <w:sz w:val="16"/>
          <w:szCs w:val="16"/>
          <w:color w:val="auto"/>
        </w:rPr>
        <w:t>” means a warrant entitling the holder to purchase one-half of one share of Acquiror Common Stock per warrant.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claim, action, suit, assessment, arbitration or proceeding, in each case that is by or before any Governmental Authority.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Person that, directly or indirectly, controls, is controlled by, or is under common control with, such specified Person, through one or more intermediaries or otherwise.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Anti-Corruption Laws</w:t>
      </w:r>
      <w:r>
        <w:rPr>
          <w:rFonts w:ascii="Arial" w:cs="Arial" w:eastAsia="Arial" w:hAnsi="Arial"/>
          <w:sz w:val="14"/>
          <w:szCs w:val="14"/>
          <w:color w:val="auto"/>
        </w:rPr>
        <w:t>” means any applicable Laws relating to anti-bribery or anti-corruption (governmental or commercial), including Laws that prohibit the corrupt payment, offer, promise, or authorization of the payment or transfer of anything of value (including gifts or entertainment), directly or indirectly, to any representative of a foreign Governmental Authority or commercial entity to obtain a business advantage, including the U.S. Foreign Corrupt Practices Act of 1977, as amended from time to time, and all national and international Laws enacted to implement the OECD Convention on Combating Bribery of Foreign Officials in International Business Transactions.</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w:t>
      </w:r>
      <w:r>
        <w:rPr>
          <w:rFonts w:ascii="Arial" w:cs="Arial" w:eastAsia="Arial" w:hAnsi="Arial"/>
          <w:sz w:val="16"/>
          <w:szCs w:val="16"/>
          <w:color w:val="auto"/>
        </w:rPr>
        <w:t>” means the HSR Act, the Federal Trade Commission Act, as amended, the Sherman Act, as amended, the Clayton Act, as amended, and all other applicable Laws that are designed or intended to prohibit, restrict or regulate actions having the purpose or effect of monopolization or restraint of trade or lessening of competition through merger or acquisition.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has the meaning ascribed to such term in the Certificate of Incorporation.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Sunday or other day on which commercial banks in New York, New York or San Francisco, California are authorized or required by Law to close.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means the Amended and Restated Certificate of Incorporation of Acquiror, filed with the Secretary of State of the State of Delaware on December 23, 2020, and as subsequently amended from time to time.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Certificates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8.02(f)</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w:t>
      </w:r>
      <w:r>
        <w:rPr>
          <w:rFonts w:ascii="Arial" w:cs="Arial" w:eastAsia="Arial" w:hAnsi="Arial"/>
          <w:sz w:val="16"/>
          <w:szCs w:val="16"/>
          <w:color w:val="auto"/>
        </w:rPr>
        <w:t>” means any demand, claim, action, legal, judicial or administrative proceeding (whether at law or in equity) or arbitration.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Acquisition Proposal</w:t>
      </w:r>
      <w:r>
        <w:rPr>
          <w:rFonts w:ascii="Arial" w:cs="Arial" w:eastAsia="Arial" w:hAnsi="Arial"/>
          <w:sz w:val="15"/>
          <w:szCs w:val="15"/>
          <w:color w:val="auto"/>
        </w:rPr>
        <w:t>” means any written or bona fide oral inquiry, indication of interest, proposal or offer (other than an offer, indication of interest or proposal made or submitted by or on behalf of Acquiror or any of its Affiliates) contemplating or otherwise relating to any Company Acquisition Transaction.</w:t>
      </w:r>
    </w:p>
    <w:p>
      <w:pPr>
        <w:spacing w:after="0" w:line="129"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Acquisition Transaction</w:t>
      </w:r>
      <w:r>
        <w:rPr>
          <w:rFonts w:ascii="Arial" w:cs="Arial" w:eastAsia="Arial" w:hAnsi="Arial"/>
          <w:sz w:val="14"/>
          <w:szCs w:val="14"/>
          <w:color w:val="auto"/>
        </w:rPr>
        <w:t xml:space="preserve">” means any transaction or series of related transactions (other than the Transactions or other transactions in the ordinary course of business) involving, directly or indirectly: (i) any merger, consolidation, amalgamation, share exchange, business combination, acquisition, recapitalization, dissolution, liquidation, reorganization or other similar transaction involving the sale or disposition of (A) the Company or (B) any of its Subsidiaries holding assets constituting, individually or in the aggregate, 20% or more of the consolidated assets of the Company and its Subsidiaries; (ii) any issuance, sale, pledge, disposal of, transfer or encumbrance of any securities (or instruments convertible into or exercisable or exchangeable for, such securities) of the Company or any of its Subsidiaries, other than issuances, sales, pledges, disposals, transfers or encumbrances of securities (or instruments convertible into or exercisable or exchangeable for, such securities) expressly permitted by </w:t>
      </w:r>
      <w:r>
        <w:rPr>
          <w:rFonts w:ascii="Arial" w:cs="Arial" w:eastAsia="Arial" w:hAnsi="Arial"/>
          <w:sz w:val="14"/>
          <w:szCs w:val="14"/>
          <w:u w:val="single" w:color="auto"/>
          <w:color w:val="auto"/>
        </w:rPr>
        <w:t>Section 6.01</w:t>
      </w:r>
      <w:r>
        <w:rPr>
          <w:rFonts w:ascii="Arial" w:cs="Arial" w:eastAsia="Arial" w:hAnsi="Arial"/>
          <w:sz w:val="14"/>
          <w:szCs w:val="14"/>
          <w:color w:val="auto"/>
        </w:rPr>
        <w:t>; (iii) any transaction (x) in which any Person or “group” (as defined in the Exchange Act and the rules thereunder) of Persons acquires beneficial or record ownership of securities (or instruments convertible into or exercisable or exchangeable for, such securities) representing 20% or more of the outstanding voting power of the Company or any of its Subsidiaries; or (y) in which the Company or any of its Subsidiaries issues, transfers, sells or pledges securities (or instruments convertible into or exercisable or exchangeable for, such securities) representing 20% or more of the outstanding voting power of the Company or any of its Subsidiaries (after giving effect to such transaction); (iv)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20% or more of the outstanding voting power of the Company or any of its Subsidiaries; or (v) any combination of the foregoing types of transaction if the sum of the percentage of the voting power of the Company or any of its Subsidiaries or of the revenues, income or assets of the Company or any of its Subsidiaries involved is 20% or more.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Affiliate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4.21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Board</w:t>
      </w:r>
      <w:r>
        <w:rPr>
          <w:rFonts w:ascii="Arial" w:cs="Arial" w:eastAsia="Arial" w:hAnsi="Arial"/>
          <w:sz w:val="16"/>
          <w:szCs w:val="16"/>
          <w:color w:val="auto"/>
        </w:rPr>
        <w:t>” means the board of directors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 w:name="page21"/>
    <w:bookmarkEnd w:id="2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Certificate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3.05(a)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4.06</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Convertible Notes</w:t>
      </w:r>
      <w:r>
        <w:rPr>
          <w:rFonts w:ascii="Arial" w:cs="Arial" w:eastAsia="Arial" w:hAnsi="Arial"/>
          <w:sz w:val="16"/>
          <w:szCs w:val="16"/>
          <w:color w:val="auto"/>
        </w:rPr>
        <w:t>” means the convertible debt securities issued by the Company in favor of certain investors, the terms of which provide for the conversion into, or exchange for, Company Common Stock or Company Preferred Stock.</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Cure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Equity Awards</w:t>
      </w:r>
      <w:r>
        <w:rPr>
          <w:rFonts w:ascii="Arial" w:cs="Arial" w:eastAsia="Arial" w:hAnsi="Arial"/>
          <w:sz w:val="16"/>
          <w:szCs w:val="16"/>
          <w:color w:val="auto"/>
        </w:rPr>
        <w:t>” means Company Options and any other awards granted under the Company Stock Plans.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means all Owned Intellectual Property and all Intellectual Property used in or necessary for the conduct of the businesses of the Company and its Subsidiaries, as currently conducted.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Merger Shares</w:t>
      </w:r>
      <w:r>
        <w:rPr>
          <w:rFonts w:ascii="Arial" w:cs="Arial" w:eastAsia="Arial" w:hAnsi="Arial"/>
          <w:sz w:val="14"/>
          <w:szCs w:val="14"/>
          <w:color w:val="auto"/>
        </w:rPr>
        <w:t>” means the number of shares of Acquiror Common Stock equal to the quotient determined by dividing (a) the Company Valuation by (b)</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Non-Voting Common Stock</w:t>
      </w:r>
      <w:r>
        <w:rPr>
          <w:rFonts w:ascii="Arial" w:cs="Arial" w:eastAsia="Arial" w:hAnsi="Arial"/>
          <w:sz w:val="16"/>
          <w:szCs w:val="16"/>
          <w:color w:val="auto"/>
        </w:rPr>
        <w:t>” means a share of the Company’s non-voting common stock, par value $0.001 per share.</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each option to purchase shares of Company Common Stock issued under any agreement with the Company, including the Company Stock Plans, whether vested or unvested, outstanding and unexercised immediately prior to Closing.</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Outstanding Shares</w:t>
      </w:r>
      <w:r>
        <w:rPr>
          <w:rFonts w:ascii="Arial" w:cs="Arial" w:eastAsia="Arial" w:hAnsi="Arial"/>
          <w:sz w:val="15"/>
          <w:szCs w:val="15"/>
          <w:color w:val="auto"/>
        </w:rPr>
        <w:t xml:space="preserve">” means, without duplication, (a) the total number of shares of Company Common Stock outstanding immediately prior to the Effective Time, expressed on a fully-diluted and as-converted to Company Common Stock basis, and including, without limitation, (i) the number of shares of Company Common Stock issuable upon conversion of the Company Preferred Stock and Company Convertible Notes pursuant to </w:t>
      </w:r>
      <w:r>
        <w:rPr>
          <w:rFonts w:ascii="Arial" w:cs="Arial" w:eastAsia="Arial" w:hAnsi="Arial"/>
          <w:sz w:val="15"/>
          <w:szCs w:val="15"/>
          <w:u w:val="single" w:color="auto"/>
          <w:color w:val="auto"/>
        </w:rPr>
        <w:t>Section 3.01(a)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3.01(b)</w:t>
      </w:r>
      <w:r>
        <w:rPr>
          <w:rFonts w:ascii="Arial" w:cs="Arial" w:eastAsia="Arial" w:hAnsi="Arial"/>
          <w:sz w:val="15"/>
          <w:szCs w:val="15"/>
          <w:color w:val="auto"/>
        </w:rPr>
        <w:t xml:space="preserve">, and the exercise of Company Warrants, respectively, and (ii) the number of shares of Company Common Stock subject to unexpired, issued and outstanding Company Options as of immediately prior to the Effective Time, </w:t>
      </w:r>
      <w:r>
        <w:rPr>
          <w:rFonts w:ascii="Arial" w:cs="Arial" w:eastAsia="Arial" w:hAnsi="Arial"/>
          <w:sz w:val="15"/>
          <w:szCs w:val="15"/>
          <w:i w:val="1"/>
          <w:iCs w:val="1"/>
          <w:color w:val="auto"/>
        </w:rPr>
        <w:t>minus</w:t>
      </w:r>
      <w:r>
        <w:rPr>
          <w:rFonts w:ascii="Arial" w:cs="Arial" w:eastAsia="Arial" w:hAnsi="Arial"/>
          <w:sz w:val="15"/>
          <w:szCs w:val="15"/>
          <w:color w:val="auto"/>
        </w:rPr>
        <w:t xml:space="preserve"> (b) (i) the total number of shares of Company Common Stock, issued or issuable in connection with the Permitted Acquisitions, (ii) Excluded Shares outstanding immediately prior to the Effective Time and (iii) the Dissenting Shares.</w:t>
      </w:r>
    </w:p>
    <w:p>
      <w:pPr>
        <w:spacing w:after="0" w:line="157"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means the shares of (a) Company Series A Preferred Stock, (b) Company Series AA-1 Preferred Stock, (c) Company Series AA-2 Preferred Stock, (d) Company Series B Preferred Stock, (e) Company Series B-1 Preferred Stock, (f) Company Series C Preferred Stock and (g) Company Series C-1 Preferred Stock.</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Representations</w:t>
      </w:r>
      <w:r>
        <w:rPr>
          <w:rFonts w:ascii="Arial" w:cs="Arial" w:eastAsia="Arial" w:hAnsi="Arial"/>
          <w:sz w:val="16"/>
          <w:szCs w:val="16"/>
          <w:color w:val="auto"/>
        </w:rPr>
        <w:t xml:space="preserve">” means the representations and warranties of the Company expressly and specifically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this Agreement, and the certificates delivered by the Company at Closing hereunder, in each case, as qualified by the Schedules. For the avoidance of doubt, the Company Representations are solely made by the Company.</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Requisite Approval</w:t>
      </w:r>
      <w:r>
        <w:rPr>
          <w:rFonts w:ascii="Arial" w:cs="Arial" w:eastAsia="Arial" w:hAnsi="Arial"/>
          <w:sz w:val="16"/>
          <w:szCs w:val="16"/>
          <w:color w:val="auto"/>
        </w:rPr>
        <w:t>” means the vote of holders of Company Stock required to approve the adoption of this Agreement and approval of the transactions contemplated hereby, including the authorization of the Mergers, the Proposals, and all other transactions contemplated hereby, as determined in accordance with applicable Law and the organizational documents of the Company.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 Preferred Stock</w:t>
      </w:r>
      <w:r>
        <w:rPr>
          <w:rFonts w:ascii="Arial" w:cs="Arial" w:eastAsia="Arial" w:hAnsi="Arial"/>
          <w:sz w:val="16"/>
          <w:szCs w:val="16"/>
          <w:color w:val="auto"/>
        </w:rPr>
        <w:t>” means the shares of Series A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AA-1 Preferred Stock</w:t>
      </w:r>
      <w:r>
        <w:rPr>
          <w:rFonts w:ascii="Arial" w:cs="Arial" w:eastAsia="Arial" w:hAnsi="Arial"/>
          <w:sz w:val="16"/>
          <w:szCs w:val="16"/>
          <w:color w:val="auto"/>
        </w:rPr>
        <w:t>” means the shares of Series AA-1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AA-2 Preferred Stock</w:t>
      </w:r>
      <w:r>
        <w:rPr>
          <w:rFonts w:ascii="Arial" w:cs="Arial" w:eastAsia="Arial" w:hAnsi="Arial"/>
          <w:sz w:val="16"/>
          <w:szCs w:val="16"/>
          <w:color w:val="auto"/>
        </w:rPr>
        <w:t>” means the shares of Series AA-2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B Preferred Stock</w:t>
      </w:r>
      <w:r>
        <w:rPr>
          <w:rFonts w:ascii="Arial" w:cs="Arial" w:eastAsia="Arial" w:hAnsi="Arial"/>
          <w:sz w:val="16"/>
          <w:szCs w:val="16"/>
          <w:color w:val="auto"/>
        </w:rPr>
        <w:t>” means the shares of Series B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B-1 Preferred Stock</w:t>
      </w:r>
      <w:r>
        <w:rPr>
          <w:rFonts w:ascii="Arial" w:cs="Arial" w:eastAsia="Arial" w:hAnsi="Arial"/>
          <w:sz w:val="16"/>
          <w:szCs w:val="16"/>
          <w:color w:val="auto"/>
        </w:rPr>
        <w:t>” means the shares of Series B-1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C Preferred Stock</w:t>
      </w:r>
      <w:r>
        <w:rPr>
          <w:rFonts w:ascii="Arial" w:cs="Arial" w:eastAsia="Arial" w:hAnsi="Arial"/>
          <w:sz w:val="16"/>
          <w:szCs w:val="16"/>
          <w:color w:val="auto"/>
        </w:rPr>
        <w:t>” means the shares of Series C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Series C-1 Preferred Stock</w:t>
      </w:r>
      <w:r>
        <w:rPr>
          <w:rFonts w:ascii="Arial" w:cs="Arial" w:eastAsia="Arial" w:hAnsi="Arial"/>
          <w:sz w:val="16"/>
          <w:szCs w:val="16"/>
          <w:color w:val="auto"/>
        </w:rPr>
        <w:t>” means the shares of Series C-1 Preferred Stock, par value $0.001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Software</w:t>
      </w:r>
      <w:r>
        <w:rPr>
          <w:rFonts w:ascii="Arial" w:cs="Arial" w:eastAsia="Arial" w:hAnsi="Arial"/>
          <w:sz w:val="15"/>
          <w:szCs w:val="15"/>
          <w:color w:val="auto"/>
        </w:rPr>
        <w:t>” means all Software used in or necessary for conduct of the businesses of the Company and its Subsidiaries, as currently conducted.</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w:t>
      </w:r>
      <w:r>
        <w:rPr>
          <w:rFonts w:ascii="Arial" w:cs="Arial" w:eastAsia="Arial" w:hAnsi="Arial"/>
          <w:sz w:val="16"/>
          <w:szCs w:val="16"/>
          <w:color w:val="auto"/>
        </w:rPr>
        <w:t>” means, collectively, the Company Common Stock and the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Plans</w:t>
      </w:r>
      <w:r>
        <w:rPr>
          <w:rFonts w:ascii="Arial" w:cs="Arial" w:eastAsia="Arial" w:hAnsi="Arial"/>
          <w:sz w:val="16"/>
          <w:szCs w:val="16"/>
          <w:color w:val="auto"/>
        </w:rPr>
        <w:t>” means the Company’s 2008 Stock Incentive Plan and the Company’s 2018 Equity Incentive Plan.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w:t>
      </w:r>
      <w:r>
        <w:rPr>
          <w:rFonts w:ascii="Arial" w:cs="Arial" w:eastAsia="Arial" w:hAnsi="Arial"/>
          <w:sz w:val="16"/>
          <w:szCs w:val="16"/>
          <w:color w:val="auto"/>
        </w:rPr>
        <w:t>” means the holder of either a share of Company Common Stock or a share of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Stockholders Meeting</w:t>
      </w:r>
      <w:r>
        <w:rPr>
          <w:rFonts w:ascii="Arial" w:cs="Arial" w:eastAsia="Arial" w:hAnsi="Arial"/>
          <w:sz w:val="14"/>
          <w:szCs w:val="14"/>
          <w:color w:val="auto"/>
        </w:rPr>
        <w:t xml:space="preserve">” means a special meeting of the Company Stockholders to be held to consider the adoption of this Agreement pursuant to </w:t>
      </w:r>
      <w:r>
        <w:rPr>
          <w:rFonts w:ascii="Arial" w:cs="Arial" w:eastAsia="Arial" w:hAnsi="Arial"/>
          <w:sz w:val="14"/>
          <w:szCs w:val="14"/>
          <w:u w:val="single" w:color="auto"/>
          <w:color w:val="auto"/>
        </w:rPr>
        <w:t>Section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8.03(b)</w:t>
      </w:r>
      <w:r>
        <w:rPr>
          <w:rFonts w:ascii="Arial" w:cs="Arial" w:eastAsia="Arial" w:hAnsi="Arial"/>
          <w:sz w:val="16"/>
          <w:szCs w:val="16"/>
          <w:color w:val="auto"/>
        </w:rPr>
        <w: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Valuation</w:t>
      </w:r>
      <w:r>
        <w:rPr>
          <w:rFonts w:ascii="Arial" w:cs="Arial" w:eastAsia="Arial" w:hAnsi="Arial"/>
          <w:sz w:val="16"/>
          <w:szCs w:val="16"/>
          <w:color w:val="auto"/>
        </w:rPr>
        <w:t>” means $800,000,000.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Voting Common Stock</w:t>
      </w:r>
      <w:r>
        <w:rPr>
          <w:rFonts w:ascii="Arial" w:cs="Arial" w:eastAsia="Arial" w:hAnsi="Arial"/>
          <w:sz w:val="16"/>
          <w:szCs w:val="16"/>
          <w:color w:val="auto"/>
        </w:rPr>
        <w:t>” means a share of the Company’s voting common stock, par value $0.001 per share.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Warrants</w:t>
      </w:r>
      <w:r>
        <w:rPr>
          <w:rFonts w:ascii="Arial" w:cs="Arial" w:eastAsia="Arial" w:hAnsi="Arial"/>
          <w:sz w:val="16"/>
          <w:szCs w:val="16"/>
          <w:color w:val="auto"/>
        </w:rPr>
        <w:t>” means the warrants of the Company to purchase Company Common Stock or Company Preferred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11.09</w:t>
      </w:r>
      <w:r>
        <w:rPr>
          <w:rFonts w:ascii="Arial" w:cs="Arial" w:eastAsia="Arial" w:hAnsi="Arial"/>
          <w:sz w:val="16"/>
          <w:szCs w:val="16"/>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 Solicitation Statement</w:t>
      </w:r>
      <w:r>
        <w:rPr>
          <w:rFonts w:ascii="Arial" w:cs="Arial" w:eastAsia="Arial" w:hAnsi="Arial"/>
          <w:sz w:val="16"/>
          <w:szCs w:val="16"/>
          <w:color w:val="auto"/>
        </w:rPr>
        <w:t>” means the consent solicitation statement with respect to the solicitation by the Company of the Company Requisite Approval.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2" w:name="page23"/>
    <w:bookmarkEnd w:id="22"/>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legally binding contracts, agreements, subcontracts, leases, and purchase orders (other than any Company Benefit Plans).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Terms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4.11(h)</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D&amp;O Tail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7.02(b)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Earnout Participants</w:t>
      </w:r>
      <w:r>
        <w:rPr>
          <w:rFonts w:ascii="Arial" w:cs="Arial" w:eastAsia="Arial" w:hAnsi="Arial"/>
          <w:sz w:val="14"/>
          <w:szCs w:val="14"/>
          <w:color w:val="auto"/>
        </w:rPr>
        <w:t xml:space="preserve">” means holders of (i) shares of Company Common Stock outstanding immediately prior to the Effective Time, after giving effect to the conversion of Company Preferred Stock in accordance with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and each share of Company Stock delivered in satisfaction of Company Warrants exercised prior to the Effective Time and in connection with the conversion of the Company Convertible Notes, and (ii) Company Equity Awards outstanding immediately prior to the Effective Time and held by any active employee of the Company as of immediately prior to the Closing, in each case with an Earnout Pro Rata Portion in excess of zero (0).</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Pro Rata Portion</w:t>
      </w:r>
      <w:r>
        <w:rPr>
          <w:rFonts w:ascii="Arial" w:cs="Arial" w:eastAsia="Arial" w:hAnsi="Arial"/>
          <w:sz w:val="16"/>
          <w:szCs w:val="16"/>
          <w:color w:val="auto"/>
        </w:rPr>
        <w:t>” means, with respect to each Earnout Participant:</w:t>
      </w:r>
    </w:p>
    <w:p>
      <w:pPr>
        <w:spacing w:after="0" w:line="198" w:lineRule="exact"/>
        <w:rPr>
          <w:sz w:val="20"/>
          <w:szCs w:val="20"/>
          <w:color w:val="auto"/>
        </w:rPr>
      </w:pPr>
    </w:p>
    <w:p>
      <w:pPr>
        <w:jc w:val="both"/>
        <w:ind w:left="560" w:firstLine="583"/>
        <w:spacing w:after="0" w:line="253" w:lineRule="auto"/>
        <w:tabs>
          <w:tab w:leader="none" w:pos="143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a holder of outstanding shares of Company Common Stock as of immediately prior to the Effective Time, a fraction expressed as a percentage equal to (i) the number of shares of Acquiror Common Stock into which such holder’s shares of Company Common Stock are converted into in accordance with </w:t>
      </w:r>
      <w:r>
        <w:rPr>
          <w:rFonts w:ascii="Arial" w:cs="Arial" w:eastAsia="Arial" w:hAnsi="Arial"/>
          <w:sz w:val="16"/>
          <w:szCs w:val="16"/>
          <w:u w:val="single" w:color="auto"/>
          <w:color w:val="auto"/>
        </w:rPr>
        <w:t>Section 3.01(c)(i)</w:t>
      </w:r>
      <w:r>
        <w:rPr>
          <w:rFonts w:ascii="Arial" w:cs="Arial" w:eastAsia="Arial" w:hAnsi="Arial"/>
          <w:sz w:val="16"/>
          <w:szCs w:val="16"/>
          <w:color w:val="auto"/>
        </w:rPr>
        <w:t xml:space="preserve"> (including shares issued in connection with the conversion of the Company Convertible Notes)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sum of (x) the total number of shares of Acquiror Common Stock into which all outstanding shares of Company Common Stock are converted in accordance with </w:t>
      </w:r>
      <w:r>
        <w:rPr>
          <w:rFonts w:ascii="Arial" w:cs="Arial" w:eastAsia="Arial" w:hAnsi="Arial"/>
          <w:sz w:val="16"/>
          <w:szCs w:val="16"/>
          <w:u w:val="single" w:color="auto"/>
          <w:color w:val="auto"/>
        </w:rPr>
        <w:t>Section 3.01(c)(i)</w:t>
      </w:r>
      <w:r>
        <w:rPr>
          <w:rFonts w:ascii="Arial" w:cs="Arial" w:eastAsia="Arial" w:hAnsi="Arial"/>
          <w:sz w:val="16"/>
          <w:szCs w:val="16"/>
          <w:color w:val="auto"/>
        </w:rPr>
        <w:t xml:space="preserve"> (including shares issued in connection with the conversion of the Company Convertible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total number of shares of Acquiror Common Stock issued or issuable upon the exercise of the Exchanged Warrants and the Exchanged Options as of immediately following the Effective Time (whether vested or unvested, and on a cash exercise basis) (the “</w:t>
      </w:r>
      <w:r>
        <w:rPr>
          <w:rFonts w:ascii="Arial" w:cs="Arial" w:eastAsia="Arial" w:hAnsi="Arial"/>
          <w:sz w:val="16"/>
          <w:szCs w:val="16"/>
          <w:u w:val="single" w:color="auto"/>
          <w:color w:val="auto"/>
        </w:rPr>
        <w:t>Earnout Denominator</w:t>
      </w:r>
      <w:r>
        <w:rPr>
          <w:rFonts w:ascii="Arial" w:cs="Arial" w:eastAsia="Arial" w:hAnsi="Arial"/>
          <w:sz w:val="16"/>
          <w:szCs w:val="16"/>
          <w:color w:val="auto"/>
        </w:rPr>
        <w:t>”); and</w:t>
      </w:r>
    </w:p>
    <w:p>
      <w:pPr>
        <w:spacing w:after="0" w:line="171" w:lineRule="exact"/>
        <w:rPr>
          <w:rFonts w:ascii="Arial" w:cs="Arial" w:eastAsia="Arial" w:hAnsi="Arial"/>
          <w:sz w:val="16"/>
          <w:szCs w:val="16"/>
          <w:color w:val="auto"/>
        </w:rPr>
      </w:pPr>
    </w:p>
    <w:p>
      <w:pPr>
        <w:jc w:val="both"/>
        <w:ind w:left="560" w:firstLine="583"/>
        <w:spacing w:after="0" w:line="255" w:lineRule="auto"/>
        <w:tabs>
          <w:tab w:leader="none" w:pos="1399"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the case of a holder of outstanding Company Warrants or Company Options (whether vested or unvested) as of immediately prior to the Effective Time, a fraction expressed as a percentage equal to (i) the number of shares of Company Common Stock issued or issuable upon the exercise of such holder’s Exchanged Warrants or Exchanged Options, as applicable (whether vested or unvested, on a cash exercise basis),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Earnout Denominator, in each case, with such adjustments to give effect to rounding as the Company may determine in its sole discretion;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aggregate Earnout Pro Rata Portion exceed 100%.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applicable Laws relating to pollution, the protection of the environment (including natural resources), and the protection of human health or safety (to the extent related to exposure to Hazardous Materials), including any requiring the registration, testing, evaluation, classification or labelling of, or which prohibit or restrict in commerce, any Hazardous Material.</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following ratio (rounded to four decimal places): the quotient obtained by dividing (i) the Company Merger Shares by (ii) the Company Outstanding Shares.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Exchanged Option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Exchanged Warrant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Share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3.01(c)(ii)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Derivative/Hedging Arrangement</w:t>
      </w:r>
      <w:r>
        <w:rPr>
          <w:rFonts w:ascii="Arial" w:cs="Arial" w:eastAsia="Arial" w:hAnsi="Arial"/>
          <w:sz w:val="16"/>
          <w:szCs w:val="16"/>
          <w:color w:val="auto"/>
        </w:rPr>
        <w:t>” means any transaction (including an agreement with respect thereto)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combination of these transactions.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Certificate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Merger Sub</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United States generally accepted accounting principles, consistently applied.</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provincial, municipal, local or foreign government, governmental authority, regulatory or administrative agency, governmental commission, department, board, bureau, agency or instrumentality, arbitrator, court or tribunal.</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Order</w:t>
      </w:r>
      <w:r>
        <w:rPr>
          <w:rFonts w:ascii="Arial" w:cs="Arial" w:eastAsia="Arial" w:hAnsi="Arial"/>
          <w:sz w:val="16"/>
          <w:szCs w:val="16"/>
          <w:color w:val="auto"/>
        </w:rPr>
        <w:t>” means any order, judgment, injunction, decree, writ, stipulation, determination or award, in each case, entered by or with any Governmental Authority.</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Material</w:t>
      </w:r>
      <w:r>
        <w:rPr>
          <w:rFonts w:ascii="Arial" w:cs="Arial" w:eastAsia="Arial" w:hAnsi="Arial"/>
          <w:sz w:val="14"/>
          <w:szCs w:val="14"/>
          <w:color w:val="auto"/>
        </w:rPr>
        <w:t>” means any material, substance or waste that is listed, regulated, designated, classified or defined as “hazardous,” “toxic,” or “radioactive,” or a “pollutant” or “contaminant” (or words of similar intent or meaning) under applicable Environmental Laws, including but not limited to petroleum, petroleum by-products, petroleum products and all derivatives thereof, asbestos or asbestos-containing material, polychlorinated biphenyls, flammable or explosive substances or toxic mold.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and the rules and regulations promulgated thereunder.</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Plan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 respect to any Person, without duplication, any obligations (whether or not contingent) consisting of (a) the outstanding principal amount of and accrued and unpaid interest on, and other payment obligations for, borrowed money, or payment obligations issued or incurred in substitution or exchange for payment obligations for borrowed money, (b) amounts owing as deferred purchase price for property or services, including “earnout” payments, (c) payment obligations evidenced by any promissory note, bond, debenture, mortgage or other debt instrument or debt security, (d) contingent reimbursement obligations with respect to letters of credit, bankers’ acceptance or similar facilities (in each case to the extent drawn), (e) payment obligations of a third party secured by (or for which the holder of such payment obligations has an existing right, contingent or otherwise, to be secured by) any Lien, other than a Permitted Lien, on assets or properties of such Person, whether or not the obligations secured thereby have been assumed, (f) obligations under capitalized leases, (g) obligations under any Financial Derivative/Hedging Arrangement, (h) guarantees, make-whole agreements, hold harmless agreements or other similar arrangements with respect to any amounts of a type described in clauses (a) through (g) above and (i) with respect to each of the foregoing, any unpaid interest, breakage costs, prepayment or redemption penalties or premiums, or other unpaid fees or obligations; provided, however, that Indebtedness shall not include (w) accounts payable to trade creditors and accrued expenses arising in the ordinary course of business consistent with past practice, (x) any obligations relating to the Permitted Acquisitions and (y) expenses incurred in connection with this Agreement and the Transactions.</w:t>
      </w:r>
    </w:p>
    <w:p>
      <w:pPr>
        <w:spacing w:after="0" w:line="147" w:lineRule="exact"/>
        <w:rPr>
          <w:sz w:val="20"/>
          <w:szCs w:val="20"/>
          <w:color w:val="auto"/>
        </w:rPr>
      </w:pPr>
    </w:p>
    <w:p>
      <w:pPr>
        <w:jc w:val="both"/>
        <w:ind w:left="4"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or Document Request</w:t>
      </w:r>
      <w:r>
        <w:rPr>
          <w:rFonts w:ascii="Arial" w:cs="Arial" w:eastAsia="Arial" w:hAnsi="Arial"/>
          <w:sz w:val="16"/>
          <w:szCs w:val="16"/>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contemplated hereby or by any third party challenging the transactions contemplated hereby, including any so called “second request” for additional information or documentary material or any civil investigative demand made or issued by the Antitrust Division of the United States Department of Justice or the United States Federal Trade Commission or any subpoena, interrogatory or deposition.</w:t>
      </w:r>
    </w:p>
    <w:p>
      <w:pPr>
        <w:spacing w:after="0" w:line="170" w:lineRule="exact"/>
        <w:rPr>
          <w:sz w:val="20"/>
          <w:szCs w:val="20"/>
          <w:color w:val="auto"/>
        </w:rPr>
      </w:pPr>
    </w:p>
    <w:p>
      <w:pPr>
        <w:jc w:val="both"/>
        <w:ind w:left="4" w:firstLine="574"/>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all intellectual or industrial property rights created, arising, or protected under applicable Law, in any jurisdiction, including all rights, title, and interest in and to any and all: (i) patents, patent applications, patentable inventions, invention disclosures and other patent rights (including any provisionals, extensions, divisionals, continuations, continuations-in-part, reissues, reexaminations and interferences thereof) (collectively, “</w:t>
      </w:r>
      <w:r>
        <w:rPr>
          <w:rFonts w:ascii="Arial" w:cs="Arial" w:eastAsia="Arial" w:hAnsi="Arial"/>
          <w:sz w:val="14"/>
          <w:szCs w:val="14"/>
          <w:u w:val="single" w:color="auto"/>
          <w:color w:val="auto"/>
        </w:rPr>
        <w:t>Patents</w:t>
      </w:r>
      <w:r>
        <w:rPr>
          <w:rFonts w:ascii="Arial" w:cs="Arial" w:eastAsia="Arial" w:hAnsi="Arial"/>
          <w:sz w:val="14"/>
          <w:szCs w:val="14"/>
          <w:color w:val="auto"/>
        </w:rPr>
        <w:t>”); (ii) trademarks, service marks, certification marks, trade dress, trade names, taglines, social media identifiers (such as a Twitter® Handle), brand names, logos, slogans and corporate names and all other indicia of source or origin, together with all goodwill related to any of the foregoing (collectively, “</w:t>
      </w:r>
      <w:r>
        <w:rPr>
          <w:rFonts w:ascii="Arial" w:cs="Arial" w:eastAsia="Arial" w:hAnsi="Arial"/>
          <w:sz w:val="14"/>
          <w:szCs w:val="14"/>
          <w:u w:val="single" w:color="auto"/>
          <w:color w:val="auto"/>
        </w:rPr>
        <w:t>Trademarks</w:t>
      </w:r>
      <w:r>
        <w:rPr>
          <w:rFonts w:ascii="Arial" w:cs="Arial" w:eastAsia="Arial" w:hAnsi="Arial"/>
          <w:sz w:val="14"/>
          <w:szCs w:val="14"/>
          <w:color w:val="auto"/>
        </w:rPr>
        <w:t>”); (iii) works of authorship (including Software, websites, and content), copyrights, mask work rights, database and design rights and all moral rights or similar attribution rights (collectively, “</w:t>
      </w:r>
      <w:r>
        <w:rPr>
          <w:rFonts w:ascii="Arial" w:cs="Arial" w:eastAsia="Arial" w:hAnsi="Arial"/>
          <w:sz w:val="14"/>
          <w:szCs w:val="14"/>
          <w:u w:val="single" w:color="auto"/>
          <w:color w:val="auto"/>
        </w:rPr>
        <w:t>Copyrights</w:t>
      </w:r>
      <w:r>
        <w:rPr>
          <w:rFonts w:ascii="Arial" w:cs="Arial" w:eastAsia="Arial" w:hAnsi="Arial"/>
          <w:sz w:val="14"/>
          <w:szCs w:val="14"/>
          <w:color w:val="auto"/>
        </w:rPr>
        <w:t>”); (iv) internet domain names and internet protocol addresses; (v) trade secrets, including know-how, inventions, processes, procedures, database rights, Personal Information, customer lists, supplier lists, business plans, formulae, discoveries, methods, techniques, algorithms, source code, object code, data, databases, data analytics, ideas, designs, models, concepts, creations, confidential business information and other proprietary information and rights, in each case, to the extent it constitutes a trade secret under applicable Law (collectively, “</w:t>
      </w:r>
      <w:r>
        <w:rPr>
          <w:rFonts w:ascii="Arial" w:cs="Arial" w:eastAsia="Arial" w:hAnsi="Arial"/>
          <w:sz w:val="14"/>
          <w:szCs w:val="14"/>
          <w:u w:val="single" w:color="auto"/>
          <w:color w:val="auto"/>
        </w:rPr>
        <w:t>Trade</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Secrets</w:t>
      </w:r>
      <w:r>
        <w:rPr>
          <w:rFonts w:ascii="Arial" w:cs="Arial" w:eastAsia="Arial" w:hAnsi="Arial"/>
          <w:sz w:val="14"/>
          <w:szCs w:val="14"/>
          <w:color w:val="auto"/>
        </w:rPr>
        <w:t>”), (vi) rights in Software; (vii) rights of publicity and privacy; (viii) rights recognized under applicable Law that are equivalent or similar to any of the foregoing; and</w:t>
      </w:r>
    </w:p>
    <w:p>
      <w:pPr>
        <w:spacing w:after="0" w:line="6" w:lineRule="exact"/>
        <w:rPr>
          <w:sz w:val="20"/>
          <w:szCs w:val="20"/>
          <w:color w:val="auto"/>
        </w:rPr>
      </w:pPr>
    </w:p>
    <w:p>
      <w:pPr>
        <w:ind w:left="5544" w:right="1160" w:hanging="5544"/>
        <w:spacing w:after="0" w:line="757" w:lineRule="auto"/>
        <w:tabs>
          <w:tab w:leader="none" w:pos="266"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applications, registrations, issuances, renewals, extensions or equivalents or foreign equivalents or counterparts of any of the foregoing in any jurisdiction.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5" w:name="page26"/>
    <w:bookmarkEnd w:id="25"/>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Period</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w:t>
      </w:r>
      <w:r>
        <w:rPr>
          <w:rFonts w:ascii="Arial" w:cs="Arial" w:eastAsia="Arial" w:hAnsi="Arial"/>
          <w:sz w:val="16"/>
          <w:szCs w:val="16"/>
          <w:color w:val="auto"/>
        </w:rPr>
        <w:t>” means each Person that has committed or will commit to purchasing Acquiror Common Stock, convertible debt securities of Acquiror or warrants to purchase shares or Acquiror Common Stock pursuant to a Subscription Agreement in connection with the Transactions prior to the Closing.</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Issuance Proposal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IT Systems</w:t>
      </w:r>
      <w:r>
        <w:rPr>
          <w:rFonts w:ascii="Arial" w:cs="Arial" w:eastAsia="Arial" w:hAnsi="Arial"/>
          <w:sz w:val="16"/>
          <w:szCs w:val="16"/>
          <w:color w:val="auto"/>
        </w:rPr>
        <w:t>” means all software, systems, servers, computers, hardware, firmware, middleware, networks, data communications lines, routers, hubs, switches, operational technology, automated processes, information technology, and other technology equipment owned, leased, or licensed by the Company or its Subsidiaries and used in the operation of the business of the Company and its Subsidiaries as currently conducted.</w:t>
      </w:r>
    </w:p>
    <w:p>
      <w:pPr>
        <w:spacing w:after="0" w:line="162"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Joint Fees</w:t>
      </w:r>
      <w:r>
        <w:rPr>
          <w:rFonts w:ascii="Arial" w:cs="Arial" w:eastAsia="Arial" w:hAnsi="Arial"/>
          <w:sz w:val="14"/>
          <w:szCs w:val="14"/>
          <w:color w:val="auto"/>
        </w:rPr>
        <w:t>” means the fees incurred by Acquiror, First Merger Sub, Second Merger Sub, the Sponsors, the Company and the Company Stockholders in connection with the Transactions (i) relating to obtaining any required regulatory or governmental approvals of the Transactions (including filing fees and printer costs and expenses</w:t>
      </w:r>
      <w:r>
        <w:rPr>
          <w:rFonts w:ascii="Arial" w:cs="Arial" w:eastAsia="Arial" w:hAnsi="Arial"/>
          <w:sz w:val="14"/>
          <w:szCs w:val="14"/>
          <w:b w:val="1"/>
          <w:bCs w:val="1"/>
          <w:color w:val="auto"/>
        </w:rPr>
        <w:t>)</w:t>
      </w:r>
      <w:r>
        <w:rPr>
          <w:rFonts w:ascii="Arial" w:cs="Arial" w:eastAsia="Arial" w:hAnsi="Arial"/>
          <w:sz w:val="14"/>
          <w:szCs w:val="14"/>
          <w:color w:val="auto"/>
        </w:rPr>
        <w:t>, and</w:t>
      </w:r>
    </w:p>
    <w:p>
      <w:pPr>
        <w:spacing w:after="0" w:line="1" w:lineRule="exact"/>
        <w:rPr>
          <w:sz w:val="20"/>
          <w:szCs w:val="20"/>
          <w:color w:val="auto"/>
        </w:rPr>
      </w:pPr>
    </w:p>
    <w:p>
      <w:pPr>
        <w:ind w:left="4" w:right="20" w:hanging="4"/>
        <w:spacing w:after="0" w:line="258"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extent the parties hereto mutually agree to procure such report, the costs of any independent market research report that has been, or will be, obtained in connection with the Transactions.</w:t>
      </w:r>
    </w:p>
    <w:p>
      <w:pPr>
        <w:spacing w:after="0" w:line="165"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statute, law, ordinance, rule, regulation or Governmental Order, in each case, of any Governmental Authority, including guidance issued by Treasury and the U.S. Small Business Administration.</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means all real property leased, subleased, licensed or otherwise occupied by the Company or its Subsidiaries.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3.05(a)</w:t>
      </w:r>
      <w:r>
        <w:rPr>
          <w:rFonts w:ascii="Arial" w:cs="Arial" w:eastAsia="Arial" w:hAnsi="Arial"/>
          <w:sz w:val="16"/>
          <w:szCs w:val="16"/>
          <w:color w:val="auto"/>
        </w:rPr>
        <w:t>.</w:t>
      </w:r>
    </w:p>
    <w:p>
      <w:pPr>
        <w:spacing w:after="0" w:line="198" w:lineRule="exact"/>
        <w:rPr>
          <w:sz w:val="20"/>
          <w:szCs w:val="20"/>
          <w:color w:val="auto"/>
        </w:rPr>
      </w:pPr>
    </w:p>
    <w:p>
      <w:pPr>
        <w:jc w:val="both"/>
        <w:ind w:left="4"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w:t>
      </w:r>
      <w:r>
        <w:rPr>
          <w:rFonts w:ascii="Arial" w:cs="Arial" w:eastAsia="Arial" w:hAnsi="Arial"/>
          <w:sz w:val="14"/>
          <w:szCs w:val="14"/>
          <w:color w:val="auto"/>
        </w:rPr>
        <w:t>” means any mortgage, deed of trust, pledge, hypothecation, easement, right of way, purchase option, right of first refusal, covenant, restriction, security interest, title defect, encroachment or other survey defect, or other lien or encumbrance of any kind, except: (a) for any restrictions arising under any applicable Securities Laws, and (b) immaterial easements, rights of way, covenants, encumbrances or restrictions that do not materially detract the value of the underlying asset or the use of the asset.</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 w:name="page27"/>
    <w:bookmarkEnd w:id="26"/>
    <w:p>
      <w:pPr>
        <w:jc w:val="both"/>
        <w:ind w:firstLine="574"/>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xml:space="preserve">” means any event, change or circumstance that has had a material adverse effect on (i) the assets, business, results of operations or financial condition of the Company and its Subsidiaries, taken as a whole; provided, however, that in no event would any of the following (or the effect of any of the following), alone or in combination, be deemed to constitute, or be taken into account in determining whether there has been or will be, a “Material Adverse Effect”: (a) any change in applicable Laws or GAAP or any official interpretation thereof, (b) any change in interest rates or economic, political, business, financial, commodity, currency or market conditions generally, (c) the announcement or the execution of this Agreement, the pendency or consummation of the Mergers (provided, that the exceptions in this clause (c) shall not be deemed to apply to references to “Material Adverse Effect” in the representations and warranties set forth in Section 4.04 and, to the extent related thereto, the condition in </w:t>
      </w:r>
      <w:r>
        <w:rPr>
          <w:rFonts w:ascii="Arial" w:cs="Arial" w:eastAsia="Arial" w:hAnsi="Arial"/>
          <w:sz w:val="14"/>
          <w:szCs w:val="14"/>
          <w:u w:val="single" w:color="auto"/>
          <w:color w:val="auto"/>
        </w:rPr>
        <w:t>Section 9.02(a)</w:t>
      </w:r>
      <w:r>
        <w:rPr>
          <w:rFonts w:ascii="Arial" w:cs="Arial" w:eastAsia="Arial" w:hAnsi="Arial"/>
          <w:sz w:val="14"/>
          <w:szCs w:val="14"/>
          <w:color w:val="auto"/>
        </w:rPr>
        <w:t xml:space="preserve">), (d) any change generally affecting any of the industries or markets in which the Company or its Subsidiaries operate or the economy as a whole, (e) any earthquake, hurricane, tsunami, tornado, flood, mudslide, wild fire or other natural disaster, epidemic, disease outbreak, pandemic (including the Covid-19 pandemic), weather condition, explosion fire, act of God or other force majeure event, (f) any national or international political or social conditions (including social unrest) in countries in which, or in the proximate geographic region of which, the Company operates, including the engagement by the United States or such other countries in hostilities or the escalation thereof, whether or not pursuant to the declaration of a national emergency or war, or the occurrence or the escalation of any military or terrorist attack (including any internet or “cyber” attack or hacking) upon the United States or such other country, or any territories, possessions, or diplomatic or consular offices of the United States or such other countries or upon any United States or such other country military installation, equipment or personnel, (g) any failure of the Company and its Subsidiaries, taken as a whole, to meet any projections, forecasts or budgets, (h) any actions (I) required to be taken, or required not to be taken, pursuant to the terms of this Agreement, other than as a result of compliance with the first sentence of Section 6.01 or (II) taken with the prior written consent of or at the prior written request of Acquiror, First Merger Sub or Second Merger Sub; </w:t>
      </w:r>
      <w:r>
        <w:rPr>
          <w:rFonts w:ascii="Arial" w:cs="Arial" w:eastAsia="Arial" w:hAnsi="Arial"/>
          <w:sz w:val="14"/>
          <w:szCs w:val="14"/>
          <w:i w:val="1"/>
          <w:iCs w:val="1"/>
          <w:color w:val="auto"/>
        </w:rPr>
        <w:t>provided</w:t>
      </w:r>
      <w:r>
        <w:rPr>
          <w:rFonts w:ascii="Arial" w:cs="Arial" w:eastAsia="Arial" w:hAnsi="Arial"/>
          <w:sz w:val="14"/>
          <w:szCs w:val="14"/>
          <w:color w:val="auto"/>
        </w:rPr>
        <w:t>, that clause (g) shall not prevent or otherwise affect a determination that any change or effect underlying such failure to meet projections or forecasts has resulted in, or contributed to, a Material Adverse Effect (to the extent such change or effect is not otherwise excluded from this definition of Material Adverse Effect), except in the case of clause (a), (b), and (d), to the extent that such change does not have a disproportionate impact on the Company and its Subsidiaries, taken as a whole, as compared to other industry participants (or, in the case of clauses (e) and (f), as compared to other industry participants in the same geographic areas in which the Company operates) or (ii) the ability of the Company to consummate the Transactions.</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4.23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4.13(e)</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Capital Market.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Materials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4.11(f)</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 w:name="page28"/>
    <w:bookmarkEnd w:id="2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Acquiror Expenses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3.10(b)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Company Expenses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3.10(a)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Owned Company Software</w:t>
      </w:r>
      <w:r>
        <w:rPr>
          <w:rFonts w:ascii="Arial" w:cs="Arial" w:eastAsia="Arial" w:hAnsi="Arial"/>
          <w:sz w:val="14"/>
          <w:szCs w:val="14"/>
          <w:color w:val="auto"/>
        </w:rPr>
        <w:t>” means all Software owned or purported by the Company to be owned, in whole or in part, by the Company or any of its Subsidiaries.</w:t>
      </w:r>
    </w:p>
    <w:p>
      <w:pPr>
        <w:spacing w:after="0" w:line="221"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Intellectual Property</w:t>
      </w:r>
      <w:r>
        <w:rPr>
          <w:rFonts w:ascii="Arial" w:cs="Arial" w:eastAsia="Arial" w:hAnsi="Arial"/>
          <w:sz w:val="16"/>
          <w:szCs w:val="16"/>
          <w:color w:val="auto"/>
        </w:rPr>
        <w:t>” means all Intellectual Property owned or purported by the Company to be owned, in whole or in part, by the Company or any of its Subsidiaries and includes the Registered Intellectual Property.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PCAOB Financial Statements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3.01(c)(i)</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Permits</w:t>
      </w:r>
      <w:r>
        <w:rPr>
          <w:rFonts w:ascii="Arial" w:cs="Arial" w:eastAsia="Arial" w:hAnsi="Arial"/>
          <w:sz w:val="16"/>
          <w:szCs w:val="16"/>
          <w:color w:val="auto"/>
        </w:rPr>
        <w:t>” means all permits, licenses, certificates of authority, authorizations, approvals, registrations, identification numbers and other similar consents issued by or obtained from a Governmental Authority.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Acquisitions</w:t>
      </w:r>
      <w:r>
        <w:rPr>
          <w:rFonts w:ascii="Arial" w:cs="Arial" w:eastAsia="Arial" w:hAnsi="Arial"/>
          <w:sz w:val="16"/>
          <w:szCs w:val="16"/>
          <w:color w:val="auto"/>
        </w:rPr>
        <w:t xml:space="preserve">” means, collectively, the transactions described on </w:t>
      </w:r>
      <w:r>
        <w:rPr>
          <w:rFonts w:ascii="Arial" w:cs="Arial" w:eastAsia="Arial" w:hAnsi="Arial"/>
          <w:sz w:val="16"/>
          <w:szCs w:val="16"/>
          <w:u w:val="single" w:color="auto"/>
          <w:color w:val="auto"/>
        </w:rPr>
        <w:t>Schedule 1.01</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(i) statutory or common law Liens of mechanics, materialmen, warehousemen, landlords, carriers, repairmen, construction contractors and other similar Liens (A) that arise in the ordinary course of business, (B) that relate to amounts not yet delinquent or (C) that are being contested in good faith through appropriate Actions and either are not material or appropriate reserves for the amount being contested have been established in accordance with GAAP, (ii) Liens arising under original purchase price conditional sales contracts and equipment leases with third parties entered into in the ordinary course of business, (iii) Liens for Taxes not yet due and payable or which are being contested in good faith through appropriate Actions to the extent appropriate reserves have been established in accordance with GAAP, (iv) non-monetary Liens, encumbrances and restrictions on real property (including easements, covenants, rights of way and similar restrictions of record) that do not materially interfere with the present uses of such real property, (v) Standard Licenses, (vi) Liens that secure obligations that are reflected as liabilities on the balance sheet included in the Financial Statements or Liens the existence of which is referred to in the notes to the balance sheet included in the Financial Statements, (vii) in the case of Leased Real Property, matters that would be disclosed by an accurate survey or inspection of such Leased Real Property, which do not materially interfere with the current use or occupancy of any Leased Real Property, (viii) requirements and restrictions of zoning, building and other applicable Laws and municipal by-laws, and development, site plan, subdivision or other agreements with municipalities, which do not materially interfere with the current use or occupancy of any Leased Real Property, (ix) statutory Liens of landlords for amounts that (A) are not due and payable, (B) are being contested in good faith by appropriate proceedings and either are not material or appropriate reserves for the amount being contested have been established in accordance with GAAP or (C) may thereafter be paid without penalty, (x) Liens against any landlord’s interest in any Leased Real Property and (xi) Liens described on </w:t>
      </w:r>
      <w:r>
        <w:rPr>
          <w:rFonts w:ascii="Arial" w:cs="Arial" w:eastAsia="Arial" w:hAnsi="Arial"/>
          <w:sz w:val="15"/>
          <w:szCs w:val="15"/>
          <w:u w:val="single" w:color="auto"/>
          <w:color w:val="auto"/>
        </w:rPr>
        <w:t>Schedule 1.01(a)</w:t>
      </w:r>
      <w:r>
        <w:rPr>
          <w:rFonts w:ascii="Arial" w:cs="Arial" w:eastAsia="Arial" w:hAnsi="Arial"/>
          <w:sz w:val="15"/>
          <w:szCs w:val="15"/>
          <w:color w:val="auto"/>
        </w:rPr>
        <w:t xml:space="preserve"> or incurred in connection with activities permitted under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hereof (including, for the avoidance of doubt, any refinancings of existing indebtedness of the Company and its subsidiaries).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information relating to an identified or identifiable natural person.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PPP</w:t>
      </w:r>
      <w:r>
        <w:rPr>
          <w:rFonts w:ascii="Arial" w:cs="Arial" w:eastAsia="Arial" w:hAnsi="Arial"/>
          <w:sz w:val="16"/>
          <w:szCs w:val="16"/>
          <w:color w:val="auto"/>
        </w:rPr>
        <w:t>” means the Paycheck Protection Program from the U.S. Small Business Administration.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PPP Loan</w:t>
      </w:r>
      <w:r>
        <w:rPr>
          <w:rFonts w:ascii="Arial" w:cs="Arial" w:eastAsia="Arial" w:hAnsi="Arial"/>
          <w:sz w:val="16"/>
          <w:szCs w:val="16"/>
          <w:color w:val="auto"/>
        </w:rPr>
        <w:t>” means the loan received by the Company under the PPP on March 4, 2021.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Documents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4.18(b)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Redeeming Stockholder</w:t>
      </w:r>
      <w:r>
        <w:rPr>
          <w:rFonts w:ascii="Arial" w:cs="Arial" w:eastAsia="Arial" w:hAnsi="Arial"/>
          <w:sz w:val="16"/>
          <w:szCs w:val="16"/>
          <w:color w:val="auto"/>
        </w:rPr>
        <w:t>” means an Acquiror Stockholder who demands that Acquiror redeem its Acquiror Common Stock for cash in connection with the transactions contemplated hereby and in accordance with the Acquiror Organizational Documents.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Intellectual Property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4.11(a)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 Effective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Consent Authorities</w:t>
      </w:r>
      <w:r>
        <w:rPr>
          <w:rFonts w:ascii="Arial" w:cs="Arial" w:eastAsia="Arial" w:hAnsi="Arial"/>
          <w:sz w:val="16"/>
          <w:szCs w:val="16"/>
          <w:color w:val="auto"/>
        </w:rPr>
        <w:t>” means the Antitrust Division of the United States Department of Justice or the United States Federal Trade Commission, as applicable.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as to any Person, any of the officers, directors, managers, employees, counsel, accountants, financial advisors, lenders, debt financing sources and consultants of such Person.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Schedules</w:t>
      </w:r>
      <w:r>
        <w:rPr>
          <w:rFonts w:ascii="Arial" w:cs="Arial" w:eastAsia="Arial" w:hAnsi="Arial"/>
          <w:sz w:val="15"/>
          <w:szCs w:val="15"/>
          <w:color w:val="auto"/>
        </w:rPr>
        <w:t>” means the disclosure schedules of the Company and its Subsidiaries and/or the disclosure schedules of the Acquiror and its Subsidiaries, as context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requires.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Certificate of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 Sub</w:t>
      </w:r>
      <w:r>
        <w:rPr>
          <w:rFonts w:ascii="Arial" w:cs="Arial" w:eastAsia="Arial" w:hAnsi="Arial"/>
          <w:sz w:val="16"/>
          <w:szCs w:val="16"/>
          <w:color w:val="auto"/>
        </w:rPr>
        <w:t>” has the meaning specified in the preamble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 w:name="page30"/>
    <w:bookmarkEnd w:id="29"/>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Laws</w:t>
      </w:r>
      <w:r>
        <w:rPr>
          <w:rFonts w:ascii="Arial" w:cs="Arial" w:eastAsia="Arial" w:hAnsi="Arial"/>
          <w:sz w:val="16"/>
          <w:szCs w:val="16"/>
          <w:color w:val="auto"/>
        </w:rPr>
        <w:t>” means the securities laws of any state, federal or foreign entity and the rules and regulations promulgated thereunder.</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any and all (a) computer programs, including any and all software implementation of algorithms, models and methodologies, whether in source code, object code, human readable form or other form, including compilers, middleware, tools, firmware, operating systems, platforms, algorithms, interfaces, APIs, architecture, modules, test specifications, scripts, executables, libraries, and other components thereof, and (b) databases, database rights and compilations, including any and all collections of data, whether machine readable or otherwise.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Solicitation Documents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Meeting</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8.02(f)</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 Agreement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Sponsors</w:t>
      </w:r>
      <w:r>
        <w:rPr>
          <w:rFonts w:ascii="Arial" w:cs="Arial" w:eastAsia="Arial" w:hAnsi="Arial"/>
          <w:sz w:val="16"/>
          <w:szCs w:val="16"/>
          <w:color w:val="auto"/>
        </w:rPr>
        <w:t>” means Ventoux Acquisition Holdings LLC, a Delaware limited liability company, and Chardan International Investments, LLC, a Delaware limited liability company.</w:t>
      </w:r>
    </w:p>
    <w:p>
      <w:pPr>
        <w:spacing w:after="0" w:line="15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Inbound License</w:t>
      </w:r>
      <w:r>
        <w:rPr>
          <w:rFonts w:ascii="Arial" w:cs="Arial" w:eastAsia="Arial" w:hAnsi="Arial"/>
          <w:sz w:val="16"/>
          <w:szCs w:val="16"/>
          <w:color w:val="auto"/>
        </w:rPr>
        <w:t>” means any nonexclusive license (or software-as-a-service agreement) granted to the Company or any of its Subsidiaries (a) for uncustomized Software that is generally commercially available on generally standard terms and conditions for less than $500,000 annually, (b) for Open Source Materials, (c) to Intellectual Property that is not material to the business of the Company and its Subsidiaries pursuant to employee, contractor, service provider, or consulting agreements, (d) in the ordinary course of business for the use of a name, logo or feedback for marketing or similar purposes, (e) in nondisclosure agreements for use in evaluation and negotiation permitted by such agreements, (f) pursuant to a perpetual, irrevocable, fully paid up, royalty-free license agreement, or (g) implied by or incidental to the purchase or sale of goods or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Licenses</w:t>
      </w:r>
      <w:r>
        <w:rPr>
          <w:rFonts w:ascii="Arial" w:cs="Arial" w:eastAsia="Arial" w:hAnsi="Arial"/>
          <w:sz w:val="16"/>
          <w:szCs w:val="16"/>
          <w:color w:val="auto"/>
        </w:rPr>
        <w:t>” means, collectively, Standard Inbound Licenses and Standard Outbound Licenses.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Outbound License</w:t>
      </w:r>
      <w:r>
        <w:rPr>
          <w:rFonts w:ascii="Arial" w:cs="Arial" w:eastAsia="Arial" w:hAnsi="Arial"/>
          <w:sz w:val="16"/>
          <w:szCs w:val="16"/>
          <w:color w:val="auto"/>
        </w:rPr>
        <w:t>” means any nonexclusive license granted by the Company or any of its Subsidiaries (a) to its customers or distributors in the ordinary course of business, (b) to vendors and service providers for the purpose of providing the applicable services to the Company or any of its Subsidiaries, (c) in nondisclosure agreements for use in evaluation and negotiation permitted by such agreements, (d) in the ordinary course of business for the use of the Company’s or its Subsidiary’s name, or logo (or feedback that is not material to the business of the Company and its Subsidiaries) for marketing or similar purposes, or (e) implied by or incidental to the purchase or sale of goods or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Proposals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8.02(b)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 Person, any corporation or other organization (including a limited liability company or a partnership),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 Agreement</w:t>
      </w:r>
      <w:r>
        <w:rPr>
          <w:rFonts w:ascii="Arial" w:cs="Arial" w:eastAsia="Arial" w:hAnsi="Arial"/>
          <w:sz w:val="16"/>
          <w:szCs w:val="16"/>
          <w:color w:val="auto"/>
        </w:rPr>
        <w:t>” has the meaning specified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Company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Entity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Provisions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means any federal, state, provincial, territorial, local, foreign and other net income, alternative or add-on minimum, franchise, gross income, adjusted gross income or gross receipts, employment, withholding, payroll, ad valorem, transfer, franchise, license, excise, severance, stamp, occupation, premium, personal property, real property, capital stock, profits, disability, registration, value added, estimated, customs duties, escheat, sales, use, or other tax, governmental fee or other like assessment, together with any interest, penalty, addition to tax or additional amount imposed with respect thereto by a Governmental Authority.</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any return, report, statement, refund, claim, declaration, information return, statement, estimate or other document filed or required to be filed with a Governmental Authority respect to Taxes, including any schedule or attachment thereto and including any amendments thereof.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Acquiror Breach</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Company Breach</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10.01(b)</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Trade Control Laws</w:t>
      </w:r>
      <w:r>
        <w:rPr>
          <w:rFonts w:ascii="Arial" w:cs="Arial" w:eastAsia="Arial" w:hAnsi="Arial"/>
          <w:sz w:val="15"/>
          <w:szCs w:val="15"/>
          <w:color w:val="auto"/>
        </w:rPr>
        <w:t>” means any Laws related to any economic or financial sanctions or the export, import, re-export, or transfer of products, software, technical data, services or technologies, which may be imposed and enforced from time to time by the U.S. Government, including the Office of Foreign Assets Control of the U.S. Department of the Treasury, the U.S. Department of State, or the U.S. Department of Commerce, or any other relevant sanctions or export control authority.</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shares of Acquiror Common Stock are actually traded on the principal securities exchange or securities market on which shares of Acquiror Common Stock are then traded.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transactions contemplated by this Agreement to occur at or immediately prior to the Closing, including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regulations promulgated under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5.07(a)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 w:name="page32"/>
    <w:bookmarkEnd w:id="31"/>
    <w:p>
      <w:pPr>
        <w:jc w:val="both"/>
        <w:ind w:firstLine="574"/>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VWAP</w:t>
      </w:r>
      <w:r>
        <w:rPr>
          <w:rFonts w:ascii="Arial" w:cs="Arial" w:eastAsia="Arial" w:hAnsi="Arial"/>
          <w:sz w:val="14"/>
          <w:szCs w:val="14"/>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Acquiror.</w:t>
      </w:r>
    </w:p>
    <w:p>
      <w:pPr>
        <w:spacing w:after="0" w:line="14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means that certain Warrant Agreement, dated as of December 23, 2020, between Acquiror and Continental Stock Transfer &amp; Trust Company, a New York corporation, as warrant agent.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Earnout Shares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3.02(b)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Willful Breach</w:t>
      </w:r>
      <w:r>
        <w:rPr>
          <w:rFonts w:ascii="Arial" w:cs="Arial" w:eastAsia="Arial" w:hAnsi="Arial"/>
          <w:sz w:val="14"/>
          <w:szCs w:val="14"/>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w:t>
      </w:r>
    </w:p>
    <w:p>
      <w:pPr>
        <w:spacing w:after="0" w:line="202" w:lineRule="exact"/>
        <w:rPr>
          <w:sz w:val="20"/>
          <w:szCs w:val="20"/>
          <w:color w:val="auto"/>
        </w:rPr>
      </w:pPr>
    </w:p>
    <w:p>
      <w:pPr>
        <w:jc w:val="both"/>
        <w:ind w:right="20" w:firstLine="1143"/>
        <w:spacing w:after="0" w:line="280" w:lineRule="auto"/>
        <w:tabs>
          <w:tab w:leader="none" w:pos="1364"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 (iv) the terms “Article”, “Section”, “Schedule”, “Exhibit” and “Annex” refer to the specified Article, Section, Schedule, Exhibit or Annex of or to this Agreement unless otherwise specified, (v) the word “including” shall mean “including without limitation” and (vi) the word “or” shall be disjunctive but not exclusive.</w:t>
      </w:r>
    </w:p>
    <w:p>
      <w:pPr>
        <w:spacing w:after="0" w:line="151" w:lineRule="exact"/>
        <w:rPr>
          <w:rFonts w:ascii="Arial" w:cs="Arial" w:eastAsia="Arial" w:hAnsi="Arial"/>
          <w:sz w:val="15"/>
          <w:szCs w:val="15"/>
          <w:color w:val="auto"/>
        </w:rPr>
      </w:pPr>
    </w:p>
    <w:p>
      <w:pPr>
        <w:ind w:right="20" w:firstLine="1143"/>
        <w:spacing w:after="0" w:line="275" w:lineRule="auto"/>
        <w:tabs>
          <w:tab w:leader="none" w:pos="13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Unless the context of this Agreement otherwise requires, references to agreements and other documents shall be deemed to include all subsequent amendments and other modifications thereto.</w:t>
      </w:r>
    </w:p>
    <w:p>
      <w:pPr>
        <w:spacing w:after="0" w:line="151" w:lineRule="exact"/>
        <w:rPr>
          <w:rFonts w:ascii="Arial" w:cs="Arial" w:eastAsia="Arial" w:hAnsi="Arial"/>
          <w:sz w:val="16"/>
          <w:szCs w:val="16"/>
          <w:color w:val="auto"/>
        </w:rPr>
      </w:pPr>
    </w:p>
    <w:p>
      <w:pPr>
        <w:ind w:right="20" w:firstLine="1143"/>
        <w:spacing w:after="0" w:line="309" w:lineRule="auto"/>
        <w:tabs>
          <w:tab w:leader="none" w:pos="13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29" w:lineRule="exact"/>
        <w:rPr>
          <w:rFonts w:ascii="Arial" w:cs="Arial" w:eastAsia="Arial" w:hAnsi="Arial"/>
          <w:sz w:val="15"/>
          <w:szCs w:val="15"/>
          <w:color w:val="auto"/>
        </w:rPr>
      </w:pPr>
    </w:p>
    <w:p>
      <w:pPr>
        <w:ind w:right="20" w:firstLine="1143"/>
        <w:spacing w:after="0" w:line="275" w:lineRule="auto"/>
        <w:tabs>
          <w:tab w:leader="none" w:pos="13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language used in this Agreement shall be deemed to be the language chosen by the parties to express their mutual intent and no rule of strict construction shall be applied against any party.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ind w:firstLine="1143"/>
        <w:spacing w:after="0" w:line="309" w:lineRule="auto"/>
        <w:tabs>
          <w:tab w:leader="none" w:pos="1364" w:val="left"/>
        </w:tabs>
        <w:numPr>
          <w:ilvl w:val="0"/>
          <w:numId w:val="11"/>
        </w:numPr>
        <w:rPr>
          <w:rFonts w:ascii="Arial" w:cs="Arial" w:eastAsia="Arial" w:hAnsi="Arial"/>
          <w:sz w:val="15"/>
          <w:szCs w:val="15"/>
          <w:color w:val="auto"/>
        </w:rPr>
      </w:pPr>
      <w:r>
        <w:rPr>
          <w:rFonts w:ascii="Arial" w:cs="Arial" w:eastAsia="Arial" w:hAnsi="Arial"/>
          <w:sz w:val="15"/>
          <w:szCs w:val="15"/>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29" w:lineRule="exact"/>
        <w:rPr>
          <w:rFonts w:ascii="Arial" w:cs="Arial" w:eastAsia="Arial" w:hAnsi="Arial"/>
          <w:sz w:val="15"/>
          <w:szCs w:val="15"/>
          <w:color w:val="auto"/>
        </w:rPr>
      </w:pPr>
    </w:p>
    <w:p>
      <w:pPr>
        <w:ind w:left="1420" w:hanging="27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accounting terms used herein and not expressly defined herein shall have the meanings given to them under GAAP.</w:t>
      </w:r>
    </w:p>
    <w:p>
      <w:pPr>
        <w:spacing w:after="0" w:line="198" w:lineRule="exact"/>
        <w:rPr>
          <w:rFonts w:ascii="Arial" w:cs="Arial" w:eastAsia="Arial" w:hAnsi="Arial"/>
          <w:sz w:val="16"/>
          <w:szCs w:val="16"/>
          <w:color w:val="auto"/>
        </w:rPr>
      </w:pPr>
    </w:p>
    <w:p>
      <w:pPr>
        <w:jc w:val="both"/>
        <w:ind w:firstLine="1143"/>
        <w:spacing w:after="0" w:line="258" w:lineRule="auto"/>
        <w:tabs>
          <w:tab w:leader="none" w:pos="13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phrases “delivered,” “provided to,” “furnished to,” “made available” and phrases of similar import when used herein, unless the context otherwise requires, means that a copy of the information or material referred to has been provided no later than one calendar day prior to the date of this Agreement to the party to which such information or material is to be (i) provided or furnished in the virtual “data room” set up by the Company in connection with this Agreement, (ii) delivered to such party or its legal counsel via electronic mail or hard copy form or (iii) filed or furnished with the SEC by Acquiror.</w:t>
      </w:r>
    </w:p>
    <w:p>
      <w:pPr>
        <w:spacing w:after="0" w:line="161"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b w:val="1"/>
          <w:bCs w:val="1"/>
          <w:color w:val="auto"/>
        </w:rPr>
        <w:t xml:space="preserve">Section 1.03 </w:t>
      </w:r>
      <w:r>
        <w:rPr>
          <w:rFonts w:ascii="Arial" w:cs="Arial" w:eastAsia="Arial" w:hAnsi="Arial"/>
          <w:sz w:val="15"/>
          <w:szCs w:val="15"/>
          <w:b w:val="1"/>
          <w:bCs w:val="1"/>
          <w:u w:val="single" w:color="auto"/>
          <w:color w:val="auto"/>
        </w:rPr>
        <w:t>Knowledge</w:t>
      </w:r>
      <w:r>
        <w:rPr>
          <w:rFonts w:ascii="Arial" w:cs="Arial" w:eastAsia="Arial" w:hAnsi="Arial"/>
          <w:sz w:val="15"/>
          <w:szCs w:val="15"/>
          <w:color w:val="auto"/>
        </w:rPr>
        <w:t>. As used herein, the phrase “</w:t>
      </w:r>
      <w:r>
        <w:rPr>
          <w:rFonts w:ascii="Arial" w:cs="Arial" w:eastAsia="Arial" w:hAnsi="Arial"/>
          <w:sz w:val="15"/>
          <w:szCs w:val="15"/>
          <w:u w:val="single" w:color="auto"/>
          <w:color w:val="auto"/>
        </w:rPr>
        <w:t>to the knowledge</w:t>
      </w:r>
      <w:r>
        <w:rPr>
          <w:rFonts w:ascii="Arial" w:cs="Arial" w:eastAsia="Arial" w:hAnsi="Arial"/>
          <w:sz w:val="15"/>
          <w:szCs w:val="15"/>
          <w:color w:val="auto"/>
        </w:rPr>
        <w:t>” shall mean the actual knowledge of, in the case of the Company, Rajat Suri, Ashish Gupta,</w:t>
      </w:r>
      <w:r>
        <w:rPr>
          <w:rFonts w:ascii="Arial" w:cs="Arial" w:eastAsia="Arial" w:hAnsi="Arial"/>
          <w:sz w:val="15"/>
          <w:szCs w:val="15"/>
          <w:b w:val="1"/>
          <w:bCs w:val="1"/>
          <w:color w:val="auto"/>
        </w:rPr>
        <w:t xml:space="preserve"> </w:t>
      </w:r>
      <w:r>
        <w:rPr>
          <w:rFonts w:ascii="Arial" w:cs="Arial" w:eastAsia="Arial" w:hAnsi="Arial"/>
          <w:sz w:val="15"/>
          <w:szCs w:val="15"/>
          <w:color w:val="auto"/>
        </w:rPr>
        <w:t>Dan Mosher, Daniel Dreymann and Bill Healey, and, in the case of Acquiror, Edward Scheetz, Matthew MacDonald, Prasad Phatak and Brock Strasbourger.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MERGER; CLOSING</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b w:val="1"/>
          <w:bCs w:val="1"/>
          <w:u w:val="single" w:color="auto"/>
          <w:color w:val="auto"/>
        </w:rPr>
        <w:t>Effective Times</w:t>
      </w:r>
      <w:r>
        <w:rPr>
          <w:rFonts w:ascii="Arial" w:cs="Arial" w:eastAsia="Arial" w:hAnsi="Arial"/>
          <w:sz w:val="16"/>
          <w:szCs w:val="16"/>
          <w:color w:val="auto"/>
        </w:rPr>
        <w:t>. Subject to the terms and conditions set forth in this Agreement, on the Closing Date the Company and First Merger Sub will cause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Merger to be consummated by filing the First Certificate of Merger with the Secretary of State of the State of Delaware, in accordance with the applicable provisions of the DGCL (the time of such filing, or such later time as may be agreed in writing by the Company and Parent and specified in the First Certificate of Merger, being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w:t>
      </w:r>
      <w:r>
        <w:rPr>
          <w:rFonts w:ascii="Arial" w:cs="Arial" w:eastAsia="Arial" w:hAnsi="Arial"/>
          <w:sz w:val="16"/>
          <w:szCs w:val="16"/>
          <w:color w:val="auto"/>
        </w:rPr>
        <w:t>”). As soon as practicable following the Effective Time and in any case on the same day as the Effective Time, the Surviving Entity and Second Merger Sub will cause the Second Merger to be consummated by filing the Second Certificate of Merger with the Secretary of State of the State of Delaware, in accordance with the applicable provisions of the DLLCA (the time of such filing, or such later time as may be agreed in writing by the Company and Parent and specified in the Second Certificate of Merger, being the “</w:t>
      </w:r>
      <w:r>
        <w:rPr>
          <w:rFonts w:ascii="Arial" w:cs="Arial" w:eastAsia="Arial" w:hAnsi="Arial"/>
          <w:sz w:val="16"/>
          <w:szCs w:val="16"/>
          <w:u w:val="single" w:color="auto"/>
          <w:color w:val="auto"/>
        </w:rPr>
        <w:t>Second Effective Time</w:t>
      </w:r>
      <w:r>
        <w:rPr>
          <w:rFonts w:ascii="Arial" w:cs="Arial" w:eastAsia="Arial" w:hAnsi="Arial"/>
          <w:sz w:val="16"/>
          <w:szCs w:val="16"/>
          <w:color w:val="auto"/>
        </w:rPr>
        <w: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u w:val="single" w:color="auto"/>
          <w:color w:val="auto"/>
        </w:rPr>
        <w:t>The Merger</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2" w:lineRule="auto"/>
        <w:tabs>
          <w:tab w:leader="none" w:pos="13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at the Effective Time, First Merger Sub shall be merged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the Company being the surviving corporation (which is sometimes hereinafter referred to for the periods at and after the Effective Time as the “</w:t>
      </w:r>
      <w:r>
        <w:rPr>
          <w:rFonts w:ascii="Arial" w:cs="Arial" w:eastAsia="Arial" w:hAnsi="Arial"/>
          <w:sz w:val="16"/>
          <w:szCs w:val="16"/>
          <w:u w:val="single" w:color="auto"/>
          <w:color w:val="auto"/>
        </w:rPr>
        <w:t>Surviving Entity</w:t>
      </w:r>
      <w:r>
        <w:rPr>
          <w:rFonts w:ascii="Arial" w:cs="Arial" w:eastAsia="Arial" w:hAnsi="Arial"/>
          <w:sz w:val="16"/>
          <w:szCs w:val="16"/>
          <w:color w:val="auto"/>
        </w:rPr>
        <w:t>”) following the First Merger and the separate corporate existence of First Merger Sub shall cease.</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at the Second Effective Time, the Surviving Entity shall be merged with and into the Second Merger Sub (the “</w:t>
      </w:r>
      <w:r>
        <w:rPr>
          <w:rFonts w:ascii="Arial" w:cs="Arial" w:eastAsia="Arial" w:hAnsi="Arial"/>
          <w:sz w:val="16"/>
          <w:szCs w:val="16"/>
          <w:u w:val="single" w:color="auto"/>
          <w:color w:val="auto"/>
        </w:rPr>
        <w:t>Second Merger</w:t>
      </w:r>
      <w:r>
        <w:rPr>
          <w:rFonts w:ascii="Arial" w:cs="Arial" w:eastAsia="Arial" w:hAnsi="Arial"/>
          <w:sz w:val="16"/>
          <w:szCs w:val="16"/>
          <w:color w:val="auto"/>
        </w:rPr>
        <w:t>”, and,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with the Second Merger Sub being the surviving company (which is sometimes hereinafter referred to for the periods at and after the Second Effective Time as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 w:name="page34"/>
    <w:bookmarkEnd w:id="33"/>
    <w:p>
      <w:pPr>
        <w:ind w:left="560"/>
        <w:spacing w:after="0"/>
        <w:rPr>
          <w:sz w:val="20"/>
          <w:szCs w:val="20"/>
          <w:color w:val="auto"/>
        </w:rPr>
      </w:pPr>
      <w:r>
        <w:rPr>
          <w:rFonts w:ascii="Arial" w:cs="Arial" w:eastAsia="Arial" w:hAnsi="Arial"/>
          <w:sz w:val="16"/>
          <w:szCs w:val="16"/>
          <w:b w:val="1"/>
          <w:bCs w:val="1"/>
          <w:color w:val="auto"/>
        </w:rPr>
        <w:t xml:space="preserve">Section 2.03 </w:t>
      </w:r>
      <w:r>
        <w:rPr>
          <w:rFonts w:ascii="Arial" w:cs="Arial" w:eastAsia="Arial" w:hAnsi="Arial"/>
          <w:sz w:val="16"/>
          <w:szCs w:val="16"/>
          <w:b w:val="1"/>
          <w:bCs w:val="1"/>
          <w:u w:val="single" w:color="auto"/>
          <w:color w:val="auto"/>
        </w:rPr>
        <w:t>Effects of the Merger</w:t>
      </w:r>
      <w:r>
        <w:rPr>
          <w:rFonts w:ascii="Arial" w:cs="Arial" w:eastAsia="Arial" w:hAnsi="Arial"/>
          <w:sz w:val="16"/>
          <w:szCs w:val="16"/>
          <w:u w:val="single" w:color="auto"/>
          <w:color w:val="auto"/>
        </w:rPr>
        <w:t>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Merger shall have the effects set forth in this Agreement and the DGCL. Without limiting the generality of the foregoing and subject thereto, by virtue of the First Merger and without further act or deed, at the Effective Time, all of the property, rights, privileges, powers and franchises of the Company and First Merger Sub shall vest in the Surviving Entity and all of the debts, liabilities and duties of the Company and First Merger Sub shall become the debts, liabilities and duties of the Surviving Entity.</w:t>
      </w:r>
    </w:p>
    <w:p>
      <w:pPr>
        <w:spacing w:after="0" w:line="164" w:lineRule="exact"/>
        <w:rPr>
          <w:rFonts w:ascii="Arial" w:cs="Arial" w:eastAsia="Arial" w:hAnsi="Arial"/>
          <w:sz w:val="16"/>
          <w:szCs w:val="16"/>
          <w:color w:val="auto"/>
        </w:rPr>
      </w:pPr>
    </w:p>
    <w:p>
      <w:pPr>
        <w:jc w:val="both"/>
        <w:ind w:firstLine="1143"/>
        <w:spacing w:after="0" w:line="258" w:lineRule="auto"/>
        <w:tabs>
          <w:tab w:leader="none" w:pos="13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Second Merger shall have the effects set forth in this Agreement and the DGCL. Without limiting the generality of the foregoing and subject thereto, by virtue of the Second Merger and without further act or deed, at the Second Effective Time, all of the property, rights, privileges, powers and franchises of the Surviving Entity and Second Merger Sub shall vest in the Surviving Company and all of the debts, liabilities and duties of the Surviving Entity and Second Merger Sub shall become the debts, liabilities and duties of the Surviving Company.</w:t>
      </w:r>
    </w:p>
    <w:p>
      <w:pPr>
        <w:spacing w:after="0" w:line="161"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color w:val="auto"/>
        </w:rPr>
        <w:t xml:space="preserve">Section 2.04 </w:t>
      </w:r>
      <w:r>
        <w:rPr>
          <w:rFonts w:ascii="Arial" w:cs="Arial" w:eastAsia="Arial" w:hAnsi="Arial"/>
          <w:sz w:val="14"/>
          <w:szCs w:val="14"/>
          <w:b w:val="1"/>
          <w:bCs w:val="1"/>
          <w:u w:val="single" w:color="auto"/>
          <w:color w:val="auto"/>
        </w:rPr>
        <w:t>Closing</w:t>
      </w:r>
      <w:r>
        <w:rPr>
          <w:rFonts w:ascii="Arial" w:cs="Arial" w:eastAsia="Arial" w:hAnsi="Arial"/>
          <w:sz w:val="14"/>
          <w:szCs w:val="14"/>
          <w:color w:val="auto"/>
        </w:rPr>
        <w:t>. Subject to the terms and conditions of this Agreement, the closing of the Mergers (the “</w:t>
      </w:r>
      <w:r>
        <w:rPr>
          <w:rFonts w:ascii="Arial" w:cs="Arial" w:eastAsia="Arial" w:hAnsi="Arial"/>
          <w:sz w:val="14"/>
          <w:szCs w:val="14"/>
          <w:u w:val="single" w:color="auto"/>
          <w:color w:val="auto"/>
        </w:rPr>
        <w:t>Closing</w:t>
      </w:r>
      <w:r>
        <w:rPr>
          <w:rFonts w:ascii="Arial" w:cs="Arial" w:eastAsia="Arial" w:hAnsi="Arial"/>
          <w:sz w:val="14"/>
          <w:szCs w:val="14"/>
          <w:color w:val="auto"/>
        </w:rPr>
        <w:t>”) shall take place electronically through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exchange of documents via e-mail or facsimile on the date which is three (3) Business Days after the date on which all conditions set forth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have been satisfied or waived (other than those conditions that by their terms are to be satisfied at the Closing, but subject to the satisfaction or waiver thereof) or such other time and place as Acquiror and the Company may mutually agree in writing. The date on which the Closing actually occurs is referred to in this Agreement as the “Closing Date.” Subject to the satisfaction or waiver of all of the conditions set forth in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of this Agreement, and provided this Agreement has not theretofore been terminated pursuant to its terms, on the Closing Date: (a) the Company and First Merger Sub shall cause the First Certificate of Merger to be executed, acknowledged and filed with the Secretary of State of the State of Delaware as provided in Sections 251 and 103 of the DGCL; and (b) the Surviving Entity and Second Merger Sub shall cause the Second Certificate of Merger to be executed, acknowledged and filed with the Secretary of State of the State of Delaware as provided in Sections 251 and 103 of the DGCL.</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2.05 </w:t>
      </w:r>
      <w:r>
        <w:rPr>
          <w:rFonts w:ascii="Arial" w:cs="Arial" w:eastAsia="Arial" w:hAnsi="Arial"/>
          <w:sz w:val="16"/>
          <w:szCs w:val="16"/>
          <w:b w:val="1"/>
          <w:bCs w:val="1"/>
          <w:u w:val="single" w:color="auto"/>
          <w:color w:val="auto"/>
        </w:rPr>
        <w:t>Registration Rights Agreement</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At the Closing, the Company will deliver or cause to be delivered to Acquiror, the Registration Rights Agreement, duly executed by the stockholders of the Company set forth in </w:t>
      </w:r>
      <w:r>
        <w:rPr>
          <w:rFonts w:ascii="Arial" w:cs="Arial" w:eastAsia="Arial" w:hAnsi="Arial"/>
          <w:sz w:val="16"/>
          <w:szCs w:val="16"/>
          <w:u w:val="single" w:color="auto"/>
          <w:color w:val="auto"/>
        </w:rPr>
        <w:t>Schedule 2.05(a)</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the Closing, Acquiror will deliver or cause to be delivered to the Company, the Registration Rights Agreement, duly executed by duly authorized representatives of the Acquiror and each of the Sponsors.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2.06 </w:t>
      </w:r>
      <w:r>
        <w:rPr>
          <w:rFonts w:ascii="Arial" w:cs="Arial" w:eastAsia="Arial" w:hAnsi="Arial"/>
          <w:sz w:val="16"/>
          <w:szCs w:val="16"/>
          <w:b w:val="1"/>
          <w:bCs w:val="1"/>
          <w:u w:val="single" w:color="auto"/>
          <w:color w:val="auto"/>
        </w:rPr>
        <w:t>Certificate of Incorporation and Bylaws of the Surviving Entity, Surviving Company and Acquiror.</w:t>
      </w:r>
    </w:p>
    <w:p>
      <w:pPr>
        <w:spacing w:after="0" w:line="202" w:lineRule="exact"/>
        <w:rPr>
          <w:sz w:val="20"/>
          <w:szCs w:val="20"/>
          <w:color w:val="auto"/>
        </w:rPr>
      </w:pPr>
    </w:p>
    <w:p>
      <w:pPr>
        <w:ind w:right="20" w:firstLine="1143"/>
        <w:spacing w:after="0" w:line="275" w:lineRule="auto"/>
        <w:tabs>
          <w:tab w:leader="none" w:pos="13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the Effective Time, the certificate of incorporation and bylaws of the Company, as in effect immediately prior to the Effective Time, shall be the certificate of incorporation of the Surviving Entity, until thereafter supplemented or amended in accordance with its terms and the DGCL.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right="20" w:firstLine="1143"/>
        <w:spacing w:after="0" w:line="262" w:lineRule="auto"/>
        <w:tabs>
          <w:tab w:leader="none" w:pos="13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the Second Effective Time, the certificate of formation and operating agreement of Second Merger Sub shall be the certificate of formation and operating agreement of the Surviving Company, until thereafter supplemented or amended in accordance with its terms and as provided by applicable Law, except that the name of the Surviving Company shall be a name reasonably determined by the Company.</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certificate of incorporation and bylaws of Acquiror from and after the Effective Time shall be in the form attached as Exhibit A and Exhibit B hereto, respectively (with such changes as may be agreed in writing by Acquiror and the Company), until thereafter supplemented or amended in accordance with its terms and the DGCL.</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2.07 </w:t>
      </w:r>
      <w:r>
        <w:rPr>
          <w:rFonts w:ascii="Arial" w:cs="Arial" w:eastAsia="Arial" w:hAnsi="Arial"/>
          <w:sz w:val="16"/>
          <w:szCs w:val="16"/>
          <w:b w:val="1"/>
          <w:bCs w:val="1"/>
          <w:u w:val="single" w:color="auto"/>
          <w:color w:val="auto"/>
        </w:rPr>
        <w:t>Directors and Officers of the Surviving Entity and the Surviving Company.</w:t>
      </w:r>
    </w:p>
    <w:p>
      <w:pPr>
        <w:spacing w:after="0" w:line="202" w:lineRule="exact"/>
        <w:rPr>
          <w:sz w:val="20"/>
          <w:szCs w:val="20"/>
          <w:color w:val="auto"/>
        </w:rPr>
      </w:pPr>
    </w:p>
    <w:p>
      <w:pPr>
        <w:jc w:val="both"/>
        <w:ind w:firstLine="1143"/>
        <w:spacing w:after="0" w:line="293" w:lineRule="auto"/>
        <w:tabs>
          <w:tab w:leader="none" w:pos="1376"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Immediately after the Effective Time, the board of directors and executive officers of the Surviving Entity will be the board of directors and executive officers of the Company immediately prior to the Effective Time. The Company shall take all necessary action prior to the Second Effective Time such that (i) each director of the Company in office immediately prior to the Second Effective Time shall cease to be a director immediately following the Second Effective Time (including by causing each such director to tender an irrevocable resignation as a director, effective as of the Second Effective Time) and (ii) each person set forth on </w:t>
      </w:r>
      <w:r>
        <w:rPr>
          <w:rFonts w:ascii="Arial" w:cs="Arial" w:eastAsia="Arial" w:hAnsi="Arial"/>
          <w:sz w:val="14"/>
          <w:szCs w:val="14"/>
          <w:u w:val="single" w:color="auto"/>
          <w:color w:val="auto"/>
        </w:rPr>
        <w:t>Schedule 2.07</w:t>
      </w:r>
      <w:r>
        <w:rPr>
          <w:rFonts w:ascii="Arial" w:cs="Arial" w:eastAsia="Arial" w:hAnsi="Arial"/>
          <w:sz w:val="14"/>
          <w:szCs w:val="14"/>
          <w:color w:val="auto"/>
        </w:rPr>
        <w:t xml:space="preserve"> shall be appointed to the board of directors of the Surviving Company, effective as of immediately following the Second Effective Time, and, as of such time, shall be the only directors of the Surviving Company (including by causing the Company Board to adopt resolutions prior to the Second Effective Time that expand or decrease the size of the Company Board, as necessary, and appoint such persons to the vacancies resulting from the incumbent directors’ respective resignations or, if applicable, the newly created directorships upon any expansion of the size of the Company Board). Each person appointed as a director of the Surviving Company pursuant to the preceding sentence shall remain in office as a director of the Surviving Company until his or her successor is elected and qualified or until his or her earlier resignation or removal.</w:t>
      </w:r>
    </w:p>
    <w:p>
      <w:pPr>
        <w:spacing w:after="0" w:line="143"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Persons constituting the officers of the Company prior to the Effective Time shall continue to be the officers of the Surviving Entity until the earlier of their resignation or removal or until their respective successors are duly appointed.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EFFECTS OF THE MERGERS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3.01 </w:t>
      </w:r>
      <w:r>
        <w:rPr>
          <w:rFonts w:ascii="Arial" w:cs="Arial" w:eastAsia="Arial" w:hAnsi="Arial"/>
          <w:sz w:val="16"/>
          <w:szCs w:val="16"/>
          <w:b w:val="1"/>
          <w:bCs w:val="1"/>
          <w:u w:val="single" w:color="auto"/>
          <w:color w:val="auto"/>
        </w:rPr>
        <w:t>Conversion of Securities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right="20" w:firstLine="1143"/>
        <w:spacing w:after="0" w:line="273" w:lineRule="auto"/>
        <w:tabs>
          <w:tab w:leader="none" w:pos="1371" w:val="left"/>
        </w:tabs>
        <w:numPr>
          <w:ilvl w:val="0"/>
          <w:numId w:val="18"/>
        </w:numPr>
        <w:rPr>
          <w:rFonts w:ascii="Arial" w:cs="Arial" w:eastAsia="Arial" w:hAnsi="Arial"/>
          <w:sz w:val="15"/>
          <w:szCs w:val="15"/>
          <w:color w:val="auto"/>
        </w:rPr>
      </w:pPr>
      <w:r>
        <w:rPr>
          <w:rFonts w:ascii="Arial" w:cs="Arial" w:eastAsia="Arial" w:hAnsi="Arial"/>
          <w:sz w:val="15"/>
          <w:szCs w:val="15"/>
          <w:color w:val="auto"/>
        </w:rPr>
        <w:t>Immediately prior to the Effective Time, the Company shall cause (i) each share of Company Preferred Stock that is issued and outstanding immediately prior to the Effective Time to be automatically converted into a number of shares of Company Common Stock at the then-effective conversion rate as calculated pursuant to Section 4.1.1 of the Certificate of Incorporation and (ii) each share of Company Non-Voting Common Stock that is issued and outstanding immediately prior to the Effective Time to be automatically converted into one share of Company Common Stock. All of the shares of Company Preferred Stock and Company Non-Voting Common Stock converted into shares of Company Common Stock shall no longer be outstanding and shall cease to exist, and each holder of Company Preferred Stock and Company Non-Voting Common Stock, as applicable, shall thereafter cease to have any rights with respect to such securities, except the right to receive the number of Company Merger Shares and Earnout Shares into which such shares shall have been converted in the Mergers.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 w:name="page36"/>
    <w:bookmarkEnd w:id="35"/>
    <w:p>
      <w:pPr>
        <w:jc w:val="both"/>
        <w:ind w:firstLine="1143"/>
        <w:spacing w:after="0" w:line="255" w:lineRule="auto"/>
        <w:tabs>
          <w:tab w:leader="none" w:pos="13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First Merger and without any action on the part of any holder of a Company Convertible Note, each Company Convertible Note that is issued and outstanding immediately prior to the Effective Time shall be canceled and converted into (i) the right to receive the applicable portion of the Company Merger Shares equal to (A) the Exchange Ratio, multiplied by (B) the number of Company Common Stock or the number of Company Common Stock into which the Company Preferred Stock converts issuable pursuant to such Company Convertible Note immediately prior to the Effective Time and (ii) its Earnout Pro Rata Portion of any Earnout Shares in accordance with </w:t>
      </w:r>
      <w:r>
        <w:rPr>
          <w:rFonts w:ascii="Arial" w:cs="Arial" w:eastAsia="Arial" w:hAnsi="Arial"/>
          <w:sz w:val="16"/>
          <w:szCs w:val="16"/>
          <w:u w:val="single" w:color="auto"/>
          <w:color w:val="auto"/>
        </w:rPr>
        <w:t>Section 3.07</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 the Effective Time, by virtue of the First Merger and without any action on the part of Acquiror, First Merger Sub, Second Merger Sub, the Company or the holders of any of the following securities:</w:t>
      </w:r>
    </w:p>
    <w:p>
      <w:pPr>
        <w:spacing w:after="0" w:line="151" w:lineRule="exact"/>
        <w:rPr>
          <w:rFonts w:ascii="Arial" w:cs="Arial" w:eastAsia="Arial" w:hAnsi="Arial"/>
          <w:sz w:val="16"/>
          <w:szCs w:val="16"/>
          <w:color w:val="auto"/>
        </w:rPr>
      </w:pPr>
    </w:p>
    <w:p>
      <w:pPr>
        <w:jc w:val="both"/>
        <w:ind w:right="20" w:firstLine="1716"/>
        <w:spacing w:after="0" w:line="306" w:lineRule="auto"/>
        <w:tabs>
          <w:tab w:leader="none" w:pos="1911" w:val="left"/>
        </w:tabs>
        <w:numPr>
          <w:ilvl w:val="1"/>
          <w:numId w:val="19"/>
        </w:numPr>
        <w:rPr>
          <w:rFonts w:ascii="Arial" w:cs="Arial" w:eastAsia="Arial" w:hAnsi="Arial"/>
          <w:sz w:val="14"/>
          <w:szCs w:val="14"/>
          <w:color w:val="auto"/>
        </w:rPr>
      </w:pPr>
      <w:r>
        <w:rPr>
          <w:rFonts w:ascii="Arial" w:cs="Arial" w:eastAsia="Arial" w:hAnsi="Arial"/>
          <w:sz w:val="14"/>
          <w:szCs w:val="14"/>
          <w:color w:val="auto"/>
        </w:rPr>
        <w:t xml:space="preserve">each share of Company Common Stock issued and outstanding immediately prior to the Effective Time (including shares of Company Common Stock resulting from the conversion of Company Preferred Stock and Company Convertible Notes described in </w:t>
      </w:r>
      <w:r>
        <w:rPr>
          <w:rFonts w:ascii="Arial" w:cs="Arial" w:eastAsia="Arial" w:hAnsi="Arial"/>
          <w:sz w:val="14"/>
          <w:szCs w:val="14"/>
          <w:u w:val="single" w:color="auto"/>
          <w:color w:val="auto"/>
        </w:rPr>
        <w:t>Section 3.01(a)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3.01(b)</w:t>
      </w:r>
      <w:r>
        <w:rPr>
          <w:rFonts w:ascii="Arial" w:cs="Arial" w:eastAsia="Arial" w:hAnsi="Arial"/>
          <w:sz w:val="14"/>
          <w:szCs w:val="14"/>
          <w:color w:val="auto"/>
        </w:rPr>
        <w:t>, respectively, and all Company Common Stock issued or issuable in connection with the Permitted Acquisitions but excluding Dissenting Shares and Excluded Shares) shall be canceled and converted into the right to receive the number of shares of Acquiror Common Stock equal to the Exchange Ratio (the “</w:t>
      </w:r>
      <w:r>
        <w:rPr>
          <w:rFonts w:ascii="Arial" w:cs="Arial" w:eastAsia="Arial" w:hAnsi="Arial"/>
          <w:sz w:val="14"/>
          <w:szCs w:val="14"/>
          <w:u w:val="single" w:color="auto"/>
          <w:color w:val="auto"/>
        </w:rPr>
        <w:t>Per Share Merger Consideration</w:t>
      </w:r>
      <w:r>
        <w:rPr>
          <w:rFonts w:ascii="Arial" w:cs="Arial" w:eastAsia="Arial" w:hAnsi="Arial"/>
          <w:sz w:val="14"/>
          <w:szCs w:val="14"/>
          <w:color w:val="auto"/>
        </w:rPr>
        <w:t>”);</w:t>
      </w:r>
    </w:p>
    <w:p>
      <w:pPr>
        <w:spacing w:after="0" w:line="134" w:lineRule="exact"/>
        <w:rPr>
          <w:rFonts w:ascii="Arial" w:cs="Arial" w:eastAsia="Arial" w:hAnsi="Arial"/>
          <w:sz w:val="14"/>
          <w:szCs w:val="14"/>
          <w:color w:val="auto"/>
        </w:rPr>
      </w:pPr>
    </w:p>
    <w:p>
      <w:pPr>
        <w:jc w:val="both"/>
        <w:ind w:right="20" w:firstLine="1716"/>
        <w:spacing w:after="0" w:line="262" w:lineRule="auto"/>
        <w:tabs>
          <w:tab w:leader="none" w:pos="195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share of Company Stock held in the treasury of the Company or owned by Acquiror, First Merger Sub, Second Merger Sub or the Company immediately prior to the Effective Time (each, an “</w:t>
      </w:r>
      <w:r>
        <w:rPr>
          <w:rFonts w:ascii="Arial" w:cs="Arial" w:eastAsia="Arial" w:hAnsi="Arial"/>
          <w:sz w:val="16"/>
          <w:szCs w:val="16"/>
          <w:u w:val="single" w:color="auto"/>
          <w:color w:val="auto"/>
        </w:rPr>
        <w:t>Excluded Share</w:t>
      </w:r>
      <w:r>
        <w:rPr>
          <w:rFonts w:ascii="Arial" w:cs="Arial" w:eastAsia="Arial" w:hAnsi="Arial"/>
          <w:sz w:val="16"/>
          <w:szCs w:val="16"/>
          <w:color w:val="auto"/>
        </w:rPr>
        <w:t>”) shall be canceled without any conversion thereof and no payment or distribution shall be made with respect thereto; and</w:t>
      </w:r>
    </w:p>
    <w:p>
      <w:pPr>
        <w:spacing w:after="0" w:line="162" w:lineRule="exact"/>
        <w:rPr>
          <w:rFonts w:ascii="Arial" w:cs="Arial" w:eastAsia="Arial" w:hAnsi="Arial"/>
          <w:sz w:val="16"/>
          <w:szCs w:val="16"/>
          <w:color w:val="auto"/>
        </w:rPr>
      </w:pPr>
    </w:p>
    <w:p>
      <w:pPr>
        <w:jc w:val="both"/>
        <w:ind w:right="20" w:firstLine="1716"/>
        <w:spacing w:after="0" w:line="258" w:lineRule="auto"/>
        <w:tabs>
          <w:tab w:leader="none" w:pos="199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each share of common stock, par value $0.0001 per share, of First Merger Sub issued and outstanding immediately prior to the Effective Time shall no longer be outstanding and shall thereupon be converted into and become one validly issued fully paid and non-assessable share of common stock, par value $0.0001 per share, of the Surviving Entity and all such shares shall constitute the only outstanding shares of capital stock of the Surviving Entity as of immediately following the Effective Time.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 w:name="page37"/>
    <w:bookmarkEnd w:id="36"/>
    <w:p>
      <w:pPr>
        <w:ind w:left="560"/>
        <w:spacing w:after="0"/>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b w:val="1"/>
          <w:bCs w:val="1"/>
          <w:u w:val="single" w:color="auto"/>
          <w:color w:val="auto"/>
        </w:rPr>
        <w:t>Treatment of Company Options and Warrants</w:t>
      </w:r>
    </w:p>
    <w:p>
      <w:pPr>
        <w:spacing w:after="0" w:line="202" w:lineRule="exact"/>
        <w:rPr>
          <w:sz w:val="20"/>
          <w:szCs w:val="20"/>
          <w:color w:val="auto"/>
        </w:rPr>
      </w:pPr>
    </w:p>
    <w:p>
      <w:pPr>
        <w:jc w:val="both"/>
        <w:ind w:firstLine="1143"/>
        <w:spacing w:after="0" w:line="269" w:lineRule="auto"/>
        <w:tabs>
          <w:tab w:leader="none" w:pos="137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At the Effective Time, by virtue of the First Merger and without any further action on the part of any party, each Company Option that is outstanding immediately prior to the Effective Time, whether vested or unvested, shall be assumed and converted into (i) an option to purchase a number of shares of Acquiror Common Stock (such option, an “</w:t>
      </w:r>
      <w:r>
        <w:rPr>
          <w:rFonts w:ascii="Arial" w:cs="Arial" w:eastAsia="Arial" w:hAnsi="Arial"/>
          <w:sz w:val="15"/>
          <w:szCs w:val="15"/>
          <w:u w:val="single" w:color="auto"/>
          <w:color w:val="auto"/>
        </w:rPr>
        <w:t>Exchanged Option</w:t>
      </w:r>
      <w:r>
        <w:rPr>
          <w:rFonts w:ascii="Arial" w:cs="Arial" w:eastAsia="Arial" w:hAnsi="Arial"/>
          <w:sz w:val="15"/>
          <w:szCs w:val="15"/>
          <w:color w:val="auto"/>
        </w:rPr>
        <w:t xml:space="preserve">”) and (ii) the contingent right to receive the applicable Earnout Pro Rata Portion of Earnout Shares (which may be zero (0)) following the Closing in accordance with </w:t>
      </w:r>
      <w:r>
        <w:rPr>
          <w:rFonts w:ascii="Arial" w:cs="Arial" w:eastAsia="Arial" w:hAnsi="Arial"/>
          <w:sz w:val="15"/>
          <w:szCs w:val="15"/>
          <w:u w:val="single" w:color="auto"/>
          <w:color w:val="auto"/>
        </w:rPr>
        <w:t>Section 3.07</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Option Earnout Shares</w:t>
      </w:r>
      <w:r>
        <w:rPr>
          <w:rFonts w:ascii="Arial" w:cs="Arial" w:eastAsia="Arial" w:hAnsi="Arial"/>
          <w:sz w:val="15"/>
          <w:szCs w:val="15"/>
          <w:color w:val="auto"/>
        </w:rPr>
        <w:t>”). As of the Effective Time, each such Exchanged Option as so assumed and converted shall be exercisable for that number of shares of Acquiror Common Stock equal to the product (rounded down to the nearest whole number) of (x) the number of shares of Company Common Stock issuable pursuant to such Company Option immediately prior to the Effective Time and (y) the Exchange Ratio, at an exercise price per share (rounded down to the nearest whole cent) equal to (A) the exercise price per share of such Company Option immediately prior to the Effective Time divided by (B) the Exchange Ratio; provided, however, that the exercise price and the number of shares of Acquiror Common Stock purchasable pursuant to the Exchanged Options shall be determined in a manner consistent with the requirements of Section 409A of the Code; provided, further, that in the case of any Exchanged Option to which Section 422 of the Code applies, the exercise price and the number of shares of Acquiror Common Stock purchasable pursuant to such option shall be determined in accordance with the foregoing, subject to such adjustments as are necessary in order to satisfy the requirements of Section 424(a) of the Code. Except as specifically provided above, following the Effective Time, each Exchanged Option shall continue to be governed by the same terms and conditions (including vesting and exercisability terms) as were applicable to the corresponding former Company Option immediately prior to the Effective Time.</w:t>
      </w:r>
    </w:p>
    <w:p>
      <w:pPr>
        <w:spacing w:after="0" w:line="163" w:lineRule="exact"/>
        <w:rPr>
          <w:rFonts w:ascii="Arial" w:cs="Arial" w:eastAsia="Arial" w:hAnsi="Arial"/>
          <w:sz w:val="15"/>
          <w:szCs w:val="15"/>
          <w:color w:val="auto"/>
        </w:rPr>
      </w:pPr>
    </w:p>
    <w:p>
      <w:pPr>
        <w:jc w:val="both"/>
        <w:ind w:firstLine="1143"/>
        <w:spacing w:after="0" w:line="289" w:lineRule="auto"/>
        <w:tabs>
          <w:tab w:leader="none" w:pos="1385"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 the Effective Time, each Company Warrant that is issued and outstanding immediately prior to the Effective Time and not exercised pursuant to its terms at or immediately prior to the Effective Time, shall, in accordance with its terms, either (i) be automatically converted into a number of shares of Company Common Stock or Company Preferred Stock, as applicable, in accordance with its terms, or (ii) be assumed and converted into (A) a warrant to purchase a number of shares of Acquiror Common Stock (such warrant, an “</w:t>
      </w:r>
      <w:r>
        <w:rPr>
          <w:rFonts w:ascii="Arial" w:cs="Arial" w:eastAsia="Arial" w:hAnsi="Arial"/>
          <w:sz w:val="14"/>
          <w:szCs w:val="14"/>
          <w:u w:val="single" w:color="auto"/>
          <w:color w:val="auto"/>
        </w:rPr>
        <w:t>Exchanged Warrant</w:t>
      </w:r>
      <w:r>
        <w:rPr>
          <w:rFonts w:ascii="Arial" w:cs="Arial" w:eastAsia="Arial" w:hAnsi="Arial"/>
          <w:sz w:val="14"/>
          <w:szCs w:val="14"/>
          <w:color w:val="auto"/>
        </w:rPr>
        <w:t>”) and (B) the contingent right to receive the applicable Earnout Pro Rata Portion of Earnout Shares (which may be zero</w:t>
      </w:r>
    </w:p>
    <w:p>
      <w:pPr>
        <w:spacing w:after="0" w:line="2" w:lineRule="exact"/>
        <w:rPr>
          <w:rFonts w:ascii="Arial" w:cs="Arial" w:eastAsia="Arial" w:hAnsi="Arial"/>
          <w:sz w:val="14"/>
          <w:szCs w:val="14"/>
          <w:color w:val="auto"/>
        </w:rPr>
      </w:pPr>
    </w:p>
    <w:p>
      <w:pPr>
        <w:jc w:val="both"/>
        <w:ind w:right="20"/>
        <w:spacing w:after="0" w:line="251" w:lineRule="auto"/>
        <w:rPr>
          <w:rFonts w:ascii="Arial" w:cs="Arial" w:eastAsia="Arial" w:hAnsi="Arial"/>
          <w:sz w:val="14"/>
          <w:szCs w:val="14"/>
          <w:color w:val="auto"/>
        </w:rPr>
      </w:pPr>
      <w:r>
        <w:rPr>
          <w:rFonts w:ascii="Arial" w:cs="Arial" w:eastAsia="Arial" w:hAnsi="Arial"/>
          <w:sz w:val="16"/>
          <w:szCs w:val="16"/>
          <w:color w:val="auto"/>
        </w:rPr>
        <w:t xml:space="preserve">(0)) following the Closing in accordance with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 Earnout Shares</w:t>
      </w:r>
      <w:r>
        <w:rPr>
          <w:rFonts w:ascii="Arial" w:cs="Arial" w:eastAsia="Arial" w:hAnsi="Arial"/>
          <w:sz w:val="16"/>
          <w:szCs w:val="16"/>
          <w:color w:val="auto"/>
        </w:rPr>
        <w:t>”). As of the Effective Time, each such Exchanged Warrant as so assumed and converted shall be exercisable for that number of shares of Acquiror Common Stock equal to the product (rounded down to the nearest whole number) of (x) the number of shares of Company Stock issuable pursuant to such Company Warrant immediately prior to the Effective Time and (y) the Exchange Ratio, at an exercise price per share (rounded up to the nearest whole cent) equal to (A) the exercise price per share of such Company Warrant immediately prior to the Effective Time divided by (B) the Exchange Ratio.</w:t>
      </w:r>
    </w:p>
    <w:p>
      <w:pPr>
        <w:spacing w:after="0" w:line="168"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b w:val="1"/>
          <w:bCs w:val="1"/>
          <w:color w:val="auto"/>
        </w:rPr>
        <w:t xml:space="preserve">Section 3.03 </w:t>
      </w:r>
      <w:r>
        <w:rPr>
          <w:rFonts w:ascii="Arial" w:cs="Arial" w:eastAsia="Arial" w:hAnsi="Arial"/>
          <w:sz w:val="15"/>
          <w:szCs w:val="15"/>
          <w:b w:val="1"/>
          <w:bCs w:val="1"/>
          <w:u w:val="single" w:color="auto"/>
          <w:color w:val="auto"/>
        </w:rPr>
        <w:t>Effect of the Second Merger</w:t>
      </w:r>
      <w:r>
        <w:rPr>
          <w:rFonts w:ascii="Arial" w:cs="Arial" w:eastAsia="Arial" w:hAnsi="Arial"/>
          <w:sz w:val="15"/>
          <w:szCs w:val="15"/>
          <w:color w:val="auto"/>
        </w:rPr>
        <w:t>. Upon the terms and subject to the conditions of this Agreement, at the Second Effective Time, by virtue of the Second</w:t>
      </w:r>
      <w:r>
        <w:rPr>
          <w:rFonts w:ascii="Arial" w:cs="Arial" w:eastAsia="Arial" w:hAnsi="Arial"/>
          <w:sz w:val="15"/>
          <w:szCs w:val="15"/>
          <w:b w:val="1"/>
          <w:bCs w:val="1"/>
          <w:color w:val="auto"/>
        </w:rPr>
        <w:t xml:space="preserve"> </w:t>
      </w:r>
      <w:r>
        <w:rPr>
          <w:rFonts w:ascii="Arial" w:cs="Arial" w:eastAsia="Arial" w:hAnsi="Arial"/>
          <w:sz w:val="15"/>
          <w:szCs w:val="15"/>
          <w:color w:val="auto"/>
        </w:rPr>
        <w:t>Merger and without any action on the part of any party, any Company Stockholder, or the holders of any shares of capital stock of Acquiror, the Surviving Entity or Second Merger Sub: (a) each share of common stock of the Surviving Entity issued and outstanding immediately prior to the Second Effective Time will be cancelled and will cease to exist without any conversion thereof or payment therefor; and (b) the membership interests of Second Merger Sub outstanding immediately prior to the Second Effective Time will be converted into and become the membership interests of the Surviving Company, which will constitute all of the outstanding equity of the Surviving Company. From and after the Second Effective Time, the membership interests of the Second Merger Sub will be deemed for all purposes to represent the number of membership interests into which they were converted in accordance with the immediately preceding sentence.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firstLine="574"/>
        <w:spacing w:after="0" w:line="274" w:lineRule="auto"/>
        <w:rPr>
          <w:sz w:val="20"/>
          <w:szCs w:val="20"/>
          <w:color w:val="auto"/>
        </w:rPr>
      </w:pPr>
      <w:r>
        <w:rPr>
          <w:rFonts w:ascii="Arial" w:cs="Arial" w:eastAsia="Arial" w:hAnsi="Arial"/>
          <w:sz w:val="15"/>
          <w:szCs w:val="15"/>
          <w:b w:val="1"/>
          <w:bCs w:val="1"/>
          <w:color w:val="auto"/>
        </w:rPr>
        <w:t xml:space="preserve">Section 3.04 </w:t>
      </w:r>
      <w:r>
        <w:rPr>
          <w:rFonts w:ascii="Arial" w:cs="Arial" w:eastAsia="Arial" w:hAnsi="Arial"/>
          <w:sz w:val="15"/>
          <w:szCs w:val="15"/>
          <w:b w:val="1"/>
          <w:bCs w:val="1"/>
          <w:u w:val="single" w:color="auto"/>
          <w:color w:val="auto"/>
        </w:rPr>
        <w:t>Equitable Adjustments</w:t>
      </w:r>
      <w:r>
        <w:rPr>
          <w:rFonts w:ascii="Arial" w:cs="Arial" w:eastAsia="Arial" w:hAnsi="Arial"/>
          <w:sz w:val="15"/>
          <w:szCs w:val="15"/>
          <w:b w:val="1"/>
          <w:bCs w:val="1"/>
          <w:color w:val="auto"/>
        </w:rPr>
        <w:t xml:space="preserve">. </w:t>
      </w:r>
      <w:r>
        <w:rPr>
          <w:rFonts w:ascii="Arial" w:cs="Arial" w:eastAsia="Arial" w:hAnsi="Arial"/>
          <w:sz w:val="15"/>
          <w:szCs w:val="15"/>
          <w:color w:val="auto"/>
        </w:rPr>
        <w:t>If, between the date of this Agreement and the Closing, the outstanding shares of Company Common Stock, Company Preferred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Stock or shares of Acquiror Common Stock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shares of Company Common Stock, Company Preferred Stock or shares of Acquiror Common Stock will be appropriately adjusted to provide to the holders of Company Common Stock, Company Preferred Stock and the holders of Acquiror Common Stock the same economic effect as contemplated by this Agreement; provided, however, that this </w:t>
      </w:r>
      <w:r>
        <w:rPr>
          <w:rFonts w:ascii="Arial" w:cs="Arial" w:eastAsia="Arial" w:hAnsi="Arial"/>
          <w:sz w:val="15"/>
          <w:szCs w:val="15"/>
          <w:u w:val="single" w:color="auto"/>
          <w:color w:val="auto"/>
        </w:rPr>
        <w:t>Section 3.04</w:t>
      </w:r>
      <w:r>
        <w:rPr>
          <w:rFonts w:ascii="Arial" w:cs="Arial" w:eastAsia="Arial" w:hAnsi="Arial"/>
          <w:sz w:val="15"/>
          <w:szCs w:val="15"/>
          <w:color w:val="auto"/>
        </w:rPr>
        <w:t xml:space="preserve"> shall not be construed to permit Acquiror, the Company, First Merger Sub or Second Merger Sub to take any action with respect to their respective securities that is prohibited by the terms and conditions of this Agreement.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3.05 </w:t>
      </w:r>
      <w:r>
        <w:rPr>
          <w:rFonts w:ascii="Arial" w:cs="Arial" w:eastAsia="Arial" w:hAnsi="Arial"/>
          <w:sz w:val="16"/>
          <w:szCs w:val="16"/>
          <w:b w:val="1"/>
          <w:bCs w:val="1"/>
          <w:u w:val="single" w:color="auto"/>
          <w:color w:val="auto"/>
        </w:rPr>
        <w:t>Delivery of Company Merger Shares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3" w:lineRule="auto"/>
        <w:tabs>
          <w:tab w:leader="none" w:pos="1364"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Concurrently with the mailing of the Consent Solicitation Statement, Acquiror shall cause to be mailed to each holder of record of Company Stock (for the avoidance of doubt, including holders of shares of Company Common Stock resulting from the conversion of Company Preferred Stock and Company Convertible Notes described in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3.01(b)</w:t>
      </w:r>
      <w:r>
        <w:rPr>
          <w:rFonts w:ascii="Arial" w:cs="Arial" w:eastAsia="Arial" w:hAnsi="Arial"/>
          <w:sz w:val="16"/>
          <w:szCs w:val="16"/>
          <w:color w:val="auto"/>
        </w:rPr>
        <w:t>, respectively, and the exercise of any Company Warrants but excluding holders of Excluded Shares), a letter of transmittal in customary form to be approved by the Company (such approval not to be unreasonably withheld, conditioned or delayed) prior to the Closing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which shall (i) have customary representations and warranties as to title, authorization, execution and delivery and (ii) specify that delivery shall be effected, and risk of loss and title to the shares of Company Stock, shall pass, only upon delivery of the shares of Company Stock, to Acquiror (including all certificates representing shares of Company Stock (each, a “</w:t>
      </w:r>
      <w:r>
        <w:rPr>
          <w:rFonts w:ascii="Arial" w:cs="Arial" w:eastAsia="Arial" w:hAnsi="Arial"/>
          <w:sz w:val="16"/>
          <w:szCs w:val="16"/>
          <w:u w:val="single" w:color="auto"/>
          <w:color w:val="auto"/>
        </w:rPr>
        <w:t>Company Certificate</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Company Certificates</w:t>
      </w:r>
      <w:r>
        <w:rPr>
          <w:rFonts w:ascii="Arial" w:cs="Arial" w:eastAsia="Arial" w:hAnsi="Arial"/>
          <w:sz w:val="16"/>
          <w:szCs w:val="16"/>
          <w:color w:val="auto"/>
        </w:rPr>
        <w:t>”), to the extent such shares of Company Stock are certificated), together with instructions thereto.</w:t>
      </w:r>
    </w:p>
    <w:p>
      <w:pPr>
        <w:spacing w:after="0" w:line="169" w:lineRule="exact"/>
        <w:rPr>
          <w:rFonts w:ascii="Arial" w:cs="Arial" w:eastAsia="Arial" w:hAnsi="Arial"/>
          <w:sz w:val="16"/>
          <w:szCs w:val="16"/>
          <w:color w:val="auto"/>
        </w:rPr>
      </w:pPr>
    </w:p>
    <w:p>
      <w:pPr>
        <w:jc w:val="both"/>
        <w:ind w:firstLine="1143"/>
        <w:spacing w:after="0" w:line="297" w:lineRule="auto"/>
        <w:tabs>
          <w:tab w:leader="none" w:pos="138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Upon the receipt of a Letter of Transmittal (accompanied with all Company Certificates representing shares of Company Stock and the holder of such shares of Company Stock, to the extent such shares of Company Stock are certificated) duly, completely and validly executed in accordance with the instructions thereto, and such other documents as may reasonably be required by Acquiror, the holder of such shares of Company Stock, as applicable, shall be entitled to receive in exchange therefor, and Acquiror shall cause the delivery of, the applicable Per Share Merger Consideration in accordance with the provisions of </w:t>
      </w:r>
      <w:r>
        <w:rPr>
          <w:rFonts w:ascii="Arial" w:cs="Arial" w:eastAsia="Arial" w:hAnsi="Arial"/>
          <w:sz w:val="14"/>
          <w:szCs w:val="14"/>
          <w:u w:val="single" w:color="auto"/>
          <w:color w:val="auto"/>
        </w:rPr>
        <w:t>Section 3.01</w:t>
      </w:r>
      <w:r>
        <w:rPr>
          <w:rFonts w:ascii="Arial" w:cs="Arial" w:eastAsia="Arial" w:hAnsi="Arial"/>
          <w:sz w:val="14"/>
          <w:szCs w:val="14"/>
          <w:color w:val="auto"/>
        </w:rPr>
        <w:t xml:space="preserve">. Until surrendered as contemplated by this </w:t>
      </w:r>
      <w:r>
        <w:rPr>
          <w:rFonts w:ascii="Arial" w:cs="Arial" w:eastAsia="Arial" w:hAnsi="Arial"/>
          <w:sz w:val="14"/>
          <w:szCs w:val="14"/>
          <w:u w:val="single" w:color="auto"/>
          <w:color w:val="auto"/>
        </w:rPr>
        <w:t>Section 3.05(b)</w:t>
      </w:r>
      <w:r>
        <w:rPr>
          <w:rFonts w:ascii="Arial" w:cs="Arial" w:eastAsia="Arial" w:hAnsi="Arial"/>
          <w:sz w:val="14"/>
          <w:szCs w:val="14"/>
          <w:color w:val="auto"/>
        </w:rPr>
        <w:t xml:space="preserve">, each share of Company Stock shall be deemed at any time from and after the Effective Time to represent only the right to receive upon such surrender the applicable Per Share Merger Consideration that such holder is entitled to receive in accordance with the provisions of </w:t>
      </w:r>
      <w:r>
        <w:rPr>
          <w:rFonts w:ascii="Arial" w:cs="Arial" w:eastAsia="Arial" w:hAnsi="Arial"/>
          <w:sz w:val="14"/>
          <w:szCs w:val="14"/>
          <w:u w:val="single" w:color="auto"/>
          <w:color w:val="auto"/>
        </w:rPr>
        <w:t>Section 3.01</w:t>
      </w:r>
      <w:r>
        <w:rPr>
          <w:rFonts w:ascii="Arial" w:cs="Arial" w:eastAsia="Arial" w:hAnsi="Arial"/>
          <w:sz w:val="14"/>
          <w:szCs w:val="14"/>
          <w:color w:val="auto"/>
        </w:rPr>
        <w:t>.</w:t>
      </w:r>
    </w:p>
    <w:p>
      <w:pPr>
        <w:spacing w:after="0" w:line="139"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3.06 </w:t>
      </w:r>
      <w:r>
        <w:rPr>
          <w:rFonts w:ascii="Arial" w:cs="Arial" w:eastAsia="Arial" w:hAnsi="Arial"/>
          <w:sz w:val="16"/>
          <w:szCs w:val="16"/>
          <w:b w:val="1"/>
          <w:bCs w:val="1"/>
          <w:u w:val="single" w:color="auto"/>
          <w:color w:val="auto"/>
        </w:rPr>
        <w:t>Lost Certificate</w:t>
      </w:r>
      <w:r>
        <w:rPr>
          <w:rFonts w:ascii="Arial" w:cs="Arial" w:eastAsia="Arial" w:hAnsi="Arial"/>
          <w:sz w:val="16"/>
          <w:szCs w:val="16"/>
          <w:color w:val="auto"/>
        </w:rPr>
        <w:t>. In the event any Company Certificate has been lost, stolen or destroyed, upon the making of an affidavit of that fact by the Person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claiming such Company Certificate to be lost, stolen or destroyed and, if required by Acquiror, the provision by such Person of a customary indemnity against any claim that may be made against Acquiror with respect to such Company Certificate, Acquiror shall issue in exchange for such lost, stolen or destroyed Company Certificate the Per Share Merger Consideration, deliverable in respect thereof as determined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left="560"/>
        <w:spacing w:after="0"/>
        <w:rPr>
          <w:sz w:val="20"/>
          <w:szCs w:val="20"/>
          <w:color w:val="auto"/>
        </w:rPr>
      </w:pPr>
      <w:r>
        <w:rPr>
          <w:rFonts w:ascii="Arial" w:cs="Arial" w:eastAsia="Arial" w:hAnsi="Arial"/>
          <w:sz w:val="16"/>
          <w:szCs w:val="16"/>
          <w:b w:val="1"/>
          <w:bCs w:val="1"/>
          <w:color w:val="auto"/>
        </w:rPr>
        <w:t xml:space="preserve">Section 3.07 </w:t>
      </w:r>
      <w:r>
        <w:rPr>
          <w:rFonts w:ascii="Arial" w:cs="Arial" w:eastAsia="Arial" w:hAnsi="Arial"/>
          <w:sz w:val="16"/>
          <w:szCs w:val="16"/>
          <w:b w:val="1"/>
          <w:bCs w:val="1"/>
          <w:u w:val="single" w:color="auto"/>
          <w:color w:val="auto"/>
        </w:rPr>
        <w:t>Earnout</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7" w:lineRule="auto"/>
        <w:tabs>
          <w:tab w:leader="none" w:pos="1364"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at any time from the Closing Date until the three-year anniversary of the Closing, the VWAP of Acquiror Common Stock quoted on Nasdaq is greater than or equal to $12.50 for any twenty (20) Trading Days within any thirty (30) Trading Day period, Acquiror shall promptly issue to the Earnout Participants an aggregate amount of 7,500,000 shares of Acquiror Common Stock (the “</w:t>
      </w:r>
      <w:r>
        <w:rPr>
          <w:rFonts w:ascii="Arial" w:cs="Arial" w:eastAsia="Arial" w:hAnsi="Arial"/>
          <w:sz w:val="15"/>
          <w:szCs w:val="15"/>
          <w:u w:val="single" w:color="auto"/>
          <w:color w:val="auto"/>
        </w:rPr>
        <w:t>First Earnout Shares</w:t>
      </w:r>
      <w:r>
        <w:rPr>
          <w:rFonts w:ascii="Arial" w:cs="Arial" w:eastAsia="Arial" w:hAnsi="Arial"/>
          <w:sz w:val="15"/>
          <w:szCs w:val="15"/>
          <w:color w:val="auto"/>
        </w:rPr>
        <w:t>”) in accordance with their Earnout Pro Rata Portion.</w:t>
      </w:r>
    </w:p>
    <w:p>
      <w:pPr>
        <w:spacing w:after="0" w:line="146" w:lineRule="exact"/>
        <w:rPr>
          <w:rFonts w:ascii="Arial" w:cs="Arial" w:eastAsia="Arial" w:hAnsi="Arial"/>
          <w:sz w:val="15"/>
          <w:szCs w:val="15"/>
          <w:color w:val="auto"/>
        </w:rPr>
      </w:pPr>
    </w:p>
    <w:p>
      <w:pPr>
        <w:jc w:val="both"/>
        <w:ind w:firstLine="1143"/>
        <w:spacing w:after="0" w:line="258" w:lineRule="auto"/>
        <w:tabs>
          <w:tab w:leader="none" w:pos="13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at any time from the Closing Date until the five-year anniversary of the Closing, the VWAP of Acquiror Common Stock quoted on Nasdaq is greater than or equal to $15.00 for any twenty (20) Trading Days within any thirty (30) Trading Day period, Acquiror shall promptly issue to the Earnout Participants an aggregate amount of 7,500,000 shares of Acquiror Common Stock (the “</w:t>
      </w:r>
      <w:r>
        <w:rPr>
          <w:rFonts w:ascii="Arial" w:cs="Arial" w:eastAsia="Arial" w:hAnsi="Arial"/>
          <w:sz w:val="16"/>
          <w:szCs w:val="16"/>
          <w:u w:val="single" w:color="auto"/>
          <w:color w:val="auto"/>
        </w:rPr>
        <w:t>Second Earnout Shares</w:t>
      </w:r>
      <w:r>
        <w:rPr>
          <w:rFonts w:ascii="Arial" w:cs="Arial" w:eastAsia="Arial" w:hAnsi="Arial"/>
          <w:sz w:val="16"/>
          <w:szCs w:val="16"/>
          <w:color w:val="auto"/>
        </w:rPr>
        <w:t>”, and together with the First Earnout Shares, the “</w:t>
      </w:r>
      <w:r>
        <w:rPr>
          <w:rFonts w:ascii="Arial" w:cs="Arial" w:eastAsia="Arial" w:hAnsi="Arial"/>
          <w:sz w:val="16"/>
          <w:szCs w:val="16"/>
          <w:u w:val="single" w:color="auto"/>
          <w:color w:val="auto"/>
        </w:rPr>
        <w:t>Earnout Shares</w:t>
      </w:r>
      <w:r>
        <w:rPr>
          <w:rFonts w:ascii="Arial" w:cs="Arial" w:eastAsia="Arial" w:hAnsi="Arial"/>
          <w:sz w:val="16"/>
          <w:szCs w:val="16"/>
          <w:color w:val="auto"/>
        </w:rPr>
        <w:t>”), in accordance with their Earnout Pro Rata Portion.</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The Acquiror Common Stock price targets set forth in </w:t>
      </w:r>
      <w:r>
        <w:rPr>
          <w:rFonts w:ascii="Arial" w:cs="Arial" w:eastAsia="Arial" w:hAnsi="Arial"/>
          <w:sz w:val="16"/>
          <w:szCs w:val="16"/>
          <w:u w:val="single" w:color="auto"/>
          <w:color w:val="auto"/>
        </w:rPr>
        <w:t>Section 3.07(a)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3.07(b)</w:t>
      </w:r>
      <w:r>
        <w:rPr>
          <w:rFonts w:ascii="Arial" w:cs="Arial" w:eastAsia="Arial" w:hAnsi="Arial"/>
          <w:sz w:val="16"/>
          <w:szCs w:val="16"/>
          <w:color w:val="auto"/>
        </w:rPr>
        <w:t xml:space="preserve"> and the number of shares to be issued pursuant to the foregoing shall be equitably adjusted for any stock dividend, subdivision, reclassification, recapitalization, split, combination or exchange of shares, or any similar event affecting the Acquiror Common Stock after the date of this Agreement.</w:t>
      </w:r>
    </w:p>
    <w:p>
      <w:pPr>
        <w:spacing w:after="0" w:line="162" w:lineRule="exact"/>
        <w:rPr>
          <w:rFonts w:ascii="Arial" w:cs="Arial" w:eastAsia="Arial" w:hAnsi="Arial"/>
          <w:sz w:val="16"/>
          <w:szCs w:val="16"/>
          <w:color w:val="auto"/>
        </w:rPr>
      </w:pPr>
    </w:p>
    <w:p>
      <w:pPr>
        <w:jc w:val="both"/>
        <w:ind w:right="20" w:firstLine="1143"/>
        <w:spacing w:after="0" w:line="280" w:lineRule="auto"/>
        <w:tabs>
          <w:tab w:leader="none" w:pos="1385"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Any Option Earnout Shares payable to holders of unvested Exchanged Options shall be subject to terms and conditions that are substantially similar to those that applied to the award of such Company Option immediately prior to the Effective Time (including vesting and forfeiture conditions, but taking into account any changes thereto provided for in the Company Stock Plans, in any award agreement evidencing such Company Option or by reason of this Agreement or the Transactions). The issuance of the Option Earnout Shares will also be subject to any withholding required pursuant to applicable Law pursuant to </w:t>
      </w:r>
      <w:r>
        <w:rPr>
          <w:rFonts w:ascii="Arial" w:cs="Arial" w:eastAsia="Arial" w:hAnsi="Arial"/>
          <w:sz w:val="15"/>
          <w:szCs w:val="15"/>
          <w:u w:val="single" w:color="auto"/>
          <w:color w:val="auto"/>
        </w:rPr>
        <w:t>Section 3.08</w:t>
      </w:r>
      <w:r>
        <w:rPr>
          <w:rFonts w:ascii="Arial" w:cs="Arial" w:eastAsia="Arial" w:hAnsi="Arial"/>
          <w:sz w:val="15"/>
          <w:szCs w:val="15"/>
          <w:color w:val="auto"/>
        </w:rPr>
        <w:t>.</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Any Warrant Earnout Shares payable to holders of Exchanged Warrants shall be subject to terms and conditions that are substantially similar to those that applied to the award of such Company Warrant immediately prior to the Effective Time. The issuance of the Warrant Earnout Shares will also be subject to any withholding required pursuant to applicable Law pursuant to </w:t>
      </w:r>
      <w:r>
        <w:rPr>
          <w:rFonts w:ascii="Arial" w:cs="Arial" w:eastAsia="Arial" w:hAnsi="Arial"/>
          <w:sz w:val="16"/>
          <w:szCs w:val="16"/>
          <w:u w:val="single" w:color="auto"/>
          <w:color w:val="auto"/>
        </w:rPr>
        <w:t>Section 3.08</w:t>
      </w:r>
      <w:r>
        <w:rPr>
          <w:rFonts w:ascii="Arial" w:cs="Arial" w:eastAsia="Arial" w:hAnsi="Arial"/>
          <w:sz w:val="16"/>
          <w:szCs w:val="16"/>
          <w:color w:val="auto"/>
        </w:rPr>
        <w:t>.</w:t>
      </w:r>
    </w:p>
    <w:p>
      <w:pPr>
        <w:spacing w:after="0" w:line="158"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color w:val="auto"/>
        </w:rPr>
        <w:t xml:space="preserve">Section 3.08 </w:t>
      </w:r>
      <w:r>
        <w:rPr>
          <w:rFonts w:ascii="Arial" w:cs="Arial" w:eastAsia="Arial" w:hAnsi="Arial"/>
          <w:sz w:val="14"/>
          <w:szCs w:val="14"/>
          <w:b w:val="1"/>
          <w:bCs w:val="1"/>
          <w:u w:val="single" w:color="auto"/>
          <w:color w:val="auto"/>
        </w:rPr>
        <w:t>Withholding</w:t>
      </w:r>
      <w:r>
        <w:rPr>
          <w:rFonts w:ascii="Arial" w:cs="Arial" w:eastAsia="Arial" w:hAnsi="Arial"/>
          <w:sz w:val="14"/>
          <w:szCs w:val="14"/>
          <w:color w:val="auto"/>
        </w:rPr>
        <w:t>. Each of Acquiror, First Merger Sub, Second Merger Sub, the Company, the Surviving Entity and the Surviving Company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respective Affiliates shall be entitled to deduct and withhold from any amounts otherwise deliverable or payable under this Agreement such amounts that any such Persons are required to deduct and withhold with respect to any of the deliveries and payments contemplated by this Agreement under the Code or any other applicable Law through the withholding of a number of such shares; provided that before making any deduction or withholding pursuant to this </w:t>
      </w:r>
      <w:r>
        <w:rPr>
          <w:rFonts w:ascii="Arial" w:cs="Arial" w:eastAsia="Arial" w:hAnsi="Arial"/>
          <w:sz w:val="14"/>
          <w:szCs w:val="14"/>
          <w:u w:val="single" w:color="auto"/>
          <w:color w:val="auto"/>
        </w:rPr>
        <w:t>Section 3.08</w:t>
      </w:r>
      <w:r>
        <w:rPr>
          <w:rFonts w:ascii="Arial" w:cs="Arial" w:eastAsia="Arial" w:hAnsi="Arial"/>
          <w:sz w:val="14"/>
          <w:szCs w:val="14"/>
          <w:color w:val="auto"/>
        </w:rPr>
        <w:t xml:space="preserve"> other than with respect to compensatory payments made pursuant to </w:t>
      </w:r>
      <w:r>
        <w:rPr>
          <w:rFonts w:ascii="Arial" w:cs="Arial" w:eastAsia="Arial" w:hAnsi="Arial"/>
          <w:sz w:val="14"/>
          <w:szCs w:val="14"/>
          <w:u w:val="single" w:color="auto"/>
          <w:color w:val="auto"/>
        </w:rPr>
        <w:t>Section 3.05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3.07</w:t>
      </w:r>
      <w:r>
        <w:rPr>
          <w:rFonts w:ascii="Arial" w:cs="Arial" w:eastAsia="Arial" w:hAnsi="Arial"/>
          <w:sz w:val="14"/>
          <w:szCs w:val="14"/>
          <w:color w:val="auto"/>
        </w:rPr>
        <w:t xml:space="preserve">, Acquiror shall use commercially reasonable efforts to give the Company at least five days prior written notice of any anticipated deduction or withholding (together with any legal basis therefor) to provide the Company with sufficient opportunity to provide any forms or other documentation from the applicable equity holders or take such other steps in order to avoid such deduction or withholding and shall reasonably consult and cooperate with the Company in good faith to attempt to reduce or eliminate any amounts that would otherwise be deducted or withheld pursuant to this </w:t>
      </w:r>
      <w:r>
        <w:rPr>
          <w:rFonts w:ascii="Arial" w:cs="Arial" w:eastAsia="Arial" w:hAnsi="Arial"/>
          <w:sz w:val="14"/>
          <w:szCs w:val="14"/>
          <w:u w:val="single" w:color="auto"/>
          <w:color w:val="auto"/>
        </w:rPr>
        <w:t>Section 3.08</w:t>
      </w:r>
      <w:r>
        <w:rPr>
          <w:rFonts w:ascii="Arial" w:cs="Arial" w:eastAsia="Arial" w:hAnsi="Arial"/>
          <w:sz w:val="14"/>
          <w:szCs w:val="14"/>
          <w:color w:val="auto"/>
        </w:rPr>
        <w:t>. To the extent that Acquiror, First Merger Sub, Second Merger Sub, the Company, the Surviving Entity and the Surviving Company or any of their respective Affiliates withholds such amounts with respect to any Person and properly remits such withheld amounts to the applicable Governmental Authority, such withheld amounts shall be treated as having been paid to or on behalf of such Person for all purposes. In the case of any such payment payable to employees of the Company or its Affiliates in connection with the Mergers treated as compensation, the parties shall cooperate to pay such amounts through the Company’s or its Affiliate’s payroll to facilitate applicable withholding.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left="4" w:firstLine="574"/>
        <w:spacing w:after="0" w:line="299" w:lineRule="auto"/>
        <w:rPr>
          <w:sz w:val="20"/>
          <w:szCs w:val="20"/>
          <w:color w:val="auto"/>
        </w:rPr>
      </w:pPr>
      <w:r>
        <w:rPr>
          <w:rFonts w:ascii="Arial" w:cs="Arial" w:eastAsia="Arial" w:hAnsi="Arial"/>
          <w:sz w:val="14"/>
          <w:szCs w:val="14"/>
          <w:b w:val="1"/>
          <w:bCs w:val="1"/>
          <w:color w:val="auto"/>
        </w:rPr>
        <w:t xml:space="preserve">Section 3.09 </w:t>
      </w:r>
      <w:r>
        <w:rPr>
          <w:rFonts w:ascii="Arial" w:cs="Arial" w:eastAsia="Arial" w:hAnsi="Arial"/>
          <w:sz w:val="14"/>
          <w:szCs w:val="14"/>
          <w:b w:val="1"/>
          <w:bCs w:val="1"/>
          <w:u w:val="single" w:color="auto"/>
          <w:color w:val="auto"/>
        </w:rPr>
        <w:t>Cash in Lieu of Fractional Shares</w:t>
      </w:r>
      <w:r>
        <w:rPr>
          <w:rFonts w:ascii="Arial" w:cs="Arial" w:eastAsia="Arial" w:hAnsi="Arial"/>
          <w:sz w:val="14"/>
          <w:szCs w:val="14"/>
          <w:color w:val="auto"/>
        </w:rPr>
        <w:t>. Notwithstanding anything to the contrary contained herein, no certificates or scrip representing fractional shares of</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Acquiror Common Stock shall be issued upon the conversion of Company Common Stock pursuant to </w:t>
      </w:r>
      <w:r>
        <w:rPr>
          <w:rFonts w:ascii="Arial" w:cs="Arial" w:eastAsia="Arial" w:hAnsi="Arial"/>
          <w:sz w:val="14"/>
          <w:szCs w:val="14"/>
          <w:u w:val="single" w:color="auto"/>
          <w:color w:val="auto"/>
        </w:rPr>
        <w:t>Section 3.01(c)(i)</w:t>
      </w:r>
      <w:r>
        <w:rPr>
          <w:rFonts w:ascii="Arial" w:cs="Arial" w:eastAsia="Arial" w:hAnsi="Arial"/>
          <w:sz w:val="14"/>
          <w:szCs w:val="14"/>
          <w:color w:val="auto"/>
        </w:rPr>
        <w:t xml:space="preserve">, and such fractional share interests shall not entitle the owner thereof to vote or to any other rights of a holder of Acquiror Common Stock. In lieu of the issuance of any such fractional share, Acquiror shall pay to each former holder of Company Common Stock who otherwise would be entitled to receive such fractional share an amount in cash, without interest, equal to the product of (i) the amount of the fractional share interest in a share of Acquiror Common Stock to which such holder otherwise would have been entitled but for this </w:t>
      </w:r>
      <w:r>
        <w:rPr>
          <w:rFonts w:ascii="Arial" w:cs="Arial" w:eastAsia="Arial" w:hAnsi="Arial"/>
          <w:sz w:val="14"/>
          <w:szCs w:val="14"/>
          <w:u w:val="single" w:color="auto"/>
          <w:color w:val="auto"/>
        </w:rPr>
        <w:t>Section 3.09</w:t>
      </w:r>
      <w:r>
        <w:rPr>
          <w:rFonts w:ascii="Arial" w:cs="Arial" w:eastAsia="Arial" w:hAnsi="Arial"/>
          <w:sz w:val="14"/>
          <w:szCs w:val="14"/>
          <w:color w:val="auto"/>
        </w:rPr>
        <w:t xml:space="preserve"> multiplied by (ii) an amount equal to the VWAP of shares of Acquiror Common Stock for the twenty (20) Trading Days prior to the date that is three (3) Business Days prior to the Closing.</w:t>
      </w:r>
    </w:p>
    <w:p>
      <w:pPr>
        <w:spacing w:after="0" w:line="135" w:lineRule="exact"/>
        <w:rPr>
          <w:sz w:val="20"/>
          <w:szCs w:val="20"/>
          <w:color w:val="auto"/>
        </w:rPr>
      </w:pPr>
    </w:p>
    <w:p>
      <w:pPr>
        <w:ind w:left="564"/>
        <w:spacing w:after="0"/>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Payment of Expenses</w:t>
      </w:r>
      <w:r>
        <w:rPr>
          <w:rFonts w:ascii="Arial" w:cs="Arial" w:eastAsia="Arial" w:hAnsi="Arial"/>
          <w:sz w:val="16"/>
          <w:szCs w:val="16"/>
          <w:color w:val="auto"/>
        </w:rPr>
        <w:t>.</w:t>
      </w:r>
    </w:p>
    <w:p>
      <w:pPr>
        <w:spacing w:after="0" w:line="202" w:lineRule="exact"/>
        <w:rPr>
          <w:sz w:val="20"/>
          <w:szCs w:val="20"/>
          <w:color w:val="auto"/>
        </w:rPr>
      </w:pPr>
    </w:p>
    <w:p>
      <w:pPr>
        <w:jc w:val="both"/>
        <w:ind w:left="4" w:right="20" w:firstLine="1143"/>
        <w:spacing w:after="0" w:line="292" w:lineRule="auto"/>
        <w:tabs>
          <w:tab w:leader="none" w:pos="1368" w:val="left"/>
        </w:tabs>
        <w:numPr>
          <w:ilvl w:val="1"/>
          <w:numId w:val="23"/>
        </w:numPr>
        <w:rPr>
          <w:rFonts w:ascii="Arial" w:cs="Arial" w:eastAsia="Arial" w:hAnsi="Arial"/>
          <w:sz w:val="14"/>
          <w:szCs w:val="14"/>
          <w:color w:val="auto"/>
        </w:rPr>
      </w:pPr>
      <w:r>
        <w:rPr>
          <w:rFonts w:ascii="Arial" w:cs="Arial" w:eastAsia="Arial" w:hAnsi="Arial"/>
          <w:sz w:val="14"/>
          <w:szCs w:val="14"/>
          <w:color w:val="auto"/>
        </w:rPr>
        <w:t>No sooner than five (5), or later than two (2), Business Days prior to the Closing Date, the Company shall provide to Acquiror a written report setting forth a list of the following fees and expenses incurred (or estimated to be incurred) by or on behalf of the Company or the Company Stockholders in connection with the preparation, negotiation and execution of this Agreement and the consummation of the transactions contemplated hereby (together with written invoices, wire transfer instructions for the payment thereof, and any other document reasonably requested by Acquiror in connection with the Outstanding Company Expenses), solely to the extent such fees and expenses are incurred and expected to remain unpaid as of the close of business on the Business Day immediately preceding the Closing Date: (i) the fees and disbursements of outside counsel to the Company or the Company Stockholders incurred in connection with the Transactions, (ii) the fees and expenses of any other agents, advisors, consultants, experts and financial advisors employed by the Company in connection with the Transactions (including, for the avoidance of doubt, audit and pre-audit consulting expenses) and (iii) fifty percent of the Joint Fees (collectively, the “</w:t>
      </w:r>
      <w:r>
        <w:rPr>
          <w:rFonts w:ascii="Arial" w:cs="Arial" w:eastAsia="Arial" w:hAnsi="Arial"/>
          <w:sz w:val="14"/>
          <w:szCs w:val="14"/>
          <w:u w:val="single" w:color="auto"/>
          <w:color w:val="auto"/>
        </w:rPr>
        <w:t>Outstanding Company Expenses</w:t>
      </w:r>
      <w:r>
        <w:rPr>
          <w:rFonts w:ascii="Arial" w:cs="Arial" w:eastAsia="Arial" w:hAnsi="Arial"/>
          <w:sz w:val="14"/>
          <w:szCs w:val="14"/>
          <w:color w:val="auto"/>
        </w:rPr>
        <w:t xml:space="preserve">”). On the Closing Date following the Closing, Acquiror shall pay or cause to be paid by wire transfer of immediately available funds all such Outstanding Company Expenses. A good faith estimate of the Outstanding Company Expenses is set forth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3.10(a)</w:t>
      </w:r>
      <w:r>
        <w:rPr>
          <w:rFonts w:ascii="Arial" w:cs="Arial" w:eastAsia="Arial" w:hAnsi="Arial"/>
          <w:sz w:val="14"/>
          <w:szCs w:val="14"/>
          <w:color w:val="auto"/>
        </w:rPr>
        <w:t>. The Company shall promptly provide Acquiror with written notice of any expected changes to such estimate that exceeds $500,000.</w:t>
      </w:r>
    </w:p>
    <w:p>
      <w:pPr>
        <w:spacing w:after="0" w:line="144" w:lineRule="exact"/>
        <w:rPr>
          <w:rFonts w:ascii="Arial" w:cs="Arial" w:eastAsia="Arial" w:hAnsi="Arial"/>
          <w:sz w:val="14"/>
          <w:szCs w:val="14"/>
          <w:color w:val="auto"/>
        </w:rPr>
      </w:pPr>
    </w:p>
    <w:p>
      <w:pPr>
        <w:jc w:val="both"/>
        <w:ind w:left="4" w:firstLine="1143"/>
        <w:spacing w:after="0" w:line="288" w:lineRule="auto"/>
        <w:tabs>
          <w:tab w:leader="none" w:pos="1390" w:val="left"/>
        </w:tabs>
        <w:numPr>
          <w:ilvl w:val="1"/>
          <w:numId w:val="23"/>
        </w:numPr>
        <w:rPr>
          <w:rFonts w:ascii="Arial" w:cs="Arial" w:eastAsia="Arial" w:hAnsi="Arial"/>
          <w:sz w:val="14"/>
          <w:szCs w:val="14"/>
          <w:color w:val="auto"/>
        </w:rPr>
      </w:pPr>
      <w:r>
        <w:rPr>
          <w:rFonts w:ascii="Arial" w:cs="Arial" w:eastAsia="Arial" w:hAnsi="Arial"/>
          <w:sz w:val="14"/>
          <w:szCs w:val="14"/>
          <w:color w:val="auto"/>
        </w:rPr>
        <w:t>No sooner than five (5), or later than two (2), Business Days prior to the Closing Date, Acquiror shall provide to the Company a written report setting forth a list of the following fees and expenses incurred (or estimated to be incurred) by or on behalf of the Acquiror, First Merger Sub, Second Merger Sub or the Sponsors in connection with the preparation, negotiation and execution of this Agreement and the consummation of the transactions contemplated hereby (together with written invoices, wire transfer instructions for the payment thereof, and any other document reasonably requested by the Company in connection with the Outstanding Acquiror Expenses), solely to the extent such fees and expenses are incurred and expected to remain unpaid as of the close of business on the Business Day immediately preceding the Closing Date:</w:t>
      </w:r>
    </w:p>
    <w:p>
      <w:pPr>
        <w:spacing w:after="0" w:line="2" w:lineRule="exact"/>
        <w:rPr>
          <w:rFonts w:ascii="Arial" w:cs="Arial" w:eastAsia="Arial" w:hAnsi="Arial"/>
          <w:sz w:val="14"/>
          <w:szCs w:val="14"/>
          <w:color w:val="auto"/>
        </w:rPr>
      </w:pPr>
    </w:p>
    <w:p>
      <w:pPr>
        <w:jc w:val="both"/>
        <w:ind w:left="4" w:hanging="4"/>
        <w:spacing w:after="0" w:line="269" w:lineRule="auto"/>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fees and disbursements of outside counsel to Acquiror, First Merger Sub, Second Merger Sub or the Sponsors incurred in connection with the Transactions, (ii) the fees and expenses of any other agents, advisors, experts and financial advisors employed by Acquiror, First Merger Sub, Second Merger Sub or the Sponsors in connection with the Transactions (which excludes, for the avoidance of any doubt, the fees payable pursuant to the business combination marketing agreement executed by Acquiror and Chardan Capital Markets, LLC on December 23, 2020), (iii) fifty percent of the Joint Fees, and (iv) the fees, premiums, costs, and expenses relating to the D&amp;O Tail (collectively, the “</w:t>
      </w:r>
      <w:r>
        <w:rPr>
          <w:rFonts w:ascii="Arial" w:cs="Arial" w:eastAsia="Arial" w:hAnsi="Arial"/>
          <w:sz w:val="15"/>
          <w:szCs w:val="15"/>
          <w:u w:val="single" w:color="auto"/>
          <w:color w:val="auto"/>
        </w:rPr>
        <w:t>Outstanding Acquiror Expenses</w:t>
      </w:r>
      <w:r>
        <w:rPr>
          <w:rFonts w:ascii="Arial" w:cs="Arial" w:eastAsia="Arial" w:hAnsi="Arial"/>
          <w:sz w:val="15"/>
          <w:szCs w:val="15"/>
          <w:color w:val="auto"/>
        </w:rPr>
        <w:t xml:space="preserve">”). On the Closing Date following the Closing, Acquiror shall pay or cause to be paid by wire transfer of immediately available funds all such Outstanding Acquiror Expenses. A good faith estimate of the Outstanding Acquiror Expenses is set forth on </w:t>
      </w:r>
      <w:r>
        <w:rPr>
          <w:rFonts w:ascii="Arial" w:cs="Arial" w:eastAsia="Arial" w:hAnsi="Arial"/>
          <w:sz w:val="15"/>
          <w:szCs w:val="15"/>
          <w:u w:val="single" w:color="auto"/>
          <w:color w:val="auto"/>
        </w:rPr>
        <w:t>Schedule 3.10(b)</w:t>
      </w:r>
      <w:r>
        <w:rPr>
          <w:rFonts w:ascii="Arial" w:cs="Arial" w:eastAsia="Arial" w:hAnsi="Arial"/>
          <w:sz w:val="15"/>
          <w:szCs w:val="15"/>
          <w:color w:val="auto"/>
        </w:rPr>
        <w:t>. Acquiror shall promptly provide the Company with written notice of any expected changes to such estimate that exceeds $500,000. If the Outstanding Acquiror Expenses exceed $12,000,000, the Sponsors will reimburse Acquiror for such excess amount pursuant to the terms of the Sponsor Agreement.</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0" w:name="page41"/>
    <w:bookmarkEnd w:id="40"/>
    <w:p>
      <w:pPr>
        <w:jc w:val="both"/>
        <w:ind w:firstLine="574"/>
        <w:spacing w:after="0" w:line="269" w:lineRule="auto"/>
        <w:rPr>
          <w:sz w:val="20"/>
          <w:szCs w:val="20"/>
          <w:color w:val="auto"/>
        </w:rPr>
      </w:pPr>
      <w:r>
        <w:rPr>
          <w:rFonts w:ascii="Arial" w:cs="Arial" w:eastAsia="Arial" w:hAnsi="Arial"/>
          <w:sz w:val="15"/>
          <w:szCs w:val="15"/>
          <w:b w:val="1"/>
          <w:bCs w:val="1"/>
          <w:color w:val="auto"/>
        </w:rPr>
        <w:t xml:space="preserve">Section 3.11 </w:t>
      </w:r>
      <w:r>
        <w:rPr>
          <w:rFonts w:ascii="Arial" w:cs="Arial" w:eastAsia="Arial" w:hAnsi="Arial"/>
          <w:sz w:val="15"/>
          <w:szCs w:val="15"/>
          <w:b w:val="1"/>
          <w:bCs w:val="1"/>
          <w:u w:val="single" w:color="auto"/>
          <w:color w:val="auto"/>
        </w:rPr>
        <w:t>Dissenting Shares</w:t>
      </w:r>
      <w:r>
        <w:rPr>
          <w:rFonts w:ascii="Arial" w:cs="Arial" w:eastAsia="Arial" w:hAnsi="Arial"/>
          <w:sz w:val="15"/>
          <w:szCs w:val="15"/>
          <w:color w:val="auto"/>
        </w:rPr>
        <w:t>. Notwithstanding anything in this Agreement to the contrary, shares of Company Common Stock and Company 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outstanding immediately prior to the Effective Time and owned by a holder who is entitled to: demand and has properly demanded appraisal for such shares in accordance with, and who complies in all respects with, Section 262 of the DGCL (such shares, “</w:t>
      </w:r>
      <w:r>
        <w:rPr>
          <w:rFonts w:ascii="Arial" w:cs="Arial" w:eastAsia="Arial" w:hAnsi="Arial"/>
          <w:sz w:val="15"/>
          <w:szCs w:val="15"/>
          <w:u w:val="single" w:color="auto"/>
          <w:color w:val="auto"/>
        </w:rPr>
        <w:t>Dissenting Shares</w:t>
      </w:r>
      <w:r>
        <w:rPr>
          <w:rFonts w:ascii="Arial" w:cs="Arial" w:eastAsia="Arial" w:hAnsi="Arial"/>
          <w:sz w:val="15"/>
          <w:szCs w:val="15"/>
          <w:color w:val="auto"/>
        </w:rPr>
        <w:t xml:space="preserve">”) shall not be converted into the right to receive the Per Share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only to such rights as may be granted to them under the DGCL. If any such holder fails to perfect or otherwise waives, withdraws or loses such holder’s right to appraisal under Section 262 of the DGCL or other applicable Law, then the right of such holder to be paid the fair value of such Dissenting Shares shall cease and such Dissenting Shares shall be deemed to have been converted, as of the Effective Time, into and shall be exchangeable solely for the right to receive the Per Share Merger Consideration in accordance with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Company shall give Acquiror prompt notice (and in any event within two (2) Business Days) of any demands or notice of exercise received by the Company for appraisal of shares of Company Common Stock and Company Preferred Stock or dissenters’ rights, attempted withdrawals of such demands, notices, and any other instruments served pursuant to the DGCL and received by the Company relating to rights to be paid the fair value of Dissenting Shares, and Acquiror shall have the right to participate in and direct all negotiations and proceedings with respect to such demands. Prior to the Effective Time, the Company shall not, except with the prior written consent of Acquiror (which shall not be unreasonably withheld, delayed, or denied), make any payment with respect to, or settle or compromise or offer to settle or compromise, any such demands or waive any failure to timely deliver a written demand for appraisal or dissenters’ rights or otherwise comply with the provisions under Section 262 of the DGCL, or agree or commit to do any of the foregoing.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0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Except as set forth in the Schedules to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the Company represents and warrants to Acquiror, First Merger Sub and Second Merger Sub as follows: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4.01 </w:t>
      </w:r>
      <w:r>
        <w:rPr>
          <w:rFonts w:ascii="Arial" w:cs="Arial" w:eastAsia="Arial" w:hAnsi="Arial"/>
          <w:sz w:val="16"/>
          <w:szCs w:val="16"/>
          <w:b w:val="1"/>
          <w:bCs w:val="1"/>
          <w:u w:val="single" w:color="auto"/>
          <w:color w:val="auto"/>
        </w:rPr>
        <w:t>Corporate Organization of the Company</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7" w:lineRule="auto"/>
        <w:tabs>
          <w:tab w:leader="none" w:pos="136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has been duly incorporated, is validly existing and in good standing under the Laws of the State of Delaware and has the requisite power and authority to own, lease and operate its assets and properties and to conduct its business as it is now being conducted. The certificate of incorporation and by-laws of the Company previously made available by the Company to Acquiror are true, correct and complete and are in effect as of the date of this Agreement.</w:t>
      </w:r>
    </w:p>
    <w:p>
      <w:pPr>
        <w:spacing w:after="0" w:line="146" w:lineRule="exact"/>
        <w:rPr>
          <w:rFonts w:ascii="Arial" w:cs="Arial" w:eastAsia="Arial" w:hAnsi="Arial"/>
          <w:sz w:val="15"/>
          <w:szCs w:val="15"/>
          <w:color w:val="auto"/>
        </w:rPr>
      </w:pPr>
    </w:p>
    <w:p>
      <w:pPr>
        <w:jc w:val="both"/>
        <w:ind w:right="20" w:firstLine="1143"/>
        <w:spacing w:after="0" w:line="262" w:lineRule="auto"/>
        <w:tabs>
          <w:tab w:leader="none" w:pos="137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is licensed or duly qualified and in good standing as a foreign company in each jurisdiction in which the ownership of its property or the character of its activities is such as to require it to be so licensed or qualified or in good standing, except where the failure to be so licensed or qualified has not had and would not, individually or in the aggregate, reasonably be expected to have a Material Adverse Effect.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ind w:left="560"/>
        <w:spacing w:after="0"/>
        <w:rPr>
          <w:sz w:val="20"/>
          <w:szCs w:val="20"/>
          <w:color w:val="auto"/>
        </w:rPr>
      </w:pPr>
      <w:r>
        <w:rPr>
          <w:rFonts w:ascii="Arial" w:cs="Arial" w:eastAsia="Arial" w:hAnsi="Arial"/>
          <w:sz w:val="16"/>
          <w:szCs w:val="16"/>
          <w:b w:val="1"/>
          <w:bCs w:val="1"/>
          <w:color w:val="auto"/>
        </w:rPr>
        <w:t xml:space="preserve">Section 4.02 </w:t>
      </w:r>
      <w:r>
        <w:rPr>
          <w:rFonts w:ascii="Arial" w:cs="Arial" w:eastAsia="Arial" w:hAnsi="Arial"/>
          <w:sz w:val="16"/>
          <w:szCs w:val="16"/>
          <w:b w:val="1"/>
          <w:bCs w:val="1"/>
          <w:u w:val="single" w:color="auto"/>
          <w:color w:val="auto"/>
        </w:rPr>
        <w:t>Subsidiaries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9" w:lineRule="auto"/>
        <w:tabs>
          <w:tab w:leader="none" w:pos="13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Subsidiaries of the Company as of the date hereof, together with their jurisdiction of incorporation or organization, as applicable, are set forth on </w:t>
      </w:r>
      <w:r>
        <w:rPr>
          <w:rFonts w:ascii="Arial" w:cs="Arial" w:eastAsia="Arial" w:hAnsi="Arial"/>
          <w:sz w:val="14"/>
          <w:szCs w:val="14"/>
          <w:u w:val="single" w:color="auto"/>
          <w:color w:val="auto"/>
        </w:rPr>
        <w:t>Schedule 4.02</w:t>
      </w:r>
      <w:r>
        <w:rPr>
          <w:rFonts w:ascii="Arial" w:cs="Arial" w:eastAsia="Arial" w:hAnsi="Arial"/>
          <w:sz w:val="14"/>
          <w:szCs w:val="14"/>
          <w:color w:val="auto"/>
        </w:rPr>
        <w:t xml:space="preserve">, including, as of such date, a description of the capitalization of each such Subsidiary and the names of the record owners of all securities and other equity interests in each Subsidiary. Each Subsidiary of the Company has been duly formed or organized and is validly existing under the Laws of its jurisdiction of incorporation or organization and has the organizational power and authority to own, lease and operate its assets and properties and to conduct its business as it is now being conducted, in each case, except where the failure to be so licensed or qualified has not had and would not, individually or in the aggregate, reasonably be expected to have a Material Adverse Effect. Each Subsidiary of the Company is duly licensed or qualified and in good standing as a foreign corporation (or other entity, if applicable) in each jurisdiction in which its ownership of property or the character of its activities is such as to require it to be so licensed or qualified or in good standing, as applicable, except where the failure to be so licensed or qualified would not, individually or in the aggregate, reasonably be expected to have a Material Adverse Effect. Complete and correct copies of the principal organizational documents of each Subsidiary listed on </w:t>
      </w:r>
      <w:r>
        <w:rPr>
          <w:rFonts w:ascii="Arial" w:cs="Arial" w:eastAsia="Arial" w:hAnsi="Arial"/>
          <w:sz w:val="14"/>
          <w:szCs w:val="14"/>
          <w:u w:val="single" w:color="auto"/>
          <w:color w:val="auto"/>
        </w:rPr>
        <w:t>Schedule 4.02</w:t>
      </w:r>
      <w:r>
        <w:rPr>
          <w:rFonts w:ascii="Arial" w:cs="Arial" w:eastAsia="Arial" w:hAnsi="Arial"/>
          <w:sz w:val="14"/>
          <w:szCs w:val="14"/>
          <w:color w:val="auto"/>
        </w:rPr>
        <w:t>, as amended and currently in effect, have been made available to Acquiror. No Subsidiary of the Company is in violation of any of the provisions pursuant to its organizational documents. (b) As of the date hereof, except for the Company’s or any of its Subsidiaries’ ownership interest in such Subsidiaries, neither the Company nor its Subsidiaries own any capital stock or any other equity interests in any other Person or has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150" w:lineRule="exact"/>
        <w:rPr>
          <w:sz w:val="20"/>
          <w:szCs w:val="20"/>
          <w:color w:val="auto"/>
        </w:rPr>
      </w:pPr>
    </w:p>
    <w:p>
      <w:pPr>
        <w:jc w:val="both"/>
        <w:ind w:right="20" w:firstLine="574"/>
        <w:spacing w:after="0" w:line="292" w:lineRule="auto"/>
        <w:rPr>
          <w:sz w:val="20"/>
          <w:szCs w:val="20"/>
          <w:color w:val="auto"/>
        </w:rPr>
      </w:pPr>
      <w:r>
        <w:rPr>
          <w:rFonts w:ascii="Arial" w:cs="Arial" w:eastAsia="Arial" w:hAnsi="Arial"/>
          <w:sz w:val="14"/>
          <w:szCs w:val="14"/>
          <w:b w:val="1"/>
          <w:bCs w:val="1"/>
          <w:color w:val="auto"/>
        </w:rPr>
        <w:t xml:space="preserve">Section 4.03 </w:t>
      </w:r>
      <w:r>
        <w:rPr>
          <w:rFonts w:ascii="Arial" w:cs="Arial" w:eastAsia="Arial" w:hAnsi="Arial"/>
          <w:sz w:val="14"/>
          <w:szCs w:val="14"/>
          <w:b w:val="1"/>
          <w:bCs w:val="1"/>
          <w:u w:val="single" w:color="auto"/>
          <w:color w:val="auto"/>
        </w:rPr>
        <w:t>Due Authorization</w:t>
      </w:r>
      <w:r>
        <w:rPr>
          <w:rFonts w:ascii="Arial" w:cs="Arial" w:eastAsia="Arial" w:hAnsi="Arial"/>
          <w:sz w:val="14"/>
          <w:szCs w:val="14"/>
          <w:color w:val="auto"/>
        </w:rPr>
        <w:t>. The Company has all requisite corporate power and authority to execute and deliver this Agreement and each ancillary agreement to</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to which it is a party and (subject to receipt of the Company Requisite Approval) to perform its obligations hereunder and thereunder and to consummate the transactions contemplated hereby and thereby. The execution, delivery and performance of this Agreement and such ancillary agreements and the consummation of the transactions contemplated hereby and thereby have been duly and validly authorized and approved by the Company Board and upon receipt of the Company Requisite Approval, no other company proceeding on the part of the Company is necessary to authorize this Agreement or such ancillary agreements or the Company’s performance hereunder or thereunder. This Agreement has been, and each such ancillary agreement will be, duly and validly executed and delivered by the Company and, assuming due authorization and execution by each other party hereto and thereto, constitutes, or will constitute, as applicable,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The Company Requisite Approval is the only vote of the holders of any class or series of capital stock of the Company required to approve and adopt this Agreement and approve the transactions contemplated hereby.</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4.04 </w:t>
      </w:r>
      <w:r>
        <w:rPr>
          <w:rFonts w:ascii="Arial" w:cs="Arial" w:eastAsia="Arial" w:hAnsi="Arial"/>
          <w:sz w:val="15"/>
          <w:szCs w:val="15"/>
          <w:b w:val="1"/>
          <w:bCs w:val="1"/>
          <w:u w:val="single" w:color="auto"/>
          <w:color w:val="auto"/>
        </w:rPr>
        <w:t>No Conflict</w:t>
      </w:r>
      <w:r>
        <w:rPr>
          <w:rFonts w:ascii="Arial" w:cs="Arial" w:eastAsia="Arial" w:hAnsi="Arial"/>
          <w:sz w:val="15"/>
          <w:szCs w:val="15"/>
          <w:color w:val="auto"/>
        </w:rPr>
        <w:t>. Subject to the receipt of the consents, approvals, authorizations and other requirements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4.05</w:t>
      </w:r>
      <w:r>
        <w:rPr>
          <w:rFonts w:ascii="Arial" w:cs="Arial" w:eastAsia="Arial" w:hAnsi="Arial"/>
          <w:sz w:val="15"/>
          <w:szCs w:val="15"/>
          <w:b w:val="1"/>
          <w:bCs w:val="1"/>
          <w:color w:val="auto"/>
        </w:rPr>
        <w:t xml:space="preserve"> </w:t>
      </w:r>
      <w:r>
        <w:rPr>
          <w:rFonts w:ascii="Arial" w:cs="Arial" w:eastAsia="Arial" w:hAnsi="Arial"/>
          <w:sz w:val="15"/>
          <w:szCs w:val="15"/>
          <w:color w:val="auto"/>
        </w:rPr>
        <w:t>or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4.05</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execution, delivery and performance of this Agreement and each ancillary agreement to this Agreement to which it is a party by the Company and the consummation of the transactions contemplated hereby do not and will not (a) conflict with or violate any provision of, or result in the breach of, the certificate of formation, bylaws or other organizational documents of the Company or its Subsidiaries, (b) conflict with or result in any violation of any provision of any Law, Permit or Governmental Order applicable to the Company or its Subsidiaries,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set forth on </w:t>
      </w:r>
      <w:r>
        <w:rPr>
          <w:rFonts w:ascii="Arial" w:cs="Arial" w:eastAsia="Arial" w:hAnsi="Arial"/>
          <w:sz w:val="15"/>
          <w:szCs w:val="15"/>
          <w:u w:val="single" w:color="auto"/>
          <w:color w:val="auto"/>
        </w:rPr>
        <w:t>Schedule 4.12(a)</w:t>
      </w:r>
      <w:r>
        <w:rPr>
          <w:rFonts w:ascii="Arial" w:cs="Arial" w:eastAsia="Arial" w:hAnsi="Arial"/>
          <w:sz w:val="15"/>
          <w:szCs w:val="15"/>
          <w:color w:val="auto"/>
        </w:rPr>
        <w:t>, or any Real Estate Document, to which the Company or its Subsidiaries is a party or by which any of them or any of their respective assets or properties may be bound or affected or (d) result in the creation of any Lien upon any of the properties, equity interests or assets of the Company or its Subsidiaries, except (in the case of clauses (b), (c) or (d) above) for such violations, conflicts, breaches, defaults, terminations, accelerations, cancellations, modifications, amendments, payments, postings or Liens which would not, individually or in the aggregate, reasonably be expected to have a Material Adverse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574"/>
        <w:spacing w:after="0" w:line="255" w:lineRule="auto"/>
        <w:rPr>
          <w:sz w:val="20"/>
          <w:szCs w:val="20"/>
          <w:color w:val="auto"/>
        </w:rPr>
      </w:pPr>
      <w:r>
        <w:rPr>
          <w:rFonts w:ascii="Arial" w:cs="Arial" w:eastAsia="Arial" w:hAnsi="Arial"/>
          <w:sz w:val="16"/>
          <w:szCs w:val="16"/>
          <w:b w:val="1"/>
          <w:bCs w:val="1"/>
          <w:color w:val="auto"/>
        </w:rPr>
        <w:t xml:space="preserve">Section 4.05 </w:t>
      </w:r>
      <w:r>
        <w:rPr>
          <w:rFonts w:ascii="Arial" w:cs="Arial" w:eastAsia="Arial" w:hAnsi="Arial"/>
          <w:sz w:val="16"/>
          <w:szCs w:val="16"/>
          <w:b w:val="1"/>
          <w:bCs w:val="1"/>
          <w:u w:val="single" w:color="auto"/>
          <w:color w:val="auto"/>
        </w:rPr>
        <w:t>Governmental Authorities; Consents</w:t>
      </w:r>
      <w:r>
        <w:rPr>
          <w:rFonts w:ascii="Arial" w:cs="Arial" w:eastAsia="Arial" w:hAnsi="Arial"/>
          <w:sz w:val="16"/>
          <w:szCs w:val="16"/>
          <w:color w:val="auto"/>
        </w:rPr>
        <w:t>. No consent, approval or authorization of, or designation, declaration or filing with, any 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notice, approval, consent waiver or authorization from any Governmental Authority is required on the part of the Company with respect to the Company’s execution, delivery or performance of this Agreement or the consummation of the transactions contemplated hereby, except for (a) applicable requirements of the HSR Act and any other applicable Antitrust Law, (b) any consents, approvals, authorizations, designations, declarations, waivers or filings, the absence of which would not, individually or in the aggregate, reasonably be expected to have a material adverse effect on the ability of the Company to consummate the Transactions and (c) as otherwise disclosed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4.05</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4.06 </w:t>
      </w:r>
      <w:r>
        <w:rPr>
          <w:rFonts w:ascii="Arial" w:cs="Arial" w:eastAsia="Arial" w:hAnsi="Arial"/>
          <w:sz w:val="16"/>
          <w:szCs w:val="16"/>
          <w:b w:val="1"/>
          <w:bCs w:val="1"/>
          <w:u w:val="single" w:color="auto"/>
          <w:color w:val="auto"/>
        </w:rPr>
        <w:t>Capitalization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8" w:lineRule="auto"/>
        <w:tabs>
          <w:tab w:leader="none" w:pos="1381"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authorized capital stock of the Company consists of (i) 51,339,368 shares of common stock (“</w:t>
      </w:r>
      <w:r>
        <w:rPr>
          <w:rFonts w:ascii="Arial" w:cs="Arial" w:eastAsia="Arial" w:hAnsi="Arial"/>
          <w:sz w:val="14"/>
          <w:szCs w:val="14"/>
          <w:u w:val="single" w:color="auto"/>
          <w:color w:val="auto"/>
        </w:rPr>
        <w:t>Company Common Stock</w:t>
      </w:r>
      <w:r>
        <w:rPr>
          <w:rFonts w:ascii="Arial" w:cs="Arial" w:eastAsia="Arial" w:hAnsi="Arial"/>
          <w:sz w:val="14"/>
          <w:szCs w:val="14"/>
          <w:color w:val="auto"/>
        </w:rPr>
        <w:t xml:space="preserve">”), which consists of (A) 50,674,000 shares of Company Voting Common Stock, 5,064,423 of which are issued and outstanding as of the date of this Agreement, (B) 665,368 shares of Company Non-Voting Common Stock, 165,368 of which are issued and outstanding as of the date of this Agreement and (ii) 30,752,578 shares of the Company Preferred Stock, (A) 9,410,799 shares of which are designated Company Series A Preferred Stock, 8,621,800 of which are issued and outstanding at the date of this Agreement, (B) 1,131,190 shares of which are designated Company Series AA-1 Preferred Stock, 1,024,349 of which are issued and outstanding as of the date of this Agreement, (C) 169,083 shares of which are designated Company Series AA-2 Preferred Stock, 169,083 of which are issued and outstanding as of the date of this Agreement, (D) 10,364,829 shares of which are designated Company Series B Preferred Stock, 10,364,829 of which are issued and outstanding as of the date of this Agreement, (E) 4,619,282 shares of which are designated Company Series B-1 Preferred Stock, 4,619,282 of which are issued and outstanding as of the date of this Agreement, (F) 3,026,634 shares of which are designated Company Series C Preferred Stock, 1,513,316 of which are issued and outstanding as of the date of this Agreement and (G) 2,030,761 shares of which are designated Company Series C-1 Preferred Stock, 2,030,761 of which are issued and outstanding as of the date of this Agreement. All of the issued and outstanding shares of Company Common Stock and Company Preferred Stock (i) have been duly authorized and validly issued and are fully paid and nonassessable, (ii) were issued in compliance in all material respects with applicable Securities Law, (iii) were not issued in breach or violation of any preemptive rights or Contract, and (iv) are fully vested. Other than the Company Warrants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there are issued and outstanding Company Warrants to purchase an aggregate of (i) 367,360 shares of Company Voting Common Stock, (ii) 500,000 shares of Company Non-Voting Common Stock, (iii) 788,999 shares of Company Series A Preferred Stock, (iv) 106,841 shares of Company Series AA-1 Preferred Stock and (v) 224,909 shares of Company Series C Preferred Stock. All of the issued and outstanding Company Warrants (A) have been duly authorized and validly issued and constitute valid and binding obligations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and (B) have been offered, sold and issued in compliance with applicable Law, including federal and state securities Laws.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is a true, correct and complete list of each holder of shares of Company Common Stock, Company Preferred Stock or other equity interests of the Company and the number of shares of Company Common Stock, Company Preferred Stock or other equity interests held by each such holder as of the date hereof. Except as set forth in this </w:t>
      </w:r>
      <w:r>
        <w:rPr>
          <w:rFonts w:ascii="Arial" w:cs="Arial" w:eastAsia="Arial" w:hAnsi="Arial"/>
          <w:sz w:val="14"/>
          <w:szCs w:val="14"/>
          <w:u w:val="single" w:color="auto"/>
          <w:color w:val="auto"/>
        </w:rPr>
        <w:t>Section 4.06,</w:t>
      </w:r>
      <w:r>
        <w:rPr>
          <w:rFonts w:ascii="Arial" w:cs="Arial" w:eastAsia="Arial" w:hAnsi="Arial"/>
          <w:sz w:val="14"/>
          <w:szCs w:val="14"/>
          <w:color w:val="auto"/>
        </w:rPr>
        <w:t xml:space="preserve"> set forth on </w:t>
      </w:r>
      <w:r>
        <w:rPr>
          <w:rFonts w:ascii="Arial" w:cs="Arial" w:eastAsia="Arial" w:hAnsi="Arial"/>
          <w:sz w:val="14"/>
          <w:szCs w:val="14"/>
          <w:u w:val="single" w:color="auto"/>
          <w:color w:val="auto"/>
        </w:rPr>
        <w:t>Schedule 4.06(a)</w:t>
      </w:r>
      <w:r>
        <w:rPr>
          <w:rFonts w:ascii="Arial" w:cs="Arial" w:eastAsia="Arial" w:hAnsi="Arial"/>
          <w:sz w:val="14"/>
          <w:szCs w:val="14"/>
          <w:color w:val="auto"/>
        </w:rPr>
        <w:t xml:space="preserve"> or Company Equity Awards, as of the date hereof there are no other shares of Company Common Stock, Company Preferred Stock, Company Warrants or other equity interests of the Company authorized, reserved, issued or outstanding.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left="4" w:right="20" w:firstLine="1143"/>
        <w:spacing w:after="0" w:line="287" w:lineRule="auto"/>
        <w:tabs>
          <w:tab w:leader="none" w:pos="13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 xml:space="preserve">With respect to each Company Equity Award, </w:t>
      </w:r>
      <w:r>
        <w:rPr>
          <w:rFonts w:ascii="Arial" w:cs="Arial" w:eastAsia="Arial" w:hAnsi="Arial"/>
          <w:sz w:val="15"/>
          <w:szCs w:val="15"/>
          <w:u w:val="single" w:color="auto"/>
          <w:color w:val="auto"/>
        </w:rPr>
        <w:t>Schedule 4.06(b)</w:t>
      </w:r>
      <w:r>
        <w:rPr>
          <w:rFonts w:ascii="Arial" w:cs="Arial" w:eastAsia="Arial" w:hAnsi="Arial"/>
          <w:sz w:val="15"/>
          <w:szCs w:val="15"/>
          <w:color w:val="auto"/>
        </w:rPr>
        <w:t xml:space="preserve"> sets forth, as of the date hereof, each Company Equity Award, along with the name of the holder of such Company Equity Award, the type of security or property that such Company Equity Award covers, the number of vested and unvested shares covered by such Company Equity Award, the date of grant and the cash exercise price, and strike price per share of such Company Equity Award, as applicable.</w:t>
      </w:r>
    </w:p>
    <w:p>
      <w:pPr>
        <w:spacing w:after="0" w:line="146" w:lineRule="exact"/>
        <w:rPr>
          <w:rFonts w:ascii="Arial" w:cs="Arial" w:eastAsia="Arial" w:hAnsi="Arial"/>
          <w:sz w:val="15"/>
          <w:szCs w:val="15"/>
          <w:color w:val="auto"/>
        </w:rPr>
      </w:pPr>
    </w:p>
    <w:p>
      <w:pPr>
        <w:ind w:left="1364" w:hanging="217"/>
        <w:spacing w:after="0"/>
        <w:tabs>
          <w:tab w:leader="none" w:pos="1364" w:val="left"/>
        </w:tabs>
        <w:numPr>
          <w:ilvl w:val="1"/>
          <w:numId w:val="28"/>
        </w:numPr>
        <w:rPr>
          <w:rFonts w:ascii="Arial" w:cs="Arial" w:eastAsia="Arial" w:hAnsi="Arial"/>
          <w:sz w:val="14"/>
          <w:szCs w:val="14"/>
          <w:color w:val="auto"/>
        </w:rPr>
      </w:pPr>
      <w:r>
        <w:rPr>
          <w:rFonts w:ascii="Arial" w:cs="Arial" w:eastAsia="Arial" w:hAnsi="Arial"/>
          <w:sz w:val="14"/>
          <w:szCs w:val="14"/>
          <w:color w:val="auto"/>
        </w:rPr>
        <w:t>Except for the Company Preferred Stock, Company Equity Awards, Company Convertible Notes and Company Warrants, as of the date hereof there are</w:t>
      </w:r>
    </w:p>
    <w:p>
      <w:pPr>
        <w:spacing w:after="0" w:line="42" w:lineRule="exact"/>
        <w:rPr>
          <w:rFonts w:ascii="Arial" w:cs="Arial" w:eastAsia="Arial" w:hAnsi="Arial"/>
          <w:sz w:val="14"/>
          <w:szCs w:val="14"/>
          <w:color w:val="auto"/>
        </w:rPr>
      </w:pPr>
    </w:p>
    <w:p>
      <w:pPr>
        <w:jc w:val="both"/>
        <w:ind w:left="4" w:hanging="4"/>
        <w:spacing w:after="0" w:line="292" w:lineRule="auto"/>
        <w:tabs>
          <w:tab w:leader="none" w:pos="2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no subscriptions, calls, options, warrants, rights or other securities convertible into or exchangeable or exercisable for shares of Company Common Stock or the equity interests of the Company, or any other Contracts to which the Company is a party or by which the Company is bound obligating the Company to issue or sell any shares of capital stock of, other equity interests in or debt securities of, the Company and (y) no equity equivalents, stock appreciation rights, phantom stock ownership interests or similar rights in the Company. As of the date hereof, there are no outstanding contractual obligations of the Company to repurchase, redeem or otherwise acquire any securities or equity interests of the Company. Except as set forth on </w:t>
      </w:r>
      <w:r>
        <w:rPr>
          <w:rFonts w:ascii="Arial" w:cs="Arial" w:eastAsia="Arial" w:hAnsi="Arial"/>
          <w:sz w:val="14"/>
          <w:szCs w:val="14"/>
          <w:u w:val="single" w:color="auto"/>
          <w:color w:val="auto"/>
        </w:rPr>
        <w:t>Schedule 4.06(c)</w:t>
      </w:r>
      <w:r>
        <w:rPr>
          <w:rFonts w:ascii="Arial" w:cs="Arial" w:eastAsia="Arial" w:hAnsi="Arial"/>
          <w:sz w:val="14"/>
          <w:szCs w:val="14"/>
          <w:color w:val="auto"/>
        </w:rPr>
        <w:t xml:space="preserve">, there are no outstanding bonds, debentures, notes or other indebtedness of the Company having the right to vote (or convertible into, or exchangeable for, securities having the right to vote) on any matter for which the Company’s stockholders may vote. Except as set forth on </w:t>
      </w:r>
      <w:r>
        <w:rPr>
          <w:rFonts w:ascii="Arial" w:cs="Arial" w:eastAsia="Arial" w:hAnsi="Arial"/>
          <w:sz w:val="14"/>
          <w:szCs w:val="14"/>
          <w:u w:val="single" w:color="auto"/>
          <w:color w:val="auto"/>
        </w:rPr>
        <w:t>Schedule 4.06(c)</w:t>
      </w:r>
      <w:r>
        <w:rPr>
          <w:rFonts w:ascii="Arial" w:cs="Arial" w:eastAsia="Arial" w:hAnsi="Arial"/>
          <w:sz w:val="14"/>
          <w:szCs w:val="14"/>
          <w:color w:val="auto"/>
        </w:rPr>
        <w:t>, as of the date hereof the Company is not party to any shareholders agreement, voting agreement or registration rights agreement relating to its equity interests.</w:t>
      </w:r>
    </w:p>
    <w:p>
      <w:pPr>
        <w:spacing w:after="0" w:line="145" w:lineRule="exact"/>
        <w:rPr>
          <w:rFonts w:ascii="Arial" w:cs="Arial" w:eastAsia="Arial" w:hAnsi="Arial"/>
          <w:sz w:val="14"/>
          <w:szCs w:val="14"/>
          <w:color w:val="auto"/>
        </w:rPr>
      </w:pPr>
    </w:p>
    <w:p>
      <w:pPr>
        <w:jc w:val="both"/>
        <w:ind w:left="4" w:firstLine="1143"/>
        <w:spacing w:after="0" w:line="270" w:lineRule="auto"/>
        <w:tabs>
          <w:tab w:leader="none" w:pos="1390" w:val="left"/>
        </w:tabs>
        <w:numPr>
          <w:ilvl w:val="1"/>
          <w:numId w:val="29"/>
        </w:numPr>
        <w:rPr>
          <w:rFonts w:ascii="Arial" w:cs="Arial" w:eastAsia="Arial" w:hAnsi="Arial"/>
          <w:sz w:val="15"/>
          <w:szCs w:val="15"/>
          <w:color w:val="auto"/>
        </w:rPr>
      </w:pPr>
      <w:r>
        <w:rPr>
          <w:rFonts w:ascii="Arial" w:cs="Arial" w:eastAsia="Arial" w:hAnsi="Arial"/>
          <w:sz w:val="15"/>
          <w:szCs w:val="15"/>
          <w:color w:val="auto"/>
        </w:rPr>
        <w:t xml:space="preserve">As of the date hereof, the outstanding shares of capital stock or other equity interests of the Company’s Subsidiaries (i) have been duly authorized and validly issued and are fully paid and nonassessable, (ii) were issued in compliance in all material respects with applicable Law and (iii) were not issued in breach or violation of any preemptive rights or Contract. As of the date hereof, there are (A) no subscriptions, calls, rights or other securities convertible into or exchangeable or exercisable for the equity interests of the Company’s Subsidiaries (including any convertible preferred equity certificates), or any other Contracts to which any of the Company’s Subsidiaries is a party or by which any of the Company’s Subsidiaries is bound obligating such Subsidiaries to issue or sell any shares of capital stock of, other equity interests in or debt securities of, such Subsidiaries, and (B) no equity equivalents, stock appreciation rights, phantom stock ownership interests or similar rights in the Company’s Subsidiaries. As of the date hereof, there are no outstanding contractual obligations of the Company’s Subsidiaries to repurchase, redeem or otherwise acquire any securities or equity interests of the Company’s Subsidiaries. Except as set forth on </w:t>
      </w:r>
      <w:r>
        <w:rPr>
          <w:rFonts w:ascii="Arial" w:cs="Arial" w:eastAsia="Arial" w:hAnsi="Arial"/>
          <w:sz w:val="15"/>
          <w:szCs w:val="15"/>
          <w:u w:val="single" w:color="auto"/>
          <w:color w:val="auto"/>
        </w:rPr>
        <w:t>Schedule 4.06(d)</w:t>
      </w:r>
      <w:r>
        <w:rPr>
          <w:rFonts w:ascii="Arial" w:cs="Arial" w:eastAsia="Arial" w:hAnsi="Arial"/>
          <w:sz w:val="15"/>
          <w:szCs w:val="15"/>
          <w:color w:val="auto"/>
        </w:rPr>
        <w:t xml:space="preserve">, there are no outstanding bonds, debentures, notes or other indebtedness of the Company’s Subsidiaries having the right to vote (or convertible into, or exchangeable for, securities having the right to vote) on any matter for which the such Subsidiaries’ stockholders may vote. Except as forth on </w:t>
      </w:r>
      <w:r>
        <w:rPr>
          <w:rFonts w:ascii="Arial" w:cs="Arial" w:eastAsia="Arial" w:hAnsi="Arial"/>
          <w:sz w:val="15"/>
          <w:szCs w:val="15"/>
          <w:u w:val="single" w:color="auto"/>
          <w:color w:val="auto"/>
        </w:rPr>
        <w:t>Schedule 4.06(d)</w:t>
      </w:r>
      <w:r>
        <w:rPr>
          <w:rFonts w:ascii="Arial" w:cs="Arial" w:eastAsia="Arial" w:hAnsi="Arial"/>
          <w:sz w:val="15"/>
          <w:szCs w:val="15"/>
          <w:color w:val="auto"/>
        </w:rPr>
        <w:t>, the Company’s Subsidiaries are not party to any stockholders agreement, voting agreement or registration rights agreement relating to the equity interests of the Company’s Subsidiaries.</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4" w:name="page45"/>
    <w:bookmarkEnd w:id="44"/>
    <w:p>
      <w:pPr>
        <w:jc w:val="both"/>
        <w:ind w:right="20" w:firstLine="1143"/>
        <w:spacing w:after="0" w:line="262" w:lineRule="auto"/>
        <w:tabs>
          <w:tab w:leader="none" w:pos="13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the date hereof, the Company is the direct or indirect owner of, and has good and marketable direct or indirect title to, all the issued and outstanding shares of capital stock or equity interests of its Subsidiaries free and clear of any Liens other than Permitted Liens. there are no options or warrants convertible into or exchangeable or exercisable for the equity interests of the Company’s Subsidiaries.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4.07 </w:t>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2" w:lineRule="auto"/>
        <w:tabs>
          <w:tab w:leader="none" w:pos="1376" w:val="left"/>
        </w:tabs>
        <w:numPr>
          <w:ilvl w:val="1"/>
          <w:numId w:val="31"/>
        </w:numPr>
        <w:rPr>
          <w:rFonts w:ascii="Arial" w:cs="Arial" w:eastAsia="Arial" w:hAnsi="Arial"/>
          <w:sz w:val="15"/>
          <w:szCs w:val="15"/>
          <w:color w:val="auto"/>
        </w:rPr>
      </w:pPr>
      <w:r>
        <w:rPr>
          <w:rFonts w:ascii="Arial" w:cs="Arial" w:eastAsia="Arial" w:hAnsi="Arial"/>
          <w:sz w:val="15"/>
          <w:szCs w:val="15"/>
          <w:color w:val="auto"/>
        </w:rPr>
        <w:t xml:space="preserve">Attached as </w:t>
      </w:r>
      <w:r>
        <w:rPr>
          <w:rFonts w:ascii="Arial" w:cs="Arial" w:eastAsia="Arial" w:hAnsi="Arial"/>
          <w:sz w:val="15"/>
          <w:szCs w:val="15"/>
          <w:u w:val="single" w:color="auto"/>
          <w:color w:val="auto"/>
        </w:rPr>
        <w:t>Schedule 4.07</w:t>
      </w:r>
      <w:r>
        <w:rPr>
          <w:rFonts w:ascii="Arial" w:cs="Arial" w:eastAsia="Arial" w:hAnsi="Arial"/>
          <w:sz w:val="15"/>
          <w:szCs w:val="15"/>
          <w:color w:val="auto"/>
        </w:rPr>
        <w:t xml:space="preserve"> are the unaudited condensed draft consolidated balance sheets of the Company and its Subsidiaries as of June 30, 2020 and June 30, 2021 and the unaudited condensed consolidated statements of operations, statements of comprehensive income (loss), cash flows and changes in equity of the Company and its Subsidiaries as of June 30, 2020 and June 30, 2021 (the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The Financial Statements present fairly, in all material respects, the consolidated financial position, results of operations, income (loss), changes in equity and cash flows of the Company and its Subsidiaries as of the dates and for the periods indicated in such Financial Statements in conformity with GAAP (except, for the absence of footnotes and other presentation items and normal year-end or periodic reclassifications and adjustments) and were derived from, and accurately reflect in all material respects, the books and records of the Company and its Subsidiaries. There are no audited financial statements (including any audited consolidated balance sheets, income (loss) statements, statements of comprehensive income (loss), changes in equity and cash flows) for the Company or any of its or the Company’s Subsidiaries with respect to fiscal years 2020 and 2021.</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7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PPP Loan was obtained in accordance with all applicable Laws and complies with all eligibility requirements under applicable Laws. The application submitted by the Company to the PPP Loan complied with all applicable Laws. The full amount of the PPP Loan is eligible for forgiveness in accordance with the terms of the PPP and the PPP Loan, and the Company has not taken any action that could reduce the extent by which the PPP Loan will be forgiven. The Company has not received notice from any Governmental Authority asserting or threatening that the PPP Loan is not or may not be eligible for forgiveness in full or that the PPP Loan does not comply with applicable Laws and requirements.</w:t>
      </w:r>
    </w:p>
    <w:p>
      <w:pPr>
        <w:spacing w:after="0" w:line="16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4.08 </w:t>
      </w:r>
      <w:r>
        <w:rPr>
          <w:rFonts w:ascii="Arial" w:cs="Arial" w:eastAsia="Arial" w:hAnsi="Arial"/>
          <w:sz w:val="16"/>
          <w:szCs w:val="16"/>
          <w:b w:val="1"/>
          <w:bCs w:val="1"/>
          <w:u w:val="single" w:color="auto"/>
          <w:color w:val="auto"/>
        </w:rPr>
        <w:t>Undisclosed Liabilities</w:t>
      </w:r>
      <w:r>
        <w:rPr>
          <w:rFonts w:ascii="Arial" w:cs="Arial" w:eastAsia="Arial" w:hAnsi="Arial"/>
          <w:sz w:val="16"/>
          <w:szCs w:val="16"/>
          <w:color w:val="auto"/>
        </w:rPr>
        <w:t>. There is no liability, debt or obligation of any nature (including any unknown, undisclosed, unmatured, unaccrued, unasserted,</w:t>
      </w:r>
      <w:r>
        <w:rPr>
          <w:rFonts w:ascii="Arial" w:cs="Arial" w:eastAsia="Arial" w:hAnsi="Arial"/>
          <w:sz w:val="16"/>
          <w:szCs w:val="16"/>
          <w:b w:val="1"/>
          <w:bCs w:val="1"/>
          <w:color w:val="auto"/>
        </w:rPr>
        <w:t xml:space="preserve"> </w:t>
      </w:r>
      <w:r>
        <w:rPr>
          <w:rFonts w:ascii="Arial" w:cs="Arial" w:eastAsia="Arial" w:hAnsi="Arial"/>
          <w:sz w:val="16"/>
          <w:szCs w:val="16"/>
          <w:color w:val="auto"/>
        </w:rPr>
        <w:t>contingent, indirect, conditional, implied, vicarious, derivative, joint, several or secondary liability) solely of the type required to be reflected as a liability in the liability column on a balance sheet prepared in accordance with GAAP against the Company or its Subsidiaries, except for liabilities and obligations (a) reflected or reserved for on the Financial Statements or disclosed in the notes thereto, (b) that have arisen since the date of the most recent balance sheet included in the Financial Statements in the ordinary course of the operation of business of the Company and its Subsidiaries, (c) disclosed on Schedule 4.08, (d) arising under this Agreement and/or the performance by the Company of its obligations hereunder or (e) that would not, individually or in the aggregate, reasonably expected to be material to the Company and its Subsidiaries, taken as a whole.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 w:name="page46"/>
    <w:bookmarkEnd w:id="45"/>
    <w:p>
      <w:pPr>
        <w:jc w:val="both"/>
        <w:ind w:firstLine="574"/>
        <w:spacing w:after="0" w:line="302" w:lineRule="auto"/>
        <w:rPr>
          <w:sz w:val="20"/>
          <w:szCs w:val="20"/>
          <w:color w:val="auto"/>
        </w:rPr>
      </w:pPr>
      <w:r>
        <w:rPr>
          <w:rFonts w:ascii="Arial" w:cs="Arial" w:eastAsia="Arial" w:hAnsi="Arial"/>
          <w:sz w:val="14"/>
          <w:szCs w:val="14"/>
          <w:b w:val="1"/>
          <w:bCs w:val="1"/>
          <w:color w:val="auto"/>
        </w:rPr>
        <w:t xml:space="preserve">Section 4.09 </w:t>
      </w:r>
      <w:r>
        <w:rPr>
          <w:rFonts w:ascii="Arial" w:cs="Arial" w:eastAsia="Arial" w:hAnsi="Arial"/>
          <w:sz w:val="14"/>
          <w:szCs w:val="14"/>
          <w:b w:val="1"/>
          <w:bCs w:val="1"/>
          <w:u w:val="single" w:color="auto"/>
          <w:color w:val="auto"/>
        </w:rPr>
        <w:t>Litigation and Proceedings</w:t>
      </w:r>
      <w:r>
        <w:rPr>
          <w:rFonts w:ascii="Arial" w:cs="Arial" w:eastAsia="Arial" w:hAnsi="Arial"/>
          <w:sz w:val="14"/>
          <w:szCs w:val="14"/>
          <w:color w:val="auto"/>
        </w:rPr>
        <w:t>. Except as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4.09</w:t>
      </w:r>
      <w:r>
        <w:rPr>
          <w:rFonts w:ascii="Arial" w:cs="Arial" w:eastAsia="Arial" w:hAnsi="Arial"/>
          <w:sz w:val="14"/>
          <w:szCs w:val="14"/>
          <w:color w:val="auto"/>
        </w:rPr>
        <w:t>, there are no material pending or, to the knowledge of the Company, threatened, Actions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to the knowledge of the Company, there are no material pending or threatened investigations, in each case, against the Company or its Subsidiaries, or otherwise affecting the Company or its Subsidiaries or their assets, including any condemnation or similar proceedings. Neither the Company nor its Subsidiaries or any property, asset or business of the Company or its Subsidiaries is subject to any Governmental Order, or, to the knowledge of the Company, any continuing investigation by, any Governmental Authority, which constitute a Material Adverse Effect. There is no unsatisfied material judgment or any open injunction binding upon the Company or its Subsidiaries.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Compliance with Laws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62" w:lineRule="auto"/>
        <w:tabs>
          <w:tab w:leader="none" w:pos="13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and its Subsidiaries are, and since June 30, 2019 have been, in compliance in all material respects with all applicable Laws. Neither of the Company nor its Subsidiaries has received any written notice from any Governmental Authority of a material violation of any applicable Law by the Company or its Subsidiaries at any time since June 30, 2019.</w:t>
      </w:r>
    </w:p>
    <w:p>
      <w:pPr>
        <w:spacing w:after="0" w:line="162" w:lineRule="exact"/>
        <w:rPr>
          <w:rFonts w:ascii="Arial" w:cs="Arial" w:eastAsia="Arial" w:hAnsi="Arial"/>
          <w:sz w:val="16"/>
          <w:szCs w:val="16"/>
          <w:color w:val="auto"/>
        </w:rPr>
      </w:pPr>
    </w:p>
    <w:p>
      <w:pPr>
        <w:jc w:val="both"/>
        <w:ind w:firstLine="1143"/>
        <w:spacing w:after="0" w:line="253"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Since the date that is three (3) years prior to the date hereof, (i) there has been no action taken by the Company, its Subsidiaries, or, to the knowledge of the Company, any officer, director, shareholder, manager, employee, agent, representative or sales intermediary of the Company or its Subsidiaries, in each case, acting on behalf of the Company or its Subsidiaries, in violation of any applicable Anti-Corruption Laws or Trade Control Laws, (ii) neither the Company nor its Subsidiaries has been convicted of violating any Anti-Corruption Laws or Trade Control Laws or subjected to any investigation by a Governmental Authority for violation of any applicable Anti-Corruption Laws or Trade Control Laws, (iii) neither the Company nor its Subsidiaries has made a voluntary, directed, or involuntary disclosure to any Governmental Authority regarding any alleged act or omission arising under or relating to any noncompliance with any Anti-Corruption Laws or Trade Control Laws and (iv) neither the Company nor its Subsidiaries has received any written notice or citation from a Governmental Authority for any actual or potential noncompliance with any applicable Anti-Corruption Laws or Trade Control Laws.</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64"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the Company, its Subsidiaries, or, to the knowledge of the Company, any officer, director, shareholder, manager, employee, agent or representative of the Company or its Subsidiaries, in each case, acting on behalf of the Company or its Subsidiaries, is a person that is the target of sanctions or any applicable Trade Control Laws.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Intellectual Property</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4"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Schedule 4.11(a)</w:t>
      </w:r>
      <w:r>
        <w:rPr>
          <w:rFonts w:ascii="Arial" w:cs="Arial" w:eastAsia="Arial" w:hAnsi="Arial"/>
          <w:sz w:val="15"/>
          <w:szCs w:val="15"/>
          <w:color w:val="auto"/>
        </w:rPr>
        <w:t xml:space="preserve"> sets forth, as of the date hereof, a true and complete list, including owner, jurisdiction, and registration and application numbers, of all issued Patents, all registered Copyrights, all registered Trademarks, all domain name registrations and all pending registration applications for any of the foregoing, in each case, that are owned by the Company or one of its Subsidiaries (the “</w:t>
      </w:r>
      <w:r>
        <w:rPr>
          <w:rFonts w:ascii="Arial" w:cs="Arial" w:eastAsia="Arial" w:hAnsi="Arial"/>
          <w:sz w:val="15"/>
          <w:szCs w:val="15"/>
          <w:u w:val="single" w:color="auto"/>
          <w:color w:val="auto"/>
        </w:rPr>
        <w:t>Registered Intellectual Property</w:t>
      </w:r>
      <w:r>
        <w:rPr>
          <w:rFonts w:ascii="Arial" w:cs="Arial" w:eastAsia="Arial" w:hAnsi="Arial"/>
          <w:sz w:val="15"/>
          <w:szCs w:val="15"/>
          <w:color w:val="auto"/>
        </w:rPr>
        <w:t xml:space="preserve">”), all of which (other than applications) is, valid, subsisting, and enforceable. Except as set forth on </w:t>
      </w:r>
      <w:r>
        <w:rPr>
          <w:rFonts w:ascii="Arial" w:cs="Arial" w:eastAsia="Arial" w:hAnsi="Arial"/>
          <w:sz w:val="15"/>
          <w:szCs w:val="15"/>
          <w:u w:val="single" w:color="auto"/>
          <w:color w:val="auto"/>
        </w:rPr>
        <w:t>Schedule 4.11(a)(i)</w:t>
      </w:r>
      <w:r>
        <w:rPr>
          <w:rFonts w:ascii="Arial" w:cs="Arial" w:eastAsia="Arial" w:hAnsi="Arial"/>
          <w:sz w:val="15"/>
          <w:szCs w:val="15"/>
          <w:color w:val="auto"/>
        </w:rPr>
        <w:t xml:space="preserve">, the Company or one of its Subsidiaries is the sole and exclusive owner of all right, title, and interest in and to all Registered Intellectual Property required to set forth on </w:t>
      </w:r>
      <w:r>
        <w:rPr>
          <w:rFonts w:ascii="Arial" w:cs="Arial" w:eastAsia="Arial" w:hAnsi="Arial"/>
          <w:sz w:val="15"/>
          <w:szCs w:val="15"/>
          <w:u w:val="single" w:color="auto"/>
          <w:color w:val="auto"/>
        </w:rPr>
        <w:t>Schedule 4.11(a)(i)</w:t>
      </w:r>
      <w:r>
        <w:rPr>
          <w:rFonts w:ascii="Arial" w:cs="Arial" w:eastAsia="Arial" w:hAnsi="Arial"/>
          <w:sz w:val="15"/>
          <w:szCs w:val="15"/>
          <w:color w:val="auto"/>
        </w:rPr>
        <w:t xml:space="preserve"> and all other Owned Intellectual Property, in each case, free and clear of all Liens, other than Permitted Liens. All such patents and patent applications and all other material Registered Intellectual Property has been maintained effective by the filing of all necessary filings, maintenance and renewals and timely payment of requisite fees. Except as set forth on </w:t>
      </w:r>
      <w:r>
        <w:rPr>
          <w:rFonts w:ascii="Arial" w:cs="Arial" w:eastAsia="Arial" w:hAnsi="Arial"/>
          <w:sz w:val="15"/>
          <w:szCs w:val="15"/>
          <w:u w:val="single" w:color="auto"/>
          <w:color w:val="auto"/>
        </w:rPr>
        <w:t>Schedule 4.11(a)(</w:t>
      </w:r>
      <w:r>
        <w:rPr>
          <w:rFonts w:ascii="Arial" w:cs="Arial" w:eastAsia="Arial" w:hAnsi="Arial"/>
          <w:sz w:val="15"/>
          <w:szCs w:val="15"/>
          <w:color w:val="auto"/>
        </w:rPr>
        <w:t>ii), no loss or expiration of any material Registered Intellectual Property is threatened, pending or reasonably foreseeable that the Company would reasonably consider to be materially adverse to its business as currently conducted (except for patents expiring at the end of their statutory terms and not as a result of any act or omission by the Company or any of its Subsidiaries, including failure thereby to pay any required maintenance fees).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left="4" w:right="20" w:firstLine="1143"/>
        <w:spacing w:after="0" w:line="294" w:lineRule="auto"/>
        <w:tabs>
          <w:tab w:leader="none" w:pos="1377" w:val="left"/>
        </w:tabs>
        <w:numPr>
          <w:ilvl w:val="1"/>
          <w:numId w:val="34"/>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4.11(b)</w:t>
      </w:r>
      <w:r>
        <w:rPr>
          <w:rFonts w:ascii="Arial" w:cs="Arial" w:eastAsia="Arial" w:hAnsi="Arial"/>
          <w:sz w:val="14"/>
          <w:szCs w:val="14"/>
          <w:color w:val="auto"/>
        </w:rPr>
        <w:t>, (i) as of the date hereof, no Actions are pending or, to the Company’s knowledge, threatened in writing (including unsolicited offers to license Patents) against the Company or any of its Subsidiaries by any third party and no written claims have been received in the past three (3) years either</w:t>
      </w:r>
    </w:p>
    <w:p>
      <w:pPr>
        <w:jc w:val="both"/>
        <w:ind w:left="4" w:hanging="4"/>
        <w:spacing w:after="0" w:line="251" w:lineRule="auto"/>
        <w:tabs>
          <w:tab w:leader="none" w:pos="277" w:val="left"/>
        </w:tabs>
        <w:numPr>
          <w:ilvl w:val="0"/>
          <w:numId w:val="35"/>
        </w:numPr>
        <w:rPr>
          <w:rFonts w:ascii="Arial" w:cs="Arial" w:eastAsia="Arial" w:hAnsi="Arial"/>
          <w:sz w:val="16"/>
          <w:szCs w:val="16"/>
          <w:color w:val="auto"/>
        </w:rPr>
      </w:pPr>
      <w:r>
        <w:rPr>
          <w:rFonts w:ascii="Arial" w:cs="Arial" w:eastAsia="Arial" w:hAnsi="Arial"/>
          <w:sz w:val="16"/>
          <w:szCs w:val="16"/>
          <w:color w:val="auto"/>
        </w:rPr>
        <w:t>claiming infringement, misappropriation or other violation of Intellectual Property rights owned by such third party; or (B) challenging the ownership, use, patentability, validity, or enforceability of any Owned Intellectual Property; (ii) as of the date hereof, neither the Company nor any of its Subsidiaries is a party to any pending Action claiming infringement, misappropriation or other violation by any third party of any Owned Intellectual Property; (iii) within the three (3) years preceding the date of this Agreement, to the Company’s knowledge, none of the Company, its Subsidiaries, nor the conduct of the their businesses has infringed, misappropriated or otherwise violated the Intellectual Property rights of any third party. To the knowledge of the Company, no third party is infringing, misappropriating or otherwise violating any Owned Intellectual Property.</w:t>
      </w:r>
    </w:p>
    <w:p>
      <w:pPr>
        <w:spacing w:after="0" w:line="171" w:lineRule="exact"/>
        <w:rPr>
          <w:rFonts w:ascii="Arial" w:cs="Arial" w:eastAsia="Arial" w:hAnsi="Arial"/>
          <w:sz w:val="16"/>
          <w:szCs w:val="16"/>
          <w:color w:val="auto"/>
        </w:rPr>
      </w:pPr>
    </w:p>
    <w:p>
      <w:pPr>
        <w:jc w:val="both"/>
        <w:ind w:left="4" w:firstLine="1143"/>
        <w:spacing w:after="0" w:line="258" w:lineRule="auto"/>
        <w:tabs>
          <w:tab w:leader="none" w:pos="13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or one of its Subsidiaries, as the case may be, either own(s), has a valid license to use, or otherwise has the lawful right to use, all of the Company Intellectual Property, IT Systems, and Company Software, in each case in the manner in which they are currently used. Immediately subsequent to the Closing, the Company Intellectual Property shall be owned or available for use by the Company and its Subsidiaries on terms and conditions identical to those under which they own or use the Company Intellectual Property immediately prior to the Closing, without payment of additional fees.</w:t>
      </w:r>
    </w:p>
    <w:p>
      <w:pPr>
        <w:spacing w:after="0" w:line="164" w:lineRule="exact"/>
        <w:rPr>
          <w:rFonts w:ascii="Arial" w:cs="Arial" w:eastAsia="Arial" w:hAnsi="Arial"/>
          <w:sz w:val="16"/>
          <w:szCs w:val="16"/>
          <w:color w:val="auto"/>
        </w:rPr>
      </w:pPr>
    </w:p>
    <w:p>
      <w:pPr>
        <w:jc w:val="both"/>
        <w:ind w:left="4" w:firstLine="1143"/>
        <w:spacing w:after="0" w:line="255" w:lineRule="auto"/>
        <w:tabs>
          <w:tab w:leader="none" w:pos="1377"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and the Subsidiaries have undertaken commercially reasonable efforts to maintain and protect all Owned Intellectual Property and to protect the confidentiality of any Trade Secrets and any confidential information that the Company and the Subsidiaries desire (and are not obligated) to keep confidential included in the Owned Intellectual Property that are material to their businesses. No such Trade Secrets or confidential information of any Person to whom the Company or any of the Subsidiaries owes a duty of confidentiality has been disclosed thereby to any Person other than pursuant to a written agreement sufficiently restricting the disclosure and use thereof by such Person.</w:t>
      </w:r>
    </w:p>
    <w:p>
      <w:pPr>
        <w:spacing w:after="0" w:line="169" w:lineRule="exact"/>
        <w:rPr>
          <w:rFonts w:ascii="Arial" w:cs="Arial" w:eastAsia="Arial" w:hAnsi="Arial"/>
          <w:sz w:val="16"/>
          <w:szCs w:val="16"/>
          <w:color w:val="auto"/>
        </w:rPr>
      </w:pPr>
    </w:p>
    <w:p>
      <w:pPr>
        <w:jc w:val="both"/>
        <w:ind w:left="4" w:firstLine="1143"/>
        <w:spacing w:after="0" w:line="253" w:lineRule="auto"/>
        <w:tabs>
          <w:tab w:leader="none" w:pos="1373"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 current or former director, officer, employee or other Representative of the Company or any Subsidiary has any right, title, or ownership interest in or to any of the Owned Intellectual Property. The Company has implemented policies whereby employees and contractors of the Company who create or develop any Intellectual Property in the course of their employment or provision of services for the Company or any of its Subsidiaries are required to assign to the Company all of such employee’s or contractor’s rights therein (to the extent permitted by applicable law), and all such employees and contractors have executed valid written agreements pursuant to which such Persons have assigned to the Company or its applicable Subsidiaries all of such employee’s or contractor’s rights in and to such Intellectual Property that did not vest automatically in the Company or its Subsidiary by operation of law (unless, in the case of contractors, such Intellectual Property was not intended by the Company to be proprietary to the Company or its Subsidiary).</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7" w:name="page48"/>
    <w:bookmarkEnd w:id="47"/>
    <w:p>
      <w:pPr>
        <w:jc w:val="both"/>
        <w:ind w:firstLine="1143"/>
        <w:spacing w:after="0" w:line="301" w:lineRule="auto"/>
        <w:tabs>
          <w:tab w:leader="none" w:pos="1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4.11(f)</w:t>
      </w:r>
      <w:r>
        <w:rPr>
          <w:rFonts w:ascii="Arial" w:cs="Arial" w:eastAsia="Arial" w:hAnsi="Arial"/>
          <w:sz w:val="14"/>
          <w:szCs w:val="14"/>
          <w:color w:val="auto"/>
        </w:rPr>
        <w:t>, or otherwise as would not materially adversely affect the Owned Intellectual Property or the businesses of the Company or its Subsidiaries, no funding and no personnel, facilities or other resources of any Governmental Authority, university, college, other similar institution, or research center were used in the development of any Owned Intellectual Property nor does any such Person have any rights, title or interest in or to any Company Intellectual Property. Neither the Company nor any of its Subsidiaries is a member of or party to any patent pool, industry standards body, trade association or other organization pursuant to which the Company or any of its Subsidiaries is obligated to grant any license, rights, or immunity in or to any Company Intellectual Property to any Person.</w:t>
      </w:r>
    </w:p>
    <w:p>
      <w:pPr>
        <w:spacing w:after="0" w:line="137" w:lineRule="exact"/>
        <w:rPr>
          <w:rFonts w:ascii="Arial" w:cs="Arial" w:eastAsia="Arial" w:hAnsi="Arial"/>
          <w:sz w:val="14"/>
          <w:szCs w:val="14"/>
          <w:color w:val="auto"/>
        </w:rPr>
      </w:pPr>
    </w:p>
    <w:p>
      <w:pPr>
        <w:jc w:val="both"/>
        <w:ind w:firstLine="1143"/>
        <w:spacing w:after="0" w:line="306" w:lineRule="auto"/>
        <w:tabs>
          <w:tab w:leader="none" w:pos="13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and each of its Subsidiaries is in all material respects in compliance with the terms and conditions of all licenses for “free software,” “open source software” or under a similar licensing or distribution term (including the GNU General Public License (GPL), GNU Lesser General Public License (LGPL), Affero General Public License (AGPL), Mozilla Public License (MPL), BSD licenses, the Artistic License, the Netscape Public License, the Sun Community Source License (SCSL), the Sun Industry Standards License (SISL) and the Apache License) (“</w:t>
      </w:r>
      <w:r>
        <w:rPr>
          <w:rFonts w:ascii="Arial" w:cs="Arial" w:eastAsia="Arial" w:hAnsi="Arial"/>
          <w:sz w:val="14"/>
          <w:szCs w:val="14"/>
          <w:u w:val="single" w:color="auto"/>
          <w:color w:val="auto"/>
        </w:rPr>
        <w:t>Open Source Materials</w:t>
      </w:r>
      <w:r>
        <w:rPr>
          <w:rFonts w:ascii="Arial" w:cs="Arial" w:eastAsia="Arial" w:hAnsi="Arial"/>
          <w:sz w:val="14"/>
          <w:szCs w:val="14"/>
          <w:color w:val="auto"/>
        </w:rPr>
        <w:t>”) used by the Company or any of its Subsidiaries in any way.</w:t>
      </w:r>
    </w:p>
    <w:p>
      <w:pPr>
        <w:spacing w:after="0" w:line="134" w:lineRule="exact"/>
        <w:rPr>
          <w:rFonts w:ascii="Arial" w:cs="Arial" w:eastAsia="Arial" w:hAnsi="Arial"/>
          <w:sz w:val="14"/>
          <w:szCs w:val="14"/>
          <w:color w:val="auto"/>
        </w:rPr>
      </w:pPr>
    </w:p>
    <w:p>
      <w:pPr>
        <w:jc w:val="both"/>
        <w:ind w:firstLine="1143"/>
        <w:spacing w:after="0" w:line="273" w:lineRule="auto"/>
        <w:tabs>
          <w:tab w:leader="none" w:pos="1379"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(i) incorporated Open Source Materials into, or combined Open Source Materials with, any material Owned Intellectual Property including Owned Company Software, (ii) distributed Open Source Materials in conjunction or connection with any Owned Intellectual Property including Owned Company Software or (iii) used Open Source Materials in or in connection with any Owned Intellectual Property including Owned Company Software, in each case of the foregoing clauses (i), (ii) and (iii), in such a way that grants (or otherwise requires the Company or its Subsidiaries to license, grant rights or otherwise disclose, distribute, or provide) to any third party any material Owned Intellectual Property, including, but not limited to, the source code for any material Owned Company Software or the right to make derivative works thereof, or otherwise imposes any material limitation, restriction or condition on the right or ability of the Company or any of its Subsidiaries to use, distribute, charge for the use of, or enforce any Owned Intellectual Property in any manner (collectively, “</w:t>
      </w:r>
      <w:r>
        <w:rPr>
          <w:rFonts w:ascii="Arial" w:cs="Arial" w:eastAsia="Arial" w:hAnsi="Arial"/>
          <w:sz w:val="15"/>
          <w:szCs w:val="15"/>
          <w:u w:val="single" w:color="auto"/>
          <w:color w:val="auto"/>
        </w:rPr>
        <w:t>Copyleft Terms</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two (2) year period preceding the date hereof, (i) to the knowledge of the Company, there have been no material unauthorized intrusions or breaches of the security of the IT Systems currently used to provide material products to customers in the conduct of their business as it is currently conducted and (ii) the Company and its Subsidiaries have implemented commercially reasonable security for the IT Systems and the data thereon.</w:t>
      </w:r>
    </w:p>
    <w:p>
      <w:pPr>
        <w:spacing w:after="0" w:line="162" w:lineRule="exact"/>
        <w:rPr>
          <w:rFonts w:ascii="Arial" w:cs="Arial" w:eastAsia="Arial" w:hAnsi="Arial"/>
          <w:sz w:val="16"/>
          <w:szCs w:val="16"/>
          <w:color w:val="auto"/>
        </w:rPr>
      </w:pPr>
    </w:p>
    <w:p>
      <w:pPr>
        <w:jc w:val="both"/>
        <w:ind w:firstLine="1143"/>
        <w:spacing w:after="0" w:line="297" w:lineRule="auto"/>
        <w:tabs>
          <w:tab w:leader="none" w:pos="1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and its Subsidiaries’ collection, use, disclosure, storage and transfer of Personal Information in connection with their business complies in all material respects with, and for the two (2) years prior to the date of this Agreement has complied in all material respects with (i) any Contract to which any of them is a party, (ii) any of their then-current published external privacy policies or (iii) any applicable privacy Laws. In the two (2) years prior to the date of this Agreement, the Company and its Subsidiaries have not received any written notice of any claims, investigations, or alleged violations of law, regulation, or contract with respect to Personal Information or information security-related incidents, nor have the Company and its Subsidiaries notified in writing, or, to the knowledge of the Company, been required by applicable law, regulation, or Contract to notify in writing, any person or entity of any Personal Information or information security-related incident.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ind w:left="560"/>
        <w:spacing w:after="0"/>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Contracts; No Defaults.</w:t>
      </w:r>
    </w:p>
    <w:p>
      <w:pPr>
        <w:spacing w:after="0" w:line="202" w:lineRule="exact"/>
        <w:rPr>
          <w:sz w:val="20"/>
          <w:szCs w:val="20"/>
          <w:color w:val="auto"/>
        </w:rPr>
      </w:pPr>
    </w:p>
    <w:p>
      <w:pPr>
        <w:jc w:val="both"/>
        <w:ind w:firstLine="1143"/>
        <w:spacing w:after="0" w:line="262" w:lineRule="auto"/>
        <w:tabs>
          <w:tab w:leader="none" w:pos="1364"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contains a listing of all Contracts described in clauses (i) through (ix) below to which, as of the date of this Agreement, the Company or one or more of its Subsidiaries is a party or by which any of their respective assets are bound. True, correct and complete copies of the Contracts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have been delivered to or made available to Acquiror or its agents or representatives.</w:t>
      </w:r>
    </w:p>
    <w:p>
      <w:pPr>
        <w:spacing w:after="0" w:line="162" w:lineRule="exact"/>
        <w:rPr>
          <w:rFonts w:ascii="Arial" w:cs="Arial" w:eastAsia="Arial" w:hAnsi="Arial"/>
          <w:sz w:val="16"/>
          <w:szCs w:val="16"/>
          <w:color w:val="auto"/>
        </w:rPr>
      </w:pPr>
    </w:p>
    <w:p>
      <w:pPr>
        <w:ind w:left="1900" w:hanging="184"/>
        <w:spacing w:after="0"/>
        <w:tabs>
          <w:tab w:leader="none" w:pos="1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employee collective bargaining Contract;</w:t>
      </w:r>
    </w:p>
    <w:p>
      <w:pPr>
        <w:spacing w:after="0" w:line="198" w:lineRule="exact"/>
        <w:rPr>
          <w:rFonts w:ascii="Arial" w:cs="Arial" w:eastAsia="Arial" w:hAnsi="Arial"/>
          <w:sz w:val="16"/>
          <w:szCs w:val="16"/>
          <w:color w:val="auto"/>
        </w:rPr>
      </w:pPr>
    </w:p>
    <w:p>
      <w:pPr>
        <w:jc w:val="both"/>
        <w:ind w:firstLine="1716"/>
        <w:spacing w:after="0" w:line="258" w:lineRule="auto"/>
        <w:tabs>
          <w:tab w:leader="none" w:pos="195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pursuant to which the Company or any of its Subsidiaries (A) is granted a license, immunity, or other rights from a third party in or to any Intellectual Property that is material to the businesses of the Company and its Subsidiaries, taken as a whole, other than Standard Inbound Licenses and other than Contracts with employees and contractors assigning Intellectual Property to the Company or (B) grants a license, immunity, or other rights to a third party in or to Owned Intellectual Property, including Owned Company Software other than Standard Outbound Licenses;</w:t>
      </w:r>
    </w:p>
    <w:p>
      <w:pPr>
        <w:spacing w:after="0" w:line="164" w:lineRule="exact"/>
        <w:rPr>
          <w:rFonts w:ascii="Arial" w:cs="Arial" w:eastAsia="Arial" w:hAnsi="Arial"/>
          <w:sz w:val="16"/>
          <w:szCs w:val="16"/>
          <w:color w:val="auto"/>
        </w:rPr>
      </w:pPr>
    </w:p>
    <w:p>
      <w:pPr>
        <w:jc w:val="both"/>
        <w:ind w:firstLine="1716"/>
        <w:spacing w:after="0" w:line="262" w:lineRule="auto"/>
        <w:tabs>
          <w:tab w:leader="none" w:pos="2011"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which restricts in any material respect or contains any material limitations on the ability of the Company or its Subsidiaries to compete in any line of business or in any geographic territory where such restriction or limitation would have a material effect on the business of the Company and its Subsidiaries, taken as a whole;</w:t>
      </w:r>
    </w:p>
    <w:p>
      <w:pPr>
        <w:spacing w:after="0" w:line="162" w:lineRule="exact"/>
        <w:rPr>
          <w:rFonts w:ascii="Arial" w:cs="Arial" w:eastAsia="Arial" w:hAnsi="Arial"/>
          <w:sz w:val="16"/>
          <w:szCs w:val="16"/>
          <w:color w:val="auto"/>
        </w:rPr>
      </w:pPr>
    </w:p>
    <w:p>
      <w:pPr>
        <w:jc w:val="both"/>
        <w:ind w:right="20" w:firstLine="1716"/>
        <w:spacing w:after="0" w:line="317" w:lineRule="auto"/>
        <w:tabs>
          <w:tab w:leader="none" w:pos="1990" w:val="left"/>
        </w:tabs>
        <w:numPr>
          <w:ilvl w:val="1"/>
          <w:numId w:val="37"/>
        </w:numPr>
        <w:rPr>
          <w:rFonts w:ascii="Arial" w:cs="Arial" w:eastAsia="Arial" w:hAnsi="Arial"/>
          <w:sz w:val="14"/>
          <w:szCs w:val="14"/>
          <w:color w:val="auto"/>
        </w:rPr>
      </w:pPr>
      <w:r>
        <w:rPr>
          <w:rFonts w:ascii="Arial" w:cs="Arial" w:eastAsia="Arial" w:hAnsi="Arial"/>
          <w:sz w:val="14"/>
          <w:szCs w:val="14"/>
          <w:color w:val="auto"/>
        </w:rPr>
        <w:t>any Contract that is still in effect under which the Company or its Subsidiaries has (A) created, incurred, assumed or guaranteed (or may create, incur, assume or guarantee) Indebtedness exceeding $1,000,000, (B) granted a Lien on its assets, whether tangible or intangible, to secure any material Indebtedness or (C) extended credit to any Person (other than (1) intercompany loans and advances and (2) customer payment terms in the ordinary course of business);</w:t>
      </w:r>
    </w:p>
    <w:p>
      <w:pPr>
        <w:spacing w:after="0" w:line="126" w:lineRule="exact"/>
        <w:rPr>
          <w:rFonts w:ascii="Arial" w:cs="Arial" w:eastAsia="Arial" w:hAnsi="Arial"/>
          <w:sz w:val="14"/>
          <w:szCs w:val="14"/>
          <w:color w:val="auto"/>
        </w:rPr>
      </w:pPr>
    </w:p>
    <w:p>
      <w:pPr>
        <w:jc w:val="both"/>
        <w:ind w:right="20" w:firstLine="1716"/>
        <w:spacing w:after="0" w:line="287" w:lineRule="auto"/>
        <w:tabs>
          <w:tab w:leader="none" w:pos="1946" w:val="left"/>
        </w:tabs>
        <w:numPr>
          <w:ilvl w:val="1"/>
          <w:numId w:val="37"/>
        </w:numPr>
        <w:rPr>
          <w:rFonts w:ascii="Arial" w:cs="Arial" w:eastAsia="Arial" w:hAnsi="Arial"/>
          <w:sz w:val="15"/>
          <w:szCs w:val="15"/>
          <w:color w:val="auto"/>
        </w:rPr>
      </w:pPr>
      <w:r>
        <w:rPr>
          <w:rFonts w:ascii="Arial" w:cs="Arial" w:eastAsia="Arial" w:hAnsi="Arial"/>
          <w:sz w:val="15"/>
          <w:szCs w:val="15"/>
          <w:color w:val="auto"/>
        </w:rPr>
        <w:t>any principal transaction Contract entered into in connection with a completed acquisition or disposition by the Company or its Subsidiaries since December 31, 2017 involving consideration in excess of $2,000,000 of any Person or other business organization, division or business of any Person (including through merger or consolidation or the purchase of a controlling equity interest in or substantially all of the assets of such Person or by any other manner);</w:t>
      </w:r>
    </w:p>
    <w:p>
      <w:pPr>
        <w:spacing w:after="0" w:line="146" w:lineRule="exact"/>
        <w:rPr>
          <w:rFonts w:ascii="Arial" w:cs="Arial" w:eastAsia="Arial" w:hAnsi="Arial"/>
          <w:sz w:val="15"/>
          <w:szCs w:val="15"/>
          <w:color w:val="auto"/>
        </w:rPr>
      </w:pPr>
    </w:p>
    <w:p>
      <w:pPr>
        <w:jc w:val="both"/>
        <w:ind w:right="20" w:firstLine="1716"/>
        <w:spacing w:after="0" w:line="262" w:lineRule="auto"/>
        <w:tabs>
          <w:tab w:leader="none" w:pos="20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Contract with outstanding obligations for the sale or purchase of personal property (excluding Intellectual Property), fixed assets or real estate having a value individually, with respect to all sales or purchases thereunder, in excess of $1,000,000 or, together with all related Contracts, in excess of $1,000,000, in each case, other than sales or purchases in the ordinary course of business consistent with past practices;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ind w:right="20" w:firstLine="1716"/>
        <w:spacing w:after="0" w:line="309" w:lineRule="auto"/>
        <w:tabs>
          <w:tab w:leader="none" w:pos="2035" w:val="left"/>
        </w:tabs>
        <w:numPr>
          <w:ilvl w:val="1"/>
          <w:numId w:val="38"/>
        </w:numPr>
        <w:rPr>
          <w:rFonts w:ascii="Arial" w:cs="Arial" w:eastAsia="Arial" w:hAnsi="Arial"/>
          <w:sz w:val="15"/>
          <w:szCs w:val="15"/>
          <w:color w:val="auto"/>
        </w:rPr>
      </w:pPr>
      <w:r>
        <w:rPr>
          <w:rFonts w:ascii="Arial" w:cs="Arial" w:eastAsia="Arial" w:hAnsi="Arial"/>
          <w:sz w:val="15"/>
          <w:szCs w:val="15"/>
          <w:color w:val="auto"/>
        </w:rPr>
        <w:t xml:space="preserve">any Contract not made in the ordinary course of business and not disclosed pursuant to any other clause under this </w:t>
      </w:r>
      <w:r>
        <w:rPr>
          <w:rFonts w:ascii="Arial" w:cs="Arial" w:eastAsia="Arial" w:hAnsi="Arial"/>
          <w:sz w:val="15"/>
          <w:szCs w:val="15"/>
          <w:u w:val="single" w:color="auto"/>
          <w:color w:val="auto"/>
        </w:rPr>
        <w:t>Section 4.12(a)</w:t>
      </w:r>
      <w:r>
        <w:rPr>
          <w:rFonts w:ascii="Arial" w:cs="Arial" w:eastAsia="Arial" w:hAnsi="Arial"/>
          <w:sz w:val="15"/>
          <w:szCs w:val="15"/>
          <w:color w:val="auto"/>
        </w:rPr>
        <w:t xml:space="preserve"> and expected to result in revenue or require expenditures in excess of $2,500,000 in the calendar year ended December 31, 2020 or any subsequent calendar year;</w:t>
      </w:r>
    </w:p>
    <w:p>
      <w:pPr>
        <w:spacing w:after="0" w:line="129" w:lineRule="exact"/>
        <w:rPr>
          <w:rFonts w:ascii="Arial" w:cs="Arial" w:eastAsia="Arial" w:hAnsi="Arial"/>
          <w:sz w:val="15"/>
          <w:szCs w:val="15"/>
          <w:color w:val="auto"/>
        </w:rPr>
      </w:pPr>
    </w:p>
    <w:p>
      <w:pPr>
        <w:ind w:right="20" w:firstLine="1716"/>
        <w:spacing w:after="0" w:line="275" w:lineRule="auto"/>
        <w:tabs>
          <w:tab w:leader="none" w:pos="207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except Contracts entered into in connection with employment, any Contract between the Company or its Subsidiaries, on the one hand, and any of Company’s shareholders, on the other hand, that will not be terminated at or prior to the Closing;</w:t>
      </w:r>
    </w:p>
    <w:p>
      <w:pPr>
        <w:spacing w:after="0" w:line="151" w:lineRule="exact"/>
        <w:rPr>
          <w:rFonts w:ascii="Arial" w:cs="Arial" w:eastAsia="Arial" w:hAnsi="Arial"/>
          <w:sz w:val="16"/>
          <w:szCs w:val="16"/>
          <w:color w:val="auto"/>
        </w:rPr>
      </w:pPr>
    </w:p>
    <w:p>
      <w:pPr>
        <w:jc w:val="both"/>
        <w:ind w:right="20" w:firstLine="1716"/>
        <w:spacing w:after="0" w:line="262" w:lineRule="auto"/>
        <w:tabs>
          <w:tab w:leader="none" w:pos="200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Contract establishing any joint venture, or legal partnership, strategic alliance or other collaboration that is material to the business of the Company and its Subsidiaries taken as a whole and expected to result in revenue or require expenditures in excess of $1,000,000 in the calendar year ended December 31, 2020 or any subsequent calendar year;</w:t>
      </w:r>
    </w:p>
    <w:p>
      <w:pPr>
        <w:spacing w:after="0" w:line="162" w:lineRule="exact"/>
        <w:rPr>
          <w:rFonts w:ascii="Arial" w:cs="Arial" w:eastAsia="Arial" w:hAnsi="Arial"/>
          <w:sz w:val="16"/>
          <w:szCs w:val="16"/>
          <w:color w:val="auto"/>
        </w:rPr>
      </w:pPr>
    </w:p>
    <w:p>
      <w:pPr>
        <w:ind w:right="20" w:firstLine="1716"/>
        <w:spacing w:after="0" w:line="275" w:lineRule="auto"/>
        <w:tabs>
          <w:tab w:leader="none" w:pos="1946"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Contract and agreement with consideration paid or payable to the Company or any of the Company’s Subsidiaries of more than $2,500,000, in the aggregate, over the 12-month period ending December 31, 2020; and</w:t>
      </w:r>
    </w:p>
    <w:p>
      <w:pPr>
        <w:spacing w:after="0" w:line="151" w:lineRule="exact"/>
        <w:rPr>
          <w:rFonts w:ascii="Arial" w:cs="Arial" w:eastAsia="Arial" w:hAnsi="Arial"/>
          <w:sz w:val="16"/>
          <w:szCs w:val="16"/>
          <w:color w:val="auto"/>
        </w:rPr>
      </w:pPr>
    </w:p>
    <w:p>
      <w:pPr>
        <w:ind w:right="20" w:firstLine="1716"/>
        <w:spacing w:after="0" w:line="275" w:lineRule="auto"/>
        <w:tabs>
          <w:tab w:leader="none" w:pos="201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Contract and agreement with suppliers to the Company or any Subsidiary of the Company for expenditures paid or payable by the Company or any Subsidiary of the Company of more than $2,500,000, in the aggregate, over the 12-month period ending December 31, 2020.</w:t>
      </w:r>
    </w:p>
    <w:p>
      <w:pPr>
        <w:spacing w:after="0" w:line="151" w:lineRule="exact"/>
        <w:rPr>
          <w:rFonts w:ascii="Arial" w:cs="Arial" w:eastAsia="Arial" w:hAnsi="Arial"/>
          <w:sz w:val="16"/>
          <w:szCs w:val="16"/>
          <w:color w:val="auto"/>
        </w:rPr>
      </w:pPr>
    </w:p>
    <w:p>
      <w:pPr>
        <w:jc w:val="both"/>
        <w:ind w:firstLine="1143"/>
        <w:spacing w:after="0" w:line="290" w:lineRule="auto"/>
        <w:tabs>
          <w:tab w:leader="none" w:pos="1379"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Except for any Contract that has terminated or will terminate upon the expiration of the stated term thereof prior to the Closing Date, with respect to any Contract required to be set forth on </w:t>
      </w:r>
      <w:r>
        <w:rPr>
          <w:rFonts w:ascii="Arial" w:cs="Arial" w:eastAsia="Arial" w:hAnsi="Arial"/>
          <w:sz w:val="14"/>
          <w:szCs w:val="14"/>
          <w:u w:val="single" w:color="auto"/>
          <w:color w:val="auto"/>
        </w:rPr>
        <w:t>Schedule 4.12(a)</w:t>
      </w:r>
      <w:r>
        <w:rPr>
          <w:rFonts w:ascii="Arial" w:cs="Arial" w:eastAsia="Arial" w:hAnsi="Arial"/>
          <w:sz w:val="14"/>
          <w:szCs w:val="14"/>
          <w:color w:val="auto"/>
        </w:rPr>
        <w:t xml:space="preserve">, (i) such Contracts are in full force and effect and represent the legal, valid and binding obligations of the Company or its Subsidiaries party thereto and, to the knowledge of the Company, represent the legal, valid and binding obligations of the other parties thereto, and, to the knowledge of the Company, are enforceable by the Company or its Subsidiaries in accordance with their terms, subject in all respects to the effects of bankruptcy, insolvency, fraudulent conveyance, reorganization, moratorium and other laws relating to or affecting creditors’ rights generally and general equitable principles (whether considered in a proceeding in equity or at law), (ii) none of the Company, its Subsidiaries or, to the knowledge of the Company as of the date of this Agreement, any other party thereto is in material breach of or material default (or would be in material breach, violation or default but for the existence of a cure period) under any such Contract, (iii) since December 31, 2020, neither the Company nor its Subsidiaries have received any written or, to the knowledge of the Company, oral claim or notice of material breach of or material default under any such Contract, (iv) to the knowledge of the Company, no event has occurred which, individually or together with other events, would reasonably be expected to result in a material breach of or a material default under any such Contract by the Company or its Subsidiaries or, to the knowledge of the Company as of the date of this Agreement, any other party thereto (in each case, with or without notice or lapse of time or both) and (v) since December 31, 2020 through the date hereof, neither the Company nor its Subsidiaries have received written notice from any other party to any such Contract that such party intends to terminate or not renew any such Contract. The Company has made available to Acquiror true and complete copies, as amended and currently in effect, of all Contracts listed in </w:t>
      </w:r>
      <w:r>
        <w:rPr>
          <w:rFonts w:ascii="Arial" w:cs="Arial" w:eastAsia="Arial" w:hAnsi="Arial"/>
          <w:sz w:val="14"/>
          <w:szCs w:val="14"/>
          <w:u w:val="single" w:color="auto"/>
          <w:color w:val="auto"/>
        </w:rPr>
        <w:t>Schedule 4.12(a)</w:t>
      </w:r>
      <w:r>
        <w:rPr>
          <w:rFonts w:ascii="Arial" w:cs="Arial" w:eastAsia="Arial" w:hAnsi="Arial"/>
          <w:sz w:val="14"/>
          <w:szCs w:val="14"/>
          <w:color w:val="auto"/>
        </w:rPr>
        <w: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ind w:left="560"/>
        <w:spacing w:after="0"/>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Company Benefit Plans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95" w:lineRule="auto"/>
        <w:tabs>
          <w:tab w:leader="none" w:pos="1376"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Schedule 4.13(a)</w:t>
      </w:r>
      <w:r>
        <w:rPr>
          <w:rFonts w:ascii="Arial" w:cs="Arial" w:eastAsia="Arial" w:hAnsi="Arial"/>
          <w:sz w:val="14"/>
          <w:szCs w:val="14"/>
          <w:color w:val="auto"/>
        </w:rPr>
        <w:t xml:space="preserve"> sets forth a complete list of each material Company Benefit Plan. “</w:t>
      </w:r>
      <w:r>
        <w:rPr>
          <w:rFonts w:ascii="Arial" w:cs="Arial" w:eastAsia="Arial" w:hAnsi="Arial"/>
          <w:sz w:val="14"/>
          <w:szCs w:val="14"/>
          <w:u w:val="single" w:color="auto"/>
          <w:color w:val="auto"/>
        </w:rPr>
        <w:t>Company Benefit Plan</w:t>
      </w:r>
      <w:r>
        <w:rPr>
          <w:rFonts w:ascii="Arial" w:cs="Arial" w:eastAsia="Arial" w:hAnsi="Arial"/>
          <w:sz w:val="14"/>
          <w:szCs w:val="14"/>
          <w:color w:val="auto"/>
        </w:rPr>
        <w:t>” means any “employee benefit plan” as defined in Section 3(3) of the Employee Retirement Income Security Act of 1974 (“</w:t>
      </w:r>
      <w:r>
        <w:rPr>
          <w:rFonts w:ascii="Arial" w:cs="Arial" w:eastAsia="Arial" w:hAnsi="Arial"/>
          <w:sz w:val="14"/>
          <w:szCs w:val="14"/>
          <w:u w:val="single" w:color="auto"/>
          <w:color w:val="auto"/>
        </w:rPr>
        <w:t>ERISA</w:t>
      </w:r>
      <w:r>
        <w:rPr>
          <w:rFonts w:ascii="Arial" w:cs="Arial" w:eastAsia="Arial" w:hAnsi="Arial"/>
          <w:sz w:val="14"/>
          <w:szCs w:val="14"/>
          <w:color w:val="auto"/>
        </w:rPr>
        <w:t>”), and any other written plan, policy, program, arrangement or agreement providing compensation or benefits to any current or former director, officer, employee, independent contractor or other service provider, in each case, that is maintained, sponsored or contributed to by the Company or its Subsidiaries or under which the Company or its Subsidiaries has or could reasonably be expected to have any obligation or liability, including, without limitation, all pension, retirement, employment, consulting, change in control, severance, retention, incentive, bonus, deferred compensation, vacation, holiday, cafeteria, medical, disability, stock purchase, stock option, stock appreciation, phantom stock, restricted stock or other stock-based compensation plans, policies, programs, practices or arrangements. Each Company Benefit Plan sponsored by a professional employer organization (a “</w:t>
      </w:r>
      <w:r>
        <w:rPr>
          <w:rFonts w:ascii="Arial" w:cs="Arial" w:eastAsia="Arial" w:hAnsi="Arial"/>
          <w:sz w:val="14"/>
          <w:szCs w:val="14"/>
          <w:u w:val="single" w:color="auto"/>
          <w:color w:val="auto"/>
        </w:rPr>
        <w:t>PEO Plan</w:t>
      </w:r>
      <w:r>
        <w:rPr>
          <w:rFonts w:ascii="Arial" w:cs="Arial" w:eastAsia="Arial" w:hAnsi="Arial"/>
          <w:sz w:val="14"/>
          <w:szCs w:val="14"/>
          <w:color w:val="auto"/>
        </w:rPr>
        <w:t xml:space="preserve">”) is identified on </w:t>
      </w:r>
      <w:r>
        <w:rPr>
          <w:rFonts w:ascii="Arial" w:cs="Arial" w:eastAsia="Arial" w:hAnsi="Arial"/>
          <w:sz w:val="14"/>
          <w:szCs w:val="14"/>
          <w:u w:val="single" w:color="auto"/>
          <w:color w:val="auto"/>
        </w:rPr>
        <w:t>Schedule 4.13(a)</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jc w:val="both"/>
        <w:ind w:right="20" w:firstLine="1143"/>
        <w:spacing w:after="0" w:line="255" w:lineRule="auto"/>
        <w:tabs>
          <w:tab w:leader="none" w:pos="1383"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each Company Benefit Plan, the Company has delivered or made available to Acquiror correct and complete copies (or to the extent no copy exists, an accurate summary) of, if applicable, (i) the current plan document (or summary in the case of a PEO Plan) and any trust agreement, (ii) the most recent summary plan description, (iii) the most recent annual report on Form 5500 filed with the Internal Revenue Service (or, with respect to non-U.S. plans, any comparable annual or periodic report), (iv) the most recent actuarial valuation and (v) the most recent determination or opinion letter issued by the Internal Revenue Service (or applicable comparable Governmental Authority).</w:t>
      </w:r>
    </w:p>
    <w:p>
      <w:pPr>
        <w:spacing w:after="0" w:line="169" w:lineRule="exact"/>
        <w:rPr>
          <w:rFonts w:ascii="Arial" w:cs="Arial" w:eastAsia="Arial" w:hAnsi="Arial"/>
          <w:sz w:val="16"/>
          <w:szCs w:val="16"/>
          <w:color w:val="auto"/>
        </w:rPr>
      </w:pPr>
    </w:p>
    <w:p>
      <w:pPr>
        <w:jc w:val="both"/>
        <w:ind w:firstLine="1143"/>
        <w:spacing w:after="0" w:line="317" w:lineRule="auto"/>
        <w:tabs>
          <w:tab w:leader="none" w:pos="1365" w:val="left"/>
        </w:tabs>
        <w:numPr>
          <w:ilvl w:val="0"/>
          <w:numId w:val="40"/>
        </w:numPr>
        <w:rPr>
          <w:rFonts w:ascii="Arial" w:cs="Arial" w:eastAsia="Arial" w:hAnsi="Arial"/>
          <w:sz w:val="14"/>
          <w:szCs w:val="14"/>
          <w:color w:val="auto"/>
        </w:rPr>
      </w:pPr>
      <w:r>
        <w:rPr>
          <w:rFonts w:ascii="Arial" w:cs="Arial" w:eastAsia="Arial" w:hAnsi="Arial"/>
          <w:sz w:val="14"/>
          <w:szCs w:val="14"/>
          <w:color w:val="auto"/>
        </w:rPr>
        <w:t>Each Company Benefit Plan that is not a PEO Plan, and to the knowledge of the Company in the case of a PEO Plan, has been administered in compliance with its terms and all applicable Laws, including ERISA and the Code. All contributions required to be made by the Company under the terms of any Company Benefit Plan as of the date this representation is made have been timely made or, if not yet due, have been properly reflected in the Company’s financial statements.</w:t>
      </w:r>
    </w:p>
    <w:p>
      <w:pPr>
        <w:spacing w:after="0" w:line="126" w:lineRule="exact"/>
        <w:rPr>
          <w:rFonts w:ascii="Arial" w:cs="Arial" w:eastAsia="Arial" w:hAnsi="Arial"/>
          <w:sz w:val="14"/>
          <w:szCs w:val="14"/>
          <w:color w:val="auto"/>
        </w:rPr>
      </w:pPr>
    </w:p>
    <w:p>
      <w:pPr>
        <w:jc w:val="both"/>
        <w:ind w:firstLine="1143"/>
        <w:spacing w:after="0" w:line="276" w:lineRule="auto"/>
        <w:tabs>
          <w:tab w:leader="none" w:pos="1374"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Company Benefit Plan that is intended to be qualified within the meaning of Section 401(a) of the Code (i) has received a favorable determination or opinion letter as to its qualification, (ii) has been established under a standardized master and prototype or volume submitter plan for which a current favorable Internal Revenue Service advisory letter or opinion letter has been obtained by the plan sponsor and is valid as to the adopting employer or (iii) has time remaining under applicable Laws to apply for a determination or opinion letter or to make any amendments necessary to obtain a favorable determination or opinion letter. To the knowledge of the Company, no event has occurred that would reasonably be expected to result in the loss of the tax-qualified status of such plans.</w:t>
      </w:r>
    </w:p>
    <w:p>
      <w:pPr>
        <w:spacing w:after="0" w:line="155" w:lineRule="exact"/>
        <w:rPr>
          <w:rFonts w:ascii="Arial" w:cs="Arial" w:eastAsia="Arial" w:hAnsi="Arial"/>
          <w:sz w:val="15"/>
          <w:szCs w:val="15"/>
          <w:color w:val="auto"/>
        </w:rPr>
      </w:pPr>
    </w:p>
    <w:p>
      <w:pPr>
        <w:jc w:val="both"/>
        <w:ind w:firstLine="1143"/>
        <w:spacing w:after="0" w:line="253" w:lineRule="auto"/>
        <w:tabs>
          <w:tab w:leader="none" w:pos="13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ERISA Affiliates sponsored, maintained, contributed to or was required to contribute to, or has or had any liability in respect of, at any point during the six (6) year period prior to the date hereof, a multiemployer pension plan (as defined in Section 3(37) of ERISA) (a “</w:t>
      </w:r>
      <w:r>
        <w:rPr>
          <w:rFonts w:ascii="Arial" w:cs="Arial" w:eastAsia="Arial" w:hAnsi="Arial"/>
          <w:sz w:val="16"/>
          <w:szCs w:val="16"/>
          <w:u w:val="single" w:color="auto"/>
          <w:color w:val="auto"/>
        </w:rPr>
        <w:t>Multiemployer Plan</w:t>
      </w:r>
      <w:r>
        <w:rPr>
          <w:rFonts w:ascii="Arial" w:cs="Arial" w:eastAsia="Arial" w:hAnsi="Arial"/>
          <w:sz w:val="16"/>
          <w:szCs w:val="16"/>
          <w:color w:val="auto"/>
        </w:rPr>
        <w:t>”) or other pension plan, in each case, that is subject to Title IV of ERISA. No circumstance or condition exists that would reasonably be expected to result in an actual obligation of the Company or any of its Subsidiaries to pay money to any Multiemployer Plan or other pension plan that is subject to Title IV of ERISA and that is maintained by an ERISA Affiliate of the Company. For purposes of this Agreement,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entity (whether or not incorporated) other than the Company or a Subsidiary of the Company that, together with the Company, is considered under common control and treated as one employer under Section 414(b), (c), (m) or (o) of the Code.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ind w:right="20" w:firstLine="1143"/>
        <w:spacing w:after="0" w:line="309" w:lineRule="auto"/>
        <w:tabs>
          <w:tab w:leader="none" w:pos="1364" w:val="left"/>
        </w:tabs>
        <w:numPr>
          <w:ilvl w:val="0"/>
          <w:numId w:val="41"/>
        </w:numPr>
        <w:rPr>
          <w:rFonts w:ascii="Arial" w:cs="Arial" w:eastAsia="Arial" w:hAnsi="Arial"/>
          <w:sz w:val="15"/>
          <w:szCs w:val="15"/>
          <w:color w:val="auto"/>
        </w:rPr>
      </w:pPr>
      <w:r>
        <w:rPr>
          <w:rFonts w:ascii="Arial" w:cs="Arial" w:eastAsia="Arial" w:hAnsi="Arial"/>
          <w:sz w:val="15"/>
          <w:szCs w:val="15"/>
          <w:color w:val="auto"/>
        </w:rPr>
        <w:t>With respect to the Company Benefit Plans other than the PEO Plans, no administrative investigation, audit or other administrative proceeding by the Department of Labor, the Internal Revenue Service or other Governmental Authorities is pending or, to the knowledge of the Company, threatened.</w:t>
      </w:r>
    </w:p>
    <w:p>
      <w:pPr>
        <w:spacing w:after="0" w:line="129" w:lineRule="exact"/>
        <w:rPr>
          <w:rFonts w:ascii="Arial" w:cs="Arial" w:eastAsia="Arial" w:hAnsi="Arial"/>
          <w:sz w:val="15"/>
          <w:szCs w:val="15"/>
          <w:color w:val="auto"/>
        </w:rPr>
      </w:pPr>
    </w:p>
    <w:p>
      <w:pPr>
        <w:ind w:right="20" w:firstLine="1143"/>
        <w:spacing w:after="0" w:line="275" w:lineRule="auto"/>
        <w:tabs>
          <w:tab w:leader="none" w:pos="138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as required by applicable Law, no Company Benefit Plan provides retiree or post-employment medical, disability, life insurance or other welfare benefits to any Person, and none of the Company or any of its Subsidiaries has any obligation to provide such benefits.</w:t>
      </w:r>
    </w:p>
    <w:p>
      <w:pPr>
        <w:spacing w:after="0" w:line="151" w:lineRule="exact"/>
        <w:rPr>
          <w:rFonts w:ascii="Arial" w:cs="Arial" w:eastAsia="Arial" w:hAnsi="Arial"/>
          <w:sz w:val="16"/>
          <w:szCs w:val="16"/>
          <w:color w:val="auto"/>
        </w:rPr>
      </w:pPr>
    </w:p>
    <w:p>
      <w:pPr>
        <w:jc w:val="both"/>
        <w:ind w:right="20" w:firstLine="1143"/>
        <w:spacing w:after="0" w:line="294" w:lineRule="auto"/>
        <w:tabs>
          <w:tab w:leader="none" w:pos="1375"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Except as described on </w:t>
      </w:r>
      <w:r>
        <w:rPr>
          <w:rFonts w:ascii="Arial" w:cs="Arial" w:eastAsia="Arial" w:hAnsi="Arial"/>
          <w:sz w:val="14"/>
          <w:szCs w:val="14"/>
          <w:u w:val="single" w:color="auto"/>
          <w:color w:val="auto"/>
        </w:rPr>
        <w:t>Schedule 4.13(h)</w:t>
      </w:r>
      <w:r>
        <w:rPr>
          <w:rFonts w:ascii="Arial" w:cs="Arial" w:eastAsia="Arial" w:hAnsi="Arial"/>
          <w:sz w:val="14"/>
          <w:szCs w:val="14"/>
          <w:color w:val="auto"/>
        </w:rPr>
        <w:t>, neither the execution and delivery of this Agreement by the Company nor the consummation of the transactions contemplated by this Agreement (either alone or in combination with another event) will (i) entitle any employee, director, officer or independent contractor of the Company or any of its Subsidiaries to severance pay or any material increase in severance pay, (ii) accelerate the time of payment or vesting, or materially increase the amount of compensation due to any such employee, director, officer or independent contractor, (iii) directly or indirectly cause the Company to transfer or set aside any assets to fund any material benefits under any Company Benefit Plan, (iv) otherwise give rise to any material liability under any Company Benefit Plan, (v) limit or restrict the right to merge, materially amend, terminate or transfer the assets of any Company Benefit Plan on or following the Effective Time, (vi) require a “gross-up,” indemnification for, or payment to any individual for any taxes imposed under Section 409A or Section 4999 of the Code or any other tax or (vii) result in the payment of any amount that could, individually or in combination with any other such payment, constitute an “excess parachute payment” as defined in Section 280G(b)(1) of the Code.</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Labor Matters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55" w:lineRule="auto"/>
        <w:tabs>
          <w:tab w:leader="none" w:pos="13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Neither the Company nor its Subsidiaries is a party to, negotiating, required to negotiate, or bound by any labor agreement, collective bargaining agreement, or any other labor-related agreements or arrangements with any labor union, labor organization or works council, (ii) no labor union or organization, works council or group of employees of the Company or its Subsidiaries has made a pending written demand for recognition or certification and (iii) there are no representation or certification proceedings or petitions seeking a representation proceeding pending or, to the knowledge of the Company, threatened in writing to be brought or filed with the National Labor Relations Board or any other applicable labor relations authority.</w:t>
      </w:r>
    </w:p>
    <w:p>
      <w:pPr>
        <w:spacing w:after="0" w:line="169" w:lineRule="exact"/>
        <w:rPr>
          <w:rFonts w:ascii="Arial" w:cs="Arial" w:eastAsia="Arial" w:hAnsi="Arial"/>
          <w:sz w:val="16"/>
          <w:szCs w:val="16"/>
          <w:color w:val="auto"/>
        </w:rPr>
      </w:pPr>
    </w:p>
    <w:p>
      <w:pPr>
        <w:jc w:val="both"/>
        <w:ind w:firstLine="1143"/>
        <w:spacing w:after="0" w:line="272" w:lineRule="auto"/>
        <w:tabs>
          <w:tab w:leader="none" w:pos="13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Except as described on </w:t>
      </w:r>
      <w:r>
        <w:rPr>
          <w:rFonts w:ascii="Arial" w:cs="Arial" w:eastAsia="Arial" w:hAnsi="Arial"/>
          <w:sz w:val="15"/>
          <w:szCs w:val="15"/>
          <w:u w:val="single" w:color="auto"/>
          <w:color w:val="auto"/>
        </w:rPr>
        <w:t>Schedule 4.14(b),</w:t>
      </w:r>
      <w:r>
        <w:rPr>
          <w:rFonts w:ascii="Arial" w:cs="Arial" w:eastAsia="Arial" w:hAnsi="Arial"/>
          <w:sz w:val="15"/>
          <w:szCs w:val="15"/>
          <w:color w:val="auto"/>
        </w:rPr>
        <w:t xml:space="preserve"> each of the Company and its Subsidiaries (i) is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pay equity, overtime pay, employee leave issues, the proper classification of employees and independent contractors, the proper classification of exempt and non-exempt employees, and unemployment insurance, (ii) has not been adjudged to have committed any unfair labor practice as defined by the National Labor Relations Board or received written notice of any unfair labor practice complaint against it pending before the National Labor Relations Board that remains unresolved and (iii) since January 1, 2017, has not experienced any actual or, to the knowledge of the Company, threatened arbitrations, grievances, labor disputes, strikes, lockouts, picketing, hand-billing, slowdowns or work stoppages against or affecting the Company or its Subsidiaries.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ind w:right="20" w:firstLine="1143"/>
        <w:spacing w:after="0" w:line="275" w:lineRule="auto"/>
        <w:tabs>
          <w:tab w:leader="none" w:pos="138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and its Subsidiaries are not delinquent in payments to any employees or former employees for any services or amounts required to be reimbursed or otherwise paid.</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3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knowledge of the Company, no employee of the Company or its Subsidiaries is in any material respect in violation of any term of any employment agreement, nondisclosure agreement, non-competition agreement, restrictive covenant or other obligation: (i) to the Company or its Subsidiaries or (ii) to a former employer of any such employee relating (A) to the right of any such employee to be employed by the Company or its Subsidiaries or (B) to the knowledge or use of Trade Secrets or proprietary information.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4.15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material Tax Returns required by Law to be filed by the Company or its Subsidiaries have been duly and timely filed (after giving effect to any valid extensions of time in which to make such filings).</w:t>
      </w:r>
    </w:p>
    <w:p>
      <w:pPr>
        <w:spacing w:after="0" w:line="151" w:lineRule="exact"/>
        <w:rPr>
          <w:rFonts w:ascii="Arial" w:cs="Arial" w:eastAsia="Arial" w:hAnsi="Arial"/>
          <w:sz w:val="16"/>
          <w:szCs w:val="16"/>
          <w:color w:val="auto"/>
        </w:rPr>
      </w:pPr>
    </w:p>
    <w:p>
      <w:pPr>
        <w:ind w:right="20" w:firstLine="1143"/>
        <w:spacing w:after="0" w:line="275" w:lineRule="auto"/>
        <w:tabs>
          <w:tab w:leader="none" w:pos="13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material amounts of Taxes shown due on any Tax Returns of the Company and its Subsidiaries and all other material amounts of Taxes owed by the Company and its Subsidiaries have been timely paid.</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the Company and its Subsidiaries has (i) withheld all material amounts of Taxes required to have been withheld by it in connection with amounts paid to any employee, independent contractor, creditor, shareholder or any other third party, and (ii) remitted such amounts required to have been remitted to the appropriate Governmental Authority.</w:t>
      </w:r>
    </w:p>
    <w:p>
      <w:pPr>
        <w:spacing w:after="0" w:line="162" w:lineRule="exact"/>
        <w:rPr>
          <w:rFonts w:ascii="Arial" w:cs="Arial" w:eastAsia="Arial" w:hAnsi="Arial"/>
          <w:sz w:val="16"/>
          <w:szCs w:val="16"/>
          <w:color w:val="auto"/>
        </w:rPr>
      </w:pPr>
    </w:p>
    <w:p>
      <w:pPr>
        <w:jc w:val="both"/>
        <w:ind w:firstLine="1143"/>
        <w:spacing w:after="0" w:line="297" w:lineRule="auto"/>
        <w:tabs>
          <w:tab w:leader="none" w:pos="1387"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Neither the Company nor its Subsidiaries is currently engaged in any material audit, administrative or judicial proceeding with a taxing authority with respect to Taxes. Neither the Company nor its Subsidiaries has received any written notice from a taxing authority of a proposed deficiency of a material amount of Taxes, other than any such deficiencies that have since been resolved. No written claim has been made by any Governmental Authority in a jurisdiction where the Company or any of its Subsidiaries does not file a Tax Return that such entity is or may be subject to Taxes by that jurisdiction in respect of Taxes that would be the subject of such Tax Return, which claim has not been resolved. There are no outstanding agreements extending or waiving the statutory period of limitations applicable to any claim for, or the period for the collection or assessment or reassessment of, material Taxes of the Company or its Subsidiaries, and no written request for any such waiver or extension is currently pending.</w:t>
      </w:r>
    </w:p>
    <w:p>
      <w:pPr>
        <w:spacing w:after="0" w:line="143" w:lineRule="exact"/>
        <w:rPr>
          <w:rFonts w:ascii="Arial" w:cs="Arial" w:eastAsia="Arial" w:hAnsi="Arial"/>
          <w:sz w:val="14"/>
          <w:szCs w:val="14"/>
          <w:color w:val="auto"/>
        </w:rPr>
      </w:pPr>
    </w:p>
    <w:p>
      <w:pPr>
        <w:jc w:val="both"/>
        <w:ind w:right="20" w:firstLine="1143"/>
        <w:spacing w:after="0" w:line="262" w:lineRule="auto"/>
        <w:tabs>
          <w:tab w:leader="none" w:pos="13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Neither the Company nor its Subsidiaries (or any predecessor thereof) has constituted either a “distributing corporation” or a “controlled corporation” in a distribution of stock qualifying for tax-free treatment under Section 355 of the Code (or so much of Section 356 of the Code as relates to Section 355 of the Code) in the prior two years.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ind w:left="1340" w:hanging="197"/>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the Company nor its Subsidiaries has been a party to any “listed transaction” within the meaning of Treasury Regulation Section 1.6011-4(b)(2).</w:t>
      </w:r>
    </w:p>
    <w:p>
      <w:pPr>
        <w:spacing w:after="0" w:line="221" w:lineRule="exact"/>
        <w:rPr>
          <w:rFonts w:ascii="Arial" w:cs="Arial" w:eastAsia="Arial" w:hAnsi="Arial"/>
          <w:sz w:val="14"/>
          <w:szCs w:val="14"/>
          <w:color w:val="auto"/>
        </w:rPr>
      </w:pPr>
    </w:p>
    <w:p>
      <w:pPr>
        <w:jc w:val="both"/>
        <w:ind w:firstLine="1143"/>
        <w:spacing w:after="0" w:line="295" w:lineRule="auto"/>
        <w:tabs>
          <w:tab w:leader="none" w:pos="1374"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with respect to deferred revenue or prepaid subscription revenues collected by the Company and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Governmental Authority (including any closing agreement pursuant to Section 7121 of the Code or any similar provision of Tax Law) issue or executed prior to the Closing; (C) installment sale or open transaction disposition made prior to the Closing; (D) prepaid amount received prior to the Closing; (E) intercompany transaction or excess loss accounts described in the Treasury Regulations promulgated under Section 1502 of the Code (or any corresponding or similar provision of state, local or foreign income Tax Law) that existed prior to the Closing; or (F) Section 965 of the Code.</w:t>
      </w:r>
    </w:p>
    <w:p>
      <w:pPr>
        <w:spacing w:after="0" w:line="144" w:lineRule="exact"/>
        <w:rPr>
          <w:rFonts w:ascii="Arial" w:cs="Arial" w:eastAsia="Arial" w:hAnsi="Arial"/>
          <w:sz w:val="14"/>
          <w:szCs w:val="14"/>
          <w:color w:val="auto"/>
        </w:rPr>
      </w:pPr>
    </w:p>
    <w:p>
      <w:pPr>
        <w:ind w:left="1360" w:hanging="217"/>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are no Liens with respect to Taxes on any of the assets of the Company or its Subsidiaries, other than Permitted Liens.</w:t>
      </w:r>
    </w:p>
    <w:p>
      <w:pPr>
        <w:spacing w:after="0" w:line="198" w:lineRule="exact"/>
        <w:rPr>
          <w:rFonts w:ascii="Arial" w:cs="Arial" w:eastAsia="Arial" w:hAnsi="Arial"/>
          <w:sz w:val="16"/>
          <w:szCs w:val="16"/>
          <w:color w:val="auto"/>
        </w:rPr>
      </w:pPr>
    </w:p>
    <w:p>
      <w:pPr>
        <w:ind w:right="20" w:firstLine="1143"/>
        <w:spacing w:after="0" w:line="275" w:lineRule="auto"/>
        <w:tabs>
          <w:tab w:leader="none" w:pos="13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the Company nor its Subsidiaries has any liability for the Taxes of any Person (other than the Company or its Subsidiaries) (i) under Treasury Regulation Section 1.1502-6 (or any similar provision of state, local or foreign Law) or (ii) as a transferee or successor.</w:t>
      </w:r>
    </w:p>
    <w:p>
      <w:pPr>
        <w:spacing w:after="0" w:line="151" w:lineRule="exact"/>
        <w:rPr>
          <w:rFonts w:ascii="Arial" w:cs="Arial" w:eastAsia="Arial" w:hAnsi="Arial"/>
          <w:sz w:val="16"/>
          <w:szCs w:val="16"/>
          <w:color w:val="auto"/>
        </w:rPr>
      </w:pPr>
    </w:p>
    <w:p>
      <w:pPr>
        <w:ind w:right="20" w:firstLine="1143"/>
        <w:spacing w:after="0" w:line="349" w:lineRule="auto"/>
        <w:tabs>
          <w:tab w:leader="none" w:pos="1338"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a party to, or bound by, or has any obligation to, any Governmental Authority or other Person under any Tax allocation, Tax sharing or Tax indemnification agreements (except, in each case, for any such agreements that are commercial contracts not primarily relating to Taxes).</w:t>
      </w:r>
    </w:p>
    <w:p>
      <w:pPr>
        <w:spacing w:after="0" w:line="105" w:lineRule="exact"/>
        <w:rPr>
          <w:rFonts w:ascii="Arial" w:cs="Arial" w:eastAsia="Arial" w:hAnsi="Arial"/>
          <w:sz w:val="14"/>
          <w:szCs w:val="14"/>
          <w:color w:val="auto"/>
        </w:rPr>
      </w:pPr>
    </w:p>
    <w:p>
      <w:pPr>
        <w:ind w:right="20" w:firstLine="1143"/>
        <w:spacing w:after="0" w:line="309" w:lineRule="auto"/>
        <w:tabs>
          <w:tab w:leader="none" w:pos="1392" w:val="left"/>
        </w:tabs>
        <w:numPr>
          <w:ilvl w:val="0"/>
          <w:numId w:val="45"/>
        </w:numPr>
        <w:rPr>
          <w:rFonts w:ascii="Arial" w:cs="Arial" w:eastAsia="Arial" w:hAnsi="Arial"/>
          <w:sz w:val="15"/>
          <w:szCs w:val="15"/>
          <w:color w:val="auto"/>
        </w:rPr>
      </w:pPr>
      <w:r>
        <w:rPr>
          <w:rFonts w:ascii="Arial" w:cs="Arial" w:eastAsia="Arial" w:hAnsi="Arial"/>
          <w:sz w:val="15"/>
          <w:szCs w:val="15"/>
          <w:color w:val="auto"/>
        </w:rPr>
        <w:t>Neither the Company nor any of its Subsidiaries has made an entity classification election pursuant to Treasury Regulation Section 301.7701-3 to be classified as other than such entity’s default classification pursuant to Treasury Regulation Section 301.7701-3(b) for U.S. federal income tax purposes.</w:t>
      </w:r>
    </w:p>
    <w:p>
      <w:pPr>
        <w:spacing w:after="0" w:line="129" w:lineRule="exact"/>
        <w:rPr>
          <w:rFonts w:ascii="Arial" w:cs="Arial" w:eastAsia="Arial" w:hAnsi="Arial"/>
          <w:sz w:val="15"/>
          <w:szCs w:val="15"/>
          <w:color w:val="auto"/>
        </w:rPr>
      </w:pPr>
    </w:p>
    <w:p>
      <w:pPr>
        <w:ind w:right="20" w:firstLine="1143"/>
        <w:spacing w:after="0" w:line="275" w:lineRule="auto"/>
        <w:tabs>
          <w:tab w:leader="none" w:pos="13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and has not been at any time during the five (5) year period ending on the Closing Date, a “United States real property holding corporation” within the meaning of Section 897(c)(2) of the Code.</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41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of the Company and its Subsidiaries is in compliance with applicable United States and foreign transfer pricing Laws and regulations in all material respects, including the execution and maintenance of contemporaneous documentation substantiating the transfer pricing practices and methodology of each of the Company and its Subsidiaries.</w:t>
      </w:r>
    </w:p>
    <w:p>
      <w:pPr>
        <w:spacing w:after="0" w:line="162" w:lineRule="exact"/>
        <w:rPr>
          <w:rFonts w:ascii="Arial" w:cs="Arial" w:eastAsia="Arial" w:hAnsi="Arial"/>
          <w:sz w:val="16"/>
          <w:szCs w:val="16"/>
          <w:color w:val="auto"/>
        </w:rPr>
      </w:pPr>
    </w:p>
    <w:p>
      <w:pPr>
        <w:ind w:right="20" w:firstLine="1143"/>
        <w:spacing w:after="0" w:line="275" w:lineRule="auto"/>
        <w:tabs>
          <w:tab w:leader="none" w:pos="13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 the knowledge of the Company, there are no facts, circumstances or plans that, either alone or in combination, could reasonably be expected to prevent the Transactions from qualifying for the Intended Tax Treatment.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4" w:name="page55"/>
    <w:bookmarkEnd w:id="54"/>
    <w:p>
      <w:pPr>
        <w:ind w:left="1360" w:hanging="217"/>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has not made an election under Section 965(h) of the Code.</w:t>
      </w:r>
    </w:p>
    <w:p>
      <w:pPr>
        <w:spacing w:after="0" w:line="198" w:lineRule="exact"/>
        <w:rPr>
          <w:rFonts w:ascii="Arial" w:cs="Arial" w:eastAsia="Arial" w:hAnsi="Arial"/>
          <w:sz w:val="16"/>
          <w:szCs w:val="16"/>
          <w:color w:val="auto"/>
        </w:rPr>
      </w:pPr>
    </w:p>
    <w:p>
      <w:pPr>
        <w:jc w:val="both"/>
        <w:ind w:firstLine="1143"/>
        <w:spacing w:after="0" w:line="258" w:lineRule="auto"/>
        <w:tabs>
          <w:tab w:leader="none" w:pos="1393"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set forth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contains the exclusive representations and warranties of the Company with respect to Tax matters. Nothing in this </w:t>
      </w:r>
      <w:r>
        <w:rPr>
          <w:rFonts w:ascii="Arial" w:cs="Arial" w:eastAsia="Arial" w:hAnsi="Arial"/>
          <w:sz w:val="16"/>
          <w:szCs w:val="16"/>
          <w:u w:val="single" w:color="auto"/>
          <w:color w:val="auto"/>
        </w:rPr>
        <w:t>Section 4.15</w:t>
      </w:r>
      <w:r>
        <w:rPr>
          <w:rFonts w:ascii="Arial" w:cs="Arial" w:eastAsia="Arial" w:hAnsi="Arial"/>
          <w:sz w:val="16"/>
          <w:szCs w:val="16"/>
          <w:color w:val="auto"/>
        </w:rPr>
        <w:t xml:space="preserve"> shall be construed as providing a representation or warranty with respect to (i) other than the representations and warranties set forth in </w:t>
      </w:r>
      <w:r>
        <w:rPr>
          <w:rFonts w:ascii="Arial" w:cs="Arial" w:eastAsia="Arial" w:hAnsi="Arial"/>
          <w:sz w:val="16"/>
          <w:szCs w:val="16"/>
          <w:u w:val="single" w:color="auto"/>
          <w:color w:val="auto"/>
        </w:rPr>
        <w:t>Section 4.15(g)</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4.15(i)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4.15(j)</w:t>
      </w:r>
      <w:r>
        <w:rPr>
          <w:rFonts w:ascii="Arial" w:cs="Arial" w:eastAsia="Arial" w:hAnsi="Arial"/>
          <w:sz w:val="16"/>
          <w:szCs w:val="16"/>
          <w:color w:val="auto"/>
        </w:rPr>
        <w:t>, any taxable period (or portion thereof) beginning following the Closing Date or (ii) the existence, amount, expiration date or limitations on (or availability of) any Tax attribute.</w:t>
      </w:r>
    </w:p>
    <w:p>
      <w:pPr>
        <w:spacing w:after="0" w:line="161"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b w:val="1"/>
          <w:bCs w:val="1"/>
          <w:u w:val="single" w:color="auto"/>
          <w:color w:val="auto"/>
        </w:rPr>
        <w:t>Brokers’ Fees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4.16</w:t>
      </w:r>
      <w:r>
        <w:rPr>
          <w:rFonts w:ascii="Arial" w:cs="Arial" w:eastAsia="Arial" w:hAnsi="Arial"/>
          <w:sz w:val="16"/>
          <w:szCs w:val="16"/>
          <w:color w:val="auto"/>
        </w:rPr>
        <w:t>, no broker, finder, investment banker or other Person is entitled to any brokerage fee, finders’ fee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commission in connection with the transactions contemplated by this Agreement based upon arrangements made by the Company, its Subsidiaries or any of their Affiliates for which the Company or any of its Subsidiaries has any obligation.</w:t>
      </w:r>
    </w:p>
    <w:p>
      <w:pPr>
        <w:spacing w:after="0" w:line="15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b w:val="1"/>
          <w:bCs w:val="1"/>
          <w:color w:val="auto"/>
        </w:rPr>
        <w:t xml:space="preserve">Section 4.17 </w:t>
      </w:r>
      <w:r>
        <w:rPr>
          <w:rFonts w:ascii="Arial" w:cs="Arial" w:eastAsia="Arial" w:hAnsi="Arial"/>
          <w:sz w:val="14"/>
          <w:szCs w:val="14"/>
          <w:b w:val="1"/>
          <w:bCs w:val="1"/>
          <w:u w:val="single" w:color="auto"/>
          <w:color w:val="auto"/>
        </w:rPr>
        <w:t>Insurance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4.17</w:t>
      </w:r>
      <w:r>
        <w:rPr>
          <w:rFonts w:ascii="Arial" w:cs="Arial" w:eastAsia="Arial" w:hAnsi="Arial"/>
          <w:sz w:val="14"/>
          <w:szCs w:val="14"/>
          <w:b w:val="1"/>
          <w:bCs w:val="1"/>
          <w:color w:val="auto"/>
        </w:rPr>
        <w:t xml:space="preserve"> </w:t>
      </w:r>
      <w:r>
        <w:rPr>
          <w:rFonts w:ascii="Arial" w:cs="Arial" w:eastAsia="Arial" w:hAnsi="Arial"/>
          <w:sz w:val="14"/>
          <w:szCs w:val="14"/>
          <w:color w:val="auto"/>
        </w:rPr>
        <w:t>contains a list of all material policies or programs of self-insurance of property, fire and casualty, product liability, workers’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compensation and other forms of insurance held by, or for the benefit of, the Company or its Subsidiaries as of the date of this Agreement. True, correct and complete copies or comprehensive summaries of such insurance policies have been made available to Acquiror. With respect to each such insurance policy required to be listed on </w:t>
      </w:r>
      <w:r>
        <w:rPr>
          <w:rFonts w:ascii="Arial" w:cs="Arial" w:eastAsia="Arial" w:hAnsi="Arial"/>
          <w:sz w:val="14"/>
          <w:szCs w:val="14"/>
          <w:u w:val="single" w:color="auto"/>
          <w:color w:val="auto"/>
        </w:rPr>
        <w:t>Schedule 4.17</w:t>
      </w:r>
      <w:r>
        <w:rPr>
          <w:rFonts w:ascii="Arial" w:cs="Arial" w:eastAsia="Arial" w:hAnsi="Arial"/>
          <w:sz w:val="14"/>
          <w:szCs w:val="14"/>
          <w:color w:val="auto"/>
        </w:rPr>
        <w:t>, except as would not, individually or in the aggregate, reasonably be expected to have a Material Adverse Effect, (i) all premiums due have been paid, (ii) the policy is legal, valid, binding and enforceable in accordance with its terms and, except for policies that have expired under their terms in the ordinary course, is in full force and effect, (iii) neither the Company nor its Subsidiaries is in breach or default (including any such breach or default with respect to the payment of premiums or the giving of notice), and, to the Company’s knowledge, no event has occurred which, with notice or the lapse of time or both, would constitute such a breach or default, or permit termination or modification, under the policy, and to the knowledge of the Company, no such action has been threatened and (iv) as of the date hereof, no written notice of cancellation, non-renewal, disallowance or reduction in coverage or claim or termination has been received other than in connection with ordinary renewals.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4.18 </w:t>
      </w:r>
      <w:r>
        <w:rPr>
          <w:rFonts w:ascii="Arial" w:cs="Arial" w:eastAsia="Arial" w:hAnsi="Arial"/>
          <w:sz w:val="16"/>
          <w:szCs w:val="16"/>
          <w:b w:val="1"/>
          <w:bCs w:val="1"/>
          <w:u w:val="single" w:color="auto"/>
          <w:color w:val="auto"/>
        </w:rPr>
        <w:t>Real Property; Assets</w:t>
      </w:r>
      <w:r>
        <w:rPr>
          <w:rFonts w:ascii="Arial" w:cs="Arial" w:eastAsia="Arial" w:hAnsi="Arial"/>
          <w:sz w:val="16"/>
          <w:szCs w:val="16"/>
          <w:b w:val="1"/>
          <w:bCs w:val="1"/>
          <w:color w:val="auto"/>
        </w:rPr>
        <w:t>.</w:t>
      </w:r>
    </w:p>
    <w:p>
      <w:pPr>
        <w:spacing w:after="0" w:line="202" w:lineRule="exact"/>
        <w:rPr>
          <w:sz w:val="20"/>
          <w:szCs w:val="20"/>
          <w:color w:val="auto"/>
        </w:rPr>
      </w:pPr>
    </w:p>
    <w:p>
      <w:pPr>
        <w:ind w:left="1360" w:hanging="217"/>
        <w:spacing w:after="0"/>
        <w:tabs>
          <w:tab w:leader="none" w:pos="1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real property.</w:t>
      </w:r>
    </w:p>
    <w:p>
      <w:pPr>
        <w:spacing w:after="0" w:line="198" w:lineRule="exact"/>
        <w:rPr>
          <w:rFonts w:ascii="Arial" w:cs="Arial" w:eastAsia="Arial" w:hAnsi="Arial"/>
          <w:sz w:val="16"/>
          <w:szCs w:val="16"/>
          <w:color w:val="auto"/>
        </w:rPr>
      </w:pPr>
    </w:p>
    <w:p>
      <w:pPr>
        <w:jc w:val="both"/>
        <w:ind w:firstLine="1143"/>
        <w:spacing w:after="0" w:line="280" w:lineRule="auto"/>
        <w:tabs>
          <w:tab w:leader="none" w:pos="1373" w:val="left"/>
        </w:tabs>
        <w:numPr>
          <w:ilvl w:val="0"/>
          <w:numId w:val="47"/>
        </w:numPr>
        <w:rPr>
          <w:rFonts w:ascii="Arial" w:cs="Arial" w:eastAsia="Arial" w:hAnsi="Arial"/>
          <w:sz w:val="15"/>
          <w:szCs w:val="15"/>
          <w:color w:val="auto"/>
        </w:rPr>
      </w:pPr>
      <w:r>
        <w:rPr>
          <w:rFonts w:ascii="Arial" w:cs="Arial" w:eastAsia="Arial" w:hAnsi="Arial"/>
          <w:sz w:val="15"/>
          <w:szCs w:val="15"/>
          <w:u w:val="single" w:color="auto"/>
          <w:color w:val="auto"/>
        </w:rPr>
        <w:t>Schedule 4.18(b)</w:t>
      </w:r>
      <w:r>
        <w:rPr>
          <w:rFonts w:ascii="Arial" w:cs="Arial" w:eastAsia="Arial" w:hAnsi="Arial"/>
          <w:sz w:val="15"/>
          <w:szCs w:val="15"/>
          <w:color w:val="auto"/>
        </w:rPr>
        <w:t xml:space="preserve"> contains a true, correct and complete list of all Leased Real Property as of the date of this Agreement. The Company has made available to Acquiror true, correct and complete copies of the leases, subleases, licenses and occupancy agreements (including all modifications, amendments, supplements, guaranties, extensions, renewals, waivers, side letters and other agreements relating thereto) for the Leased Real Property to which the Company or its Subsidiaries is a party (the “</w:t>
      </w:r>
      <w:r>
        <w:rPr>
          <w:rFonts w:ascii="Arial" w:cs="Arial" w:eastAsia="Arial" w:hAnsi="Arial"/>
          <w:sz w:val="15"/>
          <w:szCs w:val="15"/>
          <w:u w:val="single" w:color="auto"/>
          <w:color w:val="auto"/>
        </w:rPr>
        <w:t>Real</w:t>
      </w:r>
      <w:r>
        <w:rPr>
          <w:rFonts w:ascii="Arial" w:cs="Arial" w:eastAsia="Arial" w:hAnsi="Arial"/>
          <w:sz w:val="15"/>
          <w:szCs w:val="15"/>
          <w:color w:val="auto"/>
        </w:rPr>
        <w:t xml:space="preserve"> </w:t>
      </w:r>
      <w:r>
        <w:rPr>
          <w:rFonts w:ascii="Arial" w:cs="Arial" w:eastAsia="Arial" w:hAnsi="Arial"/>
          <w:sz w:val="15"/>
          <w:szCs w:val="15"/>
          <w:u w:val="single" w:color="auto"/>
          <w:color w:val="auto"/>
        </w:rPr>
        <w:t>Estate Documents</w:t>
      </w:r>
      <w:r>
        <w:rPr>
          <w:rFonts w:ascii="Arial" w:cs="Arial" w:eastAsia="Arial" w:hAnsi="Arial"/>
          <w:sz w:val="15"/>
          <w:szCs w:val="15"/>
          <w:color w:val="auto"/>
        </w:rPr>
        <w:t>”), and such deliverables comprise all Real Estate Documents relating to the Leased Real Property.</w:t>
      </w:r>
    </w:p>
    <w:p>
      <w:pPr>
        <w:spacing w:after="0" w:line="151" w:lineRule="exact"/>
        <w:rPr>
          <w:rFonts w:ascii="Arial" w:cs="Arial" w:eastAsia="Arial" w:hAnsi="Arial"/>
          <w:sz w:val="15"/>
          <w:szCs w:val="15"/>
          <w:color w:val="auto"/>
        </w:rPr>
      </w:pPr>
    </w:p>
    <w:p>
      <w:pPr>
        <w:jc w:val="both"/>
        <w:ind w:firstLine="1143"/>
        <w:spacing w:after="0" w:line="271" w:lineRule="auto"/>
        <w:tabs>
          <w:tab w:leader="none" w:pos="1384"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Real Estate Document (i) is a legal, valid, binding and enforceable obligation of the Company or its Subsidiaries and, to the knowledge of the Company, the other parties thereto, as applicable, subject to applicable bankruptcy, insolvency, fraudulent conveyance, reorganization, moratorium and similar Laws affecting creditors’ rights generally and subject, as to enforceability, to general principles of equity, and each such lease is in full force and effect, (ii) has not been amended or modified except as reflected in the Real Estate Documents made available to Acquiror and (iii) to the knowledge of the Company, covers the entire estate it purports to cover and, subject to securing the consents or approvals, if any, required under the Real Estate Documents to be obtained from any landlord, lender or any other third party (as applicable), in connection with the execution and delivery of this Agreement by the Company or the consummation of the transaction contemplated hereby by the Company, upon the consummation of the transactions contemplated by this Agreement, will entitle Acquiror or its Subsidiaries to the exclusive use (subject to the terms of the respective Real Estate Documents in effect with respect to the Leased Real Property), occupancy and possession of the premises specified in the Real Estate Documents for the purpose specified in the Real Estate Documents.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5" w:name="page56"/>
    <w:bookmarkEnd w:id="55"/>
    <w:p>
      <w:pPr>
        <w:jc w:val="both"/>
        <w:ind w:firstLine="1143"/>
        <w:spacing w:after="0" w:line="273" w:lineRule="auto"/>
        <w:tabs>
          <w:tab w:leader="none" w:pos="1387" w:val="left"/>
        </w:tabs>
        <w:numPr>
          <w:ilvl w:val="0"/>
          <w:numId w:val="48"/>
        </w:numPr>
        <w:rPr>
          <w:rFonts w:ascii="Arial" w:cs="Arial" w:eastAsia="Arial" w:hAnsi="Arial"/>
          <w:sz w:val="15"/>
          <w:szCs w:val="15"/>
          <w:color w:val="auto"/>
        </w:rPr>
      </w:pPr>
      <w:r>
        <w:rPr>
          <w:rFonts w:ascii="Arial" w:cs="Arial" w:eastAsia="Arial" w:hAnsi="Arial"/>
          <w:sz w:val="15"/>
          <w:szCs w:val="15"/>
          <w:color w:val="auto"/>
        </w:rPr>
        <w:t>No material default or breach by (i) the Company or its Subsidiaries or (ii) to the knowledge of the Company, any other parties thereto, as applicable, presently exists under any Real Estate Documents. Neither the Company nor its Subsidiaries has received written or, to the knowledge of the Company, oral notice of material default or breach under any Real Estate Document which has not been cured. To the knowledge of the Company, no event has occurred that, and no condition exists which, with notice or lapse of time or both, would constitute a material default or breach under any Real Estate Document by the Company or its Subsidiaries or by the other parties thereto. Neither the Company nor its Subsidiaries has subleased or otherwise granted any Person the right to use or occupy any Leased Real Property which is still in effect. Neither the Company nor its Subsidiaries has collaterally assigned or granted any other security interest in the Leased Real Property or any interest therein which is still in effect. The Company or its Subsidiaries has a good and valid leasehold title to each Leased Real Property subject only to Permitted Liens.</w:t>
      </w:r>
    </w:p>
    <w:p>
      <w:pPr>
        <w:spacing w:after="0" w:line="156" w:lineRule="exact"/>
        <w:rPr>
          <w:rFonts w:ascii="Arial" w:cs="Arial" w:eastAsia="Arial" w:hAnsi="Arial"/>
          <w:sz w:val="15"/>
          <w:szCs w:val="15"/>
          <w:color w:val="auto"/>
        </w:rPr>
      </w:pPr>
    </w:p>
    <w:p>
      <w:pPr>
        <w:jc w:val="both"/>
        <w:ind w:right="20" w:firstLine="1143"/>
        <w:spacing w:after="0" w:line="287" w:lineRule="auto"/>
        <w:tabs>
          <w:tab w:leader="none" w:pos="1365"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Neither the Company nor its Subsidiaries has received any written notice that remains outstanding as of the date of this Agreement that the current use and occupancy of the Leased Real Property and the improvements thereon (i) are prohibited by any Lien or law other than Permitted Liens or (ii) are in material violation of any of the recorded covenants, conditions, restrictions, reservations, easements or agreements applicable to such Leased Real Property.</w:t>
      </w:r>
    </w:p>
    <w:p>
      <w:pPr>
        <w:spacing w:after="0" w:line="146" w:lineRule="exact"/>
        <w:rPr>
          <w:rFonts w:ascii="Arial" w:cs="Arial" w:eastAsia="Arial" w:hAnsi="Arial"/>
          <w:sz w:val="15"/>
          <w:szCs w:val="15"/>
          <w:color w:val="auto"/>
        </w:rPr>
      </w:pPr>
    </w:p>
    <w:p>
      <w:pPr>
        <w:ind w:left="1340" w:hanging="197"/>
        <w:spacing w:after="0"/>
        <w:tabs>
          <w:tab w:leader="none" w:pos="1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for Permitted Liens, the Company and its Subsidiaries have good and valid title to the assets of the Company and its Subsidiaries.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 xml:space="preserve">Section 4.19 </w:t>
      </w:r>
      <w:r>
        <w:rPr>
          <w:rFonts w:ascii="Arial" w:cs="Arial" w:eastAsia="Arial" w:hAnsi="Arial"/>
          <w:sz w:val="15"/>
          <w:szCs w:val="15"/>
          <w:b w:val="1"/>
          <w:bCs w:val="1"/>
          <w:u w:val="single" w:color="auto"/>
          <w:color w:val="auto"/>
        </w:rPr>
        <w:t>Environmental Matters</w:t>
      </w:r>
      <w:r>
        <w:rPr>
          <w:rFonts w:ascii="Arial" w:cs="Arial" w:eastAsia="Arial" w:hAnsi="Arial"/>
          <w:sz w:val="15"/>
          <w:szCs w:val="15"/>
          <w:color w:val="auto"/>
        </w:rPr>
        <w:t>. Except as would not, individually or in the aggregate, reasonably be expected to have a Material Adverse Effect:</w:t>
      </w:r>
    </w:p>
    <w:p>
      <w:pPr>
        <w:spacing w:after="0" w:line="214" w:lineRule="exact"/>
        <w:rPr>
          <w:sz w:val="20"/>
          <w:szCs w:val="20"/>
          <w:color w:val="auto"/>
        </w:rPr>
      </w:pPr>
    </w:p>
    <w:p>
      <w:pPr>
        <w:ind w:left="1360" w:hanging="217"/>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and its Subsidiaries are and, during the last three (3) years, have been in compliance with all Environmental Laws;</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there has been no release of any Hazardous Materials by the Company or any of its Subsidiaries (i) at, in, on, from or under any Leased Real Property, (ii) to the knowledge of the Company, in connection with the Company’s or its Subsidiaries’ operations off-site of the Leased Real Property or, (iii) to the knowledge of the Company, at, in, on, from or under any formerly owned, operated or leased real property during the time that the Company or any Subsidiary owned, operated or leased such property;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6" w:name="page57"/>
    <w:bookmarkEnd w:id="56"/>
    <w:p>
      <w:pPr>
        <w:jc w:val="both"/>
        <w:ind w:firstLine="1143"/>
        <w:spacing w:after="0" w:line="262" w:lineRule="auto"/>
        <w:tabs>
          <w:tab w:leader="none" w:pos="1367"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real property owned, operated or leased by the Company or any of its Subsidiaries is subject to any Governmental Order relating to any Environmental Law or the investigation, sampling, monitoring, treatment, remediation, removal, handling, recycling or cleanup of Hazardous Materials;</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8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Action is pending or, to the knowledge of the Company, threatened and, to the knowledge of the Company, no investigation is pending or threatened with respect to Environmental Law and the Company or any of its Subsidiaries, or, to the Company’s knowledge, Environmental Law and any real property owned, operated or leased by the Company or any of its Subsidiaries;</w:t>
      </w:r>
    </w:p>
    <w:p>
      <w:pPr>
        <w:spacing w:after="0" w:line="162" w:lineRule="exact"/>
        <w:rPr>
          <w:rFonts w:ascii="Arial" w:cs="Arial" w:eastAsia="Arial" w:hAnsi="Arial"/>
          <w:sz w:val="16"/>
          <w:szCs w:val="16"/>
          <w:color w:val="auto"/>
        </w:rPr>
      </w:pPr>
    </w:p>
    <w:p>
      <w:pPr>
        <w:ind w:firstLine="1143"/>
        <w:spacing w:after="0" w:line="275" w:lineRule="auto"/>
        <w:tabs>
          <w:tab w:leader="none" w:pos="137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has assumed, either contractually or by operation of Law, the liability of any other Person relating to any Environmental Law or Hazardous Material; and</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5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made available to Acquiror all material environmental documents in the Company’s possession, including environmental reports (</w:t>
      </w:r>
      <w:r>
        <w:rPr>
          <w:rFonts w:ascii="Arial" w:cs="Arial" w:eastAsia="Arial" w:hAnsi="Arial"/>
          <w:sz w:val="16"/>
          <w:szCs w:val="16"/>
          <w:i w:val="1"/>
          <w:iCs w:val="1"/>
          <w:color w:val="auto"/>
        </w:rPr>
        <w:t>i.e.</w:t>
      </w:r>
      <w:r>
        <w:rPr>
          <w:rFonts w:ascii="Arial" w:cs="Arial" w:eastAsia="Arial" w:hAnsi="Arial"/>
          <w:sz w:val="16"/>
          <w:szCs w:val="16"/>
          <w:color w:val="auto"/>
        </w:rPr>
        <w:t>, Phase I or Phase II environmental site assessments), audits, correspondence or other material documents, in each case relating to the Leased Real Property, or any formerly owned or operated real property for which the Company may be liable under Environmental Laws.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4.20 </w:t>
      </w:r>
      <w:r>
        <w:rPr>
          <w:rFonts w:ascii="Arial" w:cs="Arial" w:eastAsia="Arial" w:hAnsi="Arial"/>
          <w:sz w:val="16"/>
          <w:szCs w:val="16"/>
          <w:b w:val="1"/>
          <w:bCs w:val="1"/>
          <w:u w:val="single" w:color="auto"/>
          <w:color w:val="auto"/>
        </w:rPr>
        <w:t>Absence of Changes</w:t>
      </w:r>
      <w:r>
        <w:rPr>
          <w:rFonts w:ascii="Arial" w:cs="Arial" w:eastAsia="Arial" w:hAnsi="Arial"/>
          <w:sz w:val="16"/>
          <w:szCs w:val="16"/>
          <w:b w:val="1"/>
          <w:bCs w:val="1"/>
          <w:color w:val="auto"/>
        </w:rPr>
        <w:t>.</w:t>
      </w:r>
    </w:p>
    <w:p>
      <w:pPr>
        <w:spacing w:after="0" w:line="202" w:lineRule="exact"/>
        <w:rPr>
          <w:sz w:val="20"/>
          <w:szCs w:val="20"/>
          <w:color w:val="auto"/>
        </w:rPr>
      </w:pPr>
    </w:p>
    <w:p>
      <w:pPr>
        <w:ind w:firstLine="1143"/>
        <w:spacing w:after="0" w:line="309" w:lineRule="auto"/>
        <w:tabs>
          <w:tab w:leader="none" w:pos="1366" w:val="left"/>
        </w:tabs>
        <w:numPr>
          <w:ilvl w:val="0"/>
          <w:numId w:val="51"/>
        </w:numPr>
        <w:rPr>
          <w:rFonts w:ascii="Arial" w:cs="Arial" w:eastAsia="Arial" w:hAnsi="Arial"/>
          <w:sz w:val="15"/>
          <w:szCs w:val="15"/>
          <w:color w:val="auto"/>
        </w:rPr>
      </w:pPr>
      <w:r>
        <w:rPr>
          <w:rFonts w:ascii="Arial" w:cs="Arial" w:eastAsia="Arial" w:hAnsi="Arial"/>
          <w:sz w:val="15"/>
          <w:szCs w:val="15"/>
          <w:color w:val="auto"/>
        </w:rPr>
        <w:t>Since June 30, 2021 through the date of this Agreement, there has not been any change, development, condition, occurrence, event or effect relating to the Company or its Subsidiaries that, individually or in the aggregate, resulted in, or would reasonably be expected to result in, a Material Adverse Effect.</w:t>
      </w:r>
    </w:p>
    <w:p>
      <w:pPr>
        <w:spacing w:after="0" w:line="129" w:lineRule="exact"/>
        <w:rPr>
          <w:rFonts w:ascii="Arial" w:cs="Arial" w:eastAsia="Arial" w:hAnsi="Arial"/>
          <w:sz w:val="15"/>
          <w:szCs w:val="15"/>
          <w:color w:val="auto"/>
        </w:rPr>
      </w:pPr>
    </w:p>
    <w:p>
      <w:pPr>
        <w:jc w:val="both"/>
        <w:ind w:firstLine="1143"/>
        <w:spacing w:after="0" w:line="317" w:lineRule="auto"/>
        <w:tabs>
          <w:tab w:leader="none" w:pos="1379"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From June 30, 2021 through the date of this Agreement, the Company and its Subsidiaries (i) have, in all material respects, conducted their business and operated their properties in the ordinary course of business consistent with past practices and (ii) have not taken any action that both (A) would require the consent of the Acquiror pursuant to </w:t>
      </w:r>
      <w:r>
        <w:rPr>
          <w:rFonts w:ascii="Arial" w:cs="Arial" w:eastAsia="Arial" w:hAnsi="Arial"/>
          <w:sz w:val="14"/>
          <w:szCs w:val="14"/>
          <w:u w:val="single" w:color="auto"/>
          <w:color w:val="auto"/>
        </w:rPr>
        <w:t>Section 6.01</w:t>
      </w:r>
      <w:r>
        <w:rPr>
          <w:rFonts w:ascii="Arial" w:cs="Arial" w:eastAsia="Arial" w:hAnsi="Arial"/>
          <w:sz w:val="14"/>
          <w:szCs w:val="14"/>
          <w:color w:val="auto"/>
        </w:rPr>
        <w:t xml:space="preserve"> if such action had been taken after the date hereof and (B) is material to the Company and its Subsidiaries, taken as a whole.</w:t>
      </w:r>
    </w:p>
    <w:p>
      <w:pPr>
        <w:spacing w:after="0" w:line="123" w:lineRule="exact"/>
        <w:rPr>
          <w:sz w:val="20"/>
          <w:szCs w:val="20"/>
          <w:color w:val="auto"/>
        </w:rPr>
      </w:pPr>
    </w:p>
    <w:p>
      <w:pPr>
        <w:jc w:val="both"/>
        <w:ind w:firstLine="574"/>
        <w:spacing w:after="0" w:line="302" w:lineRule="auto"/>
        <w:rPr>
          <w:sz w:val="20"/>
          <w:szCs w:val="20"/>
          <w:color w:val="auto"/>
        </w:rPr>
      </w:pPr>
      <w:r>
        <w:rPr>
          <w:rFonts w:ascii="Arial" w:cs="Arial" w:eastAsia="Arial" w:hAnsi="Arial"/>
          <w:sz w:val="14"/>
          <w:szCs w:val="14"/>
          <w:b w:val="1"/>
          <w:bCs w:val="1"/>
          <w:color w:val="auto"/>
        </w:rPr>
        <w:t xml:space="preserve">Section 4.21 </w:t>
      </w:r>
      <w:r>
        <w:rPr>
          <w:rFonts w:ascii="Arial" w:cs="Arial" w:eastAsia="Arial" w:hAnsi="Arial"/>
          <w:sz w:val="14"/>
          <w:szCs w:val="14"/>
          <w:b w:val="1"/>
          <w:bCs w:val="1"/>
          <w:u w:val="single" w:color="auto"/>
          <w:color w:val="auto"/>
        </w:rPr>
        <w:t>Affiliate Agreements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4.21</w:t>
      </w:r>
      <w:r>
        <w:rPr>
          <w:rFonts w:ascii="Arial" w:cs="Arial" w:eastAsia="Arial" w:hAnsi="Arial"/>
          <w:sz w:val="14"/>
          <w:szCs w:val="14"/>
          <w:b w:val="1"/>
          <w:bCs w:val="1"/>
          <w:color w:val="auto"/>
        </w:rPr>
        <w:t xml:space="preserve"> </w:t>
      </w:r>
      <w:r>
        <w:rPr>
          <w:rFonts w:ascii="Arial" w:cs="Arial" w:eastAsia="Arial" w:hAnsi="Arial"/>
          <w:sz w:val="14"/>
          <w:szCs w:val="14"/>
          <w:color w:val="auto"/>
        </w:rPr>
        <w:t>and except for, in the case of any employee, officer or director, any employment Contract 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 with respect to the issuance of equity in the Company, none of the Company or its Subsidiaries is a party to any transaction, agreement, arrangement or understanding with any (i) present or former executive officer or director of any of the Company or its Subsidiaries, (ii) beneficial owner (within the meaning of Section 13(d) of the Exchange Act) of 5% or more of the capital stock or equity interests of any of the Company or its Subsidiaries or (iii) Affiliate, “associate” or member of the “immediate family” (as such terms are respectively defined in Rules 12b-2 and 16a-1 of the Exchange Act) of any of the foregoing (each of the foregoing, a “</w:t>
      </w:r>
      <w:r>
        <w:rPr>
          <w:rFonts w:ascii="Arial" w:cs="Arial" w:eastAsia="Arial" w:hAnsi="Arial"/>
          <w:sz w:val="14"/>
          <w:szCs w:val="14"/>
          <w:u w:val="single" w:color="auto"/>
          <w:color w:val="auto"/>
        </w:rPr>
        <w:t>Company Affiliate Agreement</w:t>
      </w:r>
      <w:r>
        <w:rPr>
          <w:rFonts w:ascii="Arial" w:cs="Arial" w:eastAsia="Arial" w:hAnsi="Arial"/>
          <w:sz w:val="14"/>
          <w:szCs w:val="14"/>
          <w:color w:val="auto"/>
        </w:rPr>
        <w: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7" w:name="page58"/>
    <w:bookmarkEnd w:id="57"/>
    <w:p>
      <w:pPr>
        <w:jc w:val="both"/>
        <w:ind w:firstLine="574"/>
        <w:spacing w:after="0" w:line="308" w:lineRule="auto"/>
        <w:rPr>
          <w:sz w:val="20"/>
          <w:szCs w:val="20"/>
          <w:color w:val="auto"/>
        </w:rPr>
      </w:pPr>
      <w:r>
        <w:rPr>
          <w:rFonts w:ascii="Arial" w:cs="Arial" w:eastAsia="Arial" w:hAnsi="Arial"/>
          <w:sz w:val="14"/>
          <w:szCs w:val="14"/>
          <w:b w:val="1"/>
          <w:bCs w:val="1"/>
          <w:color w:val="auto"/>
        </w:rPr>
        <w:t xml:space="preserve">Section 4.22 </w:t>
      </w:r>
      <w:r>
        <w:rPr>
          <w:rFonts w:ascii="Arial" w:cs="Arial" w:eastAsia="Arial" w:hAnsi="Arial"/>
          <w:sz w:val="14"/>
          <w:szCs w:val="14"/>
          <w:b w:val="1"/>
          <w:bCs w:val="1"/>
          <w:u w:val="single" w:color="auto"/>
          <w:color w:val="auto"/>
        </w:rPr>
        <w:t>Internal Controls</w:t>
      </w:r>
      <w:r>
        <w:rPr>
          <w:rFonts w:ascii="Arial" w:cs="Arial" w:eastAsia="Arial" w:hAnsi="Arial"/>
          <w:sz w:val="14"/>
          <w:szCs w:val="14"/>
          <w:color w:val="auto"/>
        </w:rPr>
        <w:t>. The Company maintains a system of internal accounting controls designed to provide reasonable assurance that: (a) transactions are</w:t>
      </w:r>
      <w:r>
        <w:rPr>
          <w:rFonts w:ascii="Arial" w:cs="Arial" w:eastAsia="Arial" w:hAnsi="Arial"/>
          <w:sz w:val="14"/>
          <w:szCs w:val="14"/>
          <w:b w:val="1"/>
          <w:bCs w:val="1"/>
          <w:color w:val="auto"/>
        </w:rPr>
        <w:t xml:space="preserve"> </w:t>
      </w:r>
      <w:r>
        <w:rPr>
          <w:rFonts w:ascii="Arial" w:cs="Arial" w:eastAsia="Arial" w:hAnsi="Arial"/>
          <w:sz w:val="14"/>
          <w:szCs w:val="14"/>
          <w:color w:val="auto"/>
        </w:rPr>
        <w:t>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30"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b w:val="1"/>
          <w:bCs w:val="1"/>
          <w:color w:val="auto"/>
        </w:rPr>
        <w:t xml:space="preserve">Section 4.23 </w:t>
      </w:r>
      <w:r>
        <w:rPr>
          <w:rFonts w:ascii="Arial" w:cs="Arial" w:eastAsia="Arial" w:hAnsi="Arial"/>
          <w:sz w:val="14"/>
          <w:szCs w:val="14"/>
          <w:b w:val="1"/>
          <w:bCs w:val="1"/>
          <w:u w:val="single" w:color="auto"/>
          <w:color w:val="auto"/>
        </w:rPr>
        <w:t>Permits</w:t>
      </w:r>
      <w:r>
        <w:rPr>
          <w:rFonts w:ascii="Arial" w:cs="Arial" w:eastAsia="Arial" w:hAnsi="Arial"/>
          <w:sz w:val="14"/>
          <w:szCs w:val="14"/>
          <w:color w:val="auto"/>
        </w:rPr>
        <w:t>. Each of the Company and its Subsidiaries has all material Permits (the “</w:t>
      </w:r>
      <w:r>
        <w:rPr>
          <w:rFonts w:ascii="Arial" w:cs="Arial" w:eastAsia="Arial" w:hAnsi="Arial"/>
          <w:sz w:val="14"/>
          <w:szCs w:val="14"/>
          <w:u w:val="single" w:color="auto"/>
          <w:color w:val="auto"/>
        </w:rPr>
        <w:t>Material Permits</w:t>
      </w:r>
      <w:r>
        <w:rPr>
          <w:rFonts w:ascii="Arial" w:cs="Arial" w:eastAsia="Arial" w:hAnsi="Arial"/>
          <w:sz w:val="14"/>
          <w:szCs w:val="14"/>
          <w:color w:val="auto"/>
        </w:rPr>
        <w:t>”) that are required to own, lease or operate its</w:t>
      </w:r>
      <w:r>
        <w:rPr>
          <w:rFonts w:ascii="Arial" w:cs="Arial" w:eastAsia="Arial" w:hAnsi="Arial"/>
          <w:sz w:val="14"/>
          <w:szCs w:val="14"/>
          <w:b w:val="1"/>
          <w:bCs w:val="1"/>
          <w:color w:val="auto"/>
        </w:rPr>
        <w:t xml:space="preserve"> </w:t>
      </w:r>
      <w:r>
        <w:rPr>
          <w:rFonts w:ascii="Arial" w:cs="Arial" w:eastAsia="Arial" w:hAnsi="Arial"/>
          <w:sz w:val="14"/>
          <w:szCs w:val="14"/>
          <w:color w:val="auto"/>
        </w:rPr>
        <w:t>properties and assets and to conduct its business as currently conducted. Except as would not, individually or in the aggregate, reasonably be expected to have a Material Adverse Effect, (a) each Material Permit is in full force and effect in accordance with its terms, (b) no outstanding written notice of revocation, cancellation or termination of any Material Permit has been received by the Company or its Subsidiaries, (c) to the knowledge of the Company, none of such Permits upon its termination or expiration in the ordinary due course will not be renewed or reissued in the ordinary course of business upon terms and conditions substantially similar to its existing terms and conditions, (d) there are no Actions pending or, to the knowledge of the Company, threatened, that seek the revocation, cancellation, limitation, restriction or termination of any Material Permit and (e) each of the Company and its Subsidiaries is in compliance with all Material Permits applicable to the Company or its Subsidiaries.</w:t>
      </w:r>
    </w:p>
    <w:p>
      <w:pPr>
        <w:spacing w:after="0" w:line="140"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4.24 </w:t>
      </w:r>
      <w:r>
        <w:rPr>
          <w:rFonts w:ascii="Arial" w:cs="Arial" w:eastAsia="Arial" w:hAnsi="Arial"/>
          <w:sz w:val="16"/>
          <w:szCs w:val="16"/>
          <w:b w:val="1"/>
          <w:bCs w:val="1"/>
          <w:u w:val="single" w:color="auto"/>
          <w:color w:val="auto"/>
        </w:rPr>
        <w:t>Proxy Statement</w:t>
      </w:r>
      <w:r>
        <w:rPr>
          <w:rFonts w:ascii="Arial" w:cs="Arial" w:eastAsia="Arial" w:hAnsi="Arial"/>
          <w:sz w:val="16"/>
          <w:szCs w:val="16"/>
          <w:color w:val="auto"/>
        </w:rPr>
        <w:t>. None of the information relating to the Company or its Subsidiaries supplied by the Company, or by any other Person acting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Company, in writing specifically for inclusion or incorporation by reference in the Proxy Statement will, as of the time the Proxy Statement, as of the date it is first mailed to the Acquiror Stockholders, and at the time of the Special Meeting, contain any untrue statement of a material fact or omit to state a material fact necessary to make the statements therein, in light of the circumstances under which they were made, not misleading; provided, however, notwithstanding the foregoing provisions of this </w:t>
      </w:r>
      <w:r>
        <w:rPr>
          <w:rFonts w:ascii="Arial" w:cs="Arial" w:eastAsia="Arial" w:hAnsi="Arial"/>
          <w:sz w:val="16"/>
          <w:szCs w:val="16"/>
          <w:u w:val="single" w:color="auto"/>
          <w:color w:val="auto"/>
        </w:rPr>
        <w:t>Section 4.24</w:t>
      </w:r>
      <w:r>
        <w:rPr>
          <w:rFonts w:ascii="Arial" w:cs="Arial" w:eastAsia="Arial" w:hAnsi="Arial"/>
          <w:sz w:val="16"/>
          <w:szCs w:val="16"/>
          <w:color w:val="auto"/>
        </w:rPr>
        <w:t>, no representation or warranty is made by the Company with respect to information or statements made or incorporated by reference in the Proxy Statement that were not supplied by or on behalf of the Company for use therein.</w:t>
      </w:r>
    </w:p>
    <w:p>
      <w:pPr>
        <w:spacing w:after="0" w:line="165"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b w:val="1"/>
          <w:bCs w:val="1"/>
          <w:color w:val="auto"/>
        </w:rPr>
        <w:t xml:space="preserve">Section 4.25 </w:t>
      </w:r>
      <w:r>
        <w:rPr>
          <w:rFonts w:ascii="Arial" w:cs="Arial" w:eastAsia="Arial" w:hAnsi="Arial"/>
          <w:sz w:val="14"/>
          <w:szCs w:val="14"/>
          <w:b w:val="1"/>
          <w:bCs w:val="1"/>
          <w:u w:val="single" w:color="auto"/>
          <w:color w:val="auto"/>
        </w:rPr>
        <w:t>No Additional Representations and Warranties</w:t>
      </w:r>
      <w:r>
        <w:rPr>
          <w:rFonts w:ascii="Arial" w:cs="Arial" w:eastAsia="Arial" w:hAnsi="Arial"/>
          <w:sz w:val="14"/>
          <w:szCs w:val="14"/>
          <w:color w:val="auto"/>
        </w:rPr>
        <w:t>. Except as otherwise expressly provided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IV</w:t>
      </w:r>
      <w:r>
        <w:rPr>
          <w:rFonts w:ascii="Arial" w:cs="Arial" w:eastAsia="Arial" w:hAnsi="Arial"/>
          <w:sz w:val="14"/>
          <w:szCs w:val="14"/>
          <w:b w:val="1"/>
          <w:bCs w:val="1"/>
          <w:color w:val="auto"/>
        </w:rPr>
        <w:t xml:space="preserve"> </w:t>
      </w:r>
      <w:r>
        <w:rPr>
          <w:rFonts w:ascii="Arial" w:cs="Arial" w:eastAsia="Arial" w:hAnsi="Arial"/>
          <w:sz w:val="14"/>
          <w:szCs w:val="14"/>
          <w:color w:val="auto"/>
        </w:rPr>
        <w:t>(as modified by the Schedules),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expressly disclaims any representations or warranties of any kind or nature, express or implied, as to the condition, value or quality of the Company or the Company’s assets, and Acquiror, First Merger Sub and Second Merger Sub shall rely on their own examination and investigation thereof. None of the Company’s Affiliates or any of their respective directors, officers, employees, stockholders, partners, members or representatives has made, or is making, any representation or warranty whatsoever to Acquiror or its Affiliates, and no such party shall be liable in respect of the accuracy or completeness of any information provided to Acquiror or its Affiliates.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ACQUIROR, FIRST MERGER SUB AND SECOND MERGER SUB</w:t>
      </w:r>
    </w:p>
    <w:p>
      <w:pPr>
        <w:spacing w:after="0" w:line="18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Except as set forth in (a) the Schedules to this Agreement (each of which qualifies (i) the correspondingly numbered representation, warranty or covenant if specified therein and (ii) such other representations, warranties or covenants where its relevance as an exception to (or disclosure for purposes of) such other representation, warranty or covenant is reasonably apparent) or (b) the registration statements, reports, schedules, forms, statements and other documents filed or furnished with the SEC by Acquiror (excluding any disclosures in such Acquiror SEC Reports under the headings “Risk Factors,” “Forward-Looking Statements” or “Qualitative Disclosures About Market Risk” and other disclosures that are predictive, cautionary or forward looking in nature), each of Acquiror, First Merger Sub and Second Merger Sub represents and warrants to the Company as follows: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5.01 </w:t>
      </w:r>
      <w:r>
        <w:rPr>
          <w:rFonts w:ascii="Arial" w:cs="Arial" w:eastAsia="Arial" w:hAnsi="Arial"/>
          <w:sz w:val="16"/>
          <w:szCs w:val="16"/>
          <w:b w:val="1"/>
          <w:bCs w:val="1"/>
          <w:u w:val="single" w:color="auto"/>
          <w:color w:val="auto"/>
        </w:rPr>
        <w:t>Corporate Organization.</w:t>
      </w:r>
    </w:p>
    <w:p>
      <w:pPr>
        <w:spacing w:after="0" w:line="202" w:lineRule="exact"/>
        <w:rPr>
          <w:sz w:val="20"/>
          <w:szCs w:val="20"/>
          <w:color w:val="auto"/>
        </w:rPr>
      </w:pPr>
    </w:p>
    <w:p>
      <w:pPr>
        <w:jc w:val="both"/>
        <w:ind w:firstLine="1143"/>
        <w:spacing w:after="0" w:line="253" w:lineRule="auto"/>
        <w:tabs>
          <w:tab w:leader="none" w:pos="1382" w:val="left"/>
        </w:tabs>
        <w:numPr>
          <w:ilvl w:val="0"/>
          <w:numId w:val="52"/>
        </w:numPr>
        <w:rPr>
          <w:rFonts w:ascii="Arial" w:cs="Arial" w:eastAsia="Arial" w:hAnsi="Arial"/>
          <w:sz w:val="16"/>
          <w:szCs w:val="16"/>
          <w:color w:val="auto"/>
        </w:rPr>
      </w:pPr>
      <w:r>
        <w:rPr>
          <w:rFonts w:ascii="Arial" w:cs="Arial" w:eastAsia="Arial" w:hAnsi="Arial"/>
          <w:sz w:val="16"/>
          <w:szCs w:val="16"/>
          <w:color w:val="auto"/>
        </w:rPr>
        <w:t>Acquiror is duly incorporated and is validly existing as a corporation in good standing under the Laws of Delaware and has the corporate power and authority to own, lease or operate its assets and properties and to conduct its business as it is now being conducted. The copies of the organizational documents of Acquiror previously delivered by Acquiror to the Company are true, correct and complete and are in effect as of the date of this Agreement. Acquiror is, and at all times has been, in compliance in all material respects with all restrictions, covenants, terms and provisions set forth in its respective organizational documents. Acquiror is duly licensed or qualified and in good standing as a foreign corporation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an Acquiror Material Adverse Effect.</w:t>
      </w:r>
    </w:p>
    <w:p>
      <w:pPr>
        <w:spacing w:after="0" w:line="171" w:lineRule="exact"/>
        <w:rPr>
          <w:rFonts w:ascii="Arial" w:cs="Arial" w:eastAsia="Arial" w:hAnsi="Arial"/>
          <w:sz w:val="16"/>
          <w:szCs w:val="16"/>
          <w:color w:val="auto"/>
        </w:rPr>
      </w:pPr>
    </w:p>
    <w:p>
      <w:pPr>
        <w:ind w:firstLine="1143"/>
        <w:spacing w:after="0" w:line="275" w:lineRule="auto"/>
        <w:tabs>
          <w:tab w:leader="none" w:pos="13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First Merger Sub is a corporation duly organized, validly existing and in good standing under the Laws of Delaware, with full corporate power and authority to enter into this Agreement and perform its obligations hereunder.</w:t>
      </w:r>
    </w:p>
    <w:p>
      <w:pPr>
        <w:spacing w:after="0" w:line="151" w:lineRule="exact"/>
        <w:rPr>
          <w:rFonts w:ascii="Arial" w:cs="Arial" w:eastAsia="Arial" w:hAnsi="Arial"/>
          <w:sz w:val="16"/>
          <w:szCs w:val="16"/>
          <w:color w:val="auto"/>
        </w:rPr>
      </w:pPr>
    </w:p>
    <w:p>
      <w:pPr>
        <w:ind w:right="20" w:firstLine="1143"/>
        <w:spacing w:after="0" w:line="275" w:lineRule="auto"/>
        <w:tabs>
          <w:tab w:leader="none" w:pos="1371"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Second Merger Sub is a limited liability company duly organized, validly existing and in good standing under the Laws of Delaware, with full corporate power and authority to enter into this Agreement and perform its obligations hereunder.</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Other than First Merger Sub and Second Merger Sub, Acquiror has no other Subsidiaries or any equity or other interests in any other Person.</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5.02 </w:t>
      </w:r>
      <w:r>
        <w:rPr>
          <w:rFonts w:ascii="Arial" w:cs="Arial" w:eastAsia="Arial" w:hAnsi="Arial"/>
          <w:sz w:val="16"/>
          <w:szCs w:val="16"/>
          <w:b w:val="1"/>
          <w:bCs w:val="1"/>
          <w:u w:val="single" w:color="auto"/>
          <w:color w:val="auto"/>
        </w:rPr>
        <w:t>Due Authorization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5" w:val="left"/>
        </w:tabs>
        <w:numPr>
          <w:ilvl w:val="0"/>
          <w:numId w:val="53"/>
        </w:numPr>
        <w:rPr>
          <w:rFonts w:ascii="Arial" w:cs="Arial" w:eastAsia="Arial" w:hAnsi="Arial"/>
          <w:sz w:val="15"/>
          <w:szCs w:val="15"/>
          <w:color w:val="auto"/>
        </w:rPr>
      </w:pPr>
      <w:r>
        <w:rPr>
          <w:rFonts w:ascii="Arial" w:cs="Arial" w:eastAsia="Arial" w:hAnsi="Arial"/>
          <w:sz w:val="15"/>
          <w:szCs w:val="15"/>
          <w:color w:val="auto"/>
        </w:rPr>
        <w:t xml:space="preserve">Each of Acquiror, First Merger Sub and Second Merger Sub has all requisite corporate or entity power and authority to execute and deliver this Agreement and each ancillary agreement to this Agreement to which it is a party and (subject to the approvals described in </w:t>
      </w:r>
      <w:r>
        <w:rPr>
          <w:rFonts w:ascii="Arial" w:cs="Arial" w:eastAsia="Arial" w:hAnsi="Arial"/>
          <w:sz w:val="15"/>
          <w:szCs w:val="15"/>
          <w:u w:val="single" w:color="auto"/>
          <w:color w:val="auto"/>
        </w:rPr>
        <w:t>Section 5.06</w:t>
      </w:r>
      <w:r>
        <w:rPr>
          <w:rFonts w:ascii="Arial" w:cs="Arial" w:eastAsia="Arial" w:hAnsi="Arial"/>
          <w:sz w:val="15"/>
          <w:szCs w:val="15"/>
          <w:color w:val="auto"/>
        </w:rPr>
        <w:t>) (in the case of Acquiror), upon receipt of the Acquiror Stockholder Approval and the effectiveness of the Acquiror A&amp;R Charter, to perform its respective obligations hereunder and thereunder and to consummate the transactions contemplated hereby and thereby. The execution, delivery and performance of this Agreement and such ancillary agreements by each of Acquiror, First Merger Sub and Second Merger Sub and the consummation of the transactions contemplated hereby and thereby have been duly and validly authorized by all requisite action and, except for the Acquiror Stockholder Approval and the effectiveness of the Acquiror A&amp;R Charter, no other corporate or equivalent proceeding on the part of Acquiror, First Merger Sub or Second Merger Sub is necessary to authorize this Agreement or such ancillary agreements or Acquiror’s, First Merger Sub’s or Second Merger Sub’s performance hereunder or thereunder. This Agreement has been, and each such ancillary agreement will be, duly and validly executed and delivered by each of Acquiror, First Merger Sub and Second Merger Sub and, assuming due authorization and execution by each other party hereto and thereto, this Agreement constitutes, and each such ancillary agreement will constitute, a legal, valid and binding obligation of each of Acquiror, First Merger Sub and Second Merger Sub, enforceable against each of Acquiror, First Merger Sub and Second Merger Sub in accordance with its terms, subject to applicable bankruptcy, insolvency, fraudulent conveyance, reorganization, moratorium and similar Laws affecting creditors’ rights generally and subject, as to enforceability, to general principles of equity.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both"/>
        <w:ind w:firstLine="1143"/>
        <w:spacing w:after="0" w:line="274" w:lineRule="auto"/>
        <w:tabs>
          <w:tab w:leader="none" w:pos="1378"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affirmative vote of (i) holders of a majority of the votes of Acquiror Common Stock cast at the Special Meeting shall be required to approve each of the Issuance Proposal and each of the Subscription Proposals, (ii) holders of a majority of the outstanding shares of Acquiror Common Stock entitled to vote at the Special Meeting shall be required to approve the Amendment Proposal, and (iii) holders of a majority of the Acquiror Common Stock voted at the Special Meeting shall be required to approve the Incentive Plan Proposal, in each case, assuming a quorum is present, to approve the Proposals are the only votes of any of Acquiror’s capital stock necessary in connection with the entry into this Agreement by Acquiror, and the consummation of the transactions contemplated hereby, including the Closing (the approval by Acquiror Stockholders of all of the foregoing, collectively, the “</w:t>
      </w:r>
      <w:r>
        <w:rPr>
          <w:rFonts w:ascii="Arial" w:cs="Arial" w:eastAsia="Arial" w:hAnsi="Arial"/>
          <w:sz w:val="15"/>
          <w:szCs w:val="15"/>
          <w:u w:val="single" w:color="auto"/>
          <w:color w:val="auto"/>
        </w:rPr>
        <w:t>Acquiror Stockholder Approval</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At a meeting duly called and held, the Acquiror Board has: (i) determined that this Agreement and the transactions contemplated hereby are fair to, advisable and in the best interests of Acquiror and its stockholders; (ii) determined that the fair market value of the Company is equal to at least 80% of the amount held in the Trust Account (less any business combination marketing (in lieu of deferred underwriting) commissions and taxes payable on interest earned) as of the date hereof; (iii) approved the transactions contemplated by this Agreement as a Business Combination; and (iv) resolved to recommend to the stockholders of Acquiror approval of each of the matters requiring Acquiror Stockholder approval.</w:t>
      </w:r>
    </w:p>
    <w:p>
      <w:pPr>
        <w:spacing w:after="0" w:line="166"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5.03 </w:t>
      </w:r>
      <w:r>
        <w:rPr>
          <w:rFonts w:ascii="Arial" w:cs="Arial" w:eastAsia="Arial" w:hAnsi="Arial"/>
          <w:sz w:val="15"/>
          <w:szCs w:val="15"/>
          <w:b w:val="1"/>
          <w:bCs w:val="1"/>
          <w:u w:val="single" w:color="auto"/>
          <w:color w:val="auto"/>
        </w:rPr>
        <w:t>No Conflict</w:t>
      </w:r>
      <w:r>
        <w:rPr>
          <w:rFonts w:ascii="Arial" w:cs="Arial" w:eastAsia="Arial" w:hAnsi="Arial"/>
          <w:sz w:val="15"/>
          <w:szCs w:val="15"/>
          <w:color w:val="auto"/>
        </w:rPr>
        <w:t>. Subject to the receipt of the consents, approvals, authorizations and other requirements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5.06</w:t>
      </w:r>
      <w:r>
        <w:rPr>
          <w:rFonts w:ascii="Arial" w:cs="Arial" w:eastAsia="Arial" w:hAnsi="Arial"/>
          <w:sz w:val="15"/>
          <w:szCs w:val="15"/>
          <w:b w:val="1"/>
          <w:bCs w:val="1"/>
          <w:color w:val="auto"/>
        </w:rPr>
        <w:t xml:space="preserve"> </w:t>
      </w:r>
      <w:r>
        <w:rPr>
          <w:rFonts w:ascii="Arial" w:cs="Arial" w:eastAsia="Arial" w:hAnsi="Arial"/>
          <w:sz w:val="15"/>
          <w:szCs w:val="15"/>
          <w:color w:val="auto"/>
        </w:rPr>
        <w:t>or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Schedule 5.06</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delivery and performance of this Agreement by each of Acquiror, First Merger Sub and Second Merger Sub, upon receipt of the Acquiror Stockholder Approval and the effectiveness of the Acquiror A&amp;R Charter, the consummation of the transactions contemplated hereby do not and will not (a) conflict with or violate any provision of, or result in the breach of, the Acquiror Organizational Documents, any organizational documents of any Subsidiaries of Acquiror or any of the organizational documents of First Merger Sub and Second Merger Sub, (b) conflict with or result in any violation of any provision of any Law or Governmental Order applicable to each of Acquiror, First Merger Sub or Second Merger Sub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each of Acquiror, First Merger Sub or Second Merger Sub or any their respective Subsidiaries is a party or by which any of their respective assets or properties may be bound or affected or (d) result in the creation of any Lien upon any of the properties or assets of Acquiror, First Merger Sub or Second Merger Sub, except (in the case of clauses (b), (c) or (d) above) for such violations, conflicts, breaches or defaults which would not, individually or in the aggregate, reasonably be expected to have an Acquiror Material Adverse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jc w:val="both"/>
        <w:ind w:firstLine="574"/>
        <w:spacing w:after="0" w:line="320" w:lineRule="auto"/>
        <w:rPr>
          <w:sz w:val="20"/>
          <w:szCs w:val="20"/>
          <w:color w:val="auto"/>
        </w:rPr>
      </w:pPr>
      <w:r>
        <w:rPr>
          <w:rFonts w:ascii="Arial" w:cs="Arial" w:eastAsia="Arial" w:hAnsi="Arial"/>
          <w:sz w:val="14"/>
          <w:szCs w:val="14"/>
          <w:b w:val="1"/>
          <w:bCs w:val="1"/>
          <w:color w:val="auto"/>
        </w:rPr>
        <w:t xml:space="preserve">Section 5.04 </w:t>
      </w:r>
      <w:r>
        <w:rPr>
          <w:rFonts w:ascii="Arial" w:cs="Arial" w:eastAsia="Arial" w:hAnsi="Arial"/>
          <w:sz w:val="14"/>
          <w:szCs w:val="14"/>
          <w:b w:val="1"/>
          <w:bCs w:val="1"/>
          <w:u w:val="single" w:color="auto"/>
          <w:color w:val="auto"/>
        </w:rPr>
        <w:t>Litigation and Proceedings</w:t>
      </w:r>
      <w:r>
        <w:rPr>
          <w:rFonts w:ascii="Arial" w:cs="Arial" w:eastAsia="Arial" w:hAnsi="Arial"/>
          <w:sz w:val="14"/>
          <w:szCs w:val="14"/>
          <w:color w:val="auto"/>
        </w:rPr>
        <w:t>. There are no pending litigation or material other Actions or, to the knowledge of Acquiror, threatened, material Actions</w:t>
      </w:r>
      <w:r>
        <w:rPr>
          <w:rFonts w:ascii="Arial" w:cs="Arial" w:eastAsia="Arial" w:hAnsi="Arial"/>
          <w:sz w:val="14"/>
          <w:szCs w:val="14"/>
          <w:b w:val="1"/>
          <w:bCs w:val="1"/>
          <w:color w:val="auto"/>
        </w:rPr>
        <w:t xml:space="preserve"> </w:t>
      </w:r>
      <w:r>
        <w:rPr>
          <w:rFonts w:ascii="Arial" w:cs="Arial" w:eastAsia="Arial" w:hAnsi="Arial"/>
          <w:sz w:val="14"/>
          <w:szCs w:val="14"/>
          <w:color w:val="auto"/>
        </w:rPr>
        <w:t>and, to the knowledge of Acquiror, there are no pending or threatened material investigations, in each case, against Acquiror, or otherwise affecting Acquiror or its assets, including any condemnation or similar proceedings. As of the date of this Agreement, there is no unsatisfied judgment or any open injunction binding upon Acquiror.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5.05 </w:t>
      </w:r>
      <w:r>
        <w:rPr>
          <w:rFonts w:ascii="Arial" w:cs="Arial" w:eastAsia="Arial" w:hAnsi="Arial"/>
          <w:sz w:val="16"/>
          <w:szCs w:val="16"/>
          <w:b w:val="1"/>
          <w:bCs w:val="1"/>
          <w:u w:val="single" w:color="auto"/>
          <w:color w:val="auto"/>
        </w:rPr>
        <w:t>Compliance with Laws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right="20" w:firstLine="1143"/>
        <w:spacing w:after="0" w:line="306" w:lineRule="auto"/>
        <w:tabs>
          <w:tab w:leader="none" w:pos="1372"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Except where the failure to be, or to have been, in compliance with such Laws would not, individually or in the aggregate, reasonably be expected to be material to the Acquiror and its Subsidiaries, the Acquiror and its Subsidiaries are as of the date of this Agreement, and since December 23, 2020 through the date of this Agreement have been, in compliance in all material respects with all applicable Laws. Neither of the Acquiror nor its Subsidiaries has received any written notice from any Governmental Authority of a violation of any applicable Law by the Acquiror or its Subsidiaries at any time since December 23, 2020 through the date of this Agreement.</w:t>
      </w:r>
    </w:p>
    <w:p>
      <w:pPr>
        <w:spacing w:after="0" w:line="134" w:lineRule="exact"/>
        <w:rPr>
          <w:rFonts w:ascii="Arial" w:cs="Arial" w:eastAsia="Arial" w:hAnsi="Arial"/>
          <w:sz w:val="14"/>
          <w:szCs w:val="14"/>
          <w:color w:val="auto"/>
        </w:rPr>
      </w:pPr>
    </w:p>
    <w:p>
      <w:pPr>
        <w:jc w:val="both"/>
        <w:ind w:right="20" w:firstLine="1143"/>
        <w:spacing w:after="0" w:line="273" w:lineRule="auto"/>
        <w:tabs>
          <w:tab w:leader="none" w:pos="13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Since December 23, 2020, (i) there has been no action taken by the Acquiror, its Subsidiaries, or, to the knowledge of the Acquiror, any officer, director, shareholder, manager, employee, agent or representative of the Acquiror or its Subsidiaries, in each case, acting on behalf of the Acquiror or its Subsidiaries, in violation of any applicable Anti-Corruption Laws or Trade Control Laws, (ii) neither the Acquiror nor its Subsidiaries has been convicted of violating any Anti-Corruption Laws or Trade Control Laws or subjected to any investigation by a Governmental Authority for violation of any applicable Anti-Corruption Laws or Trade Control Laws, (iii) neither the Acquiror nor its Subsidiaries has made a voluntary, directed, or involuntary disclosure to any Governmental Authority regarding any alleged act or omission arising under or relating to any noncompliance with any Anti-Corruption Laws or Trade Control Laws and (iv) neither the Acquiror nor its Subsidiaries has received any written notice or citation from a Governmental Authority for any actual or potential noncompliance with any applicable Anti-Corruption Laws or Trade Control Laws.</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68"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None of the Acquiror, its Subsidiaries, or, to the knowledge of the Acquiror, any officer, director, shareholder, manager, employee, agent or representative of the Acquiror or its Subsidiaries, in each case, acting on behalf of the Acquiror or its Subsidiaries, is a person that is the target of sanctions or any applicable Trade Control Laws.</w:t>
      </w:r>
    </w:p>
    <w:p>
      <w:pPr>
        <w:spacing w:after="0" w:line="158"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b w:val="1"/>
          <w:bCs w:val="1"/>
          <w:color w:val="auto"/>
        </w:rPr>
        <w:t xml:space="preserve">Section 5.06 </w:t>
      </w:r>
      <w:r>
        <w:rPr>
          <w:rFonts w:ascii="Arial" w:cs="Arial" w:eastAsia="Arial" w:hAnsi="Arial"/>
          <w:sz w:val="15"/>
          <w:szCs w:val="15"/>
          <w:b w:val="1"/>
          <w:bCs w:val="1"/>
          <w:u w:val="single" w:color="auto"/>
          <w:color w:val="auto"/>
        </w:rPr>
        <w:t>Governmental Authorities; Consents</w:t>
      </w:r>
      <w:r>
        <w:rPr>
          <w:rFonts w:ascii="Arial" w:cs="Arial" w:eastAsia="Arial" w:hAnsi="Arial"/>
          <w:sz w:val="15"/>
          <w:szCs w:val="15"/>
          <w:color w:val="auto"/>
        </w:rPr>
        <w:t>. No consent, approval or authorization of, or designation, declaration or filing with, any Governmental Authority</w:t>
      </w:r>
      <w:r>
        <w:rPr>
          <w:rFonts w:ascii="Arial" w:cs="Arial" w:eastAsia="Arial" w:hAnsi="Arial"/>
          <w:sz w:val="15"/>
          <w:szCs w:val="15"/>
          <w:b w:val="1"/>
          <w:bCs w:val="1"/>
          <w:color w:val="auto"/>
        </w:rPr>
        <w:t xml:space="preserve"> </w:t>
      </w:r>
      <w:r>
        <w:rPr>
          <w:rFonts w:ascii="Arial" w:cs="Arial" w:eastAsia="Arial" w:hAnsi="Arial"/>
          <w:sz w:val="15"/>
          <w:szCs w:val="15"/>
          <w:color w:val="auto"/>
        </w:rPr>
        <w:t>is required on the part of Acquiror, First Merger Sub or Second Merger Sub with respect to Acquiror’s, First Merger Sub’s or Second Merger Sub’s execution or delivery of this Agreement or the consummation of the transactions contemplated hereby, except for applicable requirements of the HSR Act and any other applicable Antitrust Law, Securities Laws, Nasdaq and the filing and effectiveness of the Certificates of Merger and the Acquiror A&amp;R Charter.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1" w:name="page62"/>
    <w:bookmarkEnd w:id="61"/>
    <w:p>
      <w:pPr>
        <w:ind w:left="560"/>
        <w:spacing w:after="0"/>
        <w:rPr>
          <w:sz w:val="20"/>
          <w:szCs w:val="20"/>
          <w:color w:val="auto"/>
        </w:rPr>
      </w:pPr>
      <w:r>
        <w:rPr>
          <w:rFonts w:ascii="Arial" w:cs="Arial" w:eastAsia="Arial" w:hAnsi="Arial"/>
          <w:sz w:val="16"/>
          <w:szCs w:val="16"/>
          <w:b w:val="1"/>
          <w:bCs w:val="1"/>
          <w:color w:val="auto"/>
        </w:rPr>
        <w:t xml:space="preserve">Section 5.07 </w:t>
      </w:r>
      <w:r>
        <w:rPr>
          <w:rFonts w:ascii="Arial" w:cs="Arial" w:eastAsia="Arial" w:hAnsi="Arial"/>
          <w:sz w:val="16"/>
          <w:szCs w:val="16"/>
          <w:b w:val="1"/>
          <w:bCs w:val="1"/>
          <w:u w:val="single" w:color="auto"/>
          <w:color w:val="auto"/>
        </w:rPr>
        <w:t>Financial Ability; Trust Account</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8" w:lineRule="auto"/>
        <w:tabs>
          <w:tab w:leader="none" w:pos="1367" w:val="left"/>
        </w:tabs>
        <w:numPr>
          <w:ilvl w:val="0"/>
          <w:numId w:val="56"/>
        </w:numPr>
        <w:rPr>
          <w:rFonts w:ascii="Arial" w:cs="Arial" w:eastAsia="Arial" w:hAnsi="Arial"/>
          <w:sz w:val="14"/>
          <w:szCs w:val="14"/>
          <w:color w:val="auto"/>
        </w:rPr>
      </w:pPr>
      <w:r>
        <w:rPr>
          <w:rFonts w:ascii="Arial" w:cs="Arial" w:eastAsia="Arial" w:hAnsi="Arial"/>
          <w:sz w:val="14"/>
          <w:szCs w:val="14"/>
          <w:color w:val="auto"/>
        </w:rPr>
        <w:t>As of the date hereof, there is at least $174,225,000 invested in a trust account at Morgan Stanley (the “</w:t>
      </w:r>
      <w:r>
        <w:rPr>
          <w:rFonts w:ascii="Arial" w:cs="Arial" w:eastAsia="Arial" w:hAnsi="Arial"/>
          <w:sz w:val="14"/>
          <w:szCs w:val="14"/>
          <w:u w:val="single" w:color="auto"/>
          <w:color w:val="auto"/>
        </w:rPr>
        <w:t>Trust Account</w:t>
      </w:r>
      <w:r>
        <w:rPr>
          <w:rFonts w:ascii="Arial" w:cs="Arial" w:eastAsia="Arial" w:hAnsi="Arial"/>
          <w:sz w:val="14"/>
          <w:szCs w:val="14"/>
          <w:color w:val="auto"/>
        </w:rPr>
        <w:t>”), maintained by Continental Stock Transfer &amp; Trust Company, a New York corporation, acting as trustee (the “</w:t>
      </w:r>
      <w:r>
        <w:rPr>
          <w:rFonts w:ascii="Arial" w:cs="Arial" w:eastAsia="Arial" w:hAnsi="Arial"/>
          <w:sz w:val="14"/>
          <w:szCs w:val="14"/>
          <w:u w:val="single" w:color="auto"/>
          <w:color w:val="auto"/>
        </w:rPr>
        <w:t>Trustee</w:t>
      </w:r>
      <w:r>
        <w:rPr>
          <w:rFonts w:ascii="Arial" w:cs="Arial" w:eastAsia="Arial" w:hAnsi="Arial"/>
          <w:sz w:val="14"/>
          <w:szCs w:val="14"/>
          <w:color w:val="auto"/>
        </w:rPr>
        <w:t>”), pursuant to the Investment Management Trust Agreement, dated December 23, 2020, by and between Acquiror and the Trustee (the “</w:t>
      </w:r>
      <w:r>
        <w:rPr>
          <w:rFonts w:ascii="Arial" w:cs="Arial" w:eastAsia="Arial" w:hAnsi="Arial"/>
          <w:sz w:val="14"/>
          <w:szCs w:val="14"/>
          <w:u w:val="single" w:color="auto"/>
          <w:color w:val="auto"/>
        </w:rPr>
        <w:t>Trust Agreement</w:t>
      </w:r>
      <w:r>
        <w:rPr>
          <w:rFonts w:ascii="Arial" w:cs="Arial" w:eastAsia="Arial" w:hAnsi="Arial"/>
          <w:sz w:val="14"/>
          <w:szCs w:val="14"/>
          <w:color w:val="auto"/>
        </w:rPr>
        <w:t>”). The Trust Agreement is in full force and effect and is a legal, valid and binding obligation of Acquiror and, to the knowledge of Acquiror, the Trustee, enforceable in accordance with its terms, subject to applicable bankruptcy, insolvency, fraudulent conveyance, reorganization, moratorium and similar Laws affecting creditors’ rights generally and subject, as to enforceability, to general principles of equity. The Trust Agreement has not been terminated, repudiated, rescinded, amended or supplemented or modified, in any respect, and, to the knowledge of Acquiror, no such termination, repudiation, rescission, amendment, supplement or modification is contemplated. There are no side letters and there are no agreements, Contracts, arrangements or understandings, whether written or oral, with the Trustee or any other Person that would (i) cause the description of the Trust Agreement in the Acquiror SEC Reports to be inaccurate or (ii) entitle any Person (other than any Acquiror Stockholder who is a Redeeming Stockholder) to any portion of the proceeds in the Trust Account. Prior to the Closing, none of the funds held in the Trust Account may be released except in accordance with the Trust Agreement, Acquiror Organizational Documents and Acquiror’s final prospectus dated October 16, 2018. Amounts in the Trust Account are invested in United States Government securities or in money market funds meeting certain conditions under Rule 2a-7 promulgated under the Investment Company Act of 1940. Acquiror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There are no Actions pending or, to the knowledge of Acquiror, threatened with respect to the Trust Account. Since December 23, 2020, Acquiror has not released any money from the Trust Account (other than interest income earned on the principal held in the Trust Account as permitted by the Trust Agreement). As of the Effective Time, the obligations of Acquiror to dissolve or liquidate pursuant to the Acquiror Organizational Documents shall terminate, and, as of the Effective Time, Acquiror shall have no obligation whatsoever pursuant to the Acquiror Organizational Documents to dissolve and liquidate the assets of Acquiror by reason of the consummation of the transactions contemplated hereby. Following the Effective Time, no Acquiror Stockholder shall be entitled to receive any amount from the Trust Account except to the extent such Acquiror Stockholder is a Redeeming Stockholder.</w:t>
      </w:r>
    </w:p>
    <w:p>
      <w:pPr>
        <w:spacing w:after="0" w:line="346" w:lineRule="exact"/>
        <w:rPr>
          <w:rFonts w:ascii="Arial" w:cs="Arial" w:eastAsia="Arial" w:hAnsi="Arial"/>
          <w:sz w:val="14"/>
          <w:szCs w:val="14"/>
          <w:color w:val="auto"/>
        </w:rPr>
      </w:pPr>
    </w:p>
    <w:p>
      <w:pPr>
        <w:jc w:val="both"/>
        <w:ind w:right="20" w:firstLine="1143"/>
        <w:spacing w:after="0" w:line="262" w:lineRule="auto"/>
        <w:tabs>
          <w:tab w:leader="none" w:pos="13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of the date hereof, assuming the accuracy of the representations and warranties of the Company herein and the compliance by the Company with its respective obligations hereunder, Acquiror has no reason to believe that any of the conditions to the use of funds in the Trust Account will not be satisfied or funds available in the Trust Account will not be available to Acquiror on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of the date hereof, Acquiror does not have, or have any present intention, agreement, arrangement or understanding to enter into or incur, any obligations with respect to or under any Indebtedness.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2" w:name="page63"/>
    <w:bookmarkEnd w:id="62"/>
    <w:p>
      <w:pPr>
        <w:ind w:left="560"/>
        <w:spacing w:after="0"/>
        <w:rPr>
          <w:sz w:val="20"/>
          <w:szCs w:val="20"/>
          <w:color w:val="auto"/>
        </w:rPr>
      </w:pPr>
      <w:r>
        <w:rPr>
          <w:rFonts w:ascii="Arial" w:cs="Arial" w:eastAsia="Arial" w:hAnsi="Arial"/>
          <w:sz w:val="16"/>
          <w:szCs w:val="16"/>
          <w:b w:val="1"/>
          <w:bCs w:val="1"/>
          <w:color w:val="auto"/>
        </w:rPr>
        <w:t xml:space="preserve">Section 5.08 </w:t>
      </w: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w:t>
      </w:r>
    </w:p>
    <w:p>
      <w:pPr>
        <w:spacing w:after="0" w:line="202" w:lineRule="exact"/>
        <w:rPr>
          <w:sz w:val="20"/>
          <w:szCs w:val="20"/>
          <w:color w:val="auto"/>
        </w:rPr>
      </w:pPr>
    </w:p>
    <w:p>
      <w:pPr>
        <w:ind w:right="20" w:firstLine="1143"/>
        <w:spacing w:after="0" w:line="275" w:lineRule="auto"/>
        <w:tabs>
          <w:tab w:leader="none" w:pos="13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material Tax Returns required by Law to be filed by Acquiror have been duly and timely filed (after giving effect to any valid extensions of time in which to make such filings).</w:t>
      </w:r>
    </w:p>
    <w:p>
      <w:pPr>
        <w:spacing w:after="0" w:line="151" w:lineRule="exact"/>
        <w:rPr>
          <w:rFonts w:ascii="Arial" w:cs="Arial" w:eastAsia="Arial" w:hAnsi="Arial"/>
          <w:sz w:val="16"/>
          <w:szCs w:val="16"/>
          <w:color w:val="auto"/>
        </w:rPr>
      </w:pPr>
    </w:p>
    <w:p>
      <w:pPr>
        <w:ind w:left="1380" w:hanging="237"/>
        <w:spacing w:after="0"/>
        <w:tabs>
          <w:tab w:leader="none" w:pos="13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material amounts of Taxes shown due on any Tax Returns of Acquiror and all other material amounts of Taxes owed by Acquiror have been timely</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paid.</w:t>
      </w:r>
    </w:p>
    <w:p>
      <w:pPr>
        <w:spacing w:after="0" w:line="185" w:lineRule="exact"/>
        <w:rPr>
          <w:rFonts w:ascii="Arial" w:cs="Arial" w:eastAsia="Arial" w:hAnsi="Arial"/>
          <w:sz w:val="14"/>
          <w:szCs w:val="14"/>
          <w:color w:val="auto"/>
        </w:rPr>
      </w:pPr>
    </w:p>
    <w:p>
      <w:pPr>
        <w:ind w:firstLine="1143"/>
        <w:spacing w:after="0" w:line="349" w:lineRule="auto"/>
        <w:tabs>
          <w:tab w:leader="none" w:pos="1396"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Acquiror has (i) withheld all material amounts of Taxes required to have been withheld by it in connection with amounts paid to any employee, independent contractor, creditor, shareholder or any other third party, and (ii) remitted such amounts required to have been remitted to the appropriate Governmental Authority.</w:t>
      </w:r>
    </w:p>
    <w:p>
      <w:pPr>
        <w:spacing w:after="0" w:line="105" w:lineRule="exact"/>
        <w:rPr>
          <w:rFonts w:ascii="Arial" w:cs="Arial" w:eastAsia="Arial" w:hAnsi="Arial"/>
          <w:sz w:val="14"/>
          <w:szCs w:val="14"/>
          <w:color w:val="auto"/>
        </w:rPr>
      </w:pPr>
    </w:p>
    <w:p>
      <w:pPr>
        <w:jc w:val="both"/>
        <w:ind w:firstLine="1143"/>
        <w:spacing w:after="0" w:line="254" w:lineRule="auto"/>
        <w:tabs>
          <w:tab w:leader="none" w:pos="1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is not currently engaged in any material audit, administrative or judicial proceeding with a taxing authority with respect to Taxes. Acquiror has not received any written notice from a taxing authority of a proposed deficiency of a material amount of Taxes, other than any such deficiencies that have since been resolved. No written claim has been made by any Governmental Authority in a jurisdiction where Acquiror does not file a Tax Return that such entity is or may be subject to Taxes by that jurisdiction in respect of Taxes that would be the subject of such Tax Return, which claim has not been resolved. There are no outstanding agreements extending or waiving the statutory period of limitations applicable to any claim for, or the period for the collection or assessment or reassessment of, material Taxes of Acquiror, and no written request for any such waiver or extension is currently pending.</w:t>
      </w:r>
    </w:p>
    <w:p>
      <w:pPr>
        <w:spacing w:after="0" w:line="170" w:lineRule="exact"/>
        <w:rPr>
          <w:rFonts w:ascii="Arial" w:cs="Arial" w:eastAsia="Arial" w:hAnsi="Arial"/>
          <w:sz w:val="16"/>
          <w:szCs w:val="16"/>
          <w:color w:val="auto"/>
        </w:rPr>
      </w:pPr>
    </w:p>
    <w:p>
      <w:pPr>
        <w:ind w:right="20" w:firstLine="1143"/>
        <w:spacing w:after="0" w:line="275" w:lineRule="auto"/>
        <w:tabs>
          <w:tab w:leader="none" w:pos="137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has not constituted either a “distributing corporation” or a “controlled corporation” in a distribution of stock qualifying for tax-free treatment under Section 355 of the Code (or so much of Section 356 of the Code as relates to Section 355 of the Code) in the prior two years.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has not been a party to any “listed transaction” within the meaning of Treasury Regulation Section 1.6011-4(b)(2).</w:t>
      </w:r>
    </w:p>
    <w:p>
      <w:pPr>
        <w:spacing w:after="0" w:line="198" w:lineRule="exact"/>
        <w:rPr>
          <w:rFonts w:ascii="Arial" w:cs="Arial" w:eastAsia="Arial" w:hAnsi="Arial"/>
          <w:sz w:val="16"/>
          <w:szCs w:val="16"/>
          <w:color w:val="auto"/>
        </w:rPr>
      </w:pPr>
    </w:p>
    <w:p>
      <w:pPr>
        <w:jc w:val="both"/>
        <w:ind w:firstLine="1143"/>
        <w:spacing w:after="0" w:line="297" w:lineRule="auto"/>
        <w:tabs>
          <w:tab w:leader="none" w:pos="1381" w:val="left"/>
        </w:tabs>
        <w:numPr>
          <w:ilvl w:val="0"/>
          <w:numId w:val="57"/>
        </w:numPr>
        <w:rPr>
          <w:rFonts w:ascii="Arial" w:cs="Arial" w:eastAsia="Arial" w:hAnsi="Arial"/>
          <w:sz w:val="14"/>
          <w:szCs w:val="14"/>
          <w:color w:val="auto"/>
        </w:rPr>
      </w:pPr>
      <w:r>
        <w:rPr>
          <w:rFonts w:ascii="Arial" w:cs="Arial" w:eastAsia="Arial" w:hAnsi="Arial"/>
          <w:sz w:val="14"/>
          <w:szCs w:val="14"/>
          <w:color w:val="auto"/>
        </w:rPr>
        <w:t>Acquiror will not be required to include any material item of income in, or exclude any material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Governmental Authority (including any closing agreement pursuant to Section 7121 of the Code or any similar provision of Tax Law) issue or executed prior to the Closing; (C) installment sale or open transaction disposition made prior to the Closing; (D) prepaid amount received prior to the Closing; (E) intercompany transaction or excess loss accounts described in the Treasury Regulations promulgated under Section 1502 of the Code (or any corresponding or similar provision of state, local or foreign income Tax Law) that existed prior to the Closing; or (F) Section 965 of the Code.</w:t>
      </w:r>
    </w:p>
    <w:p>
      <w:pPr>
        <w:spacing w:after="0" w:line="143" w:lineRule="exact"/>
        <w:rPr>
          <w:rFonts w:ascii="Arial" w:cs="Arial" w:eastAsia="Arial" w:hAnsi="Arial"/>
          <w:sz w:val="14"/>
          <w:szCs w:val="14"/>
          <w:color w:val="auto"/>
        </w:rPr>
      </w:pPr>
    </w:p>
    <w:p>
      <w:pPr>
        <w:ind w:left="1360" w:hanging="217"/>
        <w:spacing w:after="0"/>
        <w:tabs>
          <w:tab w:leader="none" w:pos="1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There are no Liens with respect to Taxes on any of the assets of the Acquiror, other than Permitted Liens.</w:t>
      </w:r>
    </w:p>
    <w:p>
      <w:pPr>
        <w:spacing w:after="0" w:line="198" w:lineRule="exact"/>
        <w:rPr>
          <w:rFonts w:ascii="Arial" w:cs="Arial" w:eastAsia="Arial" w:hAnsi="Arial"/>
          <w:sz w:val="16"/>
          <w:szCs w:val="16"/>
          <w:color w:val="auto"/>
        </w:rPr>
      </w:pPr>
    </w:p>
    <w:p>
      <w:pPr>
        <w:ind w:right="20" w:firstLine="1143"/>
        <w:spacing w:after="0" w:line="275" w:lineRule="auto"/>
        <w:tabs>
          <w:tab w:leader="none" w:pos="13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Acquiror does not have any liability for the Taxes of any Person (other than the Company or its Subsidiaries) (i) under Treasury Regulation Section 1.1502-6 (or any similar provision of state, local or foreign Law), or (ii) as a transferee or successor.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ind w:right="20" w:firstLine="1143"/>
        <w:spacing w:after="0" w:line="275" w:lineRule="auto"/>
        <w:tabs>
          <w:tab w:leader="none" w:pos="1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Acquiror is not party to, or bound by, or have any obligation to, any Governmental Authority or other Person under any Tax allocation, Tax sharing or Tax indemnification agreements (except, in each case, for any such agreements that are commercial contracts not primarily relating to Taxes).</w:t>
      </w:r>
    </w:p>
    <w:p>
      <w:pPr>
        <w:spacing w:after="0" w:line="151" w:lineRule="exact"/>
        <w:rPr>
          <w:rFonts w:ascii="Arial" w:cs="Arial" w:eastAsia="Arial" w:hAnsi="Arial"/>
          <w:sz w:val="16"/>
          <w:szCs w:val="16"/>
          <w:color w:val="auto"/>
        </w:rPr>
      </w:pPr>
    </w:p>
    <w:p>
      <w:pPr>
        <w:ind w:firstLine="1143"/>
        <w:spacing w:after="0" w:line="275" w:lineRule="auto"/>
        <w:tabs>
          <w:tab w:leader="none" w:pos="137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knowledge of Acquiror, there are no facts, circumstances or plans that, either alone or in combination, could reasonably be expected to prevent the Transactions from qualifying for the Intended Tax Treatment.</w:t>
      </w:r>
    </w:p>
    <w:p>
      <w:pPr>
        <w:spacing w:after="0" w:line="151" w:lineRule="exact"/>
        <w:rPr>
          <w:rFonts w:ascii="Arial" w:cs="Arial" w:eastAsia="Arial" w:hAnsi="Arial"/>
          <w:sz w:val="16"/>
          <w:szCs w:val="16"/>
          <w:color w:val="auto"/>
        </w:rPr>
      </w:pPr>
    </w:p>
    <w:p>
      <w:pPr>
        <w:jc w:val="both"/>
        <w:ind w:right="20" w:firstLine="1143"/>
        <w:spacing w:after="0" w:line="254" w:lineRule="auto"/>
        <w:tabs>
          <w:tab w:leader="none" w:pos="13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by Acquiror nor the consummation of the transactions contemplated by this Agreement (either alone or in combination with another event) will (i) entitle any employee, director, officer or independent contractor of Acquiror or any of its Subsidiaries to severance pay or any material increase in severance pay, (ii) result in the payment of any amount to any employee, director, officer or independent contractor of Acquiror or any of its Subsidiaries that could, individually or in combination with any other such payment, constitute an “excess parachute payment” as defined in Section 280G(b)(1) of the Code, or (iii) require a “gross-up,” indemnification for, or payment to any employee, director, officer or independent contractor of Acquiror or any of its Subsidiaries for any taxes imposed under Section 409A or Section 4999 of the Code or any other tax.</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41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Other than the representations and warranties set forth in Section 5.10,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contains the exclusive representations and warranties of Acquiror with respect to Tax matters. Nothing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shall be construed as providing a representation or warranty with respect to (i) other than the representations and warranties set forth in </w:t>
      </w:r>
      <w:r>
        <w:rPr>
          <w:rFonts w:ascii="Arial" w:cs="Arial" w:eastAsia="Arial" w:hAnsi="Arial"/>
          <w:sz w:val="16"/>
          <w:szCs w:val="16"/>
          <w:u w:val="single" w:color="auto"/>
          <w:color w:val="auto"/>
        </w:rPr>
        <w:t>Section 5.08(g)</w:t>
      </w:r>
      <w:r>
        <w:rPr>
          <w:rFonts w:ascii="Arial" w:cs="Arial" w:eastAsia="Arial" w:hAnsi="Arial"/>
          <w:sz w:val="16"/>
          <w:szCs w:val="16"/>
          <w:color w:val="auto"/>
        </w:rPr>
        <w:t>, (i) and (j) any taxable period (or portion thereof) beginning following the Closing Date or (ii) the existence, amount, expiration date or limitations on (or availability of) any Tax attribute.</w:t>
      </w:r>
    </w:p>
    <w:p>
      <w:pPr>
        <w:spacing w:after="0" w:line="161"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5.09 </w:t>
      </w:r>
      <w:r>
        <w:rPr>
          <w:rFonts w:ascii="Arial" w:cs="Arial" w:eastAsia="Arial" w:hAnsi="Arial"/>
          <w:sz w:val="16"/>
          <w:szCs w:val="16"/>
          <w:b w:val="1"/>
          <w:bCs w:val="1"/>
          <w:u w:val="single" w:color="auto"/>
          <w:color w:val="auto"/>
        </w:rPr>
        <w:t>Brokers’ Fees</w:t>
      </w:r>
      <w:r>
        <w:rPr>
          <w:rFonts w:ascii="Arial" w:cs="Arial" w:eastAsia="Arial" w:hAnsi="Arial"/>
          <w:sz w:val="16"/>
          <w:szCs w:val="16"/>
          <w:color w:val="auto"/>
        </w:rPr>
        <w:t>. Except for fees described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5.09</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amounts owed with respect thereto), no broker, finder, investment banker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is entitled to any brokerage fee, finders’ fee or other commission in connection with the transactions contemplated by this Agreement based upon arrangements made by Acquiror, First Merger Sub or Second Merger Sub or any of their respective Affiliates, including the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254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Acquiror SEC Reports; Financial Statements; Sarbanes-Oxley Act</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0" w:lineRule="auto"/>
        <w:tabs>
          <w:tab w:leader="none" w:pos="1364" w:val="left"/>
        </w:tabs>
        <w:numPr>
          <w:ilvl w:val="0"/>
          <w:numId w:val="59"/>
        </w:numPr>
        <w:rPr>
          <w:rFonts w:ascii="Arial" w:cs="Arial" w:eastAsia="Arial" w:hAnsi="Arial"/>
          <w:sz w:val="15"/>
          <w:szCs w:val="15"/>
          <w:color w:val="auto"/>
        </w:rPr>
      </w:pPr>
      <w:r>
        <w:rPr>
          <w:rFonts w:ascii="Arial" w:cs="Arial" w:eastAsia="Arial" w:hAnsi="Arial"/>
          <w:sz w:val="15"/>
          <w:szCs w:val="15"/>
          <w:color w:val="auto"/>
        </w:rPr>
        <w:t>Acquiror has filed in a timely manner all required registration statements, reports, schedules, forms, statements and other documents required to be filed by it with the SEC since December 23, 2020 (collectively, as they have been amended since the time of their filing and including all exhibits thereto, the “</w:t>
      </w:r>
      <w:r>
        <w:rPr>
          <w:rFonts w:ascii="Arial" w:cs="Arial" w:eastAsia="Arial" w:hAnsi="Arial"/>
          <w:sz w:val="15"/>
          <w:szCs w:val="15"/>
          <w:u w:val="single" w:color="auto"/>
          <w:color w:val="auto"/>
        </w:rPr>
        <w:t>Acquiror SEC Reports</w:t>
      </w:r>
      <w:r>
        <w:rPr>
          <w:rFonts w:ascii="Arial" w:cs="Arial" w:eastAsia="Arial" w:hAnsi="Arial"/>
          <w:sz w:val="15"/>
          <w:szCs w:val="15"/>
          <w:color w:val="auto"/>
        </w:rPr>
        <w:t>”). Acquiror has furnished to the Company true and correct copies of all amendments and modifications that have not been filed by Acquiror with the SEC to all agreements, documents, and other instruments (if any) that previously had been filed by Acquiror with the SEC and are currently in effect. None of the Acquiror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Acquiror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Acquiror as of the respective dates thereof and the results of their operations and cash flows for the respective periods then ended.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4" w:name="page65"/>
    <w:bookmarkEnd w:id="64"/>
    <w:p>
      <w:pPr>
        <w:jc w:val="both"/>
        <w:ind w:firstLine="1143"/>
        <w:spacing w:after="0" w:line="253" w:lineRule="auto"/>
        <w:tabs>
          <w:tab w:leader="none" w:pos="137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Acquiror has established and maintains disclosure controls and procedures (as defined in Rule 13a-15 under the Exchange Act). Such disclosure controls and procedures are designed to ensure that material information relating to Acquiror and other material information required to be disclosed by Acquiror in the reports and other documents that it files or furnishes under the Exchange Act is recorded, processed, summarized and reported within the time periods specified in the rules and forms of the SEC, and that all such material information is accumulated and communicated to Acquiror’s principal executive officer and its principal financial officer as appropriate to allow timely decisions regarding required disclosure and to make the certifications required pursuant to Sections 302 and 906 of the Sarbanes-Oxley Act. Such disclosure controls and procedures are effective in timely alerting Acquiror’s principal executive officer and principal financial officer to material information required to be included in Acquiror’s periodic reports required under the Exchange Act.</w:t>
      </w:r>
    </w:p>
    <w:p>
      <w:pPr>
        <w:spacing w:after="0" w:line="171" w:lineRule="exact"/>
        <w:rPr>
          <w:rFonts w:ascii="Arial" w:cs="Arial" w:eastAsia="Arial" w:hAnsi="Arial"/>
          <w:sz w:val="16"/>
          <w:szCs w:val="16"/>
          <w:color w:val="auto"/>
        </w:rPr>
      </w:pPr>
    </w:p>
    <w:p>
      <w:pPr>
        <w:ind w:right="20" w:firstLine="1143"/>
        <w:spacing w:after="0" w:line="309" w:lineRule="auto"/>
        <w:tabs>
          <w:tab w:leader="none" w:pos="1371" w:val="left"/>
        </w:tabs>
        <w:numPr>
          <w:ilvl w:val="0"/>
          <w:numId w:val="60"/>
        </w:numPr>
        <w:rPr>
          <w:rFonts w:ascii="Arial" w:cs="Arial" w:eastAsia="Arial" w:hAnsi="Arial"/>
          <w:sz w:val="15"/>
          <w:szCs w:val="15"/>
          <w:color w:val="auto"/>
        </w:rPr>
      </w:pPr>
      <w:r>
        <w:rPr>
          <w:rFonts w:ascii="Arial" w:cs="Arial" w:eastAsia="Arial" w:hAnsi="Arial"/>
          <w:sz w:val="15"/>
          <w:szCs w:val="15"/>
          <w:color w:val="auto"/>
        </w:rPr>
        <w:t>Acquiror has established and maintained a system of internal controls. Such internal controls are sufficient to provide reasonable assurance regarding the reliability of Acquiror’s financial reporting and the preparation of Acquiror’s financial statements for external purposes in accordance with GAAP.</w:t>
      </w:r>
    </w:p>
    <w:p>
      <w:pPr>
        <w:spacing w:after="0" w:line="129" w:lineRule="exact"/>
        <w:rPr>
          <w:rFonts w:ascii="Arial" w:cs="Arial" w:eastAsia="Arial" w:hAnsi="Arial"/>
          <w:sz w:val="15"/>
          <w:szCs w:val="15"/>
          <w:color w:val="auto"/>
        </w:rPr>
      </w:pPr>
    </w:p>
    <w:p>
      <w:pPr>
        <w:ind w:right="20" w:firstLine="1143"/>
        <w:spacing w:after="0" w:line="275" w:lineRule="auto"/>
        <w:tabs>
          <w:tab w:leader="none" w:pos="1378"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There are no outstanding loans or other extensions of credit made by Acquiror to any executive officer (as defined in Rule 3b-7 under the Exchange Act) or director of Acquiror. Acquiror has not taken any action prohibited by Section 402 of the Sarbanes-Oxley Act.</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6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Neither Acquiror (including any employee thereof) nor Acquiror’s independent auditors has identified or been made aware of (i) any significant deficiency or material weakness in the system of internal accounting controls utilized by Acquiror, (ii) any fraud, whether or not material, that involves Acquiror’s management or other employees who have a role in the preparation of financial statements or the internal accounting controls utilized by Acquiror or (iii) any claim or allegation regarding any of the foregoing.</w:t>
      </w:r>
    </w:p>
    <w:p>
      <w:pPr>
        <w:spacing w:after="0" w:line="164" w:lineRule="exact"/>
        <w:rPr>
          <w:rFonts w:ascii="Arial" w:cs="Arial" w:eastAsia="Arial" w:hAnsi="Arial"/>
          <w:sz w:val="16"/>
          <w:szCs w:val="16"/>
          <w:color w:val="auto"/>
        </w:rPr>
      </w:pPr>
    </w:p>
    <w:p>
      <w:pPr>
        <w:ind w:right="20" w:firstLine="1143"/>
        <w:spacing w:after="0" w:line="349" w:lineRule="auto"/>
        <w:tabs>
          <w:tab w:leader="none" w:pos="135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To the knowledge of Acquiror, as of the date hereof, there are no outstanding SEC comments from the SEC with respect to the Acquiror SEC Reports. To the knowledge of Acquiror, none of the Acquiror SEC Reports filed on or prior to the date hereof is subject to ongoing SEC review or investigation as of the date hereof.</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5.11 </w:t>
      </w:r>
      <w:r>
        <w:rPr>
          <w:rFonts w:ascii="Arial" w:cs="Arial" w:eastAsia="Arial" w:hAnsi="Arial"/>
          <w:sz w:val="16"/>
          <w:szCs w:val="16"/>
          <w:b w:val="1"/>
          <w:bCs w:val="1"/>
          <w:u w:val="single" w:color="auto"/>
          <w:color w:val="auto"/>
        </w:rPr>
        <w:t>Business Activities; Undisclosed Liabilities; Absence of Changes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76" w:lineRule="auto"/>
        <w:tabs>
          <w:tab w:leader="none" w:pos="1394" w:val="left"/>
        </w:tabs>
        <w:numPr>
          <w:ilvl w:val="0"/>
          <w:numId w:val="61"/>
        </w:numPr>
        <w:rPr>
          <w:rFonts w:ascii="Arial" w:cs="Arial" w:eastAsia="Arial" w:hAnsi="Arial"/>
          <w:sz w:val="15"/>
          <w:szCs w:val="15"/>
          <w:color w:val="auto"/>
        </w:rPr>
      </w:pPr>
      <w:r>
        <w:rPr>
          <w:rFonts w:ascii="Arial" w:cs="Arial" w:eastAsia="Arial" w:hAnsi="Arial"/>
          <w:sz w:val="15"/>
          <w:szCs w:val="15"/>
          <w:color w:val="auto"/>
        </w:rPr>
        <w:t>Since its incorporation, Acquiror has not conducted any business activities other than activities directed toward the accomplishment of a Business Combination. Except as set forth in the Acquiror Organizational Documents, there is no agreement, commitment or Governmental Order binding upon Acquiror or to which Acquiror is a party which has had or would reasonably be expected to have the effect of prohibiting or impairing any business practice of Acquiror or any acquisition of property by Acquiror or the conduct of business by Acquiror as currently conducted or as currently contemplated to be conducted as of the Closing other than such effects, individually or in the aggregate, which have not had and would not reasonably be expected to have an Acquiror Material Adverse Effect.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5" w:name="page66"/>
    <w:bookmarkEnd w:id="65"/>
    <w:p>
      <w:pPr>
        <w:jc w:val="both"/>
        <w:ind w:firstLine="1143"/>
        <w:spacing w:after="0" w:line="258" w:lineRule="auto"/>
        <w:tabs>
          <w:tab w:leader="none" w:pos="13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Acquiror does not own or have a right to acquire, directly or indirectly, any interest or investment (whether equity or debt) in any corporation, partnership, joint venture, business, trust or other entity. Except for this Agreement and the Transactions, Acquiror has no interests,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64" w:lineRule="exact"/>
        <w:rPr>
          <w:rFonts w:ascii="Arial" w:cs="Arial" w:eastAsia="Arial" w:hAnsi="Arial"/>
          <w:sz w:val="16"/>
          <w:szCs w:val="16"/>
          <w:color w:val="auto"/>
        </w:rPr>
      </w:pPr>
    </w:p>
    <w:p>
      <w:pPr>
        <w:jc w:val="both"/>
        <w:ind w:right="20" w:firstLine="1143"/>
        <w:spacing w:after="0" w:line="276" w:lineRule="auto"/>
        <w:tabs>
          <w:tab w:leader="none" w:pos="1366"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Except for (i) this Agreement and the agreements expressly contemplated hereby (including any agreements permitted by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(ii) as set forth on </w:t>
      </w:r>
      <w:r>
        <w:rPr>
          <w:rFonts w:ascii="Arial" w:cs="Arial" w:eastAsia="Arial" w:hAnsi="Arial"/>
          <w:sz w:val="15"/>
          <w:szCs w:val="15"/>
          <w:u w:val="single" w:color="auto"/>
          <w:color w:val="auto"/>
        </w:rPr>
        <w:t>Schedule 5.11(c)</w:t>
      </w:r>
      <w:r>
        <w:rPr>
          <w:rFonts w:ascii="Arial" w:cs="Arial" w:eastAsia="Arial" w:hAnsi="Arial"/>
          <w:sz w:val="15"/>
          <w:szCs w:val="15"/>
          <w:color w:val="auto"/>
        </w:rPr>
        <w:t xml:space="preserve"> and (iii) with respect to fees and expenses of Acquiror’s legal, financial and other advisors, Acquiror is not, and at no time has been, party to any Contract with any other Person that would require payments by Acquiror in excess of $75,000 monthly, $150,000 in the aggregate annually with respect to any individual Contract or more than $500,000 in the aggregate annually when taken together with all other Contracts (other than this Agreement and the agreements expressly contemplated hereby (including any agreements permitted by </w:t>
      </w:r>
      <w:r>
        <w:rPr>
          <w:rFonts w:ascii="Arial" w:cs="Arial" w:eastAsia="Arial" w:hAnsi="Arial"/>
          <w:sz w:val="15"/>
          <w:szCs w:val="15"/>
          <w:u w:val="single" w:color="auto"/>
          <w:color w:val="auto"/>
        </w:rPr>
        <w:t>Section 7.03</w:t>
      </w:r>
      <w:r>
        <w:rPr>
          <w:rFonts w:ascii="Arial" w:cs="Arial" w:eastAsia="Arial" w:hAnsi="Arial"/>
          <w:sz w:val="15"/>
          <w:szCs w:val="15"/>
          <w:color w:val="auto"/>
        </w:rPr>
        <w:t xml:space="preserve">) and Contracts set forth on </w:t>
      </w:r>
      <w:r>
        <w:rPr>
          <w:rFonts w:ascii="Arial" w:cs="Arial" w:eastAsia="Arial" w:hAnsi="Arial"/>
          <w:sz w:val="15"/>
          <w:szCs w:val="15"/>
          <w:u w:val="single" w:color="auto"/>
          <w:color w:val="auto"/>
        </w:rPr>
        <w:t>Schedule 5.11(c)</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jc w:val="both"/>
        <w:ind w:firstLine="1143"/>
        <w:spacing w:after="0" w:line="253" w:lineRule="auto"/>
        <w:tabs>
          <w:tab w:leader="none" w:pos="137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There is no liability, debt or obligation against Acquiror or its Subsidiaries, except for liabilities and obligations (i) reflected or reserved for on Acquiror’s consolidated balance sheet for the quarterly period ended June 30, 2021 or disclosed in the notes thereto (other than any such liabilities not reflected, reserved or disclosed as are not and would not be, in the aggregate, material to Acquiror and its Subsidiaries, taken as a whole), (ii) that have arisen since the date of Acquiror’s consolidated balance sheet for the quarterly period June 30, 2021 in the ordinary course of the operation of business of the Acquiror and its Subsidiaries (other than any such liabilities as are not and would not be, in the aggregate, material to Acquiror and its Subsidiaries, taken as a whole), (iii) disclosed in </w:t>
      </w:r>
      <w:r>
        <w:rPr>
          <w:rFonts w:ascii="Arial" w:cs="Arial" w:eastAsia="Arial" w:hAnsi="Arial"/>
          <w:sz w:val="16"/>
          <w:szCs w:val="16"/>
          <w:u w:val="single" w:color="auto"/>
          <w:color w:val="auto"/>
        </w:rPr>
        <w:t>Schedule 5.11(d)</w:t>
      </w:r>
      <w:r>
        <w:rPr>
          <w:rFonts w:ascii="Arial" w:cs="Arial" w:eastAsia="Arial" w:hAnsi="Arial"/>
          <w:sz w:val="16"/>
          <w:szCs w:val="16"/>
          <w:color w:val="auto"/>
        </w:rPr>
        <w:t>, (iv) arising under this Agreement and/or the performance by the Company of its obligations hereunder or (v) that would not, individually or in the aggregate, reasonably be expected to be material to the Acquiror and its Subsidiaries, taken as a whole.</w:t>
      </w:r>
    </w:p>
    <w:p>
      <w:pPr>
        <w:spacing w:after="0" w:line="171" w:lineRule="exact"/>
        <w:rPr>
          <w:rFonts w:ascii="Arial" w:cs="Arial" w:eastAsia="Arial" w:hAnsi="Arial"/>
          <w:sz w:val="16"/>
          <w:szCs w:val="16"/>
          <w:color w:val="auto"/>
        </w:rPr>
      </w:pPr>
    </w:p>
    <w:p>
      <w:pPr>
        <w:ind w:firstLine="1143"/>
        <w:spacing w:after="0" w:line="275" w:lineRule="auto"/>
        <w:tabs>
          <w:tab w:leader="none" w:pos="136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Neither First Merger Sub nor Second Merger Sub owns or has a right to acquire, directly or indirectly, any interest or investment (whether equity or debt) in any corporation, partnership, joint venture, business, trust or other entity.</w:t>
      </w:r>
    </w:p>
    <w:p>
      <w:pPr>
        <w:spacing w:after="0" w:line="151" w:lineRule="exact"/>
        <w:rPr>
          <w:rFonts w:ascii="Arial" w:cs="Arial" w:eastAsia="Arial" w:hAnsi="Arial"/>
          <w:sz w:val="16"/>
          <w:szCs w:val="16"/>
          <w:color w:val="auto"/>
        </w:rPr>
      </w:pPr>
    </w:p>
    <w:p>
      <w:pPr>
        <w:jc w:val="both"/>
        <w:ind w:right="20" w:firstLine="1143"/>
        <w:spacing w:after="0" w:line="287" w:lineRule="auto"/>
        <w:tabs>
          <w:tab w:leader="none" w:pos="1355" w:val="left"/>
        </w:tabs>
        <w:numPr>
          <w:ilvl w:val="0"/>
          <w:numId w:val="62"/>
        </w:numPr>
        <w:rPr>
          <w:rFonts w:ascii="Arial" w:cs="Arial" w:eastAsia="Arial" w:hAnsi="Arial"/>
          <w:sz w:val="15"/>
          <w:szCs w:val="15"/>
          <w:color w:val="auto"/>
        </w:rPr>
      </w:pPr>
      <w:r>
        <w:rPr>
          <w:rFonts w:ascii="Arial" w:cs="Arial" w:eastAsia="Arial" w:hAnsi="Arial"/>
          <w:sz w:val="15"/>
          <w:szCs w:val="15"/>
          <w:color w:val="auto"/>
        </w:rPr>
        <w:t>First Merger Sub was formed solely for the purpose of effecting the Mergers and has not engaged in any business activities or conducted any operations other than in connection with the Mergers and has no, and at all times prior to the Effective Time except as contemplated by this Agreement or the ancillary agreements to this Agreement, will have no, assets, liabilities or obligations of any kind or nature whatsoever other than those incident to its formation.</w:t>
      </w:r>
    </w:p>
    <w:p>
      <w:pPr>
        <w:spacing w:after="0" w:line="146" w:lineRule="exact"/>
        <w:rPr>
          <w:rFonts w:ascii="Arial" w:cs="Arial" w:eastAsia="Arial" w:hAnsi="Arial"/>
          <w:sz w:val="15"/>
          <w:szCs w:val="15"/>
          <w:color w:val="auto"/>
        </w:rPr>
      </w:pPr>
    </w:p>
    <w:p>
      <w:pPr>
        <w:jc w:val="both"/>
        <w:ind w:firstLine="1143"/>
        <w:spacing w:after="0" w:line="287" w:lineRule="auto"/>
        <w:tabs>
          <w:tab w:leader="none" w:pos="1374" w:val="left"/>
        </w:tabs>
        <w:numPr>
          <w:ilvl w:val="0"/>
          <w:numId w:val="62"/>
        </w:numPr>
        <w:rPr>
          <w:rFonts w:ascii="Arial" w:cs="Arial" w:eastAsia="Arial" w:hAnsi="Arial"/>
          <w:sz w:val="15"/>
          <w:szCs w:val="15"/>
          <w:color w:val="auto"/>
        </w:rPr>
      </w:pPr>
      <w:r>
        <w:rPr>
          <w:rFonts w:ascii="Arial" w:cs="Arial" w:eastAsia="Arial" w:hAnsi="Arial"/>
          <w:sz w:val="15"/>
          <w:szCs w:val="15"/>
          <w:color w:val="auto"/>
        </w:rPr>
        <w:t>Second Merger Sub was formed solely for the purpose of effecting the Mergers and has not engaged in any business activities or conducted any operations other than in connection with the Mergers and has no, and at all times prior to the Second Effective Time except as contemplated by this Agreement or the ancillary agreements to this Agreement, will have no, assets, liabilities or obligations of any kind or nature whatsoever other than those incident to its formation.</w:t>
      </w:r>
    </w:p>
    <w:p>
      <w:pPr>
        <w:spacing w:after="0" w:line="146" w:lineRule="exact"/>
        <w:rPr>
          <w:rFonts w:ascii="Arial" w:cs="Arial" w:eastAsia="Arial" w:hAnsi="Arial"/>
          <w:sz w:val="15"/>
          <w:szCs w:val="15"/>
          <w:color w:val="auto"/>
        </w:rPr>
      </w:pPr>
    </w:p>
    <w:p>
      <w:pPr>
        <w:jc w:val="both"/>
        <w:ind w:right="20" w:firstLine="1143"/>
        <w:spacing w:after="0" w:line="258" w:lineRule="auto"/>
        <w:tabs>
          <w:tab w:leader="none" w:pos="1377"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(i) Since June 30, 2021 through the date of this Agreement, there has not been any change, development, condition, occurrence, event or effect relating to the Acquiror or its Subsidiaries that, individually or in the aggregate, resulted in, or would reasonably be expected to result in, an Acquiror Material Adverse Effect and (ii) from June 30, 2021 through the date of this Agreement, Acquiror and its Subsidiaries have not taken any action that would require the consent of the Company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if such action had been taken after the date hereof.</w:t>
      </w:r>
    </w:p>
    <w:p>
      <w:pPr>
        <w:spacing w:after="0" w:line="161"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5.12 </w:t>
      </w:r>
      <w:r>
        <w:rPr>
          <w:rFonts w:ascii="Arial" w:cs="Arial" w:eastAsia="Arial" w:hAnsi="Arial"/>
          <w:sz w:val="16"/>
          <w:szCs w:val="16"/>
          <w:b w:val="1"/>
          <w:bCs w:val="1"/>
          <w:u w:val="single" w:color="auto"/>
          <w:color w:val="auto"/>
        </w:rPr>
        <w:t>Proxy Statement</w:t>
      </w:r>
      <w:r>
        <w:rPr>
          <w:rFonts w:ascii="Arial" w:cs="Arial" w:eastAsia="Arial" w:hAnsi="Arial"/>
          <w:sz w:val="16"/>
          <w:szCs w:val="16"/>
          <w:color w:val="auto"/>
        </w:rPr>
        <w:t>. As of the time the Proxy Statement is first mailed to the Acquiror Stockholders, and at the time of the Special Meeting, the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(together with any amendments or supplements thereto) will not contain any untrue statement of a material fact or omit to state a material fact necessary to make the statements therein, in the light of the circumstances under which they were made, not misleading; provided, however, that Acquiror makes no representations or warranties as to the information contained in or omitted from the Proxy Statement in reliance upon and in conformity with information furnished in writing to the Acquiror by or on behalf of the Company specifically for inclusion in the Proxy Statement.</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5.13 </w:t>
      </w:r>
      <w:r>
        <w:rPr>
          <w:rFonts w:ascii="Arial" w:cs="Arial" w:eastAsia="Arial" w:hAnsi="Arial"/>
          <w:sz w:val="15"/>
          <w:szCs w:val="15"/>
          <w:b w:val="1"/>
          <w:bCs w:val="1"/>
          <w:u w:val="single" w:color="auto"/>
          <w:color w:val="auto"/>
        </w:rPr>
        <w:t>No Outside Reliance</w:t>
      </w:r>
      <w:r>
        <w:rPr>
          <w:rFonts w:ascii="Arial" w:cs="Arial" w:eastAsia="Arial" w:hAnsi="Arial"/>
          <w:sz w:val="15"/>
          <w:szCs w:val="15"/>
          <w:color w:val="auto"/>
        </w:rPr>
        <w:t>. Notwithstanding anything contained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w:t>
      </w:r>
      <w:r>
        <w:rPr>
          <w:rFonts w:ascii="Arial" w:cs="Arial" w:eastAsia="Arial" w:hAnsi="Arial"/>
          <w:sz w:val="15"/>
          <w:szCs w:val="15"/>
          <w:b w:val="1"/>
          <w:bCs w:val="1"/>
          <w:color w:val="auto"/>
        </w:rPr>
        <w:t xml:space="preserve"> </w:t>
      </w:r>
      <w:r>
        <w:rPr>
          <w:rFonts w:ascii="Arial" w:cs="Arial" w:eastAsia="Arial" w:hAnsi="Arial"/>
          <w:sz w:val="15"/>
          <w:szCs w:val="15"/>
          <w:color w:val="auto"/>
        </w:rPr>
        <w:t>or any other provision hereof, Acquiror and its Affiliates and any of its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their respective directors, officers, employees, stockholders, partners, members or representatives, acknowledge and agree that Acquiror has made its own investigation of the Company and that neither the Company nor any of its Affiliates or any of their respective directors, officers, employees, stockholders, partners, members, agents or representatives is making any representation or warranty whatsoever, express or implied, beyond those expressly given by the Company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in any ancillary agreement to this Agreement to which it is a party or certificate delivered by the Company pursuant to the Agreement, including any implied warranty or representation as to condition, merchantability, suitability or fitness for a particular purpose or trade as to any of the assets of the Company or its Subsidiaries. Without limiting the generality of the foregoing, it is understood that any cost estimates, financial or other projections or other predictions that may be contained or referred to in the Schedules or elsewhere, as well as any information, documents or other materials (including any such materials contained in any “data room” (whether or not accessed by Acquiror or its representatives) or reviewed by Acquiror pursuant to the Confidentiality Agreement) or management presentations that have been or shall hereafter be provided to Acquiror or any of its Affiliates, agents or representatives are not and will not be deemed to be representations or warranties of the Company, and no representation or warranty is made as to the accuracy or completeness of any of the foregoing except as may be expressly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of this Agreement and in any ancillary agreement to this Agreement to which it is a party or certificate delivered by the Company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254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6" w:name="page67"/>
    <w:bookmarkEnd w:id="66"/>
    <w:p>
      <w:pPr>
        <w:ind w:left="5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506095</wp:posOffset>
            </wp:positionV>
            <wp:extent cx="254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7620"/>
                    </a:xfrm>
                    <a:prstGeom prst="rect">
                      <a:avLst/>
                    </a:prstGeom>
                    <a:noFill/>
                  </pic:spPr>
                </pic:pic>
              </a:graphicData>
            </a:graphic>
          </wp:anchor>
        </w:drawing>
        <w:t xml:space="preserve">Section 5.14 </w:t>
      </w:r>
      <w:r>
        <w:rPr>
          <w:rFonts w:ascii="Arial" w:cs="Arial" w:eastAsia="Arial" w:hAnsi="Arial"/>
          <w:sz w:val="16"/>
          <w:szCs w:val="16"/>
          <w:b w:val="1"/>
          <w:bCs w:val="1"/>
          <w:u w:val="single" w:color="auto"/>
          <w:color w:val="auto"/>
        </w:rPr>
        <w:t>Capitalization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97" w:lineRule="auto"/>
        <w:tabs>
          <w:tab w:leader="none" w:pos="13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authorized capital stock of Acquiror consists of (i) 1,000,000 shares of Acquiror Preferred Stock and (ii) 50,000,000 shares of Acquiror Common Stock. As of the date of this Agreement, (A) no shares of Acquiror Preferred Stock are issued and outstanding, (B) 21,562,500 shares of Acquiror Common Stock are issued and outstanding, (C) 17,250,000 Acquiror Warrants are issued and outstanding, (D) 6,675,000 Acquiror Private Placement Warrants are issued and outstanding and (E) rights to receive 862,500 shares of Acquiror Common Stock are issued and outstanding. All of the issued and outstanding shares of Acquiror Common Stock have been duly authorized and validly issued and are fully paid and nonassessable. All outstanding Acquiror Units, shares of Acquiror Common Stock, Acquiror Warrants and Acquiror Private Placement Warrant (1) were issued in compliance in all material respects with applicable Law and (2) were not issued in breach or violation of any preemptive rights or Contract.</w:t>
      </w:r>
    </w:p>
    <w:p>
      <w:pPr>
        <w:spacing w:after="0" w:line="143" w:lineRule="exact"/>
        <w:rPr>
          <w:rFonts w:ascii="Arial" w:cs="Arial" w:eastAsia="Arial" w:hAnsi="Arial"/>
          <w:sz w:val="14"/>
          <w:szCs w:val="14"/>
          <w:color w:val="auto"/>
        </w:rPr>
      </w:pPr>
    </w:p>
    <w:p>
      <w:pPr>
        <w:jc w:val="both"/>
        <w:ind w:firstLine="1143"/>
        <w:spacing w:after="0" w:line="289" w:lineRule="auto"/>
        <w:tabs>
          <w:tab w:leader="none" w:pos="1378"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Except for this Agreement, the Acquiror Warrants, the Acquiror Private Placement Warrants, the Acquiror Rights and the Subscription Agreements, as of the date hereof, there are (i) no subscriptions, calls, options, warrants, rights or other securities convertible into or exchangeable or exercisable for shares of Acquiror Common Stock or the equity interests of Acquiror, or any other Contracts to which Acquiror is a party or by which Acquiror is bound obligating Acquiror to issue or sell any shares of capital stock of, other equity interests in or debt securities of, Acquiror, and (ii) no equity equivalents, stock appreciation rights, phantom stock ownership interests or similar rights in Acquiror. Except as disclosed in the Acquiror SEC Reports or the Acquiror Organizational Documents, there are no outstanding contractual obligations of Acquiror to repurchase, redeem or otherwise acquire any securities or equity interests of Acquiror. There are no outstanding bonds, debentures, notes or other Indebtedness of Acquiror having the right to vote (or convertible into, or exchangeable for, securities having the right to vote) on any matter for which Acquiror’s stockholders may vote. Except as disclosed in the Acquiror SEC Reports, Acquiror is not a party to any shareholders agreement, voting agreement or registration rights agreement relating to Acquiror Common Stock or any other equity interests of Acquiror. Acquiror does not own any capital stock or any other equity interests in any other Person (other than First Merger Sub and Merger Sub) or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 There are no securities or instruments issued by or to which the Acquiror is a party containing anti-dilution or similar provisions that will be triggered by the consummation of the transactions contemplated by the Subscription Agreements that have not been or will be waived on or prior to the Closing Date.</w:t>
      </w:r>
    </w:p>
    <w:p>
      <w:pPr>
        <w:spacing w:after="0" w:line="153"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of the date hereof, the authorized share capital of First Merger Sub consists of 1,000 shares of common stock, par value $0.0001 per share, of which 100 shares are issued and outstanding and beneficially held (and held of record) by Acquiror as of the date of this Agreement.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 of the date hereof, Acquiror is the sole member and owner of all (100%) of the membership interests of Second Merger Sub.</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5.15 </w:t>
      </w:r>
      <w:r>
        <w:rPr>
          <w:rFonts w:ascii="Arial" w:cs="Arial" w:eastAsia="Arial" w:hAnsi="Arial"/>
          <w:sz w:val="16"/>
          <w:szCs w:val="16"/>
          <w:b w:val="1"/>
          <w:bCs w:val="1"/>
          <w:u w:val="single" w:color="auto"/>
          <w:color w:val="auto"/>
        </w:rPr>
        <w:t>Nasdaq Stock Market Quotation</w:t>
      </w:r>
      <w:r>
        <w:rPr>
          <w:rFonts w:ascii="Arial" w:cs="Arial" w:eastAsia="Arial" w:hAnsi="Arial"/>
          <w:sz w:val="16"/>
          <w:szCs w:val="16"/>
          <w:color w:val="auto"/>
        </w:rPr>
        <w:t>. The issued and outstanding shares of Acquiror Common Stock are registered pursuant to Section 12(b)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Act and are listed for trading on Nasdaq under the symbol “VTAQ”. Acquiror is in compliance in all material respects with the rules of the Nasdaq and there is no action or proceeding pending or, to the knowledge of Acquiror, threatened against Acquiror by Nasdaq, the Financial Industry Regulatory Authority or the SEC with respect to any intention by such entity to deregister the Acquiror Common Stock or terminate the listing of Acquiror Common Stock on Nasdaq. None of Acquiror or its Affiliates has taken any action in an attempt to terminate the registration of the Acquiror Common Stock, Acquiror Warrants or Acquiror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under the Exchange Act except as contemplated by this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5.16 </w:t>
      </w:r>
      <w:r>
        <w:rPr>
          <w:rFonts w:ascii="Arial" w:cs="Arial" w:eastAsia="Arial" w:hAnsi="Arial"/>
          <w:sz w:val="16"/>
          <w:szCs w:val="16"/>
          <w:b w:val="1"/>
          <w:bCs w:val="1"/>
          <w:u w:val="single" w:color="auto"/>
          <w:color w:val="auto"/>
        </w:rPr>
        <w:t>Contracts; No Defaults</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contains a listing of all Contracts including every “material contract” (as such term is defined in Item 601(b)(10) of Regulation S-K of the SEC) (other than confidentiality and non-disclosure agreements, this Agreement and the Subscription Agreements) to which, as of the date of this Agreement, Acquiror or one or more of its Subsidiaries is a party or by which any of their respective assets are bound. True, correct and complete copies of the Contracts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have been delivered to or made available to the Company or its agents or representatives.</w:t>
      </w:r>
    </w:p>
    <w:p>
      <w:pPr>
        <w:spacing w:after="0" w:line="164" w:lineRule="exact"/>
        <w:rPr>
          <w:rFonts w:ascii="Arial" w:cs="Arial" w:eastAsia="Arial" w:hAnsi="Arial"/>
          <w:sz w:val="16"/>
          <w:szCs w:val="16"/>
          <w:color w:val="auto"/>
        </w:rPr>
      </w:pPr>
    </w:p>
    <w:p>
      <w:pPr>
        <w:jc w:val="both"/>
        <w:ind w:firstLine="1143"/>
        <w:spacing w:after="0" w:line="290" w:lineRule="auto"/>
        <w:tabs>
          <w:tab w:leader="none" w:pos="1386"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Each Contract of a type required to be listed on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whether or not set forth on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was entered into at arm’s length in all material respects and in the ordinary course of business. Except for any Contract that has terminated or will terminate upon the expiration of the stated term thereof prior to the Closing Date, with respect to any Contract of the type described in </w:t>
      </w:r>
      <w:r>
        <w:rPr>
          <w:rFonts w:ascii="Arial" w:cs="Arial" w:eastAsia="Arial" w:hAnsi="Arial"/>
          <w:sz w:val="14"/>
          <w:szCs w:val="14"/>
          <w:u w:val="single" w:color="auto"/>
          <w:color w:val="auto"/>
        </w:rPr>
        <w:t>Schedule 5.16(a)</w:t>
      </w:r>
      <w:r>
        <w:rPr>
          <w:rFonts w:ascii="Arial" w:cs="Arial" w:eastAsia="Arial" w:hAnsi="Arial"/>
          <w:sz w:val="14"/>
          <w:szCs w:val="14"/>
          <w:color w:val="auto"/>
        </w:rPr>
        <w:t xml:space="preserve">, whether or not set forth on </w:t>
      </w:r>
      <w:r>
        <w:rPr>
          <w:rFonts w:ascii="Arial" w:cs="Arial" w:eastAsia="Arial" w:hAnsi="Arial"/>
          <w:sz w:val="14"/>
          <w:szCs w:val="14"/>
          <w:u w:val="single" w:color="auto"/>
          <w:color w:val="auto"/>
        </w:rPr>
        <w:t>Schedule 5.16(a)</w:t>
      </w:r>
      <w:r>
        <w:rPr>
          <w:rFonts w:ascii="Arial" w:cs="Arial" w:eastAsia="Arial" w:hAnsi="Arial"/>
          <w:sz w:val="14"/>
          <w:szCs w:val="14"/>
          <w:color w:val="auto"/>
        </w:rPr>
        <w:t>, (i) such Contracts are in full force and effect and represent the legal, valid and binding obligations of the Acquiror or its Subsidiaries party thereto and, to the knowledge of the Acquiror, represent the legal, valid and binding obligations of the other parties thereto, and, to the knowledge of the Acquiror, are enforceable by the Acquiror or its Subsidiaries to the extent a party thereto in accordance with their terms, subject in all respects to the effects of bankruptcy, insolvency, fraudulent conveyance, reorganization, moratorium and other laws relating to or affecting creditors’ rights generally and general equitable principles (whether considered in a proceeding in equity or at law), (ii) none of the Acquiror, its Subsidiaries or, to the knowledge of the Acquiror, any other party thereto is in material breach of or material default (or would be in material breach, violation or default but for the existence of a cure period) under any such Contract, (iii) since June 30, 2021, neither the Acquiror nor its Subsidiaries have received any written or, to the knowledge of the Acquiror, oral claim or notice of material breach of or material default under any such Contract, (iv) to the knowledge of the Acquiror, no event has occurred which, individually or together with other events, would reasonably be expected to result in a material breach of or a material default under any such Contract by the Acquiror or its Subsidiaries or, to the knowledge of the Acquiror, any other party thereto (in each case, with or without notice or lapse of time or both) and (v) since December 31, 2020 through the date hereof, neither the Acquiror nor its Subsidiaries have received written notice from any other party to any such Contract that such party intends to terminate or not renew any such Contract.</w:t>
      </w:r>
    </w:p>
    <w:p>
      <w:pPr>
        <w:spacing w:after="0" w:line="144"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5.17 </w:t>
      </w:r>
      <w:r>
        <w:rPr>
          <w:rFonts w:ascii="Arial" w:cs="Arial" w:eastAsia="Arial" w:hAnsi="Arial"/>
          <w:sz w:val="16"/>
          <w:szCs w:val="16"/>
          <w:b w:val="1"/>
          <w:bCs w:val="1"/>
          <w:u w:val="single" w:color="auto"/>
          <w:color w:val="auto"/>
        </w:rPr>
        <w:t>Title to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5.17</w:t>
      </w:r>
      <w:r>
        <w:rPr>
          <w:rFonts w:ascii="Arial" w:cs="Arial" w:eastAsia="Arial" w:hAnsi="Arial"/>
          <w:sz w:val="16"/>
          <w:szCs w:val="16"/>
          <w:color w:val="auto"/>
        </w:rPr>
        <w:t>, neither the Acquiror nor any of its Subsidiaries (a) owns or leases any real or personal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or (b) is a party to any agreement or option to purchase any real property, personal property or other material interest therein.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5.18 </w:t>
      </w: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Neither the Acquiror nor any of its Subsidiaries is an “investment company” within the meaning of the Investment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1940, as amended.</w:t>
      </w:r>
    </w:p>
    <w:p>
      <w:pPr>
        <w:spacing w:after="0" w:line="144"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b w:val="1"/>
          <w:bCs w:val="1"/>
          <w:color w:val="auto"/>
        </w:rPr>
        <w:t xml:space="preserve">Section 5.19 </w:t>
      </w:r>
      <w:r>
        <w:rPr>
          <w:rFonts w:ascii="Arial" w:cs="Arial" w:eastAsia="Arial" w:hAnsi="Arial"/>
          <w:sz w:val="14"/>
          <w:szCs w:val="14"/>
          <w:b w:val="1"/>
          <w:bCs w:val="1"/>
          <w:u w:val="single" w:color="auto"/>
          <w:color w:val="auto"/>
        </w:rPr>
        <w:t>Affiliate Agreements</w:t>
      </w:r>
      <w:r>
        <w:rPr>
          <w:rFonts w:ascii="Arial" w:cs="Arial" w:eastAsia="Arial" w:hAnsi="Arial"/>
          <w:sz w:val="14"/>
          <w:szCs w:val="14"/>
          <w:color w:val="auto"/>
        </w:rPr>
        <w:t>. Except as set forth on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Schedule 5.19</w:t>
      </w:r>
      <w:r>
        <w:rPr>
          <w:rFonts w:ascii="Arial" w:cs="Arial" w:eastAsia="Arial" w:hAnsi="Arial"/>
          <w:sz w:val="14"/>
          <w:szCs w:val="14"/>
          <w:b w:val="1"/>
          <w:bCs w:val="1"/>
          <w:color w:val="auto"/>
        </w:rPr>
        <w:t xml:space="preserve"> </w:t>
      </w:r>
      <w:r>
        <w:rPr>
          <w:rFonts w:ascii="Arial" w:cs="Arial" w:eastAsia="Arial" w:hAnsi="Arial"/>
          <w:sz w:val="14"/>
          <w:szCs w:val="14"/>
          <w:color w:val="auto"/>
        </w:rPr>
        <w:t>and except for, in the case of any employee, officer or director, any employment Contract or</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 with respect to the issuance of equity in Acquiror, none of the Acquiror or its Subsidiaries is a party to any transaction, agreement, arrangement or understanding with any (i) present or former executive officer or director of any of the Acquiror or its Subsidiaries, (ii) beneficial owner (within the meaning of Section 13(d) of the Exchange Act) of 5% or more of the capital stock or equity interests of any of the Acquiror or its Subsidiaries or (iii) Affiliate, “associate” or member of the “immediate family” (as such terms are respectively defined in Rules 12b-2 and 16a-1 of the Exchange Act) of any of the foregoing (each of the foregoing, an “</w:t>
      </w:r>
      <w:r>
        <w:rPr>
          <w:rFonts w:ascii="Arial" w:cs="Arial" w:eastAsia="Arial" w:hAnsi="Arial"/>
          <w:sz w:val="14"/>
          <w:szCs w:val="14"/>
          <w:u w:val="single" w:color="auto"/>
          <w:color w:val="auto"/>
        </w:rPr>
        <w:t>Acquiror Affiliate Agreement</w:t>
      </w:r>
      <w:r>
        <w:rPr>
          <w:rFonts w:ascii="Arial" w:cs="Arial" w:eastAsia="Arial" w:hAnsi="Arial"/>
          <w:sz w:val="14"/>
          <w:szCs w:val="14"/>
          <w:color w:val="auto"/>
        </w:rPr>
        <w:t>”).</w:t>
      </w:r>
    </w:p>
    <w:p>
      <w:pPr>
        <w:spacing w:after="0" w:line="134"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b w:val="1"/>
          <w:bCs w:val="1"/>
          <w:color w:val="auto"/>
        </w:rPr>
        <w:t xml:space="preserve">Section 5.20 </w:t>
      </w:r>
      <w:r>
        <w:rPr>
          <w:rFonts w:ascii="Arial" w:cs="Arial" w:eastAsia="Arial" w:hAnsi="Arial"/>
          <w:sz w:val="14"/>
          <w:szCs w:val="14"/>
          <w:b w:val="1"/>
          <w:bCs w:val="1"/>
          <w:u w:val="single" w:color="auto"/>
          <w:color w:val="auto"/>
        </w:rPr>
        <w:t>Subscription Agreements</w:t>
      </w:r>
      <w:r>
        <w:rPr>
          <w:rFonts w:ascii="Arial" w:cs="Arial" w:eastAsia="Arial" w:hAnsi="Arial"/>
          <w:sz w:val="14"/>
          <w:szCs w:val="14"/>
          <w:color w:val="auto"/>
        </w:rPr>
        <w:t>. The Acquiror has delivered to the Company a true, correct and complete copy of each Subscription Agreement executed on or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prior to the date hereof, pursuant to which certain Investors have committed, subject to the terms and conditions therein, to purchase shares of Acquiror Common Stock, convertible debt securities of Acquiror and warrants to purchase shares or Acquiror Common Stock, for total proceeds equal to the Base Subscription Amount. To the knowledge of Acquiror, each Subscription Agreement is in full force and effect and is legal, valid and binding upon the Acquiror and the applicable Investor, enforceable in accordance with its terms. Each Subscription Agreement has not been withdrawn, terminated, amended or modified since the date of delivery hereunder and prior to the execution of this Agreement, and, to the knowledge of Acquiror, as of the date of this Agreement no such withdrawal, termination, amendment or modification is contemplated, and as of the date of this Agreement the commitments contained in each Subscription Agreement have not been withdrawn, terminated or rescinded by the applicable Investor in any respect. As of the date hereof, there are no side letters or Contracts to which Acquiror, First Merger Sub or Second Merger Sub is a party related to the provision or funding, as applicable, of the purchases contemplated by each Subscription Agreement or the transactions contemplated hereby other than as expressly set forth in this Agreement, each Subscription Agreement or any other agreement entered into (or to be entered into) in connection with the Transactions delivered to the Company. Acquiror has fully paid any and all commitment fees or other fees required in connection with each Subscription Agreement that are payable on or prior to the date hereof and will pay any and all such fees when and as the same become due and payable after the date hereof pursuant to each Subscription Agreement. Acquiror has, and to the knowledge of Acquiror, each Investor has, complied with all of its obligations under each Subscription Agreement. There are 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 (i) constitute a default or breach on the part of Acquiror or, to the knowledge of Acquiror as of the date hereof, any Investor, (ii)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constitute a failure to satisfy a condition on the part of Acquiror or, to the knowledge of Acquiror as of the date hereof, the applicable Investor or (iii)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to the knowledge of Acquiror as of the date hereof, result in any portion of the amounts to be paid by each Investor in accordance with each Subscription Agreement being unavailable on the Closing Date. As of the date hereof, assuming the conditions set forth in </w:t>
      </w:r>
      <w:r>
        <w:rPr>
          <w:rFonts w:ascii="Arial" w:cs="Arial" w:eastAsia="Arial" w:hAnsi="Arial"/>
          <w:sz w:val="14"/>
          <w:szCs w:val="14"/>
          <w:u w:val="single" w:color="auto"/>
          <w:color w:val="auto"/>
        </w:rPr>
        <w:t>Section 9.01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will be satisfied, Acquiror has no reason to believe that any of the conditions to the consummation of the purchases under each Subscription Agreement will not be satisfied, and, as of the date hereof, Acquiror is not aware of the existence of any fact or event that would or would reasonably be expected to cause such conditions not to be satisfied.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THE COMPANY</w:t>
      </w:r>
    </w:p>
    <w:p>
      <w:pPr>
        <w:spacing w:after="0" w:line="198"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b w:val="1"/>
          <w:bCs w:val="1"/>
          <w:color w:val="auto"/>
        </w:rPr>
        <w:t xml:space="preserve">Section 6.01 </w:t>
      </w:r>
      <w:r>
        <w:rPr>
          <w:rFonts w:ascii="Arial" w:cs="Arial" w:eastAsia="Arial" w:hAnsi="Arial"/>
          <w:sz w:val="15"/>
          <w:szCs w:val="15"/>
          <w:b w:val="1"/>
          <w:bCs w:val="1"/>
          <w:u w:val="single" w:color="auto"/>
          <w:color w:val="auto"/>
        </w:rPr>
        <w:t>Conduct of Business</w:t>
      </w:r>
      <w:r>
        <w:rPr>
          <w:rFonts w:ascii="Arial" w:cs="Arial" w:eastAsia="Arial" w:hAnsi="Arial"/>
          <w:sz w:val="15"/>
          <w:szCs w:val="15"/>
          <w:color w:val="auto"/>
        </w:rPr>
        <w:t>. From the date of this Agreement until the earlier of the Closing Date or the termination of this Agreement in accordance with its</w:t>
      </w:r>
      <w:r>
        <w:rPr>
          <w:rFonts w:ascii="Arial" w:cs="Arial" w:eastAsia="Arial" w:hAnsi="Arial"/>
          <w:sz w:val="15"/>
          <w:szCs w:val="15"/>
          <w:b w:val="1"/>
          <w:bCs w:val="1"/>
          <w:color w:val="auto"/>
        </w:rPr>
        <w:t xml:space="preserve"> </w:t>
      </w:r>
      <w:r>
        <w:rPr>
          <w:rFonts w:ascii="Arial" w:cs="Arial" w:eastAsia="Arial" w:hAnsi="Arial"/>
          <w:sz w:val="15"/>
          <w:szCs w:val="15"/>
          <w:color w:val="auto"/>
        </w:rPr>
        <w:t>terms (the “</w:t>
      </w:r>
      <w:r>
        <w:rPr>
          <w:rFonts w:ascii="Arial" w:cs="Arial" w:eastAsia="Arial" w:hAnsi="Arial"/>
          <w:sz w:val="15"/>
          <w:szCs w:val="15"/>
          <w:u w:val="single" w:color="auto"/>
          <w:color w:val="auto"/>
        </w:rPr>
        <w:t>Interim Period</w:t>
      </w:r>
      <w:r>
        <w:rPr>
          <w:rFonts w:ascii="Arial" w:cs="Arial" w:eastAsia="Arial" w:hAnsi="Arial"/>
          <w:sz w:val="15"/>
          <w:szCs w:val="15"/>
          <w:color w:val="auto"/>
        </w:rPr>
        <w:t xml:space="preserve">”), the Company shall, and shall cause its Subsidiaries to, except in relation to the Permitted Acquisitions and except as set forth on </w:t>
      </w:r>
      <w:r>
        <w:rPr>
          <w:rFonts w:ascii="Arial" w:cs="Arial" w:eastAsia="Arial" w:hAnsi="Arial"/>
          <w:sz w:val="15"/>
          <w:szCs w:val="15"/>
          <w:u w:val="single" w:color="auto"/>
          <w:color w:val="auto"/>
        </w:rPr>
        <w:t>Schedule 6.01</w:t>
      </w:r>
      <w:r>
        <w:rPr>
          <w:rFonts w:ascii="Arial" w:cs="Arial" w:eastAsia="Arial" w:hAnsi="Arial"/>
          <w:sz w:val="15"/>
          <w:szCs w:val="15"/>
          <w:color w:val="auto"/>
        </w:rPr>
        <w:t xml:space="preserve">, as expressly contemplated by this Agreement or as consented to by Acquiror in writing (which consent shall not be unreasonably conditioned, withheld or delayed), or as may be required by Law, use commercially reasonable efforts to (A) conduct and operate its business in the ordinary course, (B) preserve intact the current business organization and ongoing businesses of the Company and its Subsidiaries, and (C) maintain the existing relations and goodwill of the Company and its Subsidiaries with customers, suppliers, joint venture partners, distributors and creditors of the Company and its Subsidiaries and. Without limiting the generality of the foregoing, and, except as set forth on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6.01</w:t>
      </w:r>
      <w:r>
        <w:rPr>
          <w:rFonts w:ascii="Arial" w:cs="Arial" w:eastAsia="Arial" w:hAnsi="Arial"/>
          <w:sz w:val="15"/>
          <w:szCs w:val="15"/>
          <w:color w:val="auto"/>
        </w:rPr>
        <w:t>, as expressly contemplated by this Agreement or as consented to by Acquiror in writing (which consent shall not be unreasonably conditioned, withheld or delayed), or as may be required by Law, the Company shall not, and the Company shall cause its Subsidiaries not to, during the Interim Period, except as otherwise contemplated by this Agreement:</w:t>
      </w:r>
    </w:p>
    <w:p>
      <w:pPr>
        <w:spacing w:after="0" w:line="157" w:lineRule="exact"/>
        <w:rPr>
          <w:sz w:val="20"/>
          <w:szCs w:val="20"/>
          <w:color w:val="auto"/>
        </w:rPr>
      </w:pPr>
    </w:p>
    <w:p>
      <w:pPr>
        <w:ind w:left="1360" w:hanging="217"/>
        <w:spacing w:after="0"/>
        <w:tabs>
          <w:tab w:leader="none" w:pos="1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 or amend the certificate of incorporation, bylaws or other organizational documents of the Company or its Subsidiaries;</w:t>
      </w:r>
    </w:p>
    <w:p>
      <w:pPr>
        <w:spacing w:after="0" w:line="198" w:lineRule="exact"/>
        <w:rPr>
          <w:rFonts w:ascii="Arial" w:cs="Arial" w:eastAsia="Arial" w:hAnsi="Arial"/>
          <w:sz w:val="16"/>
          <w:szCs w:val="16"/>
          <w:color w:val="auto"/>
        </w:rPr>
      </w:pPr>
    </w:p>
    <w:p>
      <w:pPr>
        <w:jc w:val="both"/>
        <w:ind w:firstLine="1143"/>
        <w:spacing w:after="0" w:line="293" w:lineRule="auto"/>
        <w:tabs>
          <w:tab w:leader="none" w:pos="1396" w:val="left"/>
        </w:tabs>
        <w:numPr>
          <w:ilvl w:val="0"/>
          <w:numId w:val="65"/>
        </w:numPr>
        <w:rPr>
          <w:rFonts w:ascii="Arial" w:cs="Arial" w:eastAsia="Arial" w:hAnsi="Arial"/>
          <w:sz w:val="14"/>
          <w:szCs w:val="14"/>
          <w:color w:val="auto"/>
        </w:rPr>
      </w:pPr>
      <w:r>
        <w:rPr>
          <w:rFonts w:ascii="Arial" w:cs="Arial" w:eastAsia="Arial" w:hAnsi="Arial"/>
          <w:sz w:val="14"/>
          <w:szCs w:val="14"/>
          <w:color w:val="auto"/>
        </w:rPr>
        <w:t>(i) make, declare or pay any dividend or distribution (whether in cash, stock or property) to the stockholders of the Company in their capacities as stockholders, (ii) effect any recapitalization, reclassification, split or other change in its capitalization in a manner that would increase the Company Merger Shares payable to the stockholders of the Company, (iii) authorize for issuance, issue, sell, transfer, pledge, encumber, dispose of or deliver any additional shares of its capital stock or securities convertible into or exchangeable for shares of its capital stock, or issue, sell, transfer, pledge, encumber or grant any right, option, or other commitment for the issuance of shares of its capital stock, or split, combine or reclassify any shares of its capital stock, or (iv) repurchase, redeem or otherwise acquire, or offer to repurchase, redeem or otherwise acquire, any shares of its capital stock or other equity interests; provided that (x) the issuance of shares of Company Stock upon exercise or settlement of any Company Options or Company Warrants in effect on the date of this Agreement, (y) grants of Company Options on or after the date of this Agreement in the ordinary course of business consistent with past practice, and (z) the issuance of shares of Company Common Stock (or other class of equity security of the Company, as applicable) pursuant to the terms of the Company Preferred Stock and the Company Convertible Notes, in each case, in effect on the date of this Agreement, shall not require the consent of Acquiror;</w:t>
      </w:r>
    </w:p>
    <w:p>
      <w:pPr>
        <w:spacing w:after="0" w:line="143" w:lineRule="exact"/>
        <w:rPr>
          <w:rFonts w:ascii="Arial" w:cs="Arial" w:eastAsia="Arial" w:hAnsi="Arial"/>
          <w:sz w:val="14"/>
          <w:szCs w:val="14"/>
          <w:color w:val="auto"/>
        </w:rPr>
      </w:pPr>
    </w:p>
    <w:p>
      <w:pPr>
        <w:jc w:val="both"/>
        <w:ind w:right="20" w:firstLine="1143"/>
        <w:spacing w:after="0" w:line="254" w:lineRule="auto"/>
        <w:tabs>
          <w:tab w:leader="none" w:pos="13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enter into, or amend or modify any material term of (in a manner adverse to the Company or any of its Subsidiaries), terminate (excluding any expiration in accordance with its terms), or waive or release any material rights, claims or benefits under, any Contract of a type required to be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(or any Contract, that if existing on the date hereof, would have been required to be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any material lease related to the Leased Real Property or any collective bargaining or similar agreement (including agreements with works councils and trade unions and side letters) to which the Company or its Subsidiaries is a party or by which it is bound, other than entry into, amendments of, modifications of, terminations of, or waivers or releases under, such agreements in the ordinary course of business consistent with past practice;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right="20" w:firstLine="1143"/>
        <w:spacing w:after="0" w:line="294" w:lineRule="auto"/>
        <w:tabs>
          <w:tab w:leader="none" w:pos="1392"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(i) sell, transfer, license, sublicense, covenant not to assert, lease, pledge or otherwise encumber or subject to any Lien, abandon, cancel, let lapse or convey or dispose of any assets, properties or business of the Company and its Subsidiaries (including Owned Intellectual Property, including Owned Company Software) that are material to the business of the Company and its Subsidiaries, taken as a whole, except for (x) dispositions of obsolete or worthless assets, (y) sales of tangible inventory or Standard Outbound Licenses, in each case, in the ordinary course of business consistent with past practice and (z) sales, abandonment, lapses of assets or items or materials in an amount not in excess of $1,000,000 in the aggregate, other than (A) as set forth on </w:t>
      </w:r>
      <w:r>
        <w:rPr>
          <w:rFonts w:ascii="Arial" w:cs="Arial" w:eastAsia="Arial" w:hAnsi="Arial"/>
          <w:sz w:val="14"/>
          <w:szCs w:val="14"/>
          <w:u w:val="single" w:color="auto"/>
          <w:color w:val="auto"/>
        </w:rPr>
        <w:t>Schedule 6.01(d)</w:t>
      </w:r>
      <w:r>
        <w:rPr>
          <w:rFonts w:ascii="Arial" w:cs="Arial" w:eastAsia="Arial" w:hAnsi="Arial"/>
          <w:sz w:val="14"/>
          <w:szCs w:val="14"/>
          <w:color w:val="auto"/>
        </w:rPr>
        <w:t>, (B) Permitted Liens or (C) pledges and encumbrances on property and assets in the ordinary course of business and that would not, individually or in the aggregate, reasonably be expected to have a Material Adverse Effect; (ii) subject any material Owned Intellectual Property (including any material Owned Company Software) to Copyleft Terms; or (iii) disclose any material Trade Secret that is Owned Intellectual Property to any Person other than pursuant to a written agreement restricting the disclosure and use thereof by such Person;</w:t>
      </w:r>
    </w:p>
    <w:p>
      <w:pPr>
        <w:spacing w:after="0" w:line="143" w:lineRule="exact"/>
        <w:rPr>
          <w:rFonts w:ascii="Arial" w:cs="Arial" w:eastAsia="Arial" w:hAnsi="Arial"/>
          <w:sz w:val="14"/>
          <w:szCs w:val="14"/>
          <w:color w:val="auto"/>
        </w:rPr>
      </w:pPr>
    </w:p>
    <w:p>
      <w:pPr>
        <w:jc w:val="both"/>
        <w:ind w:firstLine="1143"/>
        <w:spacing w:after="0" w:line="269" w:lineRule="auto"/>
        <w:tabs>
          <w:tab w:leader="none" w:pos="1390"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except as required under applicable Law or the terms of any Company Benefit Plan existing as of the date hereof (A) increase in any manner the compensation, bonus, pension, welfare, fringe or other benefits, severance or termination pay of any of the current or former directors, officers, employees or consultants of the Company or its Subsidiaries, other than increases to any such individuals who are not directors or officers of the Company or its Subsidiaries in the ordinary course of business consistent with past practice, (B) become a party to, establish, amend, commence participation in, terminate or commit itself to the adoption of any stock option plan or other stock-based compensation plan, or any compensation, severance, pension, retirement, profit-sharing, welfare benefit for the benefit of any current or former directors, officers, employees or consultants of the Company or its Subsidiaries (or newly hired employees), (C) accelerate the vesting of or lapsing of restrictions with respect to any stock-based compensation or other long-term incentive compensation under any Company Benefit Plan, (D) amend or modify any outstanding award under any Company Benefit Plan, (E) cause the funding of any rabbi trust or similar arrangement or take any action to fund or in any other way secure the payment of compensation or benefits under any Company Benefit Plan, (F) enter into, amend or terminate any collective bargaining agreement or other agreement with a labor union, works council or similar organization, (G) materially change any actuarial or other assumptions used to calculate funding obligations with respect to any Company Benefit Plan that is required by applicable law to be funded or change the manner in which contributions to such plans are made or the basis on which such contributions are determined, except as may be required by GAAP or applicable Law, or (H) forgive any loans, or issue any loans (other than routine travel advances issued in the ordinary course of business) to any of its or its Subsidiaries’ directors, officers, contractors or employees;</w:t>
      </w:r>
    </w:p>
    <w:p>
      <w:pPr>
        <w:spacing w:after="0" w:line="163" w:lineRule="exact"/>
        <w:rPr>
          <w:rFonts w:ascii="Arial" w:cs="Arial" w:eastAsia="Arial" w:hAnsi="Arial"/>
          <w:sz w:val="15"/>
          <w:szCs w:val="15"/>
          <w:color w:val="auto"/>
        </w:rPr>
      </w:pPr>
    </w:p>
    <w:p>
      <w:pPr>
        <w:jc w:val="both"/>
        <w:ind w:firstLine="1143"/>
        <w:spacing w:after="0" w:line="258" w:lineRule="auto"/>
        <w:tabs>
          <w:tab w:leader="none" w:pos="1356"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fail to maintain its existence or acquire by merger or consolidation with, or merge or consolidate with, or purchase a material portion of the assets or equity of, any corporation, partnership, limited liability company, association, joint venture or other business organization or division thereof; or (ii) adopt or enter into a plan of complete or partial liquidation, dissolution, merger, consolidation, restructuring, recapitalization or other reorganization of the Company or its Subsidiaries (other than the transactions contemplated by this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1" w:name="page72"/>
    <w:bookmarkEnd w:id="71"/>
    <w:p>
      <w:pPr>
        <w:jc w:val="both"/>
        <w:ind w:right="20" w:firstLine="1143"/>
        <w:spacing w:after="0" w:line="262" w:lineRule="auto"/>
        <w:tabs>
          <w:tab w:leader="none" w:pos="1404"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any capital expenditures (or commitment to make any capital expenditures) that in the aggregate exceed $5,000,000, other than any capital expenditure (or series of related capital expenditures) consistent in all material respects with the Company’s annual capital expenditure budget for periods following the date hereof, made available to Acquiror or any capitalized Contract costs associated with new or existing customers;</w:t>
      </w:r>
    </w:p>
    <w:p>
      <w:pPr>
        <w:spacing w:after="0" w:line="162" w:lineRule="exact"/>
        <w:rPr>
          <w:rFonts w:ascii="Arial" w:cs="Arial" w:eastAsia="Arial" w:hAnsi="Arial"/>
          <w:sz w:val="16"/>
          <w:szCs w:val="16"/>
          <w:color w:val="auto"/>
        </w:rPr>
      </w:pPr>
    </w:p>
    <w:p>
      <w:pPr>
        <w:jc w:val="both"/>
        <w:ind w:right="20" w:firstLine="1143"/>
        <w:spacing w:after="0" w:line="255" w:lineRule="auto"/>
        <w:tabs>
          <w:tab w:leader="none" w:pos="1403"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(i) any loans, advances or capital contributions to, or investments in, any other Person (including to any of its officers, directors, agents or consultants) other than loans, advances or capital contributions to, or investments in any Person (excluding any of its officers, directors, agents or consultants) in an aggregate amount not to exceed $500,000, or (ii) any material change in its existing borrowing or lending arrangements for or on behalf of such Persons, or enter into any “keep well” or similar agreement to maintain the financial condition of any other Person, except advances to employees or officers of the Company or its Subsidiaries in the ordinary course of business consistent with past practice;</w:t>
      </w:r>
    </w:p>
    <w:p>
      <w:pPr>
        <w:spacing w:after="0" w:line="169" w:lineRule="exact"/>
        <w:rPr>
          <w:rFonts w:ascii="Arial" w:cs="Arial" w:eastAsia="Arial" w:hAnsi="Arial"/>
          <w:sz w:val="16"/>
          <w:szCs w:val="16"/>
          <w:color w:val="auto"/>
        </w:rPr>
      </w:pPr>
    </w:p>
    <w:p>
      <w:pPr>
        <w:jc w:val="both"/>
        <w:ind w:right="20" w:firstLine="1143"/>
        <w:spacing w:after="0" w:line="255" w:lineRule="auto"/>
        <w:tabs>
          <w:tab w:leader="none" w:pos="13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make, revoke or change any material Tax election, adopt or change any material Tax accounting method or period, file any amendment to a material Tax Return, enter into any agreement with a Governmental Authority with respect to a material amount of Taxes, settle or compromise any examination, audit or other Action with a Governmental Authority of or relating to any material Taxes or settle or compromise any claim or assessment by a Governmental Authority in respect of material Taxes, consent to any extension or waiver of the statutory period of limitations applicable to any claim or assessment in respect of Taxes, or enter into any Tax sharing or similar agreement (excluding any commercial contract not primarily related to Taxes);</w:t>
      </w:r>
    </w:p>
    <w:p>
      <w:pPr>
        <w:spacing w:after="0" w:line="169" w:lineRule="exact"/>
        <w:rPr>
          <w:rFonts w:ascii="Arial" w:cs="Arial" w:eastAsia="Arial" w:hAnsi="Arial"/>
          <w:sz w:val="16"/>
          <w:szCs w:val="16"/>
          <w:color w:val="auto"/>
        </w:rPr>
      </w:pPr>
    </w:p>
    <w:p>
      <w:pPr>
        <w:ind w:right="20" w:firstLine="1143"/>
        <w:spacing w:after="0" w:line="275" w:lineRule="auto"/>
        <w:tabs>
          <w:tab w:leader="none" w:pos="13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which action or failure to act would reasonably be expected to prevent or impede the Transactions from qualifying for the Intended Tax Treatment;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acquire any fee interest in real property;</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enter into, renew or amend in any material respect any Company Affiliate Agreement;</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4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waive, release, compromise, settle or satisfy any pending or threatened material claim (which shall include, but not be limited to, any pending or threatened Action) or compromise or settle any liability, other than in the ordinary course of business consistent with past practice or that otherwise do not exceed $2,500,000 in the aggregate;</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incur, create, assume, refinance, guarantee or otherwise become liable for (whether directly, contingently or otherwise) any Indebtedness in excess of $1,000,000, other than in connection with borrowings, extensions of credit and other financial accommodations under the Company’s and Subsidiaries’ existing credit facilities, notes and other existing Indebtedness and, in each case, any refinancings thereof, provided, that, in no event shall any such borrowing, extension of credit or other financial accommodation be subject to any prepayment fee or penalty or similar arrangement or amend, restate or modify in a manner materially adverse to the Company any terms of or any agreement with respect to any such outstanding Indebtedness (when taken as a whole); provided, further, that any action permitted under this </w:t>
      </w:r>
      <w:r>
        <w:rPr>
          <w:rFonts w:ascii="Arial" w:cs="Arial" w:eastAsia="Arial" w:hAnsi="Arial"/>
          <w:sz w:val="16"/>
          <w:szCs w:val="16"/>
          <w:u w:val="single" w:color="auto"/>
          <w:color w:val="auto"/>
        </w:rPr>
        <w:t>Section 6.01(n)</w:t>
      </w:r>
      <w:r>
        <w:rPr>
          <w:rFonts w:ascii="Arial" w:cs="Arial" w:eastAsia="Arial" w:hAnsi="Arial"/>
          <w:sz w:val="16"/>
          <w:szCs w:val="16"/>
          <w:color w:val="auto"/>
        </w:rPr>
        <w:t xml:space="preserve"> shall be deemed not to violate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6.01(c)</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2" w:name="page73"/>
    <w:bookmarkEnd w:id="72"/>
    <w:p>
      <w:pPr>
        <w:ind w:left="1140"/>
        <w:spacing w:after="0"/>
        <w:rPr>
          <w:sz w:val="20"/>
          <w:szCs w:val="20"/>
          <w:color w:val="auto"/>
        </w:rPr>
      </w:pPr>
      <w:r>
        <w:rPr>
          <w:rFonts w:ascii="Arial" w:cs="Arial" w:eastAsia="Arial" w:hAnsi="Arial"/>
          <w:sz w:val="15"/>
          <w:szCs w:val="15"/>
          <w:color w:val="auto"/>
        </w:rPr>
        <w:t>(o) enter into any material new line of business outside of the business currently conducted by the Company and its Subsidiaries as of the date of this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186" w:lineRule="exact"/>
        <w:rPr>
          <w:sz w:val="20"/>
          <w:szCs w:val="20"/>
          <w:color w:val="auto"/>
        </w:rPr>
      </w:pPr>
    </w:p>
    <w:p>
      <w:pPr>
        <w:ind w:right="20" w:firstLine="1143"/>
        <w:spacing w:after="0" w:line="309" w:lineRule="auto"/>
        <w:tabs>
          <w:tab w:leader="none" w:pos="1394" w:val="left"/>
        </w:tabs>
        <w:numPr>
          <w:ilvl w:val="0"/>
          <w:numId w:val="68"/>
        </w:numPr>
        <w:rPr>
          <w:rFonts w:ascii="Arial" w:cs="Arial" w:eastAsia="Arial" w:hAnsi="Arial"/>
          <w:sz w:val="15"/>
          <w:szCs w:val="15"/>
          <w:color w:val="auto"/>
        </w:rPr>
      </w:pPr>
      <w:r>
        <w:rPr>
          <w:rFonts w:ascii="Arial" w:cs="Arial" w:eastAsia="Arial" w:hAnsi="Arial"/>
          <w:sz w:val="15"/>
          <w:szCs w:val="15"/>
          <w:color w:val="auto"/>
        </w:rPr>
        <w:t>make any material change in financial accounting methods, principles or practices, except insofar as may have been required by a change in GAAP (including pursuant to standards, guidelines and interpretations of the Financial Accounting Standards Board or any similar organization) or applicable Law;</w:t>
      </w:r>
    </w:p>
    <w:p>
      <w:pPr>
        <w:spacing w:after="0" w:line="129" w:lineRule="exact"/>
        <w:rPr>
          <w:rFonts w:ascii="Arial" w:cs="Arial" w:eastAsia="Arial" w:hAnsi="Arial"/>
          <w:sz w:val="15"/>
          <w:szCs w:val="15"/>
          <w:color w:val="auto"/>
        </w:rPr>
      </w:pPr>
    </w:p>
    <w:p>
      <w:pPr>
        <w:ind w:firstLine="1143"/>
        <w:spacing w:after="0" w:line="275" w:lineRule="auto"/>
        <w:tabs>
          <w:tab w:leader="none" w:pos="13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voluntarily fail to maintain, cancel or materially change coverage under any insurance policy in form and amount equivalent in all material respects to the insurance coverage currently maintained with respect to the Company and its Subsidiaries and their assets and properties; and</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enter into any agreement to do any action prohibited under this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color w:val="auto"/>
        </w:rPr>
        <w:t xml:space="preserve">Section 6.02 </w:t>
      </w:r>
      <w:r>
        <w:rPr>
          <w:rFonts w:ascii="Arial" w:cs="Arial" w:eastAsia="Arial" w:hAnsi="Arial"/>
          <w:sz w:val="14"/>
          <w:szCs w:val="14"/>
          <w:b w:val="1"/>
          <w:bCs w:val="1"/>
          <w:u w:val="single" w:color="auto"/>
          <w:color w:val="auto"/>
        </w:rPr>
        <w:t>Inspection</w:t>
      </w:r>
      <w:r>
        <w:rPr>
          <w:rFonts w:ascii="Arial" w:cs="Arial" w:eastAsia="Arial" w:hAnsi="Arial"/>
          <w:sz w:val="14"/>
          <w:szCs w:val="14"/>
          <w:color w:val="auto"/>
        </w:rPr>
        <w:t>. Subject to confidentiality obligations and similar restrictions that may be applicable to information furnished to the Company or its</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Subsidiaries by third parties that may be in the Company’s or its Subsidiaries’ possession from time to time, and except for any information which (x) relates to interactions with prospective buyers of the Company or the negotiation of this Agreement and the transactions contemplated hereby or (y) in the judgment of legal counsel of the Company would result in the loss of attorney-client privilege or other privilege from disclosure or would conflict with any applicable Law or confidentiality obligations to which the Company or any of its Subsidiaries is bound, the Company shall, and shall cause its Subsidiaries to, afford to Acquiror and its Representatives reasonable access during the Interim Period, during normal business hours and with reasonable advance notice, in such manner as to not interfere with the normal operation of the Company and its Subsidiaries, to all of their respective properties, books, projections, plans, systems, Contracts, commitments, Tax Returns, records, commitments and analyses and, as reasonably requested by Acquiror or its Representatives, appropriate officers and employees of the Company and its Subsidiaries, and shall furnish such Representatives with all financial and operating data and other information concerning the affairs of the Company and its Subsidiaries that are in the possession of the Company or its Subsidiaries as such Representatives may reasonably request, in each case, as necessary to facilitate Acquiror’s ongoing due diligence and consummation of the transactions contemplated by this Agreement. The parties shall use commercially reasonable efforts to make alternative arrangements for such disclosure where the restrictions in the preceding sentence apply. All information obtained by Acquiror and its Representatives under this Agreement shall be subject to the Confidentiality Agreement prior to the Effective Time.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3" w:name="page74"/>
    <w:bookmarkEnd w:id="73"/>
    <w:p>
      <w:pPr>
        <w:ind w:left="560"/>
        <w:spacing w:after="0"/>
        <w:rPr>
          <w:sz w:val="20"/>
          <w:szCs w:val="20"/>
          <w:color w:val="auto"/>
        </w:rPr>
      </w:pPr>
      <w:r>
        <w:rPr>
          <w:rFonts w:ascii="Arial" w:cs="Arial" w:eastAsia="Arial" w:hAnsi="Arial"/>
          <w:sz w:val="16"/>
          <w:szCs w:val="16"/>
          <w:b w:val="1"/>
          <w:bCs w:val="1"/>
          <w:color w:val="auto"/>
        </w:rPr>
        <w:t xml:space="preserve">Section 6.03 </w:t>
      </w:r>
      <w:r>
        <w:rPr>
          <w:rFonts w:ascii="Arial" w:cs="Arial" w:eastAsia="Arial" w:hAnsi="Arial"/>
          <w:sz w:val="16"/>
          <w:szCs w:val="16"/>
          <w:b w:val="1"/>
          <w:bCs w:val="1"/>
          <w:u w:val="single" w:color="auto"/>
          <w:color w:val="auto"/>
        </w:rPr>
        <w:t>HSR Act and Regulatory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8"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In connection with the transactions contemplated by this Agreement, the Company shall comply promptly but in no event later than fifteen (15) Business Days after the date hereof with the notification and reporting requirements of the HSR Act. The Company shall furnish to the Acquiror as promptly as reasonably practicable all information required for any application or other filing to be made by the Acquiror pursuant to any Antitrust Law. The Company shall (i) substantially comply with any Information or Document Requests and (ii) request early termination of any waiting period under the HSR Act. The Company shall promptly notify the Acquiror of any substantive communication with, and furnish to Acquiror copies of any notices or written communications received by, the Company or any of its Affiliates and any third party or any Governmental Authority with respect to the transactions contemplated by this Agreement, and the Company shall permit counsel to Acquiror an opportunity to review in advance, and the Company shall consider in good faith the views of such counsel in connection with, any proposed written communications by the Company and/or its Affiliates to any Governmental Authority concerning the transactions contemplated by this Agreement; provided, that the Company shall not extend any waiting period or comparable period under the HSR Act or enter into any agreement with any Governmental Authority without the written consent of Acquiror. The Company agrees to provide, to the extent permitted by the applicable Governmental Authority, Acquiror and its counsel the opportunity, on reasonable advance notice, to participate in any substantive meetings or discussions, either in person or by telephone, between the Company and/or any of its Affiliates, agents or advisors, on the one hand, and any Governmental Authority, on the other hand, concerning or in connection with the transactions contemplated hereby. Any materials exchanged in connection with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may be redacted or withheld as necessary to address reasonable privilege or confidentiality concerns, and to remove references concerning the valuation of the Company or other competitively sensitive material; provided, that the Company may, as it deems advisable and necessary, designate any materials provided to the Acquiror under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as “outside counsel only.” Notwithstanding anything in this Agreement to the contrary, nothing in this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or any other provision of this Agreement shall require or obligate the Company or any of its Affiliates (including the Investors and any investment funds or investment vehicles affiliated with, or managed or advised by, the Investors or any portfolio company (as such term is commonly understood in the private equity industry) or investment of the Investors or of any such investment fund or investment vehicle) to, and the Acquiror shall not, without the prior written consent of the Company, agree or otherwise be required to, take any action with respect to the Company, or any of its Subsidiaries or such Affiliates, including selling, divesting, or otherwise disposing of, licensing, holding separate, or taking or committing to take any action that limits in any respect its freedom of action with respect to, or its ability to retain, any business, products, rights, services, licenses, assets or properties of the Company or any of its Subsidiaries or such Affiliates, or any interest therein. The Company shall pay 50% of all filing fees payable to the Regulatory Consent Authorities in connection with the transactions contemplated by this Agreement.</w:t>
      </w:r>
    </w:p>
    <w:p>
      <w:pPr>
        <w:spacing w:after="0" w:line="160" w:lineRule="exact"/>
        <w:rPr>
          <w:rFonts w:ascii="Arial" w:cs="Arial" w:eastAsia="Arial" w:hAnsi="Arial"/>
          <w:sz w:val="15"/>
          <w:szCs w:val="15"/>
          <w:color w:val="auto"/>
        </w:rPr>
      </w:pPr>
    </w:p>
    <w:p>
      <w:pPr>
        <w:jc w:val="both"/>
        <w:ind w:right="20" w:firstLine="1143"/>
        <w:spacing w:after="0" w:line="273" w:lineRule="auto"/>
        <w:tabs>
          <w:tab w:leader="none" w:pos="1373"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Company shall not, and shall cause its Subsidiaries not to, acquire or agree to acquire, by merging with or into or consolidating with, or by purchasing a portion of the assets of or equity in, or by any other manner, any business or any corporation, partnership, association or other business organization or division thereof, or otherwise acquire or agree to acquire any assets, or take any other action, if the entering into of a definitive agreement relating to, or the consummation of such acquisition, merger or consolidation, or the taking of any other action, would reasonably be expected to (i) impose any delay in the obtaining of, or increase the risk of not obtaining, any authorizations, consents, orders or declarations of any Regulatory Consent Authorities or the expiration or termination of any applicable waiting period; (ii) increase the risk of any Governmental Authority entering an order prohibiting the consummation of the transaction contemplated hereby; (iii) increase the risk of not being able to remove any such order on appeal or otherwise; or (iv) delay or prevent the consummation of the transactions contemplated hereby.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firstLine="574"/>
        <w:spacing w:after="0" w:line="320" w:lineRule="auto"/>
        <w:rPr>
          <w:sz w:val="20"/>
          <w:szCs w:val="20"/>
          <w:color w:val="auto"/>
        </w:rPr>
      </w:pPr>
      <w:r>
        <w:rPr>
          <w:rFonts w:ascii="Arial" w:cs="Arial" w:eastAsia="Arial" w:hAnsi="Arial"/>
          <w:sz w:val="14"/>
          <w:szCs w:val="14"/>
          <w:b w:val="1"/>
          <w:bCs w:val="1"/>
          <w:color w:val="auto"/>
        </w:rPr>
        <w:t xml:space="preserve">Section 6.04 </w:t>
      </w:r>
      <w:r>
        <w:rPr>
          <w:rFonts w:ascii="Arial" w:cs="Arial" w:eastAsia="Arial" w:hAnsi="Arial"/>
          <w:sz w:val="14"/>
          <w:szCs w:val="14"/>
          <w:b w:val="1"/>
          <w:bCs w:val="1"/>
          <w:u w:val="single" w:color="auto"/>
          <w:color w:val="auto"/>
        </w:rPr>
        <w:t>No Acquiror Common Stock Transactions</w:t>
      </w:r>
      <w:r>
        <w:rPr>
          <w:rFonts w:ascii="Arial" w:cs="Arial" w:eastAsia="Arial" w:hAnsi="Arial"/>
          <w:sz w:val="14"/>
          <w:szCs w:val="14"/>
          <w:color w:val="auto"/>
        </w:rPr>
        <w:t>. From and after the date of this Agreement until the Effective Time, except as otherwise contemplated by</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none of the Company or any of its Subsidiaries or its stockholders shall engage in any transactions involving the securities of Acquiror without the prior written consent of Acquiror. The Company shall use reasonable best efforts to require each of its Subsidiaries and stockholders to comply with the foregoing sentence.</w:t>
      </w:r>
    </w:p>
    <w:p>
      <w:pPr>
        <w:spacing w:after="0" w:line="1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6.05 </w:t>
      </w:r>
      <w:r>
        <w:rPr>
          <w:rFonts w:ascii="Arial" w:cs="Arial" w:eastAsia="Arial" w:hAnsi="Arial"/>
          <w:sz w:val="15"/>
          <w:szCs w:val="15"/>
          <w:b w:val="1"/>
          <w:bCs w:val="1"/>
          <w:u w:val="single" w:color="auto"/>
          <w:color w:val="auto"/>
        </w:rPr>
        <w:t>No Claim Against the Trust Account</w:t>
      </w:r>
      <w:r>
        <w:rPr>
          <w:rFonts w:ascii="Arial" w:cs="Arial" w:eastAsia="Arial" w:hAnsi="Arial"/>
          <w:sz w:val="15"/>
          <w:szCs w:val="15"/>
          <w:color w:val="auto"/>
        </w:rPr>
        <w:t>. The Company acknowledges that the Acquiror is a blank check company with the power and privileges to effect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merger, asset acquisition, reorganization or similar business combination involving the Company and one or more businesses or assets, and the Company has read Acquiror’s final prospectus, dated December 23, 2020 and other Acquiror SEC Reports, the Acquiror Organizational Documents, and the Trust Agreement and understands that Acquiror has established the Trust Account described therein for the benefit of Acquiror’s public stockholders and that disbursements from the Trust Account are available only in the limited circumstances set forth therein. The Company further acknowledges and agrees that the Acquiror’s sole assets consist of the cash proceeds of the Acquiror’s initial public offering and private placements of its securities, and that substantially all of these proceeds have been deposited in the Trust Account for the benefit of its public shareholders. The Company further acknowledges that, if the transactions contemplated by this Agreement are not consummated by June 30, 2022, or such later date as approved by the shareholders of Acquiror to complete a Business Combination, Acquiror will be obligated to return to its stockholders the amounts being held in the Trust Account. Accordingly, the Company (on behalf of itself and its Affiliates) hereby waives any past, present or future claim of any kind against, and any right to access, the Trust Account, any trustee of the Trust Account and Acquiror to collect from the Trust Account any monies that may be owed to them by Acquiror or any of its Affiliates for any reason whatsoever, and will not seek recourse against the Trust Account at any time for any reason whatsoever, including, without limitation, for any Willful Breach of this Agreement. This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shall survive the termination of this Agreement for any reason.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6.06 </w:t>
      </w:r>
      <w:r>
        <w:rPr>
          <w:rFonts w:ascii="Arial" w:cs="Arial" w:eastAsia="Arial" w:hAnsi="Arial"/>
          <w:sz w:val="16"/>
          <w:szCs w:val="16"/>
          <w:b w:val="1"/>
          <w:bCs w:val="1"/>
          <w:u w:val="single" w:color="auto"/>
          <w:color w:val="auto"/>
        </w:rPr>
        <w:t>No-Solicitation</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9" w:lineRule="auto"/>
        <w:tabs>
          <w:tab w:leader="none" w:pos="1376"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From the date of this Agreement until the Effective Time or, if earlier,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the Company will not, and will cause each of its Subsidiaries and its and their respective directors, officers and employees not to, and shall instruct and use its reasonable best efforts to cause the Company’s and its Subsidiaries’ other respective Representatives not to, directly or indirectly: (i) solicit, initiate, assist, knowingly encourage or facilitate or cooperate with any inquiries regarding, or the submission or announcement by any Person or “group” (as defined in the Exchange Act and the rules thereunder) (other than Acquiror) of, any proposal or offer that constitutes, or would reasonably be expected to lead to, any Company Acquisition Transaction; (ii) furnish, or afford access to (including through any virtual data room), any information regarding the Company, any of its Subsidiaries, or their respective businesses, operations, assets, liabilities, financial condition, books and records, prospects or employees to any Person or “group” (as defined in the Exchange Act and the rules thereunder) (other than to Acquiror or any of its Affiliates or Representatives) in connection with, for the purpose of assisting, soliciting, initiating, encouraging or facilitating, or in response to, or that would reasonably be expected to lead to, any Company Acquisition Transaction; (iii) enter into, continue, engage in or otherwise participate in any discussions or negotiations with any Person or “group” (as defined in the Exchange Act and the rules thereunder) (other than Acquiror or its Representatives) with respect to, any Company Acquisition Transaction, or any agreement, arrangement or understanding (including any letter of intent or similar document, agreement, commitment, or agreement in principle with respect to any Company Acquisition Transaction), or any inquiry, proposal or offer that would reasonably be expected to lead to any Company Acquisition Transaction, or announce an intention to do so; (iv) approve, adopt, endorse, recommend or enter into, or propose to approve, adopt, endorse, recommend or enter into, any letter of intent or similar document, agreement, commitment or agreement in principle with respect to any Company Acquisition Transaction; or (v) release any third Person, or waive any provision of, any confidentiality agreement to which such Person is a party and which directly relates to a potential Company Acquisition Transaction.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left="4" w:firstLine="1143"/>
        <w:spacing w:after="0" w:line="253" w:lineRule="auto"/>
        <w:tabs>
          <w:tab w:leader="none" w:pos="1389"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Company, any of its Subsidiaries or, to the Company’s knowledge, any of their respective Representatives, receives a or any inquiry, proposal or offer, request for information or request for discussions or negotiations, regarding or constituting a Company Acquisition Transaction or that is reasonably likely to lead to a Company Acquisition Transaction, then the Company shall promptly (and in no event later than forty eight (48) hours after receipt of such inquiry, proposal, offer or request) notify Acquiror in writing of such written inquiry, proposal, offer or request (which notification shall, unless expressly prohibited by a confidentiality agreement in effect as of the date hereof, include the identity of the Person making or submitting such inquiry, proposal, offer or request and a copy of any such inquiry, proposal, offer or request (or, if not in writing, the material terms and conditions thereof)). The Company shall keep the Acquiror promptly informed of the status of any such inquiries, proposals, offers or requests.</w:t>
      </w:r>
    </w:p>
    <w:p>
      <w:pPr>
        <w:spacing w:after="0" w:line="171" w:lineRule="exact"/>
        <w:rPr>
          <w:rFonts w:ascii="Arial" w:cs="Arial" w:eastAsia="Arial" w:hAnsi="Arial"/>
          <w:sz w:val="16"/>
          <w:szCs w:val="16"/>
          <w:color w:val="auto"/>
        </w:rPr>
      </w:pPr>
    </w:p>
    <w:p>
      <w:pPr>
        <w:jc w:val="both"/>
        <w:ind w:left="4" w:firstLine="1143"/>
        <w:spacing w:after="0" w:line="295" w:lineRule="auto"/>
        <w:tabs>
          <w:tab w:leader="none" w:pos="1368"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Promptly following the execution and delivery of this Agreement, the Company shall, and shall cause each of its Subsidiaries and its and their respective Affiliates and its and their respective directors, officers and employees, and shall instruct and use reasonable best efforts to cause the Company’s and its Subsidiaries’ other respective Representatives to (and the shareholders of the Company party to the Support Agreement have acknowledged to the Company that they shall), immediately cease and cause to be terminated any existing solicitation of, or discussions or negotiations with, any Person or “group” (as defined in the Exchange Act and the rules thereunder) (other than Acquiror or its Representatives) relating to any Company Acquisition Transaction made on, prior to or after the date hereof. The Company shall not, and shall cause its Subsidiaries and its and their respective Affiliates not to, release any third party from, or waive, amend or modify any provision of, or grant permission under, or fail to enforce, any standstill provision in any agreement to which the Company, any of its Subsidiaries or any of their respective Affiliates is a party.</w:t>
      </w:r>
    </w:p>
    <w:p>
      <w:pPr>
        <w:spacing w:after="0" w:line="144" w:lineRule="exact"/>
        <w:rPr>
          <w:rFonts w:ascii="Arial" w:cs="Arial" w:eastAsia="Arial" w:hAnsi="Arial"/>
          <w:sz w:val="14"/>
          <w:szCs w:val="14"/>
          <w:color w:val="auto"/>
        </w:rPr>
      </w:pPr>
    </w:p>
    <w:p>
      <w:pPr>
        <w:jc w:val="both"/>
        <w:ind w:left="4" w:firstLine="1143"/>
        <w:spacing w:after="0" w:line="262" w:lineRule="auto"/>
        <w:tabs>
          <w:tab w:leader="none" w:pos="1377"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Without limiting the foregoing, it is understood that any violation of the restrictions contained in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by any of the Company’s Subsidiaries, or any of the Company’s or its Subsidiaries’ respective Representatives acting on the Company’s or one of its Subsidiaries’ behalf, shall be deemed to be a breach of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by the Company.</w:t>
      </w:r>
    </w:p>
    <w:p>
      <w:pPr>
        <w:spacing w:after="0" w:line="158" w:lineRule="exact"/>
        <w:rPr>
          <w:sz w:val="20"/>
          <w:szCs w:val="20"/>
          <w:color w:val="auto"/>
        </w:rPr>
      </w:pPr>
    </w:p>
    <w:p>
      <w:pPr>
        <w:jc w:val="both"/>
        <w:ind w:left="4" w:right="20" w:firstLine="574"/>
        <w:spacing w:after="0" w:line="293" w:lineRule="auto"/>
        <w:rPr>
          <w:sz w:val="20"/>
          <w:szCs w:val="20"/>
          <w:color w:val="auto"/>
        </w:rPr>
      </w:pPr>
      <w:r>
        <w:rPr>
          <w:rFonts w:ascii="Arial" w:cs="Arial" w:eastAsia="Arial" w:hAnsi="Arial"/>
          <w:sz w:val="14"/>
          <w:szCs w:val="14"/>
          <w:b w:val="1"/>
          <w:bCs w:val="1"/>
          <w:color w:val="auto"/>
        </w:rPr>
        <w:t xml:space="preserve">Section 6.07 </w:t>
      </w:r>
      <w:r>
        <w:rPr>
          <w:rFonts w:ascii="Arial" w:cs="Arial" w:eastAsia="Arial" w:hAnsi="Arial"/>
          <w:sz w:val="14"/>
          <w:szCs w:val="14"/>
          <w:b w:val="1"/>
          <w:bCs w:val="1"/>
          <w:u w:val="single" w:color="auto"/>
          <w:color w:val="auto"/>
        </w:rPr>
        <w:t>Section 280G</w:t>
      </w:r>
      <w:r>
        <w:rPr>
          <w:rFonts w:ascii="Arial" w:cs="Arial" w:eastAsia="Arial" w:hAnsi="Arial"/>
          <w:sz w:val="14"/>
          <w:szCs w:val="14"/>
          <w:color w:val="auto"/>
        </w:rPr>
        <w:t>. To the extent applicable, the Company shall, at least five (5) days prior to the Closing, take commercially reasonable actions to (a) solicit</w:t>
      </w:r>
      <w:r>
        <w:rPr>
          <w:rFonts w:ascii="Arial" w:cs="Arial" w:eastAsia="Arial" w:hAnsi="Arial"/>
          <w:sz w:val="14"/>
          <w:szCs w:val="14"/>
          <w:b w:val="1"/>
          <w:bCs w:val="1"/>
          <w:color w:val="auto"/>
        </w:rPr>
        <w:t xml:space="preserve"> </w:t>
      </w:r>
      <w:r>
        <w:rPr>
          <w:rFonts w:ascii="Arial" w:cs="Arial" w:eastAsia="Arial" w:hAnsi="Arial"/>
          <w:sz w:val="14"/>
          <w:szCs w:val="14"/>
          <w:color w:val="auto"/>
        </w:rPr>
        <w:t>waivers of any excess parachute payment (as described below) from each Person who has or may have a right to any payments and/or benefits as a result of or in connection with the transactions contemplated by this Agreement that would be deemed to constitute “excess parachute payments” (within the meaning of Section 280G of the Code), and</w:t>
      </w:r>
    </w:p>
    <w:p>
      <w:pPr>
        <w:spacing w:after="0" w:line="1" w:lineRule="exact"/>
        <w:rPr>
          <w:sz w:val="20"/>
          <w:szCs w:val="20"/>
          <w:color w:val="auto"/>
        </w:rPr>
      </w:pPr>
    </w:p>
    <w:p>
      <w:pPr>
        <w:jc w:val="both"/>
        <w:ind w:left="4" w:hanging="4"/>
        <w:spacing w:after="0" w:line="250" w:lineRule="auto"/>
        <w:tabs>
          <w:tab w:leader="none" w:pos="2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solicit the approval of the Company’s shareholders in a manner intended to comply with Sections 280G(b)(5)(A)(ii) and 280G(b)(5)(B) of the Code of all payments and/or benefits (including payments and benefits waived pursuant to the preceding clause) that would, as a result of, or in connection with, the transactions contemplated by this Agreement, be deemed to constitute “excess parachute payments.” To the extent required to comply with the provisions of the preceding sentence, the Company shall deliver, among other items, to its equity holders entitled to vote in the shareholder approval process under Code Section 280G(b)(5)(B), a disclosure statement intended to satisfy the shareholder approval requirements of Section 280G(b)(5)(B) of the Code. The form of waiver, solicitation of shareholder approval, and disclosure materials shall be provided to Acquiror for review at least ten (10) days prior to Closing and all such materials shall be subject to the approval of Acquiror, such approval not to be unreasonably withheld, conditioned or delayed.</w:t>
      </w: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ACQUIROR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7.01 </w:t>
      </w:r>
      <w:r>
        <w:rPr>
          <w:rFonts w:ascii="Arial" w:cs="Arial" w:eastAsia="Arial" w:hAnsi="Arial"/>
          <w:sz w:val="16"/>
          <w:szCs w:val="16"/>
          <w:b w:val="1"/>
          <w:bCs w:val="1"/>
          <w:u w:val="single" w:color="auto"/>
          <w:color w:val="auto"/>
        </w:rPr>
        <w:t>HSR Act and Regulatory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58" w:lineRule="auto"/>
        <w:tabs>
          <w:tab w:leader="none" w:pos="1364"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connection with the transactions contemplated by this Agreement, Acquiror shall comply promptly but in no event later than fifteen (15) Business Days after the date hereof with the notification and reporting requirements of the HSR Act. Acquiror shall furnish to the Company as promptly as reasonably practicable all information required for any application or other filing to be made by the Company pursuant to any Antitrust Law. Acquiror shall substantially comply with any Information or Document Requests.</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85" w:val="left"/>
        </w:tabs>
        <w:numPr>
          <w:ilvl w:val="0"/>
          <w:numId w:val="73"/>
        </w:numPr>
        <w:rPr>
          <w:rFonts w:ascii="Arial" w:cs="Arial" w:eastAsia="Arial" w:hAnsi="Arial"/>
          <w:sz w:val="15"/>
          <w:szCs w:val="15"/>
          <w:color w:val="auto"/>
        </w:rPr>
      </w:pPr>
      <w:r>
        <w:rPr>
          <w:rFonts w:ascii="Arial" w:cs="Arial" w:eastAsia="Arial" w:hAnsi="Arial"/>
          <w:sz w:val="15"/>
          <w:szCs w:val="15"/>
          <w:color w:val="auto"/>
        </w:rPr>
        <w:t>Acquiror shall request early termination of any waiting period under the HSR Act and exercise its reasonable best efforts to (i) obtain termination or expiration of the waiting period under the HSR Act and consents or approvals pursuant to any other applicable Antitrust Laws, (ii) prevent the entry in any Action brought by a Regulatory Consent Authority or any other Person of any Governmental Order which would prohibit, make unlawful or delay the consummation of the transactions contemplated by this Agreement and (iii) if any such Governmental Order is issued in any such Action, cause such Governmental Order to be lifted.</w:t>
      </w:r>
    </w:p>
    <w:p>
      <w:pPr>
        <w:spacing w:after="0" w:line="151" w:lineRule="exact"/>
        <w:rPr>
          <w:rFonts w:ascii="Arial" w:cs="Arial" w:eastAsia="Arial" w:hAnsi="Arial"/>
          <w:sz w:val="15"/>
          <w:szCs w:val="15"/>
          <w:color w:val="auto"/>
        </w:rPr>
      </w:pPr>
    </w:p>
    <w:p>
      <w:pPr>
        <w:jc w:val="both"/>
        <w:ind w:firstLine="1143"/>
        <w:spacing w:after="0" w:line="270" w:lineRule="auto"/>
        <w:tabs>
          <w:tab w:leader="none" w:pos="13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Acquiror shall cooperate in good faith with the Regulatory Consent Authorities and exercise its reasonable best efforts to undertake promptly any and all action required to complete lawfully the transactions contemplated by this Agreement as soon as practicable (but in any event prior to the Termination Date) and any and all action necessary or advisable to avoid, prevent, eliminate or remove any impediment under Antitrust Law or the actual or threatened commencement of any proceeding in any forum by or on behalf of any Regulatory Consent Authority or the issuance of any Governmental Order that would delay, enjoin, prevent, restrain or otherwise prohibit the consummation of the Mergers. Notwithstanding anything in this Agreement to the contrary, nothing in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or any other provision of this Agreement shall require or obligate Acquiror’s Affiliates, the Sponsors, the Investors, their respective Affiliates and any investment funds or investment vehicles affiliated with, or managed or advised by, Acquiror’s Affiliates, the Sponsors, the Investors or any portfolio company (as such term is commonly understood in the private equity industry) or investment of Acquiror’s Affiliates, Sponsors, the Investors or of any such investment fund or investment vehicle to take any action in connection with (A) obtaining termination or expiration of the waiting period under the HSR Act and consents or approvals pursuant to any other applicable Antitrust Laws or (B) avoiding, preventing, eliminating or removing any impediment under Antitrust Law with respect to the Transactions, including selling, divesting, or otherwise disposing of, licensing, holding separate, or taking or committing to take any action that limits in any respect such Person’s or entity’s freedom of action with respect to, or its ability to retain, any business, products, rights, services, licenses, assets or properties of such Person or entity or any of such entity’s Subsidiaries or Affiliates, or any interest therein.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7" w:name="page78"/>
    <w:bookmarkEnd w:id="77"/>
    <w:p>
      <w:pPr>
        <w:jc w:val="both"/>
        <w:ind w:firstLine="1143"/>
        <w:spacing w:after="0" w:line="270" w:lineRule="auto"/>
        <w:tabs>
          <w:tab w:leader="none" w:pos="13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Acquiror shall promptly notify the Company of any substantive communication with, and furnish to the Company copies of any notices or written communications received by, Acquiror or any of its Affiliates and any third party or Governmental Authority with respect to the transactions contemplated by this Agreement, and Acquiror shall permit counsel to the Company an opportunity to review in advance, and Acquiror shall consider in good faith the views of such counsel in connection with, any proposed communications by Acquiror and/or its Affiliates to any Governmental Authority concerning the transactions contemplated by this Agreement; provided, that Acquiror shall not extend any waiting period or comparable period under the HSR Act or enter into any agreement with any Governmental Authority without the written consent of the Company. Acquiror agrees to provide the Company and its counsel the opportunity, on reasonable advance notice, to participate in any substantive meetings or discussions, either in person or by telephone, between Acquiror and/or any of its Affiliates, agents or advisors, on the one hand, and any Governmental Authority, on the other hand, concerning or in connection with the transactions contemplated hereby. Any materials exchanged in connection with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may be redacted or withheld as necessary to address reasonable privilege or confidentiality concerns, and to remove references concerning the valuation of the Company or other competitively sensitive material; provided, that the Acquiror may, as it deems advisable and necessary, designate any materials provided to the Company under this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as “outside counsel only.”</w:t>
      </w:r>
    </w:p>
    <w:p>
      <w:pPr>
        <w:spacing w:after="0" w:line="159" w:lineRule="exact"/>
        <w:rPr>
          <w:rFonts w:ascii="Arial" w:cs="Arial" w:eastAsia="Arial" w:hAnsi="Arial"/>
          <w:sz w:val="15"/>
          <w:szCs w:val="15"/>
          <w:color w:val="auto"/>
        </w:rPr>
      </w:pPr>
    </w:p>
    <w:p>
      <w:pPr>
        <w:ind w:right="20" w:firstLine="1143"/>
        <w:spacing w:after="0" w:line="349" w:lineRule="auto"/>
        <w:tabs>
          <w:tab w:leader="none" w:pos="1387" w:val="left"/>
        </w:tabs>
        <w:numPr>
          <w:ilvl w:val="0"/>
          <w:numId w:val="74"/>
        </w:numPr>
        <w:rPr>
          <w:rFonts w:ascii="Arial" w:cs="Arial" w:eastAsia="Arial" w:hAnsi="Arial"/>
          <w:sz w:val="14"/>
          <w:szCs w:val="14"/>
          <w:color w:val="auto"/>
        </w:rPr>
      </w:pPr>
      <w:r>
        <w:rPr>
          <w:rFonts w:ascii="Arial" w:cs="Arial" w:eastAsia="Arial" w:hAnsi="Arial"/>
          <w:sz w:val="14"/>
          <w:szCs w:val="14"/>
          <w:color w:val="auto"/>
        </w:rPr>
        <w:t>Acquiror shall pay 50% of all filing fees payable to the Regulatory Consent Authorities in connection with the transactions contemplated by this Agreement. The Company shall pay 50% of all filing fees payable to the Regulatory Consent Authorities in connection with the transactions contemplated by this Agreement.</w:t>
      </w:r>
    </w:p>
    <w:p>
      <w:pPr>
        <w:spacing w:after="0" w:line="105" w:lineRule="exact"/>
        <w:rPr>
          <w:rFonts w:ascii="Arial" w:cs="Arial" w:eastAsia="Arial" w:hAnsi="Arial"/>
          <w:sz w:val="14"/>
          <w:szCs w:val="14"/>
          <w:color w:val="auto"/>
        </w:rPr>
      </w:pPr>
    </w:p>
    <w:p>
      <w:pPr>
        <w:jc w:val="both"/>
        <w:ind w:firstLine="1143"/>
        <w:spacing w:after="0" w:line="292" w:lineRule="auto"/>
        <w:tabs>
          <w:tab w:leader="none" w:pos="1438"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Acquiror shall not, and shall cause its Subsidiaries not to, acquire or agree to acquire, by merging with or into or consolidating with, or by purchasing a portion of the assets of or equity in, or by any other manner, any business or any corporation, partnership, association or other business organization or division thereof, or otherwise acquire or agree to acquire any assets, or take any other action, if the entering into of a definitive agreement relating to, or the consummation of such acquisition, merger or consolidation, or the taking of any other action, would reasonably be expected to (i) impose any delay in the obtaining of, or increase the risk of not obtaining, any authorizations, consents, orders or declarations of any Regulatory Consent Authorities or the expiration or termination of any applicable waiting period; (ii) increase the risk of any Governmental Authority entering an order prohibiting the consummation of the transaction contemplated hereby; (iii) increase the risk of not being able to remove any such order on appeal or otherwise; or (iv) delay or prevent the consummation of the transactions contemplated hereby. Notwithstanding anything in this Agreement to the contrary, the restrictions and obligations set forth in this </w:t>
      </w:r>
      <w:r>
        <w:rPr>
          <w:rFonts w:ascii="Arial" w:cs="Arial" w:eastAsia="Arial" w:hAnsi="Arial"/>
          <w:sz w:val="14"/>
          <w:szCs w:val="14"/>
          <w:u w:val="single" w:color="auto"/>
          <w:color w:val="auto"/>
        </w:rPr>
        <w:t>Section 7.01(f)</w:t>
      </w:r>
      <w:r>
        <w:rPr>
          <w:rFonts w:ascii="Arial" w:cs="Arial" w:eastAsia="Arial" w:hAnsi="Arial"/>
          <w:sz w:val="14"/>
          <w:szCs w:val="14"/>
          <w:color w:val="auto"/>
        </w:rPr>
        <w:t xml:space="preserve"> shall not apply to or be binding upon Acquiror’s Affiliates, the Sponsor, the Investor, their respective Affiliates or any investment funds or investment vehicles affiliated with, or managed or advised by, Acquiror’s Affiliates, the Sponsors, the Investor or any portfolio company (as such term is commonly understood in the private equity industry) or investment of Acquiror’s Affiliates, the Sponsors, the Investor or of any such investment fund or investment vehicle.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8" w:name="page79"/>
    <w:bookmarkEnd w:id="78"/>
    <w:p>
      <w:pPr>
        <w:ind w:left="560"/>
        <w:spacing w:after="0"/>
        <w:rPr>
          <w:sz w:val="20"/>
          <w:szCs w:val="20"/>
          <w:color w:val="auto"/>
        </w:rPr>
      </w:pPr>
      <w:r>
        <w:rPr>
          <w:rFonts w:ascii="Arial" w:cs="Arial" w:eastAsia="Arial" w:hAnsi="Arial"/>
          <w:sz w:val="16"/>
          <w:szCs w:val="16"/>
          <w:b w:val="1"/>
          <w:bCs w:val="1"/>
          <w:color w:val="auto"/>
        </w:rPr>
        <w:t xml:space="preserve">Section 7.02 </w:t>
      </w:r>
      <w:r>
        <w:rPr>
          <w:rFonts w:ascii="Arial" w:cs="Arial" w:eastAsia="Arial" w:hAnsi="Arial"/>
          <w:sz w:val="16"/>
          <w:szCs w:val="16"/>
          <w:b w:val="1"/>
          <w:bCs w:val="1"/>
          <w:u w:val="single" w:color="auto"/>
          <w:color w:val="auto"/>
        </w:rPr>
        <w:t>Indemnification and Insurance</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90" w:lineRule="auto"/>
        <w:tabs>
          <w:tab w:leader="none" w:pos="1364"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From and after the Effective Time, Acquiror agrees to cause the Surviving Company to indemnify and hold harmless each present and former director and officer of Acquiror, First Merger Sub, Second Merger Sub, the Company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Acquiror, First Merger Sub, Second Merger Sub, the Company and each of their respective Subsidiaries, as the case may be, would have been permitted under applicable Law and its certificate of incorporation, bylaws or other organizational documents in effect on the date of this Agreement to indemnify such Person (including the advancing of expenses as incurred to the fullest extent permitted under applicable Law). Without limiting the foregoing, Acquiror shall, and shall cause the Surviving Company and its Subsidiaries to, (i) maintain for a period of not less than six years from the Effective Time provisions in its certificate of incorporation (if applicable), bylaws and other organizational documents concerning the indemnification and exoneration (including provisions relating to expense advancement) of officers and directors that are no less favorable to those Persons than the provisions of such certificates of incorporation (if applicable), bylaws and other organizational documents as of the date of this Agreement and (ii) not amend, repeal or otherwise modify such provisions in any respect that would adversely affect the rights of those Persons thereunder, in each case, except as required by Law. Acquiror shall assume, and be liable for, and shall cause the Surviving Company and their respective Subsidiaries to honor, each of the covenants in this </w:t>
      </w:r>
      <w:r>
        <w:rPr>
          <w:rFonts w:ascii="Arial" w:cs="Arial" w:eastAsia="Arial" w:hAnsi="Arial"/>
          <w:sz w:val="14"/>
          <w:szCs w:val="14"/>
          <w:u w:val="single" w:color="auto"/>
          <w:color w:val="auto"/>
        </w:rPr>
        <w:t>Section 7.02</w:t>
      </w:r>
      <w:r>
        <w:rPr>
          <w:rFonts w:ascii="Arial" w:cs="Arial" w:eastAsia="Arial" w:hAnsi="Arial"/>
          <w:sz w:val="14"/>
          <w:szCs w:val="14"/>
          <w:color w:val="auto"/>
        </w:rPr>
        <w:t>.</w:t>
      </w:r>
    </w:p>
    <w:p>
      <w:pPr>
        <w:spacing w:after="0" w:line="151" w:lineRule="exact"/>
        <w:rPr>
          <w:rFonts w:ascii="Arial" w:cs="Arial" w:eastAsia="Arial" w:hAnsi="Arial"/>
          <w:sz w:val="14"/>
          <w:szCs w:val="14"/>
          <w:color w:val="auto"/>
        </w:rPr>
      </w:pPr>
    </w:p>
    <w:p>
      <w:pPr>
        <w:jc w:val="both"/>
        <w:ind w:firstLine="1143"/>
        <w:spacing w:after="0" w:line="272" w:lineRule="auto"/>
        <w:tabs>
          <w:tab w:leader="none" w:pos="1385" w:val="left"/>
        </w:tabs>
        <w:numPr>
          <w:ilvl w:val="0"/>
          <w:numId w:val="75"/>
        </w:numPr>
        <w:rPr>
          <w:rFonts w:ascii="Arial" w:cs="Arial" w:eastAsia="Arial" w:hAnsi="Arial"/>
          <w:sz w:val="15"/>
          <w:szCs w:val="15"/>
          <w:color w:val="auto"/>
        </w:rPr>
      </w:pPr>
      <w:r>
        <w:rPr>
          <w:rFonts w:ascii="Arial" w:cs="Arial" w:eastAsia="Arial" w:hAnsi="Arial"/>
          <w:sz w:val="15"/>
          <w:szCs w:val="15"/>
          <w:color w:val="auto"/>
        </w:rPr>
        <w:t>For a period of six years from the Effective Time, Acquiror shall, or shall cause one or more of its Subsidiaries to, maintain in effect directors’ and officers’ liability insurance covering those Persons who are currently covered by the directors’ and officers’ liability insurance policies of Acquiror, First Merger Sub, Second Merger Sub, the Company and each of their respective Subsidiaries on terms not less favorable than the terms of such current insurance coverage, except that in no event shall Acquiror or its Subsidiaries be required to pay an annual premium for such insurance in excess of 350% of the aggregate annual premium payable by Acquiror for such insurance policy for the year ended December 31, 2020; provided, however, that (i) Acquiror may cause coverage to be extended under the current directors’ and officers’ liability insurance by obtaining a six-year “tail” policy (the “</w:t>
      </w:r>
      <w:r>
        <w:rPr>
          <w:rFonts w:ascii="Arial" w:cs="Arial" w:eastAsia="Arial" w:hAnsi="Arial"/>
          <w:sz w:val="15"/>
          <w:szCs w:val="15"/>
          <w:u w:val="single" w:color="auto"/>
          <w:color w:val="auto"/>
        </w:rPr>
        <w:t>D&amp;O Tail</w:t>
      </w:r>
      <w:r>
        <w:rPr>
          <w:rFonts w:ascii="Arial" w:cs="Arial" w:eastAsia="Arial" w:hAnsi="Arial"/>
          <w:sz w:val="15"/>
          <w:szCs w:val="15"/>
          <w:color w:val="auto"/>
        </w:rPr>
        <w:t xml:space="preserve">”) containing terms not materially less favorable than the terms of such current insurance coverage with respect to claims existing or occurring at or prior to the Effective Time and (ii) if any claim is asserted or made within such six-year period, any insurance required to be maintained under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be continued in respect of such claim until the final disposition thereof.</w:t>
      </w:r>
    </w:p>
    <w:p>
      <w:pPr>
        <w:spacing w:after="0" w:line="156" w:lineRule="exact"/>
        <w:rPr>
          <w:rFonts w:ascii="Arial" w:cs="Arial" w:eastAsia="Arial" w:hAnsi="Arial"/>
          <w:sz w:val="15"/>
          <w:szCs w:val="15"/>
          <w:color w:val="auto"/>
        </w:rPr>
      </w:pPr>
    </w:p>
    <w:p>
      <w:pPr>
        <w:jc w:val="both"/>
        <w:ind w:firstLine="1143"/>
        <w:spacing w:after="0" w:line="272" w:lineRule="auto"/>
        <w:tabs>
          <w:tab w:leader="none" w:pos="1364" w:val="left"/>
        </w:tabs>
        <w:numPr>
          <w:ilvl w:val="0"/>
          <w:numId w:val="75"/>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this Agreement to the contrary,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survive the consummation of the Mergers indefinitely and shall be binding, jointly and severally, on Acquiror and the Surviving Company and all successors and assigns of Acquiror and the Surviving Company. In the event that Acquiror, the Surviving Company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Acquiror and the Surviving Company shall ensure that proper provision shall be made so that the successors and assigns of Acquiror or the Surviving Company, as the case may be, shall succeed to the obligations set forth in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The obligations of Acquiror and the Surviving Company under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shall not be terminated or modified in such a manner as to materially and adversely affect any present and former director and officer of Acquiror, First Merger Sub, Second Merger Sub, the Company and each of their respective Subsidiaries to whom this </w:t>
      </w:r>
      <w:r>
        <w:rPr>
          <w:rFonts w:ascii="Arial" w:cs="Arial" w:eastAsia="Arial" w:hAnsi="Arial"/>
          <w:sz w:val="15"/>
          <w:szCs w:val="15"/>
          <w:u w:val="single" w:color="auto"/>
          <w:color w:val="auto"/>
        </w:rPr>
        <w:t>Section 7.02</w:t>
      </w:r>
      <w:r>
        <w:rPr>
          <w:rFonts w:ascii="Arial" w:cs="Arial" w:eastAsia="Arial" w:hAnsi="Arial"/>
          <w:sz w:val="15"/>
          <w:szCs w:val="15"/>
          <w:color w:val="auto"/>
        </w:rPr>
        <w:t xml:space="preserve"> applies without the consent of the affected Person.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b w:val="1"/>
          <w:bCs w:val="1"/>
          <w:color w:val="auto"/>
        </w:rPr>
        <w:t xml:space="preserve">Section 7.03 </w:t>
      </w:r>
      <w:r>
        <w:rPr>
          <w:rFonts w:ascii="Arial" w:cs="Arial" w:eastAsia="Arial" w:hAnsi="Arial"/>
          <w:sz w:val="16"/>
          <w:szCs w:val="16"/>
          <w:b w:val="1"/>
          <w:bCs w:val="1"/>
          <w:u w:val="single" w:color="auto"/>
          <w:color w:val="auto"/>
        </w:rPr>
        <w:t>Conduct of Acquiror During the Interim Period</w:t>
      </w:r>
      <w:r>
        <w:rPr>
          <w:rFonts w:ascii="Arial" w:cs="Arial" w:eastAsia="Arial" w:hAnsi="Arial"/>
          <w:sz w:val="16"/>
          <w:szCs w:val="16"/>
          <w:color w:val="auto"/>
        </w:rPr>
        <w:t>.</w:t>
      </w:r>
    </w:p>
    <w:p>
      <w:pPr>
        <w:spacing w:after="0" w:line="202" w:lineRule="exact"/>
        <w:rPr>
          <w:sz w:val="20"/>
          <w:szCs w:val="20"/>
          <w:color w:val="auto"/>
        </w:rPr>
      </w:pPr>
    </w:p>
    <w:p>
      <w:pPr>
        <w:jc w:val="both"/>
        <w:ind w:right="20" w:firstLine="1143"/>
        <w:spacing w:after="0" w:line="287" w:lineRule="auto"/>
        <w:tabs>
          <w:tab w:leader="none" w:pos="1364" w:val="left"/>
        </w:tabs>
        <w:numPr>
          <w:ilvl w:val="0"/>
          <w:numId w:val="76"/>
        </w:numPr>
        <w:rPr>
          <w:rFonts w:ascii="Arial" w:cs="Arial" w:eastAsia="Arial" w:hAnsi="Arial"/>
          <w:sz w:val="15"/>
          <w:szCs w:val="15"/>
          <w:color w:val="auto"/>
        </w:rPr>
      </w:pPr>
      <w:r>
        <w:rPr>
          <w:rFonts w:ascii="Arial" w:cs="Arial" w:eastAsia="Arial" w:hAnsi="Arial"/>
          <w:sz w:val="15"/>
          <w:szCs w:val="15"/>
          <w:color w:val="auto"/>
        </w:rPr>
        <w:t xml:space="preserve">During the Interim Period, except as set forth on </w:t>
      </w:r>
      <w:r>
        <w:rPr>
          <w:rFonts w:ascii="Arial" w:cs="Arial" w:eastAsia="Arial" w:hAnsi="Arial"/>
          <w:sz w:val="15"/>
          <w:szCs w:val="15"/>
          <w:u w:val="single" w:color="auto"/>
          <w:color w:val="auto"/>
        </w:rPr>
        <w:t>Schedule 7.03</w:t>
      </w:r>
      <w:r>
        <w:rPr>
          <w:rFonts w:ascii="Arial" w:cs="Arial" w:eastAsia="Arial" w:hAnsi="Arial"/>
          <w:sz w:val="15"/>
          <w:szCs w:val="15"/>
          <w:color w:val="auto"/>
        </w:rPr>
        <w:t xml:space="preserve"> or as expressly contemplated by this Agreement (including, for the avoidance for doubt, the execution and delivery of the Subscription Agreements and performance of the Acquiror’s obligations thereunder) or as consented to by the Company in writing (which consent shall not be unreasonably conditioned, withheld or delayed), Acquiror shall not and each shall not permit any of its Subsidiaries to:</w:t>
      </w:r>
    </w:p>
    <w:p>
      <w:pPr>
        <w:spacing w:after="0" w:line="146" w:lineRule="exact"/>
        <w:rPr>
          <w:rFonts w:ascii="Arial" w:cs="Arial" w:eastAsia="Arial" w:hAnsi="Arial"/>
          <w:sz w:val="15"/>
          <w:szCs w:val="15"/>
          <w:color w:val="auto"/>
        </w:rPr>
      </w:pPr>
    </w:p>
    <w:p>
      <w:pPr>
        <w:ind w:left="1900" w:hanging="184"/>
        <w:spacing w:after="0"/>
        <w:tabs>
          <w:tab w:leader="none" w:pos="19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change, modify or amend the Trust Agreement, the Acquiror Organizational Documents or the organizational documents of First Merger Sub or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Second Merger Sub;</w:t>
      </w:r>
    </w:p>
    <w:p>
      <w:pPr>
        <w:spacing w:after="0" w:line="185" w:lineRule="exact"/>
        <w:rPr>
          <w:rFonts w:ascii="Arial" w:cs="Arial" w:eastAsia="Arial" w:hAnsi="Arial"/>
          <w:sz w:val="14"/>
          <w:szCs w:val="14"/>
          <w:color w:val="auto"/>
        </w:rPr>
      </w:pPr>
    </w:p>
    <w:p>
      <w:pPr>
        <w:jc w:val="both"/>
        <w:ind w:firstLine="1716"/>
        <w:spacing w:after="0" w:line="255" w:lineRule="auto"/>
        <w:tabs>
          <w:tab w:leader="none" w:pos="195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 make, declare, set aside or pay any dividends on, or make any other distribution (whether in cash, stock or property) in respect of any of its outstanding capital stock or other equity interests; (B) split, combine, reclassify or otherwise change any of its capital stock or other equity interests; or (C) other than the redemption of any shares of Acquiror Common Stock required by the Offer or as otherwise required by Acquiror’s Organizational Documents in order to consummate the transactions contemplated hereby, repurchase, redeem or otherwise acquire, or offer to repurchase, redeem or otherwise acquire, any capital stock of, or other equity interests in, Acquiror;</w:t>
      </w:r>
    </w:p>
    <w:p>
      <w:pPr>
        <w:spacing w:after="0" w:line="169" w:lineRule="exact"/>
        <w:rPr>
          <w:rFonts w:ascii="Arial" w:cs="Arial" w:eastAsia="Arial" w:hAnsi="Arial"/>
          <w:sz w:val="16"/>
          <w:szCs w:val="16"/>
          <w:color w:val="auto"/>
        </w:rPr>
      </w:pPr>
    </w:p>
    <w:p>
      <w:pPr>
        <w:jc w:val="both"/>
        <w:ind w:firstLine="1716"/>
        <w:spacing w:after="0" w:line="255" w:lineRule="auto"/>
        <w:tabs>
          <w:tab w:leader="none" w:pos="2011" w:val="left"/>
        </w:tabs>
        <w:numPr>
          <w:ilvl w:val="1"/>
          <w:numId w:val="76"/>
        </w:numPr>
        <w:rPr>
          <w:rFonts w:ascii="Arial" w:cs="Arial" w:eastAsia="Arial" w:hAnsi="Arial"/>
          <w:sz w:val="16"/>
          <w:szCs w:val="16"/>
          <w:color w:val="auto"/>
        </w:rPr>
      </w:pPr>
      <w:r>
        <w:rPr>
          <w:rFonts w:ascii="Arial" w:cs="Arial" w:eastAsia="Arial" w:hAnsi="Arial"/>
          <w:sz w:val="16"/>
          <w:szCs w:val="16"/>
          <w:color w:val="auto"/>
        </w:rPr>
        <w:t>make, revoke or change any material Tax election, adopt or change any material Tax accounting method or period, file any amendment to a material Tax Return, enter into any agreement with a Governmental Authority with respect to a material amount of Taxes, settle or compromise any examination, audit or other Action with a Governmental Authority of or relating to any material Taxes or settle or compromise any claim or assessment by a Governmental Authority in respect of material Taxes, consent to any extension or waiver of the statutory period of limitations applicable to any claim or assessment in respect of Taxes, or enter into any Tax sharing or similar agreement (excluding any commercial contract not primarily related to Taxes);</w:t>
      </w:r>
    </w:p>
    <w:p>
      <w:pPr>
        <w:spacing w:after="0" w:line="169" w:lineRule="exact"/>
        <w:rPr>
          <w:rFonts w:ascii="Arial" w:cs="Arial" w:eastAsia="Arial" w:hAnsi="Arial"/>
          <w:sz w:val="16"/>
          <w:szCs w:val="16"/>
          <w:color w:val="auto"/>
        </w:rPr>
      </w:pPr>
    </w:p>
    <w:p>
      <w:pPr>
        <w:ind w:right="20" w:firstLine="1716"/>
        <w:spacing w:after="0" w:line="275" w:lineRule="auto"/>
        <w:tabs>
          <w:tab w:leader="none" w:pos="2002" w:val="left"/>
        </w:tabs>
        <w:numPr>
          <w:ilvl w:val="1"/>
          <w:numId w:val="76"/>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which action or failure to act could reasonably be expected to prevent or impede the Transactions from qualifying for the Intended Tax Treatment;</w:t>
      </w:r>
    </w:p>
    <w:p>
      <w:pPr>
        <w:spacing w:after="0" w:line="151" w:lineRule="exact"/>
        <w:rPr>
          <w:rFonts w:ascii="Arial" w:cs="Arial" w:eastAsia="Arial" w:hAnsi="Arial"/>
          <w:sz w:val="16"/>
          <w:szCs w:val="16"/>
          <w:color w:val="auto"/>
        </w:rPr>
      </w:pPr>
    </w:p>
    <w:p>
      <w:pPr>
        <w:ind w:right="20" w:firstLine="1716"/>
        <w:spacing w:after="0" w:line="275" w:lineRule="auto"/>
        <w:tabs>
          <w:tab w:leader="none" w:pos="1946"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other than as set forth on </w:t>
      </w:r>
      <w:r>
        <w:rPr>
          <w:rFonts w:ascii="Arial" w:cs="Arial" w:eastAsia="Arial" w:hAnsi="Arial"/>
          <w:sz w:val="16"/>
          <w:szCs w:val="16"/>
          <w:u w:val="single" w:color="auto"/>
          <w:color w:val="auto"/>
        </w:rPr>
        <w:t>Schedule 7.03</w:t>
      </w:r>
      <w:r>
        <w:rPr>
          <w:rFonts w:ascii="Arial" w:cs="Arial" w:eastAsia="Arial" w:hAnsi="Arial"/>
          <w:sz w:val="16"/>
          <w:szCs w:val="16"/>
          <w:color w:val="auto"/>
        </w:rPr>
        <w:t>, enter into, renew or amend in any material respect, any Acquiror Affiliate Agreement (or any Contract, that if existing on the date hereof, would have constitute an Acquiror Affiliate Agreement);</w:t>
      </w:r>
    </w:p>
    <w:p>
      <w:pPr>
        <w:spacing w:after="0" w:line="151" w:lineRule="exact"/>
        <w:rPr>
          <w:rFonts w:ascii="Arial" w:cs="Arial" w:eastAsia="Arial" w:hAnsi="Arial"/>
          <w:sz w:val="16"/>
          <w:szCs w:val="16"/>
          <w:color w:val="auto"/>
        </w:rPr>
      </w:pPr>
    </w:p>
    <w:p>
      <w:pPr>
        <w:jc w:val="both"/>
        <w:ind w:right="20" w:firstLine="1716"/>
        <w:spacing w:after="0" w:line="255" w:lineRule="auto"/>
        <w:tabs>
          <w:tab w:leader="none" w:pos="1990" w:val="left"/>
        </w:tabs>
        <w:numPr>
          <w:ilvl w:val="1"/>
          <w:numId w:val="76"/>
        </w:numPr>
        <w:rPr>
          <w:rFonts w:ascii="Arial" w:cs="Arial" w:eastAsia="Arial" w:hAnsi="Arial"/>
          <w:sz w:val="16"/>
          <w:szCs w:val="16"/>
          <w:color w:val="auto"/>
        </w:rPr>
      </w:pPr>
      <w:r>
        <w:rPr>
          <w:rFonts w:ascii="Arial" w:cs="Arial" w:eastAsia="Arial" w:hAnsi="Arial"/>
          <w:sz w:val="16"/>
          <w:szCs w:val="16"/>
          <w:color w:val="auto"/>
        </w:rPr>
        <w:t xml:space="preserve">enter into, or amend or modify any material term of (in a manner adverse to the Acquiror or any of its Subsidiaries (including the Company and its Subsidiaries)), terminate (excluding any expiration in accordance with its terms), or waive or release any material rights, claims or benefits under, any Contract of a type required to be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xml:space="preserve"> (or any Contract, that if existing on the date hereof, would have been required to be listed on </w:t>
      </w:r>
      <w:r>
        <w:rPr>
          <w:rFonts w:ascii="Arial" w:cs="Arial" w:eastAsia="Arial" w:hAnsi="Arial"/>
          <w:sz w:val="16"/>
          <w:szCs w:val="16"/>
          <w:u w:val="single" w:color="auto"/>
          <w:color w:val="auto"/>
        </w:rPr>
        <w:t>Schedule 5.16(a)</w:t>
      </w:r>
      <w:r>
        <w:rPr>
          <w:rFonts w:ascii="Arial" w:cs="Arial" w:eastAsia="Arial" w:hAnsi="Arial"/>
          <w:sz w:val="16"/>
          <w:szCs w:val="16"/>
          <w:color w:val="auto"/>
        </w:rPr>
        <w:t>) or any collective bargaining or similar agreement (including agreements with works councils and trade unions and side letters) to which the Acquiror or its Subsidiaries is a party or by which it is bound;</w:t>
      </w:r>
    </w:p>
    <w:p>
      <w:pPr>
        <w:spacing w:after="0" w:line="169" w:lineRule="exact"/>
        <w:rPr>
          <w:rFonts w:ascii="Arial" w:cs="Arial" w:eastAsia="Arial" w:hAnsi="Arial"/>
          <w:sz w:val="16"/>
          <w:szCs w:val="16"/>
          <w:color w:val="auto"/>
        </w:rPr>
      </w:pPr>
    </w:p>
    <w:p>
      <w:pPr>
        <w:ind w:right="20" w:firstLine="1716"/>
        <w:spacing w:after="0" w:line="275" w:lineRule="auto"/>
        <w:tabs>
          <w:tab w:leader="none" w:pos="2059" w:val="left"/>
        </w:tabs>
        <w:numPr>
          <w:ilvl w:val="1"/>
          <w:numId w:val="76"/>
        </w:numPr>
        <w:rPr>
          <w:rFonts w:ascii="Arial" w:cs="Arial" w:eastAsia="Arial" w:hAnsi="Arial"/>
          <w:sz w:val="16"/>
          <w:szCs w:val="16"/>
          <w:color w:val="auto"/>
        </w:rPr>
      </w:pPr>
      <w:r>
        <w:rPr>
          <w:rFonts w:ascii="Arial" w:cs="Arial" w:eastAsia="Arial" w:hAnsi="Arial"/>
          <w:sz w:val="16"/>
          <w:szCs w:val="16"/>
          <w:color w:val="auto"/>
        </w:rPr>
        <w:t>waive, release, compromise, settle or satisfy any pending or threatened claim (which shall include, but not be limited to, any pending or threatened Action) or compromise or settle any liability;</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1"/>
          <w:numId w:val="76"/>
        </w:numPr>
        <w:rPr>
          <w:rFonts w:ascii="Arial" w:cs="Arial" w:eastAsia="Arial" w:hAnsi="Arial"/>
          <w:sz w:val="15"/>
          <w:szCs w:val="15"/>
          <w:color w:val="auto"/>
        </w:rPr>
      </w:pPr>
      <w:r>
        <w:rPr>
          <w:rFonts w:ascii="Arial" w:cs="Arial" w:eastAsia="Arial" w:hAnsi="Arial"/>
          <w:sz w:val="15"/>
          <w:szCs w:val="15"/>
          <w:color w:val="auto"/>
        </w:rPr>
        <w:t>incur, create, assume, refinance, guarantee or otherwise become liable for (whether directly, contingently or otherwise) any Indebtedness;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right="20" w:firstLine="1716"/>
        <w:spacing w:after="0" w:line="254" w:lineRule="auto"/>
        <w:tabs>
          <w:tab w:leader="none" w:pos="19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offer, issue, deliver, grant or sell, or authorize or propose to offer, issue, deliver, grant or sell, any capital stock of, or other equity interests in, Acquiror or any of its Subsidiaries or any securities convertible into, or any rights, warrants or options to acquire, any such capital stock or equity interests, other than (i) in connection with the exercise of any Acquiror Warrants or Acquiror Private Placement Warrants outstanding on the date hereof or (ii) the transactions contemplated by this Agreement (including the transactions contemplated by the Subscription Agreements) or (B) amend, modify or waive any of the terms or rights set forth in, any Acquiror Warrant, any Acquiror Private Placement Warrant or the Warrant Agreement, including any amendment, modification or reduction of the warrant price set forth therein, other than pursuant to the Sponsor Agreement;</w:t>
      </w:r>
    </w:p>
    <w:p>
      <w:pPr>
        <w:spacing w:after="0" w:line="170" w:lineRule="exact"/>
        <w:rPr>
          <w:rFonts w:ascii="Arial" w:cs="Arial" w:eastAsia="Arial" w:hAnsi="Arial"/>
          <w:sz w:val="16"/>
          <w:szCs w:val="16"/>
          <w:color w:val="auto"/>
        </w:rPr>
      </w:pPr>
    </w:p>
    <w:p>
      <w:pPr>
        <w:jc w:val="both"/>
        <w:ind w:right="20" w:firstLine="1716"/>
        <w:spacing w:after="0" w:line="258" w:lineRule="auto"/>
        <w:tabs>
          <w:tab w:leader="none" w:pos="1946"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fail to maintain its existence or acquire by merger or consolidation with, or merge or consolidate with, or purchase a material portion of the assets or equity of, any corporation, partnership, limited liability company, association, joint venture or other business organization or division thereof; or (ii) adopt or enter into a plan of complete or partial liquidation, dissolution, merger, consolidation, restructuring, recapitalization or other reorganization of the Acquiror or its Subsidiaries (other than the transactions contemplated by this Agreement);</w:t>
      </w:r>
    </w:p>
    <w:p>
      <w:pPr>
        <w:spacing w:after="0" w:line="164" w:lineRule="exact"/>
        <w:rPr>
          <w:rFonts w:ascii="Arial" w:cs="Arial" w:eastAsia="Arial" w:hAnsi="Arial"/>
          <w:sz w:val="16"/>
          <w:szCs w:val="16"/>
          <w:color w:val="auto"/>
        </w:rPr>
      </w:pPr>
    </w:p>
    <w:p>
      <w:pPr>
        <w:ind w:left="1980" w:hanging="264"/>
        <w:spacing w:after="0"/>
        <w:tabs>
          <w:tab w:leader="none" w:pos="1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make any capital expenditures;</w:t>
      </w:r>
    </w:p>
    <w:p>
      <w:pPr>
        <w:spacing w:after="0" w:line="198" w:lineRule="exact"/>
        <w:rPr>
          <w:rFonts w:ascii="Arial" w:cs="Arial" w:eastAsia="Arial" w:hAnsi="Arial"/>
          <w:sz w:val="16"/>
          <w:szCs w:val="16"/>
          <w:color w:val="auto"/>
        </w:rPr>
      </w:pPr>
    </w:p>
    <w:p>
      <w:pPr>
        <w:jc w:val="both"/>
        <w:ind w:right="20" w:firstLine="1716"/>
        <w:spacing w:after="0" w:line="262" w:lineRule="auto"/>
        <w:tabs>
          <w:tab w:leader="none" w:pos="20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(including to any of its officers, directors, agents or consultants), make any change in its existing borrowing or lending arrangements for or on behalf of such Persons, or enter into any “keep well” or similar agreement to maintain the financial condition of any other Person;</w:t>
      </w:r>
    </w:p>
    <w:p>
      <w:pPr>
        <w:spacing w:after="0" w:line="162" w:lineRule="exact"/>
        <w:rPr>
          <w:rFonts w:ascii="Arial" w:cs="Arial" w:eastAsia="Arial" w:hAnsi="Arial"/>
          <w:sz w:val="16"/>
          <w:szCs w:val="16"/>
          <w:color w:val="auto"/>
        </w:rPr>
      </w:pPr>
    </w:p>
    <w:p>
      <w:pPr>
        <w:ind w:left="2080" w:hanging="364"/>
        <w:spacing w:after="0"/>
        <w:tabs>
          <w:tab w:leader="none" w:pos="20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enter into any new line of business outside of the business currently conducted by the Acquiror and its Subsidiaries as of the date of this</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185" w:lineRule="exact"/>
        <w:rPr>
          <w:rFonts w:ascii="Arial" w:cs="Arial" w:eastAsia="Arial" w:hAnsi="Arial"/>
          <w:sz w:val="15"/>
          <w:szCs w:val="15"/>
          <w:color w:val="auto"/>
        </w:rPr>
      </w:pPr>
    </w:p>
    <w:p>
      <w:pPr>
        <w:ind w:right="20" w:firstLine="1716"/>
        <w:spacing w:after="0" w:line="309" w:lineRule="auto"/>
        <w:tabs>
          <w:tab w:leader="none" w:pos="2082" w:val="left"/>
        </w:tabs>
        <w:numPr>
          <w:ilvl w:val="0"/>
          <w:numId w:val="77"/>
        </w:numPr>
        <w:rPr>
          <w:rFonts w:ascii="Arial" w:cs="Arial" w:eastAsia="Arial" w:hAnsi="Arial"/>
          <w:sz w:val="15"/>
          <w:szCs w:val="15"/>
          <w:color w:val="auto"/>
        </w:rPr>
      </w:pPr>
      <w:r>
        <w:rPr>
          <w:rFonts w:ascii="Arial" w:cs="Arial" w:eastAsia="Arial" w:hAnsi="Arial"/>
          <w:sz w:val="15"/>
          <w:szCs w:val="15"/>
          <w:color w:val="auto"/>
        </w:rPr>
        <w:t>make any change in financial accounting methods, principles or practices, except insofar as may have been required by a change in GAAP, including pursuant to standards, guidelines and interpretations of the Financial Accounting Standards Board or any similar organization, or applicable Law;</w:t>
      </w:r>
    </w:p>
    <w:p>
      <w:pPr>
        <w:spacing w:after="0" w:line="129" w:lineRule="exact"/>
        <w:rPr>
          <w:rFonts w:ascii="Arial" w:cs="Arial" w:eastAsia="Arial" w:hAnsi="Arial"/>
          <w:sz w:val="15"/>
          <w:szCs w:val="15"/>
          <w:color w:val="auto"/>
        </w:rPr>
      </w:pPr>
    </w:p>
    <w:p>
      <w:pPr>
        <w:ind w:right="20" w:firstLine="1716"/>
        <w:spacing w:after="0" w:line="275" w:lineRule="auto"/>
        <w:tabs>
          <w:tab w:leader="none" w:pos="2038" w:val="left"/>
        </w:tabs>
        <w:numPr>
          <w:ilvl w:val="0"/>
          <w:numId w:val="77"/>
        </w:numPr>
        <w:rPr>
          <w:rFonts w:ascii="Arial" w:cs="Arial" w:eastAsia="Arial" w:hAnsi="Arial"/>
          <w:sz w:val="16"/>
          <w:szCs w:val="16"/>
          <w:color w:val="auto"/>
        </w:rPr>
      </w:pPr>
      <w:r>
        <w:rPr>
          <w:rFonts w:ascii="Arial" w:cs="Arial" w:eastAsia="Arial" w:hAnsi="Arial"/>
          <w:sz w:val="16"/>
          <w:szCs w:val="16"/>
          <w:color w:val="auto"/>
        </w:rPr>
        <w:t>voluntarily fail to maintain, cancel or materially change coverage under any insurance policy in form and amount equivalent in all material respects to the insurance coverage currently maintained with respect to the Acquiror and its Subsidiaries and their assets and properties; or</w:t>
      </w:r>
    </w:p>
    <w:p>
      <w:pPr>
        <w:spacing w:after="0" w:line="151" w:lineRule="exact"/>
        <w:rPr>
          <w:rFonts w:ascii="Arial" w:cs="Arial" w:eastAsia="Arial" w:hAnsi="Arial"/>
          <w:sz w:val="16"/>
          <w:szCs w:val="16"/>
          <w:color w:val="auto"/>
        </w:rPr>
      </w:pPr>
    </w:p>
    <w:p>
      <w:pPr>
        <w:ind w:left="2060" w:hanging="344"/>
        <w:spacing w:after="0"/>
        <w:tabs>
          <w:tab w:leader="none" w:pos="2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enter into any agreement to do any action prohibited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198" w:lineRule="exact"/>
        <w:rPr>
          <w:sz w:val="20"/>
          <w:szCs w:val="20"/>
          <w:color w:val="auto"/>
        </w:rPr>
      </w:pPr>
    </w:p>
    <w:p>
      <w:pPr>
        <w:ind w:firstLine="1143"/>
        <w:spacing w:after="0" w:line="275" w:lineRule="auto"/>
        <w:tabs>
          <w:tab w:leader="none" w:pos="13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During the Interim Period, Acquiror shall, and shall cause its Subsidiaries to comply with, and continue performing under, as applicable, the Acquiror Organizational Documents, the Trust Agreement and all other agreements or Contracts to which Acquiror or its Subsidiaries may be a party.</w:t>
      </w:r>
    </w:p>
    <w:p>
      <w:pPr>
        <w:spacing w:after="0" w:line="148" w:lineRule="exact"/>
        <w:rPr>
          <w:sz w:val="20"/>
          <w:szCs w:val="20"/>
          <w:color w:val="auto"/>
        </w:rPr>
      </w:pPr>
    </w:p>
    <w:p>
      <w:pPr>
        <w:jc w:val="both"/>
        <w:ind w:firstLine="574"/>
        <w:spacing w:after="0" w:line="308" w:lineRule="auto"/>
        <w:rPr>
          <w:sz w:val="20"/>
          <w:szCs w:val="20"/>
          <w:color w:val="auto"/>
        </w:rPr>
      </w:pPr>
      <w:r>
        <w:rPr>
          <w:rFonts w:ascii="Arial" w:cs="Arial" w:eastAsia="Arial" w:hAnsi="Arial"/>
          <w:sz w:val="14"/>
          <w:szCs w:val="14"/>
          <w:b w:val="1"/>
          <w:bCs w:val="1"/>
          <w:color w:val="auto"/>
        </w:rPr>
        <w:t xml:space="preserve">Section 7.04 </w:t>
      </w:r>
      <w:r>
        <w:rPr>
          <w:rFonts w:ascii="Arial" w:cs="Arial" w:eastAsia="Arial" w:hAnsi="Arial"/>
          <w:sz w:val="14"/>
          <w:szCs w:val="14"/>
          <w:b w:val="1"/>
          <w:bCs w:val="1"/>
          <w:u w:val="single" w:color="auto"/>
          <w:color w:val="auto"/>
        </w:rPr>
        <w:t>Trust Account</w:t>
      </w:r>
      <w:r>
        <w:rPr>
          <w:rFonts w:ascii="Arial" w:cs="Arial" w:eastAsia="Arial" w:hAnsi="Arial"/>
          <w:sz w:val="14"/>
          <w:szCs w:val="14"/>
          <w:color w:val="auto"/>
        </w:rPr>
        <w:t>. Prior to or at the Closing (subject to the satisfaction or waiver of the conditions set forth in</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Article IX</w:t>
      </w:r>
      <w:r>
        <w:rPr>
          <w:rFonts w:ascii="Arial" w:cs="Arial" w:eastAsia="Arial" w:hAnsi="Arial"/>
          <w:sz w:val="14"/>
          <w:szCs w:val="14"/>
          <w:color w:val="auto"/>
        </w:rPr>
        <w:t>), Acquiror shall make appropriate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arrangements to cause the funds in the Trust Account to be disbursed in accordance with the Trust Agreement for the following: (a) the redemption of any shares of Acquiror Common Stock in connection with the Offer; (b) the payment of the Outstanding Company Expenses and Outstanding Acquiror Expenses pursuant to </w:t>
      </w:r>
      <w:r>
        <w:rPr>
          <w:rFonts w:ascii="Arial" w:cs="Arial" w:eastAsia="Arial" w:hAnsi="Arial"/>
          <w:sz w:val="14"/>
          <w:szCs w:val="14"/>
          <w:u w:val="single" w:color="auto"/>
          <w:color w:val="auto"/>
        </w:rPr>
        <w:t>Section 3.10</w:t>
      </w:r>
      <w:r>
        <w:rPr>
          <w:rFonts w:ascii="Arial" w:cs="Arial" w:eastAsia="Arial" w:hAnsi="Arial"/>
          <w:sz w:val="14"/>
          <w:szCs w:val="14"/>
          <w:color w:val="auto"/>
        </w:rPr>
        <w:t>; and (c) the balance of the assets in the Trust Account, if any, after payment of the amounts required under the foregoing clauses (a) and (b), to be disbursed to Acquiror.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1" w:name="page82"/>
    <w:bookmarkEnd w:id="81"/>
    <w:p>
      <w:pPr>
        <w:jc w:val="both"/>
        <w:ind w:firstLine="574"/>
        <w:spacing w:after="0" w:line="293" w:lineRule="auto"/>
        <w:rPr>
          <w:sz w:val="20"/>
          <w:szCs w:val="20"/>
          <w:color w:val="auto"/>
        </w:rPr>
      </w:pPr>
      <w:r>
        <w:rPr>
          <w:rFonts w:ascii="Arial" w:cs="Arial" w:eastAsia="Arial" w:hAnsi="Arial"/>
          <w:sz w:val="14"/>
          <w:szCs w:val="14"/>
          <w:b w:val="1"/>
          <w:bCs w:val="1"/>
          <w:color w:val="auto"/>
        </w:rPr>
        <w:t xml:space="preserve">Section 7.05 </w:t>
      </w:r>
      <w:r>
        <w:rPr>
          <w:rFonts w:ascii="Arial" w:cs="Arial" w:eastAsia="Arial" w:hAnsi="Arial"/>
          <w:sz w:val="14"/>
          <w:szCs w:val="14"/>
          <w:b w:val="1"/>
          <w:bCs w:val="1"/>
          <w:u w:val="single" w:color="auto"/>
          <w:color w:val="auto"/>
        </w:rPr>
        <w:t>Inspection</w:t>
      </w:r>
      <w:r>
        <w:rPr>
          <w:rFonts w:ascii="Arial" w:cs="Arial" w:eastAsia="Arial" w:hAnsi="Arial"/>
          <w:sz w:val="14"/>
          <w:szCs w:val="14"/>
          <w:color w:val="auto"/>
        </w:rPr>
        <w:t>. Subject to confidentiality obligations and similar restrictions that may be applicable to information furnished to Acquiror or its Subsidiaries</w:t>
      </w:r>
      <w:r>
        <w:rPr>
          <w:rFonts w:ascii="Arial" w:cs="Arial" w:eastAsia="Arial" w:hAnsi="Arial"/>
          <w:sz w:val="14"/>
          <w:szCs w:val="14"/>
          <w:b w:val="1"/>
          <w:bCs w:val="1"/>
          <w:color w:val="auto"/>
        </w:rPr>
        <w:t xml:space="preserve"> </w:t>
      </w:r>
      <w:r>
        <w:rPr>
          <w:rFonts w:ascii="Arial" w:cs="Arial" w:eastAsia="Arial" w:hAnsi="Arial"/>
          <w:sz w:val="14"/>
          <w:szCs w:val="14"/>
          <w:color w:val="auto"/>
        </w:rPr>
        <w:t>by third parties that may be in Acquiror’s or its Subsidiaries’ possession from time to time, and except for any information which in the opinion of legal counsel of Acquiror would result in the loss of attorney-client privilege or other privilege from disclosure or would conflict with any applicable Law or confidentiality obligations to which Acquiror or any of its Subsidiaries is bound, Acquiror shall afford to the Company, its Affiliates and their respective Representatives reasonable access during the Interim Period, during normal business hours and with reasonable advance notice, to all of their respective properties, books, projections, plans, systems, Contracts, commitments, Tax Returns, records, commitments, analyses and appropriate officers and employees of Acquiror, and shall furnish such Representatives with all financial and operating data and other information concerning the affairs of Acquiror that are in the possession of Acquiror as such Representatives may reasonably request. The parties shall use commercially reasonable efforts to make alternative arrangements for such disclosure where the restrictions in the preceding sentence apply. All information obtained by the Company, its Affiliates and their respective Representatives under this Agreement shall be subject to the Confidentiality Agreement prior to the Effective Time.</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7.06 </w:t>
      </w:r>
      <w:r>
        <w:rPr>
          <w:rFonts w:ascii="Arial" w:cs="Arial" w:eastAsia="Arial" w:hAnsi="Arial"/>
          <w:sz w:val="16"/>
          <w:szCs w:val="16"/>
          <w:b w:val="1"/>
          <w:bCs w:val="1"/>
          <w:u w:val="single" w:color="auto"/>
          <w:color w:val="auto"/>
        </w:rPr>
        <w:t>Acquiror Nasdaq Listing</w:t>
      </w:r>
      <w:r>
        <w:rPr>
          <w:rFonts w:ascii="Arial" w:cs="Arial" w:eastAsia="Arial" w:hAnsi="Arial"/>
          <w:sz w:val="16"/>
          <w:szCs w:val="16"/>
          <w:color w:val="auto"/>
        </w:rPr>
        <w:t>.</w:t>
      </w:r>
    </w:p>
    <w:p>
      <w:pPr>
        <w:spacing w:after="0" w:line="202" w:lineRule="exact"/>
        <w:rPr>
          <w:sz w:val="20"/>
          <w:szCs w:val="20"/>
          <w:color w:val="auto"/>
        </w:rPr>
      </w:pPr>
    </w:p>
    <w:p>
      <w:pPr>
        <w:ind w:right="20" w:firstLine="1143"/>
        <w:spacing w:after="0" w:line="275" w:lineRule="auto"/>
        <w:tabs>
          <w:tab w:leader="none" w:pos="1364" w:val="left"/>
        </w:tabs>
        <w:numPr>
          <w:ilvl w:val="0"/>
          <w:numId w:val="79"/>
        </w:numPr>
        <w:rPr>
          <w:rFonts w:ascii="Arial" w:cs="Arial" w:eastAsia="Arial" w:hAnsi="Arial"/>
          <w:sz w:val="16"/>
          <w:szCs w:val="16"/>
          <w:color w:val="auto"/>
        </w:rPr>
      </w:pPr>
      <w:r>
        <w:rPr>
          <w:rFonts w:ascii="Arial" w:cs="Arial" w:eastAsia="Arial" w:hAnsi="Arial"/>
          <w:sz w:val="16"/>
          <w:szCs w:val="16"/>
          <w:color w:val="auto"/>
        </w:rPr>
        <w:t>From the date hereof through the Closing, Acquiror shall use commercially reasonable efforts to ensure Acquiror remains listed as a public company on, and for shares of Acquiror Common Stock to be listed on, Nasdaq.</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73"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Acquiror shall use commercially reasonable efforts to cause the Acquiror Common Stock to be issued in connection with the Transactions (including the Earnout Shares) to be approved for listing on remains as promptly as practicable following the issuance thereof, subject to official notice of issuance, prior to the Closing Date. The Company shall cooperate with Acquiror, including by providing all information and materials necessary, to accomplish the requirements of this </w:t>
      </w:r>
      <w:r>
        <w:rPr>
          <w:rFonts w:ascii="Arial" w:cs="Arial" w:eastAsia="Arial" w:hAnsi="Arial"/>
          <w:sz w:val="14"/>
          <w:szCs w:val="14"/>
          <w:u w:val="single" w:color="auto"/>
          <w:color w:val="auto"/>
        </w:rPr>
        <w:t>Section 7.06</w:t>
      </w:r>
      <w:r>
        <w:rPr>
          <w:rFonts w:ascii="Arial" w:cs="Arial" w:eastAsia="Arial" w:hAnsi="Arial"/>
          <w:sz w:val="14"/>
          <w:szCs w:val="14"/>
          <w:color w:val="auto"/>
        </w:rPr>
        <w:t>.</w:t>
      </w:r>
    </w:p>
    <w:p>
      <w:pPr>
        <w:spacing w:after="0" w:line="12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7.07 </w:t>
      </w:r>
      <w:r>
        <w:rPr>
          <w:rFonts w:ascii="Arial" w:cs="Arial" w:eastAsia="Arial" w:hAnsi="Arial"/>
          <w:sz w:val="16"/>
          <w:szCs w:val="16"/>
          <w:b w:val="1"/>
          <w:bCs w:val="1"/>
          <w:u w:val="single" w:color="auto"/>
          <w:color w:val="auto"/>
        </w:rPr>
        <w:t>Acquiror Public Filings</w:t>
      </w:r>
      <w:r>
        <w:rPr>
          <w:rFonts w:ascii="Arial" w:cs="Arial" w:eastAsia="Arial" w:hAnsi="Arial"/>
          <w:sz w:val="16"/>
          <w:szCs w:val="16"/>
          <w:color w:val="auto"/>
        </w:rPr>
        <w:t>. From the date hereof through the Closing, Acquiror will keep current and timely file all reports required to be filed or furnished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SEC and otherwise comply in all material respects with its reporting obligations under applicable Securities Laws.</w:t>
      </w:r>
    </w:p>
    <w:p>
      <w:pPr>
        <w:spacing w:after="0" w:line="144"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b w:val="1"/>
          <w:bCs w:val="1"/>
          <w:color w:val="auto"/>
        </w:rPr>
        <w:t xml:space="preserve">Section 7.08 </w:t>
      </w:r>
      <w:r>
        <w:rPr>
          <w:rFonts w:ascii="Arial" w:cs="Arial" w:eastAsia="Arial" w:hAnsi="Arial"/>
          <w:sz w:val="15"/>
          <w:szCs w:val="15"/>
          <w:b w:val="1"/>
          <w:bCs w:val="1"/>
          <w:u w:val="single" w:color="auto"/>
          <w:color w:val="auto"/>
        </w:rPr>
        <w:t>Financing</w:t>
      </w:r>
      <w:r>
        <w:rPr>
          <w:rFonts w:ascii="Arial" w:cs="Arial" w:eastAsia="Arial" w:hAnsi="Arial"/>
          <w:sz w:val="15"/>
          <w:szCs w:val="15"/>
          <w:color w:val="auto"/>
        </w:rPr>
        <w:t>. Acquiror, First Merger Sub and Second Merger Sub shall take, or cause to be taken, as promptly as practicable after the date hereof, all</w:t>
      </w:r>
      <w:r>
        <w:rPr>
          <w:rFonts w:ascii="Arial" w:cs="Arial" w:eastAsia="Arial" w:hAnsi="Arial"/>
          <w:sz w:val="15"/>
          <w:szCs w:val="15"/>
          <w:b w:val="1"/>
          <w:bCs w:val="1"/>
          <w:color w:val="auto"/>
        </w:rPr>
        <w:t xml:space="preserve"> </w:t>
      </w:r>
      <w:r>
        <w:rPr>
          <w:rFonts w:ascii="Arial" w:cs="Arial" w:eastAsia="Arial" w:hAnsi="Arial"/>
          <w:sz w:val="15"/>
          <w:szCs w:val="15"/>
          <w:color w:val="auto"/>
        </w:rPr>
        <w:t>actions, and to do, or cause to be done, all things necessary, on or prior to the Closing Date, to consummate the purchases contemplated by the Subscription Agreements on the terms and conditions described or contemplated therein. Notwithstanding anything herein to the contrary, Acquiror shall not enter into Subscription Agreements in amounts in excess of the Base Subscription Amount without the prior written consent of the Company in its sole discretion.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firstLine="574"/>
        <w:spacing w:after="0" w:line="255" w:lineRule="auto"/>
        <w:rPr>
          <w:sz w:val="20"/>
          <w:szCs w:val="20"/>
          <w:color w:val="auto"/>
        </w:rPr>
      </w:pPr>
      <w:r>
        <w:rPr>
          <w:rFonts w:ascii="Arial" w:cs="Arial" w:eastAsia="Arial" w:hAnsi="Arial"/>
          <w:sz w:val="16"/>
          <w:szCs w:val="16"/>
          <w:b w:val="1"/>
          <w:bCs w:val="1"/>
          <w:color w:val="auto"/>
        </w:rPr>
        <w:t xml:space="preserve">Section 7.09 </w:t>
      </w:r>
      <w:r>
        <w:rPr>
          <w:rFonts w:ascii="Arial" w:cs="Arial" w:eastAsia="Arial" w:hAnsi="Arial"/>
          <w:sz w:val="16"/>
          <w:szCs w:val="16"/>
          <w:b w:val="1"/>
          <w:bCs w:val="1"/>
          <w:u w:val="single" w:color="auto"/>
          <w:color w:val="auto"/>
        </w:rPr>
        <w:t>Additional Insurance Matters</w:t>
      </w:r>
      <w:r>
        <w:rPr>
          <w:rFonts w:ascii="Arial" w:cs="Arial" w:eastAsia="Arial" w:hAnsi="Arial"/>
          <w:sz w:val="16"/>
          <w:szCs w:val="16"/>
          <w:color w:val="auto"/>
        </w:rPr>
        <w:t>. Prior to the Closing, Acquiror shall obtain directors’ and officers’ liability insurance that shall be effective as of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cover those Persons who will be the directors and officers of Acquiror and its Subsidiaries (including the directors and officers of the Company and its Subsidiaries) at and after the Closing on terms not less favorable than the better of (a) the terms of the current directors’ and officers’ liability insurance in place for the Company’s and its Subsidiaries’ directors and officers and (b)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Acquiror and its Subsidiaries (including the Company and its Subsidiaries).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7.10 </w:t>
      </w:r>
      <w:r>
        <w:rPr>
          <w:rFonts w:ascii="Arial" w:cs="Arial" w:eastAsia="Arial" w:hAnsi="Arial"/>
          <w:sz w:val="16"/>
          <w:szCs w:val="16"/>
          <w:b w:val="1"/>
          <w:bCs w:val="1"/>
          <w:u w:val="single" w:color="auto"/>
          <w:color w:val="auto"/>
        </w:rPr>
        <w:t>Section 16 Matters</w:t>
      </w:r>
      <w:r>
        <w:rPr>
          <w:rFonts w:ascii="Arial" w:cs="Arial" w:eastAsia="Arial" w:hAnsi="Arial"/>
          <w:sz w:val="16"/>
          <w:szCs w:val="16"/>
          <w:color w:val="auto"/>
        </w:rPr>
        <w:t>. Prior to the Closing, the board of directors of Acquiror, or an appropriate committee of “non-employee directors” (as defined in Rule</w:t>
      </w:r>
      <w:r>
        <w:rPr>
          <w:rFonts w:ascii="Arial" w:cs="Arial" w:eastAsia="Arial" w:hAnsi="Arial"/>
          <w:sz w:val="16"/>
          <w:szCs w:val="16"/>
          <w:b w:val="1"/>
          <w:bCs w:val="1"/>
          <w:color w:val="auto"/>
        </w:rPr>
        <w:t xml:space="preserve"> </w:t>
      </w:r>
      <w:r>
        <w:rPr>
          <w:rFonts w:ascii="Arial" w:cs="Arial" w:eastAsia="Arial" w:hAnsi="Arial"/>
          <w:sz w:val="16"/>
          <w:szCs w:val="16"/>
          <w:color w:val="auto"/>
        </w:rPr>
        <w:t>16b-3 of the Exchange Act) thereof, shall adopt a resolution consistent with the interpretive guidance of the SEC so that the acquisition of Acquiror Common Stock pursuant to this Agreement (including the Earnout Shares) and the other agreements contemplated hereby, by any person owning securities of the Company who is expected to become a director or officer (as defined under Rule 16a-1(f) under the Exchange Act) of Acquiror following the Closing shall be an exempt transaction for purposes of Section 16(b) of the Exchange Act pursuant to Rule 16b-3 thereunder.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7.11 </w:t>
      </w:r>
      <w:r>
        <w:rPr>
          <w:rFonts w:ascii="Arial" w:cs="Arial" w:eastAsia="Arial" w:hAnsi="Arial"/>
          <w:sz w:val="16"/>
          <w:szCs w:val="16"/>
          <w:b w:val="1"/>
          <w:bCs w:val="1"/>
          <w:u w:val="single" w:color="auto"/>
          <w:color w:val="auto"/>
        </w:rPr>
        <w:t>No Solicitation</w:t>
      </w:r>
      <w:r>
        <w:rPr>
          <w:rFonts w:ascii="Arial" w:cs="Arial" w:eastAsia="Arial" w:hAnsi="Arial"/>
          <w:sz w:val="16"/>
          <w:szCs w:val="16"/>
          <w:b w:val="1"/>
          <w:bCs w:val="1"/>
          <w:color w:val="auto"/>
        </w:rPr>
        <w:t>.</w:t>
      </w:r>
    </w:p>
    <w:p>
      <w:pPr>
        <w:spacing w:after="0" w:line="202" w:lineRule="exact"/>
        <w:rPr>
          <w:sz w:val="20"/>
          <w:szCs w:val="20"/>
          <w:color w:val="auto"/>
        </w:rPr>
      </w:pPr>
    </w:p>
    <w:p>
      <w:pPr>
        <w:jc w:val="both"/>
        <w:ind w:firstLine="1143"/>
        <w:spacing w:after="0" w:line="289" w:lineRule="auto"/>
        <w:tabs>
          <w:tab w:leader="none" w:pos="1364"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From the date of this Agreement until the Effective Time or, if earlier,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Acquiror will not, and will cause each of its Affiliates and its and their respective directors, officers and employees not to, and shall instruct and use its reasonable best efforts to cause Acquiror’s and its Affiliates’ other Representatives not to, directly or indirectly: (i) solicit, initiate, assist, knowingly encourage or facilitate or cooperate with any inquiries regarding, or the submission or announcement by any Person or “group” (as defined in the Exchange Act and the rules thereunder) (other than the Company) of, any proposal or offer that constitutes, or would reasonably be expected to lead to, any offer, inquiry, proposal or indication of interest, written or oral relating to any Business Combination (a “</w:t>
      </w:r>
      <w:r>
        <w:rPr>
          <w:rFonts w:ascii="Arial" w:cs="Arial" w:eastAsia="Arial" w:hAnsi="Arial"/>
          <w:sz w:val="14"/>
          <w:szCs w:val="14"/>
          <w:u w:val="single" w:color="auto"/>
          <w:color w:val="auto"/>
        </w:rPr>
        <w:t>Business Combination Proposal</w:t>
      </w:r>
      <w:r>
        <w:rPr>
          <w:rFonts w:ascii="Arial" w:cs="Arial" w:eastAsia="Arial" w:hAnsi="Arial"/>
          <w:sz w:val="14"/>
          <w:szCs w:val="14"/>
          <w:color w:val="auto"/>
        </w:rPr>
        <w:t>”); (ii) furnish, or afford access to (including through any virtual data room), any information regarding Acquiror or its businesses, operations, assets, liabilities, financial condition, books and records, prospects or employees to any Person or “group” (as defined in the Exchange Act and the rules thereunder) (other than to the Company or any of its Affiliates or Representatives) in connection with, for the purpose of assisting, soliciting, initiating, encouraging or facilitating, or in response to, or that would reasonably be expected to lead to, any Business Combination Proposal; (iii) enter into, continue, engage in or otherwise participate in any discussions or negotiations with any Person or “group” (as defined in the Exchange Act and the rules thereunder) (other than the Company or its Representatives) with respect to, any Business Combination Proposal, or any agreement, arrangement or understanding (including any letter of intent or similar document, agreement, commitment, or agreement in principle with respect to any Business Combination Proposal), or any inquiry, proposal or offer that would reasonably be expected to lead to any Business Combination Proposal, or announce an intention to do so; (iv) approve, adopt, endorse, recommend or enter into, or propose to approve, adopt, endorse, recommend or enter into, any letter of intent or similar document, agreement, commitment or agreement in principle with respect to any Business Combination Proposal; or (v) release any third Person, or waive any provision of, any confidentiality agreement to which such Person is a party and which directly relates to a potential Business Combination Proposal.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1143"/>
        <w:spacing w:after="0" w:line="253" w:lineRule="auto"/>
        <w:tabs>
          <w:tab w:leader="none" w:pos="13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Acquiror, any of its Affiliates or, to the Acquiror’s knowledge, any of its or their Representatives, receives a Business Combination Proposal or any inquiry, proposal or offer, request for information or request for discussions or negotiations, regarding or constituting a Business Combination Proposal or that is reasonably likely to lead to a Business Combination Proposal, then Acquiror shall promptly (and in no event later than forty eight (48) hours after receipt of such Company Acquisition Proposal or such inquiry, proposal, offer or request) notify the Company in writing of such Business Combination Proposal or such written inquiry, proposal, offer or request (which notification shall, unless expressly prohibited by a confidentiality agreement in effect as of the date hereof, include the identity of the Person making or submitting such Business Combination Proposal or such inquiry, proposal, offer or request and a copy of any such written Business Combination Proposal or such inquiry, proposal, offer or request (or, if not in writing, the material terms and conditions thereof)). Acquiror shall keep the Company promptly informed of the status of any such Business Combination Proposals, inquiries, proposals, offers or requests.</w:t>
      </w:r>
    </w:p>
    <w:p>
      <w:pPr>
        <w:spacing w:after="0" w:line="169" w:lineRule="exact"/>
        <w:rPr>
          <w:rFonts w:ascii="Arial" w:cs="Arial" w:eastAsia="Arial" w:hAnsi="Arial"/>
          <w:sz w:val="16"/>
          <w:szCs w:val="16"/>
          <w:color w:val="auto"/>
        </w:rPr>
      </w:pPr>
    </w:p>
    <w:p>
      <w:pPr>
        <w:jc w:val="both"/>
        <w:ind w:right="20" w:firstLine="1143"/>
        <w:spacing w:after="0" w:line="297" w:lineRule="auto"/>
        <w:tabs>
          <w:tab w:leader="none" w:pos="1387"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Promptly following the execution and delivery of this Agreement, Acquiror shall, and shall cause each of its Affiliates and its and their respective directors, officers and employees, and shall instruct and use reasonable best efforts to cause Acquiror’s and its Affiliates’ and its and their other respective Representatives to (and the parties to the Sponsor Agreement have acknowledged to the Company that they shall), immediately cease and cause to be terminated any existing solicitation of, or discussions or negotiations with, any Person or “group” (as defined in the Exchange Act and the rules thereunder) (other than the Company or its Representatives) relating to any Business Combination Proposal made on, prior to or after the date hereof. Acquiror shall not, and shall cause its Affiliates not to, release any third party from, or waive, amend or modify any provision of, or grant permission under, or fail to enforce, any standstill provision in any agreement to which Acquiror or any of its Affiliates is a party.</w:t>
      </w:r>
    </w:p>
    <w:p>
      <w:pPr>
        <w:spacing w:after="0" w:line="143" w:lineRule="exact"/>
        <w:rPr>
          <w:rFonts w:ascii="Arial" w:cs="Arial" w:eastAsia="Arial" w:hAnsi="Arial"/>
          <w:sz w:val="14"/>
          <w:szCs w:val="14"/>
          <w:color w:val="auto"/>
        </w:rPr>
      </w:pPr>
    </w:p>
    <w:p>
      <w:pPr>
        <w:ind w:right="20" w:firstLine="1143"/>
        <w:spacing w:after="0" w:line="309" w:lineRule="auto"/>
        <w:tabs>
          <w:tab w:leader="none" w:pos="1373"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Without limiting the foregoing, it is understood that any violation of the restrictions contained in this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by any of Acquiror’s Affiliates, or any of the Acquiror’s or its Affiliates’ respective Representatives acting on Acquiror’s behalf, shall be deemed to be a breach of this </w:t>
      </w:r>
      <w:r>
        <w:rPr>
          <w:rFonts w:ascii="Arial" w:cs="Arial" w:eastAsia="Arial" w:hAnsi="Arial"/>
          <w:sz w:val="15"/>
          <w:szCs w:val="15"/>
          <w:u w:val="single" w:color="auto"/>
          <w:color w:val="auto"/>
        </w:rPr>
        <w:t>Section 7.11</w:t>
      </w:r>
      <w:r>
        <w:rPr>
          <w:rFonts w:ascii="Arial" w:cs="Arial" w:eastAsia="Arial" w:hAnsi="Arial"/>
          <w:sz w:val="15"/>
          <w:szCs w:val="15"/>
          <w:color w:val="auto"/>
        </w:rPr>
        <w:t xml:space="preserve"> by Acquiror.</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7.12 </w:t>
      </w:r>
      <w:r>
        <w:rPr>
          <w:rFonts w:ascii="Arial" w:cs="Arial" w:eastAsia="Arial" w:hAnsi="Arial"/>
          <w:sz w:val="16"/>
          <w:szCs w:val="16"/>
          <w:b w:val="1"/>
          <w:bCs w:val="1"/>
          <w:u w:val="single" w:color="auto"/>
          <w:color w:val="auto"/>
        </w:rPr>
        <w:t>Bylaws</w:t>
      </w:r>
      <w:r>
        <w:rPr>
          <w:rFonts w:ascii="Arial" w:cs="Arial" w:eastAsia="Arial" w:hAnsi="Arial"/>
          <w:sz w:val="16"/>
          <w:szCs w:val="16"/>
          <w:color w:val="auto"/>
        </w:rPr>
        <w:t>. Prior to the consummation of the Transactions, Acquiror shall adopt the Acquiror A&amp;R Bylaws.</w:t>
      </w:r>
    </w:p>
    <w:p>
      <w:pPr>
        <w:spacing w:after="0" w:line="198"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7.13 </w:t>
      </w:r>
      <w:r>
        <w:rPr>
          <w:rFonts w:ascii="Arial" w:cs="Arial" w:eastAsia="Arial" w:hAnsi="Arial"/>
          <w:sz w:val="16"/>
          <w:szCs w:val="16"/>
          <w:b w:val="1"/>
          <w:bCs w:val="1"/>
          <w:u w:val="single" w:color="auto"/>
          <w:color w:val="auto"/>
        </w:rPr>
        <w:t>Director Appointments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agreed in writing by the Company and Acquiror prior to the Closing, and conditioned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Closing, subject to any limitation imposed under applicable Laws and Nasdaq listing requirements, Acquiror shall take all actions necessary or appropriate to cause (a) the Acquiror Board to consist of seven (7) directors, divided into three (3) classes, designated Class I, II and III, with Class I consisting of two (2) directors with an initial term that expires in 2022, Class II consisting of two (2) directors with an initial term that expires in 2023, and Class III consisting of three (3) directors with an initial term that expires in 2024 and (b) the individuals set forth on Schedule 7.13 to be elected as members of the Acquiror Board, effective as of the Closing. On the Closing Date, Acquiror shall enter into customary indemnification agreements reasonably satisfactory to the Company with the individuals set forth on Schedule 7.13, which indemnification agreements shall continue to be effective following the Closing.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4" w:name="page85"/>
    <w:bookmarkEnd w:id="84"/>
    <w:p>
      <w:pPr>
        <w:ind w:left="560"/>
        <w:spacing w:after="0"/>
        <w:rPr>
          <w:sz w:val="20"/>
          <w:szCs w:val="20"/>
          <w:color w:val="auto"/>
        </w:rPr>
      </w:pPr>
      <w:r>
        <w:rPr>
          <w:rFonts w:ascii="Arial" w:cs="Arial" w:eastAsia="Arial" w:hAnsi="Arial"/>
          <w:sz w:val="16"/>
          <w:szCs w:val="16"/>
          <w:b w:val="1"/>
          <w:bCs w:val="1"/>
          <w:color w:val="auto"/>
        </w:rPr>
        <w:t xml:space="preserve">Section 7.14 </w:t>
      </w:r>
      <w:r>
        <w:rPr>
          <w:rFonts w:ascii="Arial" w:cs="Arial" w:eastAsia="Arial" w:hAnsi="Arial"/>
          <w:sz w:val="16"/>
          <w:szCs w:val="16"/>
          <w:b w:val="1"/>
          <w:bCs w:val="1"/>
          <w:u w:val="single" w:color="auto"/>
          <w:color w:val="auto"/>
        </w:rPr>
        <w:t>Employee Matters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80" w:lineRule="auto"/>
        <w:tabs>
          <w:tab w:leader="none" w:pos="1364" w:val="left"/>
        </w:tabs>
        <w:numPr>
          <w:ilvl w:val="0"/>
          <w:numId w:val="82"/>
        </w:numPr>
        <w:rPr>
          <w:rFonts w:ascii="Arial" w:cs="Arial" w:eastAsia="Arial" w:hAnsi="Arial"/>
          <w:sz w:val="15"/>
          <w:szCs w:val="15"/>
          <w:color w:val="auto"/>
        </w:rPr>
      </w:pPr>
      <w:r>
        <w:rPr>
          <w:rFonts w:ascii="Arial" w:cs="Arial" w:eastAsia="Arial" w:hAnsi="Arial"/>
          <w:sz w:val="15"/>
          <w:szCs w:val="15"/>
          <w:color w:val="auto"/>
        </w:rPr>
        <w:t>As soon as practicable following the date that is sixty (60) days after the Closing and subject to applicable securities Laws, Acquiror shall file an effective registration statement on Form S-8 (or other applicable form) with respect to the Acquiror Common Stock issuable under the Acquiror Incentive Plan and the Acquiror ESPP, and Acquiror shall use commercially reasonable efforts to maintain the effectiveness of such registration statement(s) (and maintain the current status of the prospectus or prospectuses contained therein) for so long as awards granted pursuant to the Acquiror Incentive Plan and the Acquiror ESPP remain outstanding.</w:t>
      </w:r>
    </w:p>
    <w:p>
      <w:pPr>
        <w:spacing w:after="0" w:line="151" w:lineRule="exact"/>
        <w:rPr>
          <w:rFonts w:ascii="Arial" w:cs="Arial" w:eastAsia="Arial" w:hAnsi="Arial"/>
          <w:sz w:val="15"/>
          <w:szCs w:val="15"/>
          <w:color w:val="auto"/>
        </w:rPr>
      </w:pPr>
    </w:p>
    <w:p>
      <w:pPr>
        <w:jc w:val="both"/>
        <w:ind w:right="20" w:firstLine="1143"/>
        <w:spacing w:after="0" w:line="253"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Acquiror, First Merger Sub, Second Merger Sub and the Company acknowledge and agree that all provisions contained in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are included for the sole benefit of Acquiror and the Company, and that nothing in this Agreement, whether express or implied, (i) shall be construed to establish, amend, or modify any employee benefit plan, program, agreement or arrangement, (ii) shall limit the right of Acquiror, the Company or their respective Affiliates to amend, terminate or otherwise modify any Company Benefit Plan or other employee benefit plan, agreement or other arrangement following the Closing Date, or (iii) shall confer upon any person who is not a party to this Agreement (including any equityholder, any current or former director, manager, officer, employee or independent contractor of the Company, or any participant in any Company Benefit Plan or other employee benefit plan, agreement or other arrangement (or any dependent or beneficiary thereof)), any right to continued or resumed employment or recall, any right to compensation or benefits, or any third-party beneficiary or other right of any kind or nature whatsoever.</w:t>
      </w:r>
    </w:p>
    <w:p>
      <w:pPr>
        <w:spacing w:after="0" w:line="16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 xml:space="preserve">Section 7.15 </w:t>
      </w:r>
      <w:r>
        <w:rPr>
          <w:rFonts w:ascii="Arial" w:cs="Arial" w:eastAsia="Arial" w:hAnsi="Arial"/>
          <w:sz w:val="16"/>
          <w:szCs w:val="16"/>
          <w:b w:val="1"/>
          <w:bCs w:val="1"/>
          <w:u w:val="single" w:color="auto"/>
          <w:color w:val="auto"/>
        </w:rPr>
        <w:t>Transaction Litigation</w:t>
      </w:r>
      <w:r>
        <w:rPr>
          <w:rFonts w:ascii="Arial" w:cs="Arial" w:eastAsia="Arial" w:hAnsi="Arial"/>
          <w:sz w:val="16"/>
          <w:szCs w:val="16"/>
          <w:color w:val="auto"/>
        </w:rPr>
        <w:t>. In the event that any stockholder litigation related to this Agreement, the agreements ancillary to the Agreement,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hereby or thereby is brought or threatened in writing against Acquiror, or any of the members of its board of directors, after the date of this Agreement and prior to the Effective Time (the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Acquiror shall promptly (and in any event within forty-eight (48) hours) notify the Company in writing (e-mail being sufficient) of any such Transaction Litigation and shall keep the Company reasonably informed with respect to the status thereof. Acquiror shall give the Company the opportunity to participate in the defense of any Transaction Litigation and keep the Company reasonably apprised of, and consult with the Company (and consider in good faith the Company’s advice), with respect to, proposed strategy and any material decisions related thereto. Acquiror shall not settle or agree to settle any Transaction Litigation without the Company’s prior written consent.</w:t>
      </w:r>
    </w:p>
    <w:p>
      <w:pPr>
        <w:spacing w:after="0" w:line="167"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7.16 </w:t>
      </w:r>
      <w:r>
        <w:rPr>
          <w:rFonts w:ascii="Arial" w:cs="Arial" w:eastAsia="Arial" w:hAnsi="Arial"/>
          <w:sz w:val="16"/>
          <w:szCs w:val="16"/>
          <w:b w:val="1"/>
          <w:bCs w:val="1"/>
          <w:u w:val="single" w:color="auto"/>
          <w:color w:val="auto"/>
        </w:rPr>
        <w:t>Termination of Acquiror Affiliate Agreements</w:t>
      </w:r>
      <w:r>
        <w:rPr>
          <w:rFonts w:ascii="Arial" w:cs="Arial" w:eastAsia="Arial" w:hAnsi="Arial"/>
          <w:sz w:val="16"/>
          <w:szCs w:val="16"/>
          <w:color w:val="auto"/>
        </w:rPr>
        <w:t>. Acquiror shall cause all Acquiror Affiliate Agreements, including those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5.19</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liabilities and obligations of Acquiror pursuant thereto to be terminated as of the Effective Time, in each case, without further liability or obligation of any kind to Acquiror, First Merger Sub, Second Merger Sub, the Company or any of the Company’s Subsidiaries.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JOINT COVENANTS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b w:val="1"/>
          <w:bCs w:val="1"/>
          <w:color w:val="auto"/>
        </w:rPr>
        <w:t xml:space="preserve">Section 8.01 </w:t>
      </w:r>
      <w:r>
        <w:rPr>
          <w:rFonts w:ascii="Arial" w:cs="Arial" w:eastAsia="Arial" w:hAnsi="Arial"/>
          <w:sz w:val="15"/>
          <w:szCs w:val="15"/>
          <w:b w:val="1"/>
          <w:bCs w:val="1"/>
          <w:u w:val="single" w:color="auto"/>
          <w:color w:val="auto"/>
        </w:rPr>
        <w:t>Support of Transaction</w:t>
      </w:r>
      <w:r>
        <w:rPr>
          <w:rFonts w:ascii="Arial" w:cs="Arial" w:eastAsia="Arial" w:hAnsi="Arial"/>
          <w:sz w:val="15"/>
          <w:szCs w:val="15"/>
          <w:color w:val="auto"/>
        </w:rPr>
        <w:t>. Without limiting any covenant contained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VI</w:t>
      </w:r>
      <w:r>
        <w:rPr>
          <w:rFonts w:ascii="Arial" w:cs="Arial" w:eastAsia="Arial" w:hAnsi="Arial"/>
          <w:sz w:val="15"/>
          <w:szCs w:val="15"/>
          <w:b w:val="1"/>
          <w:bCs w:val="1"/>
          <w:color w:val="auto"/>
        </w:rPr>
        <w:t xml:space="preserve"> </w:t>
      </w:r>
      <w:r>
        <w:rPr>
          <w:rFonts w:ascii="Arial" w:cs="Arial" w:eastAsia="Arial" w:hAnsi="Arial"/>
          <w:sz w:val="15"/>
          <w:szCs w:val="15"/>
          <w:color w:val="auto"/>
        </w:rPr>
        <w:t>or</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Article VII</w:t>
      </w:r>
      <w:r>
        <w:rPr>
          <w:rFonts w:ascii="Arial" w:cs="Arial" w:eastAsia="Arial" w:hAnsi="Arial"/>
          <w:sz w:val="15"/>
          <w:szCs w:val="15"/>
          <w:color w:val="auto"/>
        </w:rPr>
        <w:t>, including the obligations of the Company and Acquiror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with respect to the notifications, filings, reaffirmations and applications described in </w:t>
      </w:r>
      <w:r>
        <w:rPr>
          <w:rFonts w:ascii="Arial" w:cs="Arial" w:eastAsia="Arial" w:hAnsi="Arial"/>
          <w:sz w:val="15"/>
          <w:szCs w:val="15"/>
          <w:u w:val="single" w:color="auto"/>
          <w:color w:val="auto"/>
        </w:rPr>
        <w:t>Section 6.03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7.01</w:t>
      </w:r>
      <w:r>
        <w:rPr>
          <w:rFonts w:ascii="Arial" w:cs="Arial" w:eastAsia="Arial" w:hAnsi="Arial"/>
          <w:sz w:val="15"/>
          <w:szCs w:val="15"/>
          <w:color w:val="auto"/>
        </w:rPr>
        <w:t xml:space="preserve">, respectively, which obligations shall control to the extent of any conflict with the succeeding provisions of this </w:t>
      </w:r>
      <w:r>
        <w:rPr>
          <w:rFonts w:ascii="Arial" w:cs="Arial" w:eastAsia="Arial" w:hAnsi="Arial"/>
          <w:sz w:val="15"/>
          <w:szCs w:val="15"/>
          <w:u w:val="single" w:color="auto"/>
          <w:color w:val="auto"/>
        </w:rPr>
        <w:t>Section 8.01</w:t>
      </w:r>
      <w:r>
        <w:rPr>
          <w:rFonts w:ascii="Arial" w:cs="Arial" w:eastAsia="Arial" w:hAnsi="Arial"/>
          <w:sz w:val="15"/>
          <w:szCs w:val="15"/>
          <w:color w:val="auto"/>
        </w:rPr>
        <w:t xml:space="preserve">, Acquiror and the Company shall each, and shall each cause their respective Subsidiaries to: (a) use commercially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commercially reasonable efforts to obtain all material consents and approvals of third parties that any of Acquiror, the Company, or their respective Affiliates are required to obtain in order to consummate the Transactions, including any required approvals of parties to material Contracts with the Company or its Subsidiaries, and (c) take such other action as may reasonably be necessary or as another party may reasonably request to satisfy the conditions of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or otherwise to comply with this Agreement and to consummate the Transactions as soon as practicable. Notwithstanding the foregoing, in no event shall Acquiror, First Merger Sub, Second Merger Sub, the Company or its Subsidiaries be obligated to bear any expense or pay any fee or grant any concession in connection with obtaining any consents, authorizations or approvals pursuant to the terms of any Contract to which the Company or its Subsidiaries is a party or otherwise in connection with the consummation of the Transactions.</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8.02 </w:t>
      </w:r>
      <w:r>
        <w:rPr>
          <w:rFonts w:ascii="Arial" w:cs="Arial" w:eastAsia="Arial" w:hAnsi="Arial"/>
          <w:sz w:val="16"/>
          <w:szCs w:val="16"/>
          <w:b w:val="1"/>
          <w:bCs w:val="1"/>
          <w:u w:val="single" w:color="auto"/>
          <w:color w:val="auto"/>
        </w:rPr>
        <w:t>Preparation of Proxy Statement/Registration Statement; Shareholders’ Meeting and Approvals</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70" w:lineRule="auto"/>
        <w:tabs>
          <w:tab w:leader="none" w:pos="1376" w:val="left"/>
        </w:tabs>
        <w:numPr>
          <w:ilvl w:val="0"/>
          <w:numId w:val="83"/>
        </w:numPr>
        <w:rPr>
          <w:rFonts w:ascii="Arial" w:cs="Arial" w:eastAsia="Arial" w:hAnsi="Arial"/>
          <w:sz w:val="15"/>
          <w:szCs w:val="15"/>
          <w:color w:val="auto"/>
        </w:rPr>
      </w:pPr>
      <w:r>
        <w:rPr>
          <w:rFonts w:ascii="Arial" w:cs="Arial" w:eastAsia="Arial" w:hAnsi="Arial"/>
          <w:sz w:val="15"/>
          <w:szCs w:val="15"/>
          <w:color w:val="auto"/>
        </w:rPr>
        <w:t>As soon as reasonably practicable, and using commercially reasonable efforts, the Company shall deliver to Acquiror (A) audited consolidated balance sheets as of June 30, 2021 and 2020 and consolidated statements of operations and comprehensive (loss) income, stockholders’ deficit and cash flows of the Company for the 12-month periods ended June 30, 2021 and 2020 together with the auditor’s reports thereon, which comply in all material respects with the applicable accounting requirements and with the rules and regulations of the SEC, the Exchange Act and the Securities Act applicable to a registrant (collectively, the “</w:t>
      </w:r>
      <w:r>
        <w:rPr>
          <w:rFonts w:ascii="Arial" w:cs="Arial" w:eastAsia="Arial" w:hAnsi="Arial"/>
          <w:sz w:val="15"/>
          <w:szCs w:val="15"/>
          <w:u w:val="single" w:color="auto"/>
          <w:color w:val="auto"/>
        </w:rPr>
        <w:t>PCAOB Financial Statements</w:t>
      </w:r>
      <w:r>
        <w:rPr>
          <w:rFonts w:ascii="Arial" w:cs="Arial" w:eastAsia="Arial" w:hAnsi="Arial"/>
          <w:sz w:val="15"/>
          <w:szCs w:val="15"/>
          <w:color w:val="auto"/>
        </w:rPr>
        <w:t xml:space="preserve">”); provided, that, upon delivery of such PCAOB Financial Statements, such financial statements shall be deemed “Financial Statements” for all the purposes of this Agreement and the representation and warranties set forth in </w:t>
      </w:r>
      <w:r>
        <w:rPr>
          <w:rFonts w:ascii="Arial" w:cs="Arial" w:eastAsia="Arial" w:hAnsi="Arial"/>
          <w:sz w:val="15"/>
          <w:szCs w:val="15"/>
          <w:u w:val="single" w:color="auto"/>
          <w:color w:val="auto"/>
        </w:rPr>
        <w:t>Section 4.07</w:t>
      </w:r>
      <w:r>
        <w:rPr>
          <w:rFonts w:ascii="Arial" w:cs="Arial" w:eastAsia="Arial" w:hAnsi="Arial"/>
          <w:sz w:val="15"/>
          <w:szCs w:val="15"/>
          <w:color w:val="auto"/>
        </w:rPr>
        <w:t xml:space="preserve"> shall be deemed to apply to such Financial Statements with the same force and effect as if made as of the date of this Agreement; (B) all other audited and unaudited financial statements of the Company and any company or business units acquired by it, as applicable, required under the applicable rules and regulations of the SEC and applicable Law to be included in the Proxy Statement/Prospectus and any required Current Report on Form 8-K (including pro forma financial information); (C) all selected financial data of the Company required by Item 301 of Regulation S-K, as necessary for inclusion in the Proxy Statement/Prospectus and any required Current Report on Form 8-K; and (D) management’s discussion and analysis of financial condition and results of operations prepared in accordance with Item 303 of Regulation S-K of the SEC with respect to the periods ended June 30, 2020 and 2019, as necessary for inclusion in the Proxy Statement/Prospectus and any required Current Report on Form 8-K (including pro forma financial information).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p>
      <w:pPr>
        <w:jc w:val="both"/>
        <w:ind w:firstLine="1143"/>
        <w:spacing w:after="0" w:line="269" w:lineRule="auto"/>
        <w:tabs>
          <w:tab w:leader="none" w:pos="1373" w:val="left"/>
        </w:tabs>
        <w:numPr>
          <w:ilvl w:val="0"/>
          <w:numId w:val="84"/>
        </w:numPr>
        <w:rPr>
          <w:rFonts w:ascii="Arial" w:cs="Arial" w:eastAsia="Arial" w:hAnsi="Arial"/>
          <w:sz w:val="15"/>
          <w:szCs w:val="15"/>
          <w:color w:val="auto"/>
        </w:rPr>
      </w:pPr>
      <w:r>
        <w:rPr>
          <w:rFonts w:ascii="Arial" w:cs="Arial" w:eastAsia="Arial" w:hAnsi="Arial"/>
          <w:sz w:val="15"/>
          <w:szCs w:val="15"/>
          <w:color w:val="auto"/>
        </w:rPr>
        <w:t>As promptly as practicable and with the parties hereto using commercially reasonable efforts to file after the execution of this Agreement and the delivery of the PCAOB Financial Statements, (i) Acquiror, First Merger Sub, Second Merger Sub and the Company shall jointly prepare, and upon the prior approval of both Acquiror and the Company, Acquiror shall file with the SEC, a registration statement on Form S-4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containing a proxy statement/prospectus (the “</w:t>
      </w:r>
      <w:r>
        <w:rPr>
          <w:rFonts w:ascii="Arial" w:cs="Arial" w:eastAsia="Arial" w:hAnsi="Arial"/>
          <w:sz w:val="15"/>
          <w:szCs w:val="15"/>
          <w:u w:val="single" w:color="auto"/>
          <w:color w:val="auto"/>
        </w:rPr>
        <w:t>Proxy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Statement/Prospectus</w:t>
      </w:r>
      <w:r>
        <w:rPr>
          <w:rFonts w:ascii="Arial" w:cs="Arial" w:eastAsia="Arial" w:hAnsi="Arial"/>
          <w:sz w:val="15"/>
          <w:szCs w:val="15"/>
          <w:color w:val="auto"/>
        </w:rPr>
        <w:t>”), in preliminary form, to be filed with the SEC in connection with the Special Meeting for the purpose of, among other things: soliciting proxies from holders of Acquiror Common Stock to vote at the Special Meeting in favor of: (i) approval of the Acquiror A&amp;R Charter (the “</w:t>
      </w:r>
      <w:r>
        <w:rPr>
          <w:rFonts w:ascii="Arial" w:cs="Arial" w:eastAsia="Arial" w:hAnsi="Arial"/>
          <w:sz w:val="15"/>
          <w:szCs w:val="15"/>
          <w:u w:val="single" w:color="auto"/>
          <w:color w:val="auto"/>
        </w:rPr>
        <w:t>Amendment Proposal</w:t>
      </w:r>
      <w:r>
        <w:rPr>
          <w:rFonts w:ascii="Arial" w:cs="Arial" w:eastAsia="Arial" w:hAnsi="Arial"/>
          <w:sz w:val="15"/>
          <w:szCs w:val="15"/>
          <w:color w:val="auto"/>
        </w:rPr>
        <w:t>”), (ii) approval of the issuance of Acquiror Common Stock as contemplated by this Agreement (the “</w:t>
      </w:r>
      <w:r>
        <w:rPr>
          <w:rFonts w:ascii="Arial" w:cs="Arial" w:eastAsia="Arial" w:hAnsi="Arial"/>
          <w:sz w:val="15"/>
          <w:szCs w:val="15"/>
          <w:u w:val="single" w:color="auto"/>
          <w:color w:val="auto"/>
        </w:rPr>
        <w:t>Issuance Proposal</w:t>
      </w:r>
      <w:r>
        <w:rPr>
          <w:rFonts w:ascii="Arial" w:cs="Arial" w:eastAsia="Arial" w:hAnsi="Arial"/>
          <w:sz w:val="15"/>
          <w:szCs w:val="15"/>
          <w:color w:val="auto"/>
        </w:rPr>
        <w:t>”), (iii) approval of the issuance of Acquiror Common Stock pursuant to each Subscription Agreement and any other issuance of Acquiror Common Stock in connection with the Transactions in accordance with this Agreement, in each case to the extent required by Nasdaq listing rules (the “</w:t>
      </w:r>
      <w:r>
        <w:rPr>
          <w:rFonts w:ascii="Arial" w:cs="Arial" w:eastAsia="Arial" w:hAnsi="Arial"/>
          <w:sz w:val="15"/>
          <w:szCs w:val="15"/>
          <w:u w:val="single" w:color="auto"/>
          <w:color w:val="auto"/>
        </w:rPr>
        <w:t>Subscription Proposals</w:t>
      </w:r>
      <w:r>
        <w:rPr>
          <w:rFonts w:ascii="Arial" w:cs="Arial" w:eastAsia="Arial" w:hAnsi="Arial"/>
          <w:sz w:val="15"/>
          <w:szCs w:val="15"/>
          <w:color w:val="auto"/>
        </w:rPr>
        <w:t>”), (iv) the adoption of the Acquiror Incentive Plan (the “</w:t>
      </w:r>
      <w:r>
        <w:rPr>
          <w:rFonts w:ascii="Arial" w:cs="Arial" w:eastAsia="Arial" w:hAnsi="Arial"/>
          <w:sz w:val="15"/>
          <w:szCs w:val="15"/>
          <w:u w:val="single" w:color="auto"/>
          <w:color w:val="auto"/>
        </w:rPr>
        <w:t>Incentive Plan Proposal</w:t>
      </w:r>
      <w:r>
        <w:rPr>
          <w:rFonts w:ascii="Arial" w:cs="Arial" w:eastAsia="Arial" w:hAnsi="Arial"/>
          <w:sz w:val="15"/>
          <w:szCs w:val="15"/>
          <w:color w:val="auto"/>
        </w:rPr>
        <w:t>”), (v) the adoption of the Acquiror ESPP (the “</w:t>
      </w:r>
      <w:r>
        <w:rPr>
          <w:rFonts w:ascii="Arial" w:cs="Arial" w:eastAsia="Arial" w:hAnsi="Arial"/>
          <w:sz w:val="15"/>
          <w:szCs w:val="15"/>
          <w:u w:val="single" w:color="auto"/>
          <w:color w:val="auto"/>
        </w:rPr>
        <w:t>Employee Stock Purchase Plan Proposal</w:t>
      </w:r>
      <w:r>
        <w:rPr>
          <w:rFonts w:ascii="Arial" w:cs="Arial" w:eastAsia="Arial" w:hAnsi="Arial"/>
          <w:sz w:val="15"/>
          <w:szCs w:val="15"/>
          <w:color w:val="auto"/>
        </w:rPr>
        <w:t>”) and (vi) approval of any other proposals reasonably agreed by Acquiror and the Company to be necessary or appropriate in connection with the transaction contemplated hereby (the “</w:t>
      </w:r>
      <w:r>
        <w:rPr>
          <w:rFonts w:ascii="Arial" w:cs="Arial" w:eastAsia="Arial" w:hAnsi="Arial"/>
          <w:sz w:val="15"/>
          <w:szCs w:val="15"/>
          <w:u w:val="single" w:color="auto"/>
          <w:color w:val="auto"/>
        </w:rPr>
        <w:t>Additional Proposal</w:t>
      </w:r>
      <w:r>
        <w:rPr>
          <w:rFonts w:ascii="Arial" w:cs="Arial" w:eastAsia="Arial" w:hAnsi="Arial"/>
          <w:sz w:val="15"/>
          <w:szCs w:val="15"/>
          <w:color w:val="auto"/>
        </w:rPr>
        <w:t>” and, together with the Amendment Proposal, Issuance Proposal, Subscription Proposals, Incentive Plan Proposal, and Employee Stock Purchase Plan Proposal, the “</w:t>
      </w:r>
      <w:r>
        <w:rPr>
          <w:rFonts w:ascii="Arial" w:cs="Arial" w:eastAsia="Arial" w:hAnsi="Arial"/>
          <w:sz w:val="15"/>
          <w:szCs w:val="15"/>
          <w:u w:val="single" w:color="auto"/>
          <w:color w:val="auto"/>
        </w:rPr>
        <w:t>Proposals</w:t>
      </w:r>
      <w:r>
        <w:rPr>
          <w:rFonts w:ascii="Arial" w:cs="Arial" w:eastAsia="Arial" w:hAnsi="Arial"/>
          <w:sz w:val="15"/>
          <w:szCs w:val="15"/>
          <w:color w:val="auto"/>
        </w:rPr>
        <w:t>”). The Acquiror Incentive Plan shall provide that an aggregate number of shares of Acquiror Common Stock equal to 5% of the outstanding shares of Acquiror Common Stock as of Closing shall be reserved for issuance pursuant to the Acquiror Incentive Plan, subject to annual increases as provided therein. The Acquiror ESPP shall initially reserve a number of shares of Acquiror Common Stock constituting no less than 2.5% of the outstanding shares of Acquiror Common Stock as of Closing.</w:t>
      </w:r>
    </w:p>
    <w:p>
      <w:pPr>
        <w:spacing w:after="0" w:line="161" w:lineRule="exact"/>
        <w:rPr>
          <w:rFonts w:ascii="Arial" w:cs="Arial" w:eastAsia="Arial" w:hAnsi="Arial"/>
          <w:sz w:val="15"/>
          <w:szCs w:val="15"/>
          <w:color w:val="auto"/>
        </w:rPr>
      </w:pPr>
    </w:p>
    <w:p>
      <w:pPr>
        <w:jc w:val="both"/>
        <w:ind w:firstLine="1143"/>
        <w:spacing w:after="0" w:line="270" w:lineRule="auto"/>
        <w:tabs>
          <w:tab w:leader="none" w:pos="1376" w:val="left"/>
        </w:tabs>
        <w:numPr>
          <w:ilvl w:val="0"/>
          <w:numId w:val="84"/>
        </w:numPr>
        <w:rPr>
          <w:rFonts w:ascii="Arial" w:cs="Arial" w:eastAsia="Arial" w:hAnsi="Arial"/>
          <w:sz w:val="15"/>
          <w:szCs w:val="15"/>
          <w:color w:val="auto"/>
        </w:rPr>
      </w:pPr>
      <w:r>
        <w:rPr>
          <w:rFonts w:ascii="Arial" w:cs="Arial" w:eastAsia="Arial" w:hAnsi="Arial"/>
          <w:sz w:val="15"/>
          <w:szCs w:val="15"/>
          <w:color w:val="auto"/>
        </w:rPr>
        <w:t>Each of Acquiror, First Merger Sub, Second Merger Sub and the Company shall use its reasonable efforts to cause the Registration Statement and the Proxy Statement/Prospectus to comply with the rules and regulations promulgated by the SEC, to have the Registration Statement declared effective under the Securities Act as promptly as practicable after such filing and to keep the Registration Statement effective as long as is necessary to consummate the transactions contemplated hereby, and to obtain all necessary state securities law or “Blue Sky” approvals required to carry out the transactions contemplated hereby. Each of Acquiror, First Merger Sub, Second Merger Sub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Registration Statement, the Proxy Statement/Prospectus, a current report on Form 8-K pursuant to the Exchange Act in connection with the transactions, or any other statement, filing, notice or application made by or on behalf of Acquiror, First Merger Sub, Second Merger Sub and the Company or their respective Subsidiaries to any regulatory authority (including Nasdaq) in connection with the Transactions (the “</w:t>
      </w:r>
      <w:r>
        <w:rPr>
          <w:rFonts w:ascii="Arial" w:cs="Arial" w:eastAsia="Arial" w:hAnsi="Arial"/>
          <w:sz w:val="15"/>
          <w:szCs w:val="15"/>
          <w:u w:val="single" w:color="auto"/>
          <w:color w:val="auto"/>
        </w:rPr>
        <w:t>Solicitation Documents</w:t>
      </w:r>
      <w:r>
        <w:rPr>
          <w:rFonts w:ascii="Arial" w:cs="Arial" w:eastAsia="Arial" w:hAnsi="Arial"/>
          <w:sz w:val="15"/>
          <w:szCs w:val="15"/>
          <w:color w:val="auto"/>
        </w:rPr>
        <w:t>”). Acquiror shall file an amendment to the Registration Statement containing a definitive Proxy Statement/Prospectus with the SEC and, as promptly as practicable after the Registration Statement is declared effective under the Securities Act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Effective Date</w:t>
      </w:r>
      <w:r>
        <w:rPr>
          <w:rFonts w:ascii="Arial" w:cs="Arial" w:eastAsia="Arial" w:hAnsi="Arial"/>
          <w:sz w:val="15"/>
          <w:szCs w:val="15"/>
          <w:color w:val="auto"/>
        </w:rPr>
        <w:t>”), cause the definitive Proxy Statement/Prospectus to be mailed to its stockholders of record, as of the record date to be established by the board of directors of Acquiror.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7" w:name="page88"/>
    <w:bookmarkEnd w:id="87"/>
    <w:p>
      <w:pPr>
        <w:jc w:val="both"/>
        <w:ind w:firstLine="1143"/>
        <w:spacing w:after="0" w:line="272" w:lineRule="auto"/>
        <w:tabs>
          <w:tab w:leader="none" w:pos="1385"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Company will give Acquiror prompt written notice of any action taken or not taken by the Company or its Subsidiaries or of any development regarding the Company or its Subsidiaries, in any such case which is known by the Company, that would cause the Proxy Statement to contain an untrue statement of a material fact or omit to state a material fact necessary in order to make the statements, in light of the circumstances under which they were made, not misleading; provided, that, if any such action shall be taken or fail to be taken or such development shall otherwise occur, Acquiror and the Company shall cooperate fully to cause an amendment or supplement to be made promptly to the Proxy Statement, such that the Proxy Statement no longer contains an untrue statement of a material fact or omit to state a material fact necessary in order to make the statements, in light of the circumstances under which they were made, not misleading; provided, further, however, that no information received by Acquiror pursuant to this Section 6.06 shall operate as a waiver or otherwise affect any representation, warranty or agreement given or made by the party who disclosed such information, and no such information shall be deemed to change, supplement or amend the Schedules.</w:t>
      </w:r>
    </w:p>
    <w:p>
      <w:pPr>
        <w:spacing w:after="0" w:line="156" w:lineRule="exact"/>
        <w:rPr>
          <w:rFonts w:ascii="Arial" w:cs="Arial" w:eastAsia="Arial" w:hAnsi="Arial"/>
          <w:sz w:val="15"/>
          <w:szCs w:val="15"/>
          <w:color w:val="auto"/>
        </w:rPr>
      </w:pPr>
    </w:p>
    <w:p>
      <w:pPr>
        <w:jc w:val="both"/>
        <w:ind w:firstLine="1143"/>
        <w:spacing w:after="0" w:line="274" w:lineRule="auto"/>
        <w:tabs>
          <w:tab w:leader="none" w:pos="1364" w:val="left"/>
        </w:tabs>
        <w:numPr>
          <w:ilvl w:val="0"/>
          <w:numId w:val="85"/>
        </w:numPr>
        <w:rPr>
          <w:rFonts w:ascii="Arial" w:cs="Arial" w:eastAsia="Arial" w:hAnsi="Arial"/>
          <w:sz w:val="15"/>
          <w:szCs w:val="15"/>
          <w:color w:val="auto"/>
        </w:rPr>
      </w:pPr>
      <w:r>
        <w:rPr>
          <w:rFonts w:ascii="Arial" w:cs="Arial" w:eastAsia="Arial" w:hAnsi="Arial"/>
          <w:sz w:val="15"/>
          <w:szCs w:val="15"/>
          <w:color w:val="auto"/>
        </w:rPr>
        <w:t>If, at any time prior to the Closing, Acquiror or the Company discovers or becomes aware of any information that should be set forth in an amendment or supplement to the Registration Statement or the Proxy Statement/Prospectus so that the Proxy Statement/Prospectus would not include any misstatement of a material fact or omit to state any material fact necessary to make the statements therein, in light of the circumstances under which they were made, not misleading, such party shall inform the other parties, and Acquiror shall prepare (and the Company shall cooperate in preparing, to the extent necessary) and promptly file an appropriate amendment or supplement to the Registration Statement or the Proxy Statement/Prospectus containing such information and, to the extent required by applicable Laws, transmit to Acquiror’s stockholders such amendment or supplement to the Proxy Statement/Prospectus containing such information.</w:t>
      </w:r>
    </w:p>
    <w:p>
      <w:pPr>
        <w:spacing w:after="0" w:line="156" w:lineRule="exact"/>
        <w:rPr>
          <w:rFonts w:ascii="Arial" w:cs="Arial" w:eastAsia="Arial" w:hAnsi="Arial"/>
          <w:sz w:val="15"/>
          <w:szCs w:val="15"/>
          <w:color w:val="auto"/>
        </w:rPr>
      </w:pPr>
    </w:p>
    <w:p>
      <w:pPr>
        <w:jc w:val="both"/>
        <w:ind w:firstLine="1143"/>
        <w:spacing w:after="0" w:line="288" w:lineRule="auto"/>
        <w:tabs>
          <w:tab w:leader="none" w:pos="1473" w:val="left"/>
        </w:tabs>
        <w:numPr>
          <w:ilvl w:val="0"/>
          <w:numId w:val="85"/>
        </w:numPr>
        <w:rPr>
          <w:rFonts w:ascii="Arial" w:cs="Arial" w:eastAsia="Arial" w:hAnsi="Arial"/>
          <w:sz w:val="14"/>
          <w:szCs w:val="14"/>
          <w:color w:val="auto"/>
        </w:rPr>
      </w:pPr>
      <w:r>
        <w:rPr>
          <w:rFonts w:ascii="Arial" w:cs="Arial" w:eastAsia="Arial" w:hAnsi="Arial"/>
          <w:sz w:val="14"/>
          <w:szCs w:val="14"/>
          <w:color w:val="auto"/>
        </w:rPr>
        <w:t>Acquiror shall, as promptly as practicable following the Registration Statement Effective Date, establish a record date (which date shall be mutually agreed with the Company) for, duly call and give notice of, the Special Meeting. Acquiror shall convene and hold, no later than 45 days (which may be extended to 60 days if Acquiror determines it is desirable to do so, after consultation with the Company) after the Proxy Statement/Prospectus is mailed, a meeting of Acquiror’s stockholders (the “</w:t>
      </w:r>
      <w:r>
        <w:rPr>
          <w:rFonts w:ascii="Arial" w:cs="Arial" w:eastAsia="Arial" w:hAnsi="Arial"/>
          <w:sz w:val="14"/>
          <w:szCs w:val="14"/>
          <w:u w:val="single" w:color="auto"/>
          <w:color w:val="auto"/>
        </w:rPr>
        <w:t>Special Meeting</w:t>
      </w:r>
      <w:r>
        <w:rPr>
          <w:rFonts w:ascii="Arial" w:cs="Arial" w:eastAsia="Arial" w:hAnsi="Arial"/>
          <w:sz w:val="14"/>
          <w:szCs w:val="14"/>
          <w:color w:val="auto"/>
        </w:rPr>
        <w:t>”), for the purpose of obtaining the approval of the Proposals. Acquiror shall use its reasonable best efforts to obtain the approval of the Proposals at the Special Meeting, including by soliciting proxies as promptly as practicable in accordance with applicable Law for the purpose of seeking the approval of the Proposals. Acquiror shall, through the Acquiror Board, recommend to its stockholders that they approve the Proposals (the “</w:t>
      </w:r>
      <w:r>
        <w:rPr>
          <w:rFonts w:ascii="Arial" w:cs="Arial" w:eastAsia="Arial" w:hAnsi="Arial"/>
          <w:sz w:val="14"/>
          <w:szCs w:val="14"/>
          <w:u w:val="single" w:color="auto"/>
          <w:color w:val="auto"/>
        </w:rPr>
        <w:t>Acquiror Board Recommendation</w:t>
      </w:r>
      <w:r>
        <w:rPr>
          <w:rFonts w:ascii="Arial" w:cs="Arial" w:eastAsia="Arial" w:hAnsi="Arial"/>
          <w:sz w:val="14"/>
          <w:szCs w:val="14"/>
          <w:color w:val="auto"/>
        </w:rPr>
        <w:t>”) and shall include the Acquiror Board Recommendation in the Proxy Statement/Prospectus. The board of directors of Acquiror shall not (and no committee or subgroup thereof shall) change, withdraw, withhold, qualify or modify, or publicly propose to change, withdraw, withhold, qualify or modify, the Acquiror Board Recommendation (a “</w:t>
      </w:r>
      <w:r>
        <w:rPr>
          <w:rFonts w:ascii="Arial" w:cs="Arial" w:eastAsia="Arial" w:hAnsi="Arial"/>
          <w:sz w:val="14"/>
          <w:szCs w:val="14"/>
          <w:u w:val="single" w:color="auto"/>
          <w:color w:val="auto"/>
        </w:rPr>
        <w:t>Change in</w:t>
      </w:r>
      <w:r>
        <w:rPr>
          <w:rFonts w:ascii="Arial" w:cs="Arial" w:eastAsia="Arial" w:hAnsi="Arial"/>
          <w:sz w:val="14"/>
          <w:szCs w:val="14"/>
          <w:color w:val="auto"/>
        </w:rPr>
        <w:t xml:space="preserve"> </w:t>
      </w:r>
      <w:r>
        <w:rPr>
          <w:rFonts w:ascii="Arial" w:cs="Arial" w:eastAsia="Arial" w:hAnsi="Arial"/>
          <w:sz w:val="14"/>
          <w:szCs w:val="14"/>
          <w:u w:val="single" w:color="auto"/>
          <w:color w:val="auto"/>
        </w:rPr>
        <w:t>Recommendation</w:t>
      </w:r>
      <w:r>
        <w:rPr>
          <w:rFonts w:ascii="Arial" w:cs="Arial" w:eastAsia="Arial" w:hAnsi="Arial"/>
          <w:sz w:val="14"/>
          <w:szCs w:val="14"/>
          <w:color w:val="auto"/>
        </w:rPr>
        <w:t xml:space="preserve">”). Acquiror agrees that its obligation to establish a record date for, duly call, give notice of, convene and hold the Special Meeting for the purpose of seeking approval of the Proposals shall not be affected by any Change in Recommendation, and Acquiror agrees to establish a record date for, duly call, give notice of, convene and hold the Special Meeting and submit for the approval of its stockholders the matters contemplated by the Proxy Statement/Prospectus as contemplated by this </w:t>
      </w:r>
      <w:r>
        <w:rPr>
          <w:rFonts w:ascii="Arial" w:cs="Arial" w:eastAsia="Arial" w:hAnsi="Arial"/>
          <w:sz w:val="14"/>
          <w:szCs w:val="14"/>
          <w:u w:val="single" w:color="auto"/>
          <w:color w:val="auto"/>
        </w:rPr>
        <w:t>Section 8.02(f)</w:t>
      </w:r>
      <w:r>
        <w:rPr>
          <w:rFonts w:ascii="Arial" w:cs="Arial" w:eastAsia="Arial" w:hAnsi="Arial"/>
          <w:sz w:val="14"/>
          <w:szCs w:val="14"/>
          <w:color w:val="auto"/>
        </w:rPr>
        <w:t xml:space="preserve">, regardless of whether or not there shall have occurred any Change in Recommendation. Notwithstanding anything to the contrary contained in this Agreement, Acquiror shall be entitled to postpone or adjourn the Special Meeting: (i) to ensure that any supplement or amendment to the Proxy Statement/Prospectus that the board of directors of Acquiror has determined in good faith is required by applicable Law is disclosed to Acquiror’s stockholders and for such supplement or amendment to be promptly disseminated to Acquiror’s stockholders prior to the Special Meeting; (ii) if, as of the time for which the Special Meeting is originally scheduled (as set forth in the Proxy Statement/Prospectus), there are insufficient shares of Acquiror Common Stock represented (either in person or by proxy) to constitute a quorum necessary to conduct the business to be conducted at the Special Meeting; (iii) in order to solicit additional proxies from stockholders for purposes of obtaining approval of the Proposals; or (iv) if the holders of Acquiror Common Stock have elected to redeem a number of Acquiror Common Stock as of such time that would reasonably be expected to result in Acquiror not satisfying the condition set forth in </w:t>
      </w:r>
      <w:r>
        <w:rPr>
          <w:rFonts w:ascii="Arial" w:cs="Arial" w:eastAsia="Arial" w:hAnsi="Arial"/>
          <w:sz w:val="14"/>
          <w:szCs w:val="14"/>
          <w:u w:val="single" w:color="auto"/>
          <w:color w:val="auto"/>
        </w:rPr>
        <w:t>Section 9.03(e)</w:t>
      </w:r>
      <w:r>
        <w:rPr>
          <w:rFonts w:ascii="Arial" w:cs="Arial" w:eastAsia="Arial" w:hAnsi="Arial"/>
          <w:sz w:val="14"/>
          <w:szCs w:val="14"/>
          <w:color w:val="auto"/>
        </w:rPr>
        <w:t>;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8" w:name="page89"/>
    <w:bookmarkEnd w:id="88"/>
    <w:p>
      <w:pPr>
        <w:ind w:left="564"/>
        <w:spacing w:after="0"/>
        <w:rPr>
          <w:sz w:val="20"/>
          <w:szCs w:val="20"/>
          <w:color w:val="auto"/>
        </w:rPr>
      </w:pPr>
      <w:r>
        <w:rPr>
          <w:rFonts w:ascii="Arial" w:cs="Arial" w:eastAsia="Arial" w:hAnsi="Arial"/>
          <w:sz w:val="16"/>
          <w:szCs w:val="16"/>
          <w:b w:val="1"/>
          <w:bCs w:val="1"/>
          <w:color w:val="auto"/>
        </w:rPr>
        <w:t xml:space="preserve">Section 8.03 </w:t>
      </w:r>
      <w:r>
        <w:rPr>
          <w:rFonts w:ascii="Arial" w:cs="Arial" w:eastAsia="Arial" w:hAnsi="Arial"/>
          <w:sz w:val="16"/>
          <w:szCs w:val="16"/>
          <w:b w:val="1"/>
          <w:bCs w:val="1"/>
          <w:u w:val="single" w:color="auto"/>
          <w:color w:val="auto"/>
        </w:rPr>
        <w:t>Company Requisite Approval.</w:t>
      </w:r>
    </w:p>
    <w:p>
      <w:pPr>
        <w:spacing w:after="0" w:line="202" w:lineRule="exact"/>
        <w:rPr>
          <w:sz w:val="20"/>
          <w:szCs w:val="20"/>
          <w:color w:val="auto"/>
        </w:rPr>
      </w:pPr>
    </w:p>
    <w:p>
      <w:pPr>
        <w:jc w:val="both"/>
        <w:ind w:left="4" w:firstLine="1143"/>
        <w:spacing w:after="0" w:line="255" w:lineRule="auto"/>
        <w:tabs>
          <w:tab w:leader="none" w:pos="1368"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Company shall, through the Company Board, recommend to the Company Stockholders that they adopt this Agreement. The Company shall take all action necessary to solicit the Company Requisite Approval via written consent as soon as practicable after the Registration Statement Effective Date. The Company will provide Acquiror with copies of all written consents it receives within five (5) Business Days of receipt of the Company Requisite Approval. If the Company Requisite Approval is obtained, then promptly following the receipt of the required written consents, the Company will prepare and deliver to its stockholders who have not consented the notice required by Section 228(e) and 262 of the DGCL.</w:t>
      </w:r>
    </w:p>
    <w:p>
      <w:pPr>
        <w:spacing w:after="0" w:line="169" w:lineRule="exact"/>
        <w:rPr>
          <w:rFonts w:ascii="Arial" w:cs="Arial" w:eastAsia="Arial" w:hAnsi="Arial"/>
          <w:sz w:val="16"/>
          <w:szCs w:val="16"/>
          <w:color w:val="auto"/>
        </w:rPr>
      </w:pPr>
    </w:p>
    <w:p>
      <w:pPr>
        <w:jc w:val="both"/>
        <w:ind w:left="4" w:firstLine="1143"/>
        <w:spacing w:after="0" w:line="288" w:lineRule="auto"/>
        <w:tabs>
          <w:tab w:leader="none" w:pos="1389" w:val="left"/>
        </w:tabs>
        <w:numPr>
          <w:ilvl w:val="1"/>
          <w:numId w:val="86"/>
        </w:numPr>
        <w:rPr>
          <w:rFonts w:ascii="Arial" w:cs="Arial" w:eastAsia="Arial" w:hAnsi="Arial"/>
          <w:sz w:val="14"/>
          <w:szCs w:val="14"/>
          <w:color w:val="auto"/>
        </w:rPr>
      </w:pPr>
      <w:r>
        <w:rPr>
          <w:rFonts w:ascii="Arial" w:cs="Arial" w:eastAsia="Arial" w:hAnsi="Arial"/>
          <w:sz w:val="14"/>
          <w:szCs w:val="14"/>
          <w:color w:val="auto"/>
        </w:rPr>
        <w:t xml:space="preserve">To the extent the Company Requisite Approval is not delivered pursuant to </w:t>
      </w:r>
      <w:r>
        <w:rPr>
          <w:rFonts w:ascii="Arial" w:cs="Arial" w:eastAsia="Arial" w:hAnsi="Arial"/>
          <w:sz w:val="14"/>
          <w:szCs w:val="14"/>
          <w:u w:val="single" w:color="auto"/>
          <w:color w:val="auto"/>
        </w:rPr>
        <w:t>Section 8.03(a)</w:t>
      </w:r>
      <w:r>
        <w:rPr>
          <w:rFonts w:ascii="Arial" w:cs="Arial" w:eastAsia="Arial" w:hAnsi="Arial"/>
          <w:sz w:val="14"/>
          <w:szCs w:val="14"/>
          <w:color w:val="auto"/>
        </w:rPr>
        <w:t xml:space="preserve"> within one (1) day following the Registration Statement Effective Date, then the Company shall take all action necessary to duly call, given notice, convene and hold the Company Stockholders Meeting as soon as practicable, and, in connection therewith, the Company shall (i) mail a stockholder information statement and proxy solicitation which shall include, without limitation, the Proxy Statement/Prospectus and a notice of dissent and appraisal rights as required under applicable Delaware law to the holders of Company Common Stock in advance of such meeting for the purpose of soliciting from the holders of Company Common Stock proxies to vote in favor of the adoption of this Agreement and approval of the Mergers; and</w:t>
      </w:r>
    </w:p>
    <w:p>
      <w:pPr>
        <w:spacing w:after="0" w:line="2" w:lineRule="exact"/>
        <w:rPr>
          <w:rFonts w:ascii="Arial" w:cs="Arial" w:eastAsia="Arial" w:hAnsi="Arial"/>
          <w:sz w:val="14"/>
          <w:szCs w:val="14"/>
          <w:color w:val="auto"/>
        </w:rPr>
      </w:pPr>
    </w:p>
    <w:p>
      <w:pPr>
        <w:jc w:val="both"/>
        <w:ind w:left="4" w:hanging="4"/>
        <w:spacing w:after="0" w:line="300" w:lineRule="auto"/>
        <w:tabs>
          <w:tab w:leader="none" w:pos="243" w:val="left"/>
        </w:tabs>
        <w:numPr>
          <w:ilvl w:val="0"/>
          <w:numId w:val="87"/>
        </w:numPr>
        <w:rPr>
          <w:rFonts w:ascii="Arial" w:cs="Arial" w:eastAsia="Arial" w:hAnsi="Arial"/>
          <w:sz w:val="14"/>
          <w:szCs w:val="14"/>
          <w:color w:val="auto"/>
        </w:rPr>
      </w:pPr>
      <w:r>
        <w:rPr>
          <w:rFonts w:ascii="Arial" w:cs="Arial" w:eastAsia="Arial" w:hAnsi="Arial"/>
          <w:sz w:val="14"/>
          <w:szCs w:val="14"/>
          <w:color w:val="auto"/>
        </w:rPr>
        <w:t>take all other actions necessary or advisable to secure the vote or consent of the Company Stockholders required by applicable Law to obtain such approval. The Company shall keep Acquiror, First Merger Sub and Second Merger Sub updated with respect to proxy solicitation results as requested by Acquiror, First Merger Sub or Second Merger Sub. Once the Company Stockholders Meeting has been called and noticed, the Company shall not postpone or adjourn the Company Stockholders Meeting without the consent of Acquiror (other than: (i) in order to obtain a quorum of its stockholders; or (ii) as reasonably determined by the Company to comply with applicable Law).</w:t>
      </w:r>
    </w:p>
    <w:p>
      <w:pPr>
        <w:spacing w:after="0" w:line="138" w:lineRule="exact"/>
        <w:rPr>
          <w:rFonts w:ascii="Arial" w:cs="Arial" w:eastAsia="Arial" w:hAnsi="Arial"/>
          <w:sz w:val="14"/>
          <w:szCs w:val="14"/>
          <w:color w:val="auto"/>
        </w:rPr>
      </w:pPr>
    </w:p>
    <w:p>
      <w:pPr>
        <w:jc w:val="both"/>
        <w:ind w:left="4" w:right="20" w:firstLine="1143"/>
        <w:spacing w:after="0" w:line="262" w:lineRule="auto"/>
        <w:tabs>
          <w:tab w:leader="none" w:pos="1392"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Unless this Agreement has been terminated in accordance with its terms, the Company’s obligation to solicit written consents from the Company Stockholders to give the Company Requisite Approval in accordance with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shall not be limited or otherwise affected by the making, commencement, disclosure, announcement or submission of any other acquisition proposal.</w:t>
      </w:r>
    </w:p>
    <w:p>
      <w:pPr>
        <w:spacing w:after="0" w:line="158" w:lineRule="exact"/>
        <w:rPr>
          <w:sz w:val="20"/>
          <w:szCs w:val="20"/>
          <w:color w:val="auto"/>
        </w:rPr>
      </w:pPr>
    </w:p>
    <w:p>
      <w:pPr>
        <w:ind w:left="564"/>
        <w:spacing w:after="0"/>
        <w:rPr>
          <w:sz w:val="20"/>
          <w:szCs w:val="20"/>
          <w:color w:val="auto"/>
        </w:rPr>
      </w:pPr>
      <w:r>
        <w:rPr>
          <w:rFonts w:ascii="Arial" w:cs="Arial" w:eastAsia="Arial" w:hAnsi="Arial"/>
          <w:sz w:val="16"/>
          <w:szCs w:val="16"/>
          <w:b w:val="1"/>
          <w:bCs w:val="1"/>
          <w:color w:val="auto"/>
        </w:rPr>
        <w:t xml:space="preserve">Section 8.04 </w:t>
      </w:r>
      <w:r>
        <w:rPr>
          <w:rFonts w:ascii="Arial" w:cs="Arial" w:eastAsia="Arial" w:hAnsi="Arial"/>
          <w:sz w:val="16"/>
          <w:szCs w:val="16"/>
          <w:b w:val="1"/>
          <w:bCs w:val="1"/>
          <w:u w:val="single" w:color="auto"/>
          <w:color w:val="auto"/>
        </w:rPr>
        <w:t>Tax Matters.</w:t>
      </w:r>
    </w:p>
    <w:p>
      <w:pPr>
        <w:spacing w:after="0" w:line="202" w:lineRule="exact"/>
        <w:rPr>
          <w:sz w:val="20"/>
          <w:szCs w:val="20"/>
          <w:color w:val="auto"/>
        </w:rPr>
      </w:pPr>
    </w:p>
    <w:p>
      <w:pPr>
        <w:jc w:val="both"/>
        <w:ind w:left="4" w:firstLine="1143"/>
        <w:spacing w:after="0" w:line="262" w:lineRule="auto"/>
        <w:tabs>
          <w:tab w:leader="none" w:pos="140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Notwithstanding anything to the contrary contained herein, the Company shall pay all transfer, documentary, sales, use, stamp, registration, value added or other similar Taxes incurred in connection with the Transactions. The Company shall, at its own expense, file all necessary Tax Returns with respect to all such Taxes, and, if required by applicable Law, Acquiror will join in the execution of any such Tax Returns.</w:t>
      </w:r>
    </w:p>
    <w:p>
      <w:pPr>
        <w:spacing w:after="0" w:line="162" w:lineRule="exact"/>
        <w:rPr>
          <w:rFonts w:ascii="Arial" w:cs="Arial" w:eastAsia="Arial" w:hAnsi="Arial"/>
          <w:sz w:val="16"/>
          <w:szCs w:val="16"/>
          <w:color w:val="auto"/>
        </w:rPr>
      </w:pPr>
    </w:p>
    <w:p>
      <w:pPr>
        <w:jc w:val="both"/>
        <w:ind w:left="4" w:right="20" w:firstLine="1143"/>
        <w:spacing w:after="0" w:line="271" w:lineRule="auto"/>
        <w:tabs>
          <w:tab w:leader="none" w:pos="140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Tax Treatment</w:t>
      </w:r>
      <w:r>
        <w:rPr>
          <w:rFonts w:ascii="Arial" w:cs="Arial" w:eastAsia="Arial" w:hAnsi="Arial"/>
          <w:sz w:val="15"/>
          <w:szCs w:val="15"/>
          <w:color w:val="auto"/>
        </w:rPr>
        <w:t>. Acquiror, First Merger Sub, Second Merger Sub and the Company intend that the Transactions shall qualify for the Intended Tax Treatment. None of the parties or their respective Affiliates shall knowingly take or cause to be taken, or knowingly fail to take or knowingly cause to be failed to be taken, any action that would reasonably be expected to prevent qualification for such Intended Tax Treatment. Each party shall, unless otherwise required by a final determination within the meaning of Section 1313(a) of the Code (or any similar state, local or non-U.S. final determination) or a change in applicable Law, or based on a change in the facts and circumstances underlying the Transactions from the terms described in this Agreement, cause all Tax Returns to be filed on a basis of treating the Mergers as a “reorganization” within the meaning of Section 368(a) of the Code. Each of the parties agrees to use reasonable best efforts to promptly notify all other parties of any challenge to the Intended Tax Treatment by any Governmental Authority. Acquiror and the Company shall execute and deliver officer’s certificates containing customary representations at such time or times as may be reasonably requested by counsel to the Company in connection with the delivery of any opinion by such counsel to the Company with respect to the tax treatment of the Transactions.</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89" w:name="page90"/>
    <w:bookmarkEnd w:id="89"/>
    <w:p>
      <w:pPr>
        <w:ind w:right="20" w:firstLine="1143"/>
        <w:spacing w:after="0" w:line="275" w:lineRule="auto"/>
        <w:tabs>
          <w:tab w:leader="none" w:pos="137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Acquiror, First Merger Sub and Second Merger Sub hereby adopt this Agreement as a “plan of reorganization” within the meaning of Treasury Regulation Sections 1.368-2(g) and 1.368-3(a).</w:t>
      </w:r>
    </w:p>
    <w:p>
      <w:pPr>
        <w:spacing w:after="0" w:line="151" w:lineRule="exact"/>
        <w:rPr>
          <w:rFonts w:ascii="Arial" w:cs="Arial" w:eastAsia="Arial" w:hAnsi="Arial"/>
          <w:sz w:val="16"/>
          <w:szCs w:val="16"/>
          <w:color w:val="auto"/>
        </w:rPr>
      </w:pPr>
    </w:p>
    <w:p>
      <w:pPr>
        <w:ind w:firstLine="1143"/>
        <w:spacing w:after="0" w:line="275" w:lineRule="auto"/>
        <w:tabs>
          <w:tab w:leader="none" w:pos="13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or prior to the Closing Date, the Company shall deliver to Acquiror a certification from the Company pursuant to Treasury Regulations Section 1.1445-2(c) dated no more than thirty (30) days prior to the Closing Date and signed by a responsible corporate officer of the Company.</w:t>
      </w:r>
    </w:p>
    <w:p>
      <w:pPr>
        <w:spacing w:after="0" w:line="151"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89"/>
        </w:numPr>
        <w:rPr>
          <w:rFonts w:ascii="Arial" w:cs="Arial" w:eastAsia="Arial" w:hAnsi="Arial"/>
          <w:sz w:val="16"/>
          <w:szCs w:val="16"/>
          <w:color w:val="auto"/>
        </w:rPr>
      </w:pPr>
      <w:r>
        <w:rPr>
          <w:rFonts w:ascii="Arial" w:cs="Arial" w:eastAsia="Arial" w:hAnsi="Arial"/>
          <w:sz w:val="16"/>
          <w:szCs w:val="16"/>
          <w:color w:val="auto"/>
        </w:rPr>
        <w:t>Second Merger Sub shall file an election to be treated as an entity disregarded as separate from its owner for U.S. federal income tax effective as of the date of formation of Second Merger Sub.</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8.05 </w:t>
      </w:r>
      <w:r>
        <w:rPr>
          <w:rFonts w:ascii="Arial" w:cs="Arial" w:eastAsia="Arial" w:hAnsi="Arial"/>
          <w:sz w:val="16"/>
          <w:szCs w:val="16"/>
          <w:b w:val="1"/>
          <w:bCs w:val="1"/>
          <w:u w:val="single" w:color="auto"/>
          <w:color w:val="auto"/>
        </w:rPr>
        <w:t>Confidentiality; Publicity</w:t>
      </w:r>
      <w:r>
        <w:rPr>
          <w:rFonts w:ascii="Arial" w:cs="Arial" w:eastAsia="Arial" w:hAnsi="Arial"/>
          <w:sz w:val="16"/>
          <w:szCs w:val="16"/>
          <w:color w:val="auto"/>
        </w:rPr>
        <w:t>.</w:t>
      </w:r>
    </w:p>
    <w:p>
      <w:pPr>
        <w:spacing w:after="0" w:line="202" w:lineRule="exact"/>
        <w:rPr>
          <w:sz w:val="20"/>
          <w:szCs w:val="20"/>
          <w:color w:val="auto"/>
        </w:rPr>
      </w:pPr>
    </w:p>
    <w:p>
      <w:pPr>
        <w:jc w:val="both"/>
        <w:ind w:firstLine="1143"/>
        <w:spacing w:after="0" w:line="262" w:lineRule="auto"/>
        <w:tabs>
          <w:tab w:leader="none" w:pos="1399" w:val="left"/>
        </w:tabs>
        <w:numPr>
          <w:ilvl w:val="0"/>
          <w:numId w:val="90"/>
        </w:numPr>
        <w:rPr>
          <w:rFonts w:ascii="Arial" w:cs="Arial" w:eastAsia="Arial" w:hAnsi="Arial"/>
          <w:sz w:val="16"/>
          <w:szCs w:val="16"/>
          <w:color w:val="auto"/>
        </w:rPr>
      </w:pPr>
      <w:r>
        <w:rPr>
          <w:rFonts w:ascii="Arial" w:cs="Arial" w:eastAsia="Arial" w:hAnsi="Arial"/>
          <w:sz w:val="16"/>
          <w:szCs w:val="16"/>
          <w:color w:val="auto"/>
        </w:rPr>
        <w:t>Acquiror acknowledges that the information being provided to it in connection with this Agreement and the consummation of the transactions contemplated hereby is subject to the terms of the Confidentiality Agreement, the terms of which are incorporated herein by reference. At the Effective Time, the Confidentiality Agreement shall terminate with respect to information relating to the Company and its Subsidiaries.</w:t>
      </w:r>
    </w:p>
    <w:p>
      <w:pPr>
        <w:spacing w:after="0" w:line="162" w:lineRule="exact"/>
        <w:rPr>
          <w:rFonts w:ascii="Arial" w:cs="Arial" w:eastAsia="Arial" w:hAnsi="Arial"/>
          <w:sz w:val="16"/>
          <w:szCs w:val="16"/>
          <w:color w:val="auto"/>
        </w:rPr>
      </w:pPr>
    </w:p>
    <w:p>
      <w:pPr>
        <w:jc w:val="both"/>
        <w:ind w:firstLine="1143"/>
        <w:spacing w:after="0" w:line="270" w:lineRule="auto"/>
        <w:tabs>
          <w:tab w:leader="none" w:pos="1373"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Prior to the Effective Time, none of Acquiror, the Company or any of their respective Affiliates shall make any public announcement or issue any public communication regarding this Agreement or the transactions contemplated hereby, or any matter related to the foregoing, without first obtaining the prior written consent of the Company or Acquiror, as applicable (which consent shall not be unreasonably withheld, conditioned or delayed), except if such announcement or other communication is required by applicable Law or legal process (including pursuant to the Securities Law or the rules of any national securities exchange), in which case Acquiror or the Company, as applicable, shall use their commercially reasonable efforts to coordinate such announcement or communication with the other party, prior to announcement or issuance and allow the other party a reasonable opportunity to comment thereon (which shall be considered by Acquiror or the Company, as applicable, in good faith); provided, however, that, notwithstanding anything contained in this Agreement to the contrary, each party and its Affiliates may make announcements and may provide information regarding this Agreement and the transactions contemplated hereby to their respective owners, their Affiliates, and its and their respective directors, officers, employees, managers, advisors, direct and indirect investors and prospective investors, and in the case of the Company and its Subsidiaries, customers, vendors, and suppliers, without the consent of any other party hereto; and provided, further, that subject to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8.05</w:t>
      </w:r>
      <w:r>
        <w:rPr>
          <w:rFonts w:ascii="Arial" w:cs="Arial" w:eastAsia="Arial" w:hAnsi="Arial"/>
          <w:sz w:val="15"/>
          <w:szCs w:val="15"/>
          <w:color w:val="auto"/>
        </w:rPr>
        <w:t>, the foregoing shall not prohibit any party hereto from communicating with third parties to the extent necessary for the purpose of seeking any third party consent.</w:t>
      </w:r>
    </w:p>
    <w:p>
      <w:pPr>
        <w:spacing w:after="0" w:line="156"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8.06 </w:t>
      </w:r>
      <w:r>
        <w:rPr>
          <w:rFonts w:ascii="Arial" w:cs="Arial" w:eastAsia="Arial" w:hAnsi="Arial"/>
          <w:sz w:val="16"/>
          <w:szCs w:val="16"/>
          <w:b w:val="1"/>
          <w:bCs w:val="1"/>
          <w:u w:val="single" w:color="auto"/>
          <w:color w:val="auto"/>
        </w:rPr>
        <w:t>Post-Closing Cooperation; Further Assurances</w:t>
      </w:r>
      <w:r>
        <w:rPr>
          <w:rFonts w:ascii="Arial" w:cs="Arial" w:eastAsia="Arial" w:hAnsi="Arial"/>
          <w:sz w:val="16"/>
          <w:szCs w:val="16"/>
          <w:color w:val="auto"/>
        </w:rPr>
        <w:t>. Following the Closing, each party shall, on the request of any other party, execute such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and perform such further acts, as may be reasonably necessary or appropriate to give full effect to the allocation of rights, benefits, obligations and liabilities contemplated by this Agreement and the transactions contemplated hereby.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OBLIGATIONS</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b w:val="1"/>
          <w:bCs w:val="1"/>
          <w:color w:val="auto"/>
        </w:rPr>
        <w:t xml:space="preserve">Section 9.01 </w:t>
      </w:r>
      <w:r>
        <w:rPr>
          <w:rFonts w:ascii="Arial" w:cs="Arial" w:eastAsia="Arial" w:hAnsi="Arial"/>
          <w:sz w:val="16"/>
          <w:szCs w:val="16"/>
          <w:b w:val="1"/>
          <w:bCs w:val="1"/>
          <w:u w:val="single" w:color="auto"/>
          <w:color w:val="auto"/>
        </w:rPr>
        <w:t>Conditions to Obligations of All Parties</w:t>
      </w:r>
      <w:r>
        <w:rPr>
          <w:rFonts w:ascii="Arial" w:cs="Arial" w:eastAsia="Arial" w:hAnsi="Arial"/>
          <w:sz w:val="16"/>
          <w:szCs w:val="16"/>
          <w:color w:val="auto"/>
        </w:rPr>
        <w:t>. The obligations of the parties hereto to consummate, or cause to be consummated, the Mergers are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satisfaction of the following conditions, any one or more of which may be waived (if legally permitted) in writing by all of such parties:</w:t>
      </w:r>
    </w:p>
    <w:p>
      <w:pPr>
        <w:spacing w:after="0" w:line="148" w:lineRule="exact"/>
        <w:rPr>
          <w:sz w:val="20"/>
          <w:szCs w:val="20"/>
          <w:color w:val="auto"/>
        </w:rPr>
      </w:pPr>
    </w:p>
    <w:p>
      <w:pPr>
        <w:ind w:firstLine="1143"/>
        <w:spacing w:after="0" w:line="275" w:lineRule="auto"/>
        <w:tabs>
          <w:tab w:leader="none" w:pos="137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HSR Act</w:t>
      </w:r>
      <w:r>
        <w:rPr>
          <w:rFonts w:ascii="Arial" w:cs="Arial" w:eastAsia="Arial" w:hAnsi="Arial"/>
          <w:sz w:val="16"/>
          <w:szCs w:val="16"/>
          <w:color w:val="auto"/>
        </w:rPr>
        <w:t>. The applicable waiting period(s) under the HSR Act and, if required, any other applicable Antitrust Law in respect of the Transactions shall have expired or been terminated.</w:t>
      </w:r>
    </w:p>
    <w:p>
      <w:pPr>
        <w:spacing w:after="0" w:line="151" w:lineRule="exact"/>
        <w:rPr>
          <w:rFonts w:ascii="Arial" w:cs="Arial" w:eastAsia="Arial" w:hAnsi="Arial"/>
          <w:sz w:val="16"/>
          <w:szCs w:val="16"/>
          <w:color w:val="auto"/>
        </w:rPr>
      </w:pPr>
    </w:p>
    <w:p>
      <w:pPr>
        <w:ind w:right="20" w:firstLine="1143"/>
        <w:spacing w:after="0" w:line="275" w:lineRule="auto"/>
        <w:tabs>
          <w:tab w:leader="none" w:pos="139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 Prohibition</w:t>
      </w:r>
      <w:r>
        <w:rPr>
          <w:rFonts w:ascii="Arial" w:cs="Arial" w:eastAsia="Arial" w:hAnsi="Arial"/>
          <w:sz w:val="16"/>
          <w:szCs w:val="16"/>
          <w:color w:val="auto"/>
        </w:rPr>
        <w:t>. There shall not have been enacted or promulgated any Governmental Order, statute, rule or regulation enjoining or prohibiting the consummation of the Transactions, except those initiated by a party seeking to terminate this Agreement.</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Offer Completion</w:t>
      </w:r>
      <w:r>
        <w:rPr>
          <w:rFonts w:ascii="Arial" w:cs="Arial" w:eastAsia="Arial" w:hAnsi="Arial"/>
          <w:sz w:val="16"/>
          <w:szCs w:val="16"/>
          <w:color w:val="auto"/>
        </w:rPr>
        <w:t>. The Offer shall have been completed in accordance with the terms hereof and the Proxy Statement.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Acquiror Stockholder Approval</w:t>
      </w:r>
      <w:r>
        <w:rPr>
          <w:rFonts w:ascii="Arial" w:cs="Arial" w:eastAsia="Arial" w:hAnsi="Arial"/>
          <w:sz w:val="16"/>
          <w:szCs w:val="16"/>
          <w:color w:val="auto"/>
        </w:rPr>
        <w:t>. The Acquiror Stockholder Approval shall have been obtained.</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Company Requisite Approval</w:t>
      </w:r>
      <w:r>
        <w:rPr>
          <w:rFonts w:ascii="Arial" w:cs="Arial" w:eastAsia="Arial" w:hAnsi="Arial"/>
          <w:sz w:val="16"/>
          <w:szCs w:val="16"/>
          <w:color w:val="auto"/>
        </w:rPr>
        <w:t>. The Company Requisite Approval shall have been obtained.</w:t>
      </w:r>
    </w:p>
    <w:p>
      <w:pPr>
        <w:spacing w:after="0" w:line="198" w:lineRule="exact"/>
        <w:rPr>
          <w:rFonts w:ascii="Arial" w:cs="Arial" w:eastAsia="Arial" w:hAnsi="Arial"/>
          <w:sz w:val="16"/>
          <w:szCs w:val="16"/>
          <w:color w:val="auto"/>
        </w:rPr>
      </w:pPr>
    </w:p>
    <w:p>
      <w:pPr>
        <w:ind w:right="20" w:firstLine="1143"/>
        <w:spacing w:after="0" w:line="275" w:lineRule="auto"/>
        <w:tabs>
          <w:tab w:leader="none" w:pos="1449"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Nasdaq</w:t>
      </w:r>
      <w:r>
        <w:rPr>
          <w:rFonts w:ascii="Arial" w:cs="Arial" w:eastAsia="Arial" w:hAnsi="Arial"/>
          <w:sz w:val="16"/>
          <w:szCs w:val="16"/>
          <w:color w:val="auto"/>
        </w:rPr>
        <w:t>. The Acquiror Common Stock to be issued in connection with the Transactions shall have been approved for listing on Nasdaq, subject only to official notice of issuance thereof.</w:t>
      </w:r>
    </w:p>
    <w:p>
      <w:pPr>
        <w:spacing w:after="0" w:line="148"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9.02 </w:t>
      </w:r>
      <w:r>
        <w:rPr>
          <w:rFonts w:ascii="Arial" w:cs="Arial" w:eastAsia="Arial" w:hAnsi="Arial"/>
          <w:sz w:val="16"/>
          <w:szCs w:val="16"/>
          <w:b w:val="1"/>
          <w:bCs w:val="1"/>
          <w:u w:val="single" w:color="auto"/>
          <w:color w:val="auto"/>
        </w:rPr>
        <w:t>Additional Conditions to Obligations of Acquiror</w:t>
      </w:r>
      <w:r>
        <w:rPr>
          <w:rFonts w:ascii="Arial" w:cs="Arial" w:eastAsia="Arial" w:hAnsi="Arial"/>
          <w:sz w:val="16"/>
          <w:szCs w:val="16"/>
          <w:color w:val="auto"/>
        </w:rPr>
        <w:t>. The obligations of Acquiror to consummate, or cause to be consummated, the Mergers are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satisfaction of the following additional conditions, any one or more of which may be waived in writing by Acquiror: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ind w:left="1360" w:hanging="217"/>
        <w:spacing w:after="0"/>
        <w:tabs>
          <w:tab w:leader="none" w:pos="13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716"/>
        <w:spacing w:after="0" w:line="255" w:lineRule="auto"/>
        <w:tabs>
          <w:tab w:leader="none" w:pos="1911"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of the Company contained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(Due Incorporation), </w:t>
      </w:r>
      <w:r>
        <w:rPr>
          <w:rFonts w:ascii="Arial" w:cs="Arial" w:eastAsia="Arial" w:hAnsi="Arial"/>
          <w:sz w:val="16"/>
          <w:szCs w:val="16"/>
          <w:u w:val="single" w:color="auto"/>
          <w:color w:val="auto"/>
        </w:rPr>
        <w:t>Section 4.06(b)</w:t>
      </w:r>
      <w:r>
        <w:rPr>
          <w:rFonts w:ascii="Arial" w:cs="Arial" w:eastAsia="Arial" w:hAnsi="Arial"/>
          <w:sz w:val="16"/>
          <w:szCs w:val="16"/>
          <w:color w:val="auto"/>
        </w:rPr>
        <w:t xml:space="preserve"> (Capitalization – Equity Awards),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(Due Authorization),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(Brokers’ Fees) and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(Affiliate Arrangements), in each case shall be true and correct (without giving any effect to any limitation as to “materiality” or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69" w:lineRule="exact"/>
        <w:rPr>
          <w:rFonts w:ascii="Arial" w:cs="Arial" w:eastAsia="Arial" w:hAnsi="Arial"/>
          <w:sz w:val="16"/>
          <w:szCs w:val="16"/>
          <w:color w:val="auto"/>
        </w:rPr>
      </w:pPr>
    </w:p>
    <w:p>
      <w:pPr>
        <w:ind w:left="1960" w:hanging="244"/>
        <w:spacing w:after="0"/>
        <w:tabs>
          <w:tab w:leader="none" w:pos="1960" w:val="left"/>
        </w:tabs>
        <w:numPr>
          <w:ilvl w:val="1"/>
          <w:numId w:val="92"/>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the Company contained in </w:t>
      </w:r>
      <w:r>
        <w:rPr>
          <w:rFonts w:ascii="Arial" w:cs="Arial" w:eastAsia="Arial" w:hAnsi="Arial"/>
          <w:sz w:val="15"/>
          <w:szCs w:val="15"/>
          <w:u w:val="single" w:color="auto"/>
          <w:color w:val="auto"/>
        </w:rPr>
        <w:t>Section 4.20(a)</w:t>
      </w:r>
      <w:r>
        <w:rPr>
          <w:rFonts w:ascii="Arial" w:cs="Arial" w:eastAsia="Arial" w:hAnsi="Arial"/>
          <w:sz w:val="15"/>
          <w:szCs w:val="15"/>
          <w:color w:val="auto"/>
        </w:rPr>
        <w:t xml:space="preserve"> (No Material Adverse Effect) shall be true and correct in all</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respects as of the date hereof.</w:t>
      </w:r>
    </w:p>
    <w:p>
      <w:pPr>
        <w:spacing w:after="0" w:line="185" w:lineRule="exact"/>
        <w:rPr>
          <w:rFonts w:ascii="Arial" w:cs="Arial" w:eastAsia="Arial" w:hAnsi="Arial"/>
          <w:sz w:val="15"/>
          <w:szCs w:val="15"/>
          <w:color w:val="auto"/>
        </w:rPr>
      </w:pPr>
    </w:p>
    <w:p>
      <w:pPr>
        <w:jc w:val="both"/>
        <w:ind w:right="20" w:firstLine="1716"/>
        <w:spacing w:after="0" w:line="258" w:lineRule="auto"/>
        <w:tabs>
          <w:tab w:leader="none" w:pos="2023"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contained in </w:t>
      </w:r>
      <w:r>
        <w:rPr>
          <w:rFonts w:ascii="Arial" w:cs="Arial" w:eastAsia="Arial" w:hAnsi="Arial"/>
          <w:sz w:val="16"/>
          <w:szCs w:val="16"/>
          <w:u w:val="single" w:color="auto"/>
          <w:color w:val="auto"/>
        </w:rPr>
        <w:t>Section 4.06(a)</w:t>
      </w:r>
      <w:r>
        <w:rPr>
          <w:rFonts w:ascii="Arial" w:cs="Arial" w:eastAsia="Arial" w:hAnsi="Arial"/>
          <w:sz w:val="16"/>
          <w:szCs w:val="16"/>
          <w:color w:val="auto"/>
        </w:rPr>
        <w:t xml:space="preserve"> (Capitalization) shall be true and correct other than “de minimis” inaccuracies as of Closing Date as though then made (except to the extent such representations and warranties expressly relate to an earlier date, and in such case, shall be true and correct on and as of such earlier date); provided that a “de minimis” inaccuracy for purposes of this </w:t>
      </w:r>
      <w:r>
        <w:rPr>
          <w:rFonts w:ascii="Arial" w:cs="Arial" w:eastAsia="Arial" w:hAnsi="Arial"/>
          <w:sz w:val="16"/>
          <w:szCs w:val="16"/>
          <w:u w:val="single" w:color="auto"/>
          <w:color w:val="auto"/>
        </w:rPr>
        <w:t>Section 9.02(a)(iii)</w:t>
      </w:r>
      <w:r>
        <w:rPr>
          <w:rFonts w:ascii="Arial" w:cs="Arial" w:eastAsia="Arial" w:hAnsi="Arial"/>
          <w:sz w:val="16"/>
          <w:szCs w:val="16"/>
          <w:color w:val="auto"/>
        </w:rPr>
        <w:t xml:space="preserve"> means an inaccuracy that would reasonably be expected to result in damages to Acquiror of less than $2,000,000.</w:t>
      </w:r>
    </w:p>
    <w:p>
      <w:pPr>
        <w:spacing w:after="0" w:line="164" w:lineRule="exact"/>
        <w:rPr>
          <w:rFonts w:ascii="Arial" w:cs="Arial" w:eastAsia="Arial" w:hAnsi="Arial"/>
          <w:sz w:val="16"/>
          <w:szCs w:val="16"/>
          <w:color w:val="auto"/>
        </w:rPr>
      </w:pPr>
    </w:p>
    <w:p>
      <w:pPr>
        <w:jc w:val="both"/>
        <w:ind w:firstLine="1716"/>
        <w:spacing w:after="0" w:line="301" w:lineRule="auto"/>
        <w:tabs>
          <w:tab w:leader="none" w:pos="2082" w:val="left"/>
        </w:tabs>
        <w:numPr>
          <w:ilvl w:val="1"/>
          <w:numId w:val="92"/>
        </w:numPr>
        <w:rPr>
          <w:rFonts w:ascii="Arial" w:cs="Arial" w:eastAsia="Arial" w:hAnsi="Arial"/>
          <w:sz w:val="14"/>
          <w:szCs w:val="14"/>
          <w:color w:val="auto"/>
        </w:rPr>
      </w:pPr>
      <w:r>
        <w:rPr>
          <w:rFonts w:ascii="Arial" w:cs="Arial" w:eastAsia="Arial" w:hAnsi="Arial"/>
          <w:sz w:val="14"/>
          <w:szCs w:val="14"/>
          <w:color w:val="auto"/>
        </w:rPr>
        <w:t xml:space="preserve">Each of the representations and warranties of the Company contained in this Agreement (other than the representations and warranties of the Company described in </w:t>
      </w:r>
      <w:r>
        <w:rPr>
          <w:rFonts w:ascii="Arial" w:cs="Arial" w:eastAsia="Arial" w:hAnsi="Arial"/>
          <w:sz w:val="14"/>
          <w:szCs w:val="14"/>
          <w:u w:val="single" w:color="auto"/>
          <w:color w:val="auto"/>
        </w:rPr>
        <w:t>Section 9.02(a)(i)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9.02(a)(ii)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9.02(a)(iii)</w:t>
      </w:r>
      <w:r>
        <w:rPr>
          <w:rFonts w:ascii="Arial" w:cs="Arial" w:eastAsia="Arial" w:hAnsi="Arial"/>
          <w:sz w:val="14"/>
          <w:szCs w:val="14"/>
          <w:color w:val="auto"/>
        </w:rPr>
        <w:t>),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where the failure of such representations and warranties to be so true and correct, individually or in the aggregate, has not had, and would not reasonably be expected to result in, a Material Adverse Effect.</w:t>
      </w:r>
    </w:p>
    <w:p>
      <w:pPr>
        <w:spacing w:after="0" w:line="137" w:lineRule="exact"/>
        <w:rPr>
          <w:rFonts w:ascii="Arial" w:cs="Arial" w:eastAsia="Arial" w:hAnsi="Arial"/>
          <w:sz w:val="14"/>
          <w:szCs w:val="14"/>
          <w:color w:val="auto"/>
        </w:rPr>
      </w:pPr>
    </w:p>
    <w:p>
      <w:pPr>
        <w:ind w:right="20" w:firstLine="1143"/>
        <w:spacing w:after="0" w:line="275" w:lineRule="auto"/>
        <w:tabs>
          <w:tab w:leader="none" w:pos="138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Each of the covenants of the Company to be performed or complied with as of or prior to the Closing shall have been performed or complied with in all material respects.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No Material Adverse Effect shall have occurred since the date of this Agreement that is continuing.</w:t>
      </w:r>
    </w:p>
    <w:p>
      <w:pPr>
        <w:spacing w:after="0" w:line="198"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xml:space="preserve">. The Company shall have delivered to Acquiror a certificate signed by an officer of the Company, dated the Closing Date, certifying that, to the knowledge and belief of such officer, the conditions specified in </w:t>
      </w:r>
      <w:r>
        <w:rPr>
          <w:rFonts w:ascii="Arial" w:cs="Arial" w:eastAsia="Arial" w:hAnsi="Arial"/>
          <w:sz w:val="15"/>
          <w:szCs w:val="15"/>
          <w:u w:val="single" w:color="auto"/>
          <w:color w:val="auto"/>
        </w:rPr>
        <w:t>Section 9.02(a)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9.02(b)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9.02(c)</w:t>
      </w:r>
      <w:r>
        <w:rPr>
          <w:rFonts w:ascii="Arial" w:cs="Arial" w:eastAsia="Arial" w:hAnsi="Arial"/>
          <w:sz w:val="15"/>
          <w:szCs w:val="15"/>
          <w:color w:val="auto"/>
        </w:rPr>
        <w:t xml:space="preserve"> have been fulfilled.</w:t>
      </w:r>
    </w:p>
    <w:p>
      <w:pPr>
        <w:spacing w:after="0" w:line="129" w:lineRule="exact"/>
        <w:rPr>
          <w:rFonts w:ascii="Arial" w:cs="Arial" w:eastAsia="Arial" w:hAnsi="Arial"/>
          <w:sz w:val="15"/>
          <w:szCs w:val="15"/>
          <w:color w:val="auto"/>
        </w:rPr>
      </w:pPr>
    </w:p>
    <w:p>
      <w:pPr>
        <w:ind w:left="1360" w:hanging="217"/>
        <w:spacing w:after="0"/>
        <w:tabs>
          <w:tab w:leader="none" w:pos="136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Subscription Agreements</w:t>
      </w:r>
      <w:r>
        <w:rPr>
          <w:rFonts w:ascii="Arial" w:cs="Arial" w:eastAsia="Arial" w:hAnsi="Arial"/>
          <w:sz w:val="15"/>
          <w:szCs w:val="15"/>
          <w:color w:val="auto"/>
        </w:rPr>
        <w:t>. The transactions contemplated by the Subscription Agreements have been consummated concurrently with the Closing.</w:t>
      </w:r>
    </w:p>
    <w:p>
      <w:pPr>
        <w:spacing w:after="0" w:line="206"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b w:val="1"/>
          <w:bCs w:val="1"/>
          <w:color w:val="auto"/>
        </w:rPr>
        <w:t xml:space="preserve">Section 9.03 </w:t>
      </w:r>
      <w:r>
        <w:rPr>
          <w:rFonts w:ascii="Arial" w:cs="Arial" w:eastAsia="Arial" w:hAnsi="Arial"/>
          <w:sz w:val="16"/>
          <w:szCs w:val="16"/>
          <w:b w:val="1"/>
          <w:bCs w:val="1"/>
          <w:u w:val="single" w:color="auto"/>
          <w:color w:val="auto"/>
        </w:rPr>
        <w:t>Additional Conditions to the Obligations of the Company</w:t>
      </w:r>
      <w:r>
        <w:rPr>
          <w:rFonts w:ascii="Arial" w:cs="Arial" w:eastAsia="Arial" w:hAnsi="Arial"/>
          <w:sz w:val="16"/>
          <w:szCs w:val="16"/>
          <w:color w:val="auto"/>
        </w:rPr>
        <w:t>. The obligation of the Company to consummate the Mergers is subject to the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additional conditions, any one or more of which may be waived in writing by the Company: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2" w:name="page93"/>
    <w:bookmarkEnd w:id="92"/>
    <w:p>
      <w:pPr>
        <w:ind w:left="1360" w:hanging="217"/>
        <w:spacing w:after="0"/>
        <w:tabs>
          <w:tab w:leader="none" w:pos="13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716"/>
        <w:spacing w:after="0" w:line="301" w:lineRule="auto"/>
        <w:tabs>
          <w:tab w:leader="none" w:pos="1923" w:val="left"/>
        </w:tabs>
        <w:numPr>
          <w:ilvl w:val="1"/>
          <w:numId w:val="93"/>
        </w:numPr>
        <w:rPr>
          <w:rFonts w:ascii="Arial" w:cs="Arial" w:eastAsia="Arial" w:hAnsi="Arial"/>
          <w:sz w:val="14"/>
          <w:szCs w:val="14"/>
          <w:color w:val="auto"/>
        </w:rPr>
      </w:pPr>
      <w:r>
        <w:rPr>
          <w:rFonts w:ascii="Arial" w:cs="Arial" w:eastAsia="Arial" w:hAnsi="Arial"/>
          <w:sz w:val="14"/>
          <w:szCs w:val="14"/>
          <w:color w:val="auto"/>
        </w:rPr>
        <w:t xml:space="preserve">Each of the representations and warranties of Acquiror contained in this Agreement (other than the representations and warranties of Acquiror contained in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(Capitalization)) (without giving effect to any limitation as to “materiality”, “material adverse effect” or any similar limitation set forth therein) shall be true and correct in all respects as of the Closing Date, as if made anew at and as of that time (except with respect to representations and warranties which speak as to an earlier date, which representations and warranties shall be true and correct in all respects at and as of such date), where the failure of such representations and warranties to be so true and correct, individually or in the aggregate, has not had, and would not reasonably be expected to result in, an Acquiror Material Adverse Effect.</w:t>
      </w:r>
    </w:p>
    <w:p>
      <w:pPr>
        <w:spacing w:after="0" w:line="137" w:lineRule="exact"/>
        <w:rPr>
          <w:rFonts w:ascii="Arial" w:cs="Arial" w:eastAsia="Arial" w:hAnsi="Arial"/>
          <w:sz w:val="14"/>
          <w:szCs w:val="14"/>
          <w:color w:val="auto"/>
        </w:rPr>
      </w:pPr>
    </w:p>
    <w:p>
      <w:pPr>
        <w:jc w:val="both"/>
        <w:ind w:firstLine="1716"/>
        <w:spacing w:after="0" w:line="317" w:lineRule="auto"/>
        <w:tabs>
          <w:tab w:leader="none" w:pos="1955" w:val="left"/>
        </w:tabs>
        <w:numPr>
          <w:ilvl w:val="1"/>
          <w:numId w:val="93"/>
        </w:numPr>
        <w:rPr>
          <w:rFonts w:ascii="Arial" w:cs="Arial" w:eastAsia="Arial" w:hAnsi="Arial"/>
          <w:sz w:val="14"/>
          <w:szCs w:val="14"/>
          <w:color w:val="auto"/>
        </w:rPr>
      </w:pPr>
      <w:r>
        <w:rPr>
          <w:rFonts w:ascii="Arial" w:cs="Arial" w:eastAsia="Arial" w:hAnsi="Arial"/>
          <w:sz w:val="14"/>
          <w:szCs w:val="14"/>
          <w:color w:val="auto"/>
        </w:rPr>
        <w:t xml:space="preserve">The representations and warranties of Acquiror contained in </w:t>
      </w:r>
      <w:r>
        <w:rPr>
          <w:rFonts w:ascii="Arial" w:cs="Arial" w:eastAsia="Arial" w:hAnsi="Arial"/>
          <w:sz w:val="14"/>
          <w:szCs w:val="14"/>
          <w:u w:val="single" w:color="auto"/>
          <w:color w:val="auto"/>
        </w:rPr>
        <w:t>Section 5.14(a)</w:t>
      </w:r>
      <w:r>
        <w:rPr>
          <w:rFonts w:ascii="Arial" w:cs="Arial" w:eastAsia="Arial" w:hAnsi="Arial"/>
          <w:sz w:val="14"/>
          <w:szCs w:val="14"/>
          <w:color w:val="auto"/>
        </w:rPr>
        <w:t>, shall be true and correct, other than “de minimis” inaccuracies as of the Closing Date (immediately prior to the effectiveness of the Acquiror A&amp;R Charter), as if made anew at and as of that time; provided that a “de minimis” inaccuracy for purposes of this Section 9.03(a)(ii) means an inaccuracy that would reasonably be expected to result in damages to the Company or its Subsidiaries of less than $2,000,000.</w:t>
      </w:r>
    </w:p>
    <w:p>
      <w:pPr>
        <w:spacing w:after="0" w:line="126" w:lineRule="exact"/>
        <w:rPr>
          <w:rFonts w:ascii="Arial" w:cs="Arial" w:eastAsia="Arial" w:hAnsi="Arial"/>
          <w:sz w:val="14"/>
          <w:szCs w:val="14"/>
          <w:color w:val="auto"/>
        </w:rPr>
      </w:pPr>
    </w:p>
    <w:p>
      <w:pPr>
        <w:ind w:right="20" w:firstLine="1143"/>
        <w:spacing w:after="0" w:line="275" w:lineRule="auto"/>
        <w:tabs>
          <w:tab w:leader="none" w:pos="1373"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Agreements and Covenants</w:t>
      </w:r>
      <w:r>
        <w:rPr>
          <w:rFonts w:ascii="Arial" w:cs="Arial" w:eastAsia="Arial" w:hAnsi="Arial"/>
          <w:sz w:val="16"/>
          <w:szCs w:val="16"/>
          <w:color w:val="auto"/>
        </w:rPr>
        <w:t>. Each of the covenants of Acquiror to be performed or complied with as of or prior to the Closing shall have been performed or complied with in all material respects.</w:t>
      </w:r>
    </w:p>
    <w:p>
      <w:pPr>
        <w:spacing w:after="0" w:line="151"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xml:space="preserve">. Acquiror shall have delivered to the Company a certificate signed by an officer of Acquiror, dated the Closing Date, certifying that, to the knowledge and belief of such officer, the conditions specified in </w:t>
      </w:r>
      <w:r>
        <w:rPr>
          <w:rFonts w:ascii="Arial" w:cs="Arial" w:eastAsia="Arial" w:hAnsi="Arial"/>
          <w:sz w:val="16"/>
          <w:szCs w:val="16"/>
          <w:u w:val="single" w:color="auto"/>
          <w:color w:val="auto"/>
        </w:rPr>
        <w:t>Section 9.03(a)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have been fulfilled.</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Acquiror A&amp;R Charter</w:t>
      </w:r>
      <w:r>
        <w:rPr>
          <w:rFonts w:ascii="Arial" w:cs="Arial" w:eastAsia="Arial" w:hAnsi="Arial"/>
          <w:sz w:val="16"/>
          <w:szCs w:val="16"/>
          <w:color w:val="auto"/>
        </w:rPr>
        <w:t>. The Certificate of Incorporation shall be amended and restated substantially in the form of the Acquiror A&amp;R Charter.</w:t>
      </w:r>
    </w:p>
    <w:p>
      <w:pPr>
        <w:spacing w:after="0" w:line="198" w:lineRule="exact"/>
        <w:rPr>
          <w:rFonts w:ascii="Arial" w:cs="Arial" w:eastAsia="Arial" w:hAnsi="Arial"/>
          <w:sz w:val="16"/>
          <w:szCs w:val="16"/>
          <w:color w:val="auto"/>
        </w:rPr>
      </w:pPr>
    </w:p>
    <w:p>
      <w:pPr>
        <w:jc w:val="both"/>
        <w:ind w:firstLine="1143"/>
        <w:spacing w:after="0" w:line="306" w:lineRule="auto"/>
        <w:tabs>
          <w:tab w:leader="none" w:pos="1364"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Acquiror Assets</w:t>
      </w:r>
      <w:r>
        <w:rPr>
          <w:rFonts w:ascii="Arial" w:cs="Arial" w:eastAsia="Arial" w:hAnsi="Arial"/>
          <w:sz w:val="14"/>
          <w:szCs w:val="14"/>
          <w:color w:val="auto"/>
        </w:rPr>
        <w:t>. Acquiror shall have delivered to the Company evidence reasonably satisfactory to the Company that, immediately after the Closing (after deducting all amounts in connection with the redemption of any shares of Acquiror Common Stock required by the Offer, but before deducting (i) all Outstanding Acquiror Expenses and Outstanding Company Expenses, and (ii) without duplication of Outstanding Company Expenses, all audit and pre-audit consulting expenses incurred by the Company) the funds in the Trust Account, together with the funding of any amounts payable under the Subscription Agreements, will be no less than the $85,000,000.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TERMINATION/EFFECTIVENESS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10.01 </w:t>
      </w:r>
      <w:r>
        <w:rPr>
          <w:rFonts w:ascii="Arial" w:cs="Arial" w:eastAsia="Arial" w:hAnsi="Arial"/>
          <w:sz w:val="16"/>
          <w:szCs w:val="16"/>
          <w:b w:val="1"/>
          <w:bCs w:val="1"/>
          <w:u w:val="single" w:color="auto"/>
          <w:color w:val="auto"/>
        </w:rPr>
        <w:t>Termination</w:t>
      </w:r>
      <w:r>
        <w:rPr>
          <w:rFonts w:ascii="Arial" w:cs="Arial" w:eastAsia="Arial" w:hAnsi="Arial"/>
          <w:sz w:val="16"/>
          <w:szCs w:val="16"/>
          <w:color w:val="auto"/>
        </w:rPr>
        <w:t>. This Agreement may be terminated and the transactions contemplated hereby abandoned:</w:t>
      </w:r>
    </w:p>
    <w:p>
      <w:pPr>
        <w:spacing w:after="0" w:line="202" w:lineRule="exact"/>
        <w:rPr>
          <w:sz w:val="20"/>
          <w:szCs w:val="20"/>
          <w:color w:val="auto"/>
        </w:rPr>
      </w:pPr>
    </w:p>
    <w:p>
      <w:pPr>
        <w:ind w:left="1360" w:hanging="217"/>
        <w:spacing w:after="0"/>
        <w:tabs>
          <w:tab w:leader="none" w:pos="13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consent of the Company and Acquiror;</w:t>
      </w:r>
    </w:p>
    <w:p>
      <w:pPr>
        <w:spacing w:after="0" w:line="198" w:lineRule="exact"/>
        <w:rPr>
          <w:rFonts w:ascii="Arial" w:cs="Arial" w:eastAsia="Arial" w:hAnsi="Arial"/>
          <w:sz w:val="16"/>
          <w:szCs w:val="16"/>
          <w:color w:val="auto"/>
        </w:rPr>
      </w:pPr>
    </w:p>
    <w:p>
      <w:pPr>
        <w:jc w:val="both"/>
        <w:ind w:firstLine="1143"/>
        <w:spacing w:after="0" w:line="290" w:lineRule="auto"/>
        <w:tabs>
          <w:tab w:leader="none" w:pos="1373"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prior to the Closing, by written notice to the Company from Acquiror if (i) there is any breach of any representation, warranty, covenant or agreement on the part of the Company set forth in this Agreement (or any breach of Section 1 of the Support Agreement), such that the conditions specified in </w:t>
      </w:r>
      <w:r>
        <w:rPr>
          <w:rFonts w:ascii="Arial" w:cs="Arial" w:eastAsia="Arial" w:hAnsi="Arial"/>
          <w:sz w:val="14"/>
          <w:szCs w:val="14"/>
          <w:u w:val="single" w:color="auto"/>
          <w:color w:val="auto"/>
        </w:rPr>
        <w:t>Section 9.02(a)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9.02(b)</w:t>
      </w:r>
      <w:r>
        <w:rPr>
          <w:rFonts w:ascii="Arial" w:cs="Arial" w:eastAsia="Arial" w:hAnsi="Arial"/>
          <w:sz w:val="14"/>
          <w:szCs w:val="14"/>
          <w:color w:val="auto"/>
        </w:rPr>
        <w:t xml:space="preserve"> would not be satisfied at the Closing (a “</w:t>
      </w:r>
      <w:r>
        <w:rPr>
          <w:rFonts w:ascii="Arial" w:cs="Arial" w:eastAsia="Arial" w:hAnsi="Arial"/>
          <w:sz w:val="14"/>
          <w:szCs w:val="14"/>
          <w:u w:val="single" w:color="auto"/>
          <w:color w:val="auto"/>
        </w:rPr>
        <w:t>Terminating Company Breach</w:t>
      </w:r>
      <w:r>
        <w:rPr>
          <w:rFonts w:ascii="Arial" w:cs="Arial" w:eastAsia="Arial" w:hAnsi="Arial"/>
          <w:sz w:val="14"/>
          <w:szCs w:val="14"/>
          <w:color w:val="auto"/>
        </w:rPr>
        <w:t>”), except that, if such Terminating Company Breach is curable by the Company through the exercise of its commercially reasonable efforts, then, for a period of up to 30 days (or any shorter period of the time that remains between the date Acquiror provides written notice of such violation or breach and the Termination Date) after receipt by the Company of notice from Acquiror of such breach, but only as long as the Company continues to use its commercially reasonable efforts to cure such Terminating Company Breach (the “</w:t>
      </w:r>
      <w:r>
        <w:rPr>
          <w:rFonts w:ascii="Arial" w:cs="Arial" w:eastAsia="Arial" w:hAnsi="Arial"/>
          <w:sz w:val="14"/>
          <w:szCs w:val="14"/>
          <w:u w:val="single" w:color="auto"/>
          <w:color w:val="auto"/>
        </w:rPr>
        <w:t>Company Cure Period</w:t>
      </w:r>
      <w:r>
        <w:rPr>
          <w:rFonts w:ascii="Arial" w:cs="Arial" w:eastAsia="Arial" w:hAnsi="Arial"/>
          <w:sz w:val="14"/>
          <w:szCs w:val="14"/>
          <w:color w:val="auto"/>
        </w:rPr>
        <w:t>”), such termination shall not be effective, and such termination shall become effective only if the Terminating Company Breach is not cured within the Company Cure Period, (ii) (A) in the event that PCAOB Financial Statements have been delivered by the Company to Acquiror by February 15, 2022, the Closing has not occurred on or before June 30, 2022, and (B) in the event that PCAOB Financial Statements have not been delivered by the Company to Acquiror by February 15, 2022, the Closing has not occurred on or before August 31, 2022 (such applicable date,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xml:space="preserve">”), or (iii) the consummation of the Mergers is permanently enjoined or prohibited by the terms of a final, non-appealable Governmental Order or a statute, rule or regulation; provided, that the right to terminate this Agreement under </w:t>
      </w:r>
      <w:r>
        <w:rPr>
          <w:rFonts w:ascii="Arial" w:cs="Arial" w:eastAsia="Arial" w:hAnsi="Arial"/>
          <w:sz w:val="14"/>
          <w:szCs w:val="14"/>
          <w:u w:val="single" w:color="auto"/>
          <w:color w:val="auto"/>
        </w:rPr>
        <w:t>Section 10.01(b)(ii)</w:t>
      </w:r>
      <w:r>
        <w:rPr>
          <w:rFonts w:ascii="Arial" w:cs="Arial" w:eastAsia="Arial" w:hAnsi="Arial"/>
          <w:sz w:val="14"/>
          <w:szCs w:val="14"/>
          <w:color w:val="auto"/>
        </w:rPr>
        <w:t xml:space="preserve"> shall not be available if Acquiror’s failure to fulfill any obligation under this Agreement has been the primary cause of, or primarily resulted in, the failure of the Closing to occur on or before such date; provided, further, that the right to terminate this Agreement under </w:t>
      </w:r>
      <w:r>
        <w:rPr>
          <w:rFonts w:ascii="Arial" w:cs="Arial" w:eastAsia="Arial" w:hAnsi="Arial"/>
          <w:sz w:val="14"/>
          <w:szCs w:val="14"/>
          <w:u w:val="single" w:color="auto"/>
          <w:color w:val="auto"/>
        </w:rPr>
        <w:t>Section 10.01(b)(ii)</w:t>
      </w:r>
      <w:r>
        <w:rPr>
          <w:rFonts w:ascii="Arial" w:cs="Arial" w:eastAsia="Arial" w:hAnsi="Arial"/>
          <w:sz w:val="14"/>
          <w:szCs w:val="14"/>
          <w:color w:val="auto"/>
        </w:rPr>
        <w:t xml:space="preserve"> shall not be available if Acquiror is in material breach of its obligations under </w:t>
      </w:r>
      <w:r>
        <w:rPr>
          <w:rFonts w:ascii="Arial" w:cs="Arial" w:eastAsia="Arial" w:hAnsi="Arial"/>
          <w:sz w:val="14"/>
          <w:szCs w:val="14"/>
          <w:u w:val="single" w:color="auto"/>
          <w:color w:val="auto"/>
        </w:rPr>
        <w:t>Section 7.06</w:t>
      </w:r>
      <w:r>
        <w:rPr>
          <w:rFonts w:ascii="Arial" w:cs="Arial" w:eastAsia="Arial" w:hAnsi="Arial"/>
          <w:sz w:val="14"/>
          <w:szCs w:val="14"/>
          <w:color w:val="auto"/>
        </w:rPr>
        <w:t xml:space="preserve"> on such date;</w:t>
      </w:r>
    </w:p>
    <w:p>
      <w:pPr>
        <w:spacing w:after="0" w:line="147" w:lineRule="exact"/>
        <w:rPr>
          <w:rFonts w:ascii="Arial" w:cs="Arial" w:eastAsia="Arial" w:hAnsi="Arial"/>
          <w:sz w:val="14"/>
          <w:szCs w:val="14"/>
          <w:color w:val="auto"/>
        </w:rPr>
      </w:pPr>
    </w:p>
    <w:p>
      <w:pPr>
        <w:jc w:val="both"/>
        <w:ind w:firstLine="1143"/>
        <w:spacing w:after="0" w:line="270" w:lineRule="auto"/>
        <w:tabs>
          <w:tab w:leader="none" w:pos="1364" w:val="left"/>
        </w:tabs>
        <w:numPr>
          <w:ilvl w:val="0"/>
          <w:numId w:val="94"/>
        </w:numPr>
        <w:rPr>
          <w:rFonts w:ascii="Arial" w:cs="Arial" w:eastAsia="Arial" w:hAnsi="Arial"/>
          <w:sz w:val="15"/>
          <w:szCs w:val="15"/>
          <w:color w:val="auto"/>
        </w:rPr>
      </w:pPr>
      <w:r>
        <w:rPr>
          <w:rFonts w:ascii="Arial" w:cs="Arial" w:eastAsia="Arial" w:hAnsi="Arial"/>
          <w:sz w:val="15"/>
          <w:szCs w:val="15"/>
          <w:color w:val="auto"/>
        </w:rPr>
        <w:t xml:space="preserve">prior to the Closing, by written notice to Acquiror from the Company if (i) there is any breach of any representation, warranty, covenant or agreement on the part of Acquiror set forth in this Agreement, such that the conditions specified in </w:t>
      </w:r>
      <w:r>
        <w:rPr>
          <w:rFonts w:ascii="Arial" w:cs="Arial" w:eastAsia="Arial" w:hAnsi="Arial"/>
          <w:sz w:val="15"/>
          <w:szCs w:val="15"/>
          <w:u w:val="single" w:color="auto"/>
          <w:color w:val="auto"/>
        </w:rPr>
        <w:t>Section 9.03(a)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9.03(b)</w:t>
      </w:r>
      <w:r>
        <w:rPr>
          <w:rFonts w:ascii="Arial" w:cs="Arial" w:eastAsia="Arial" w:hAnsi="Arial"/>
          <w:sz w:val="15"/>
          <w:szCs w:val="15"/>
          <w:color w:val="auto"/>
        </w:rPr>
        <w:t xml:space="preserve"> would not be satisfied at the Closing (a “</w:t>
      </w:r>
      <w:r>
        <w:rPr>
          <w:rFonts w:ascii="Arial" w:cs="Arial" w:eastAsia="Arial" w:hAnsi="Arial"/>
          <w:sz w:val="15"/>
          <w:szCs w:val="15"/>
          <w:u w:val="single" w:color="auto"/>
          <w:color w:val="auto"/>
        </w:rPr>
        <w:t>Terminating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Acquiror Breach</w:t>
      </w:r>
      <w:r>
        <w:rPr>
          <w:rFonts w:ascii="Arial" w:cs="Arial" w:eastAsia="Arial" w:hAnsi="Arial"/>
          <w:sz w:val="15"/>
          <w:szCs w:val="15"/>
          <w:color w:val="auto"/>
        </w:rPr>
        <w:t>”), except that, if any such Terminating Acquiror Breach is curable by Acquiror through the exercise of its commercially reasonable efforts, then, for a period of up to 30 days (or any shorter period of the time that remains between the date the Company provides written notice of such violation or breach and the Termination Date) after receipt by Acquiror of notice from the Company of such breach, but only as long as Acquiror continues to exercise such commercially reasonable efforts to cure such Terminating Acquiror Breach (the “</w:t>
      </w:r>
      <w:r>
        <w:rPr>
          <w:rFonts w:ascii="Arial" w:cs="Arial" w:eastAsia="Arial" w:hAnsi="Arial"/>
          <w:sz w:val="15"/>
          <w:szCs w:val="15"/>
          <w:u w:val="single" w:color="auto"/>
          <w:color w:val="auto"/>
        </w:rPr>
        <w:t>Acquiror Cure Period</w:t>
      </w:r>
      <w:r>
        <w:rPr>
          <w:rFonts w:ascii="Arial" w:cs="Arial" w:eastAsia="Arial" w:hAnsi="Arial"/>
          <w:sz w:val="15"/>
          <w:szCs w:val="15"/>
          <w:color w:val="auto"/>
        </w:rPr>
        <w:t xml:space="preserve">”), such termination shall not be effective, and such termination shall become effective only if the Terminating Acquiror Breach is not cured within the Acquiror Cure Period, (ii) the Closing has not occurred on or before the Termination Date, or (iii) the consummation of the Mergers is permanently enjoined or prohibited by the terms of a final, non-appealable Governmental Order or a statute, rule or regulation; provided, that the right to terminate this Agreement under </w:t>
      </w:r>
      <w:r>
        <w:rPr>
          <w:rFonts w:ascii="Arial" w:cs="Arial" w:eastAsia="Arial" w:hAnsi="Arial"/>
          <w:sz w:val="15"/>
          <w:szCs w:val="15"/>
          <w:u w:val="single" w:color="auto"/>
          <w:color w:val="auto"/>
        </w:rPr>
        <w:t>Section 10.01(c)(ii)</w:t>
      </w:r>
      <w:r>
        <w:rPr>
          <w:rFonts w:ascii="Arial" w:cs="Arial" w:eastAsia="Arial" w:hAnsi="Arial"/>
          <w:sz w:val="15"/>
          <w:szCs w:val="15"/>
          <w:color w:val="auto"/>
        </w:rPr>
        <w:t xml:space="preserve"> shall not be available if the Company’s failure to fulfill any obligation under this Agreement has been the primary cause of, or primarily resulted in, the failure of the Closing to occur on or before such date;</w:t>
      </w:r>
    </w:p>
    <w:p>
      <w:pPr>
        <w:spacing w:after="0" w:line="162" w:lineRule="exact"/>
        <w:rPr>
          <w:rFonts w:ascii="Arial" w:cs="Arial" w:eastAsia="Arial" w:hAnsi="Arial"/>
          <w:sz w:val="15"/>
          <w:szCs w:val="15"/>
          <w:color w:val="auto"/>
        </w:rPr>
      </w:pPr>
    </w:p>
    <w:p>
      <w:pPr>
        <w:ind w:right="20" w:firstLine="1143"/>
        <w:spacing w:after="0" w:line="275" w:lineRule="auto"/>
        <w:tabs>
          <w:tab w:leader="none" w:pos="1373"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notice from either the Company or Acquiror to the other if the Acquiror Stockholder Approval is not obtained at the Special Meeting (subject to any adjournment or recess of the meeting); or</w:t>
      </w:r>
    </w:p>
    <w:p>
      <w:pPr>
        <w:spacing w:after="0" w:line="151" w:lineRule="exact"/>
        <w:rPr>
          <w:rFonts w:ascii="Arial" w:cs="Arial" w:eastAsia="Arial" w:hAnsi="Arial"/>
          <w:sz w:val="16"/>
          <w:szCs w:val="16"/>
          <w:color w:val="auto"/>
        </w:rPr>
      </w:pPr>
    </w:p>
    <w:p>
      <w:pPr>
        <w:ind w:right="20" w:firstLine="1143"/>
        <w:spacing w:after="0" w:line="275" w:lineRule="auto"/>
        <w:tabs>
          <w:tab w:leader="none" w:pos="1376" w:val="left"/>
        </w:tabs>
        <w:numPr>
          <w:ilvl w:val="0"/>
          <w:numId w:val="94"/>
        </w:numPr>
        <w:rPr>
          <w:rFonts w:ascii="Arial" w:cs="Arial" w:eastAsia="Arial" w:hAnsi="Arial"/>
          <w:sz w:val="16"/>
          <w:szCs w:val="16"/>
          <w:color w:val="auto"/>
        </w:rPr>
      </w:pPr>
      <w:r>
        <w:rPr>
          <w:rFonts w:ascii="Arial" w:cs="Arial" w:eastAsia="Arial" w:hAnsi="Arial"/>
          <w:sz w:val="16"/>
          <w:szCs w:val="16"/>
          <w:color w:val="auto"/>
        </w:rPr>
        <w:t>by written notice from Acquiror if the Company shall have failed to obtain the Company Requisite Approval within five (5) Business Days after the Registration Statement Effective Date.</w:t>
      </w:r>
    </w:p>
    <w:p>
      <w:pPr>
        <w:spacing w:after="0" w:line="14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b w:val="1"/>
          <w:bCs w:val="1"/>
          <w:color w:val="auto"/>
        </w:rPr>
        <w:t xml:space="preserve">Section 10.02 </w:t>
      </w:r>
      <w:r>
        <w:rPr>
          <w:rFonts w:ascii="Arial" w:cs="Arial" w:eastAsia="Arial" w:hAnsi="Arial"/>
          <w:sz w:val="15"/>
          <w:szCs w:val="15"/>
          <w:b w:val="1"/>
          <w:bCs w:val="1"/>
          <w:u w:val="single" w:color="auto"/>
          <w:color w:val="auto"/>
        </w:rPr>
        <w:t>Effect of Termination</w:t>
      </w:r>
      <w:r>
        <w:rPr>
          <w:rFonts w:ascii="Arial" w:cs="Arial" w:eastAsia="Arial" w:hAnsi="Arial"/>
          <w:sz w:val="15"/>
          <w:szCs w:val="15"/>
          <w:color w:val="auto"/>
        </w:rPr>
        <w:t>. Except as otherwise set forth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10.02</w:t>
      </w:r>
      <w:r>
        <w:rPr>
          <w:rFonts w:ascii="Arial" w:cs="Arial" w:eastAsia="Arial" w:hAnsi="Arial"/>
          <w:sz w:val="15"/>
          <w:szCs w:val="15"/>
          <w:color w:val="auto"/>
        </w:rPr>
        <w:t>, in the event of the termination of this Agreement pursuant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10.01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shall forthwith become void and have no effect, without any liability on the part of any party hereto or its respective Affiliates, officers, directors, employees or stockholders, other than liability of any party hereto for any Willful Breach of this Agreement by such party occurring prior to such termination subject to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The provisions of </w:t>
      </w:r>
      <w:r>
        <w:rPr>
          <w:rFonts w:ascii="Arial" w:cs="Arial" w:eastAsia="Arial" w:hAnsi="Arial"/>
          <w:sz w:val="15"/>
          <w:szCs w:val="15"/>
          <w:u w:val="single" w:color="auto"/>
          <w:color w:val="auto"/>
        </w:rPr>
        <w:t>Section 6.05</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8.04</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10.02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(collectively, the “</w:t>
      </w:r>
      <w:r>
        <w:rPr>
          <w:rFonts w:ascii="Arial" w:cs="Arial" w:eastAsia="Arial" w:hAnsi="Arial"/>
          <w:sz w:val="15"/>
          <w:szCs w:val="15"/>
          <w:u w:val="single" w:color="auto"/>
          <w:color w:val="auto"/>
        </w:rPr>
        <w:t>Surviving Provisions</w:t>
      </w:r>
      <w:r>
        <w:rPr>
          <w:rFonts w:ascii="Arial" w:cs="Arial" w:eastAsia="Arial" w:hAnsi="Arial"/>
          <w:sz w:val="15"/>
          <w:szCs w:val="15"/>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 Notwithstanding the foregoing, a failure by Acquiror, First Merger Sub and Second Merger Sub to close in accordance with this Agreement when they are obligated to do so shall be deemed to be a Willful Breach of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11.01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Any party to this Agreement may, at any time prior to the Closing, by action taken by its board of directors, or officers thereunto duly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waive any of the terms or conditions of this Agreement, or agree to an amendment or modification to this Agreement in the manner contemplated by </w:t>
      </w:r>
      <w:r>
        <w:rPr>
          <w:rFonts w:ascii="Arial" w:cs="Arial" w:eastAsia="Arial" w:hAnsi="Arial"/>
          <w:sz w:val="16"/>
          <w:szCs w:val="16"/>
          <w:u w:val="single" w:color="auto"/>
          <w:color w:val="auto"/>
        </w:rPr>
        <w:t>Section 11.10</w:t>
      </w:r>
      <w:r>
        <w:rPr>
          <w:rFonts w:ascii="Arial" w:cs="Arial" w:eastAsia="Arial" w:hAnsi="Arial"/>
          <w:sz w:val="16"/>
          <w:szCs w:val="16"/>
          <w:color w:val="auto"/>
        </w:rPr>
        <w:t xml:space="preserve"> and by an agreement in writing executed in the same manner (but not necessarily by the same Persons) as this Agreement.</w:t>
      </w:r>
    </w:p>
    <w:p>
      <w:pPr>
        <w:spacing w:after="0" w:line="155"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11.02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among the parties shall be in writing and shall be deemed to have been duly given (i) when delivered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 If to Acquiror, First Merger Sub or Second Merger Sub,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East Putnam Avenue, Floor 4</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actual or constructive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ilan.katz@dentons.com and brian.lee@dentons.com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 If to the Company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actual or constructive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colin.diamond@whitecase.com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5" w:name="page96"/>
    <w:bookmarkEnd w:id="95"/>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77007</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Emery Choi</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emery.choi@whitecase.com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or to such other address or addresses as the parties may from time to time designate in writing.</w:t>
      </w:r>
    </w:p>
    <w:p>
      <w:pPr>
        <w:spacing w:after="0" w:line="194"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11.03 </w:t>
      </w:r>
      <w:r>
        <w:rPr>
          <w:rFonts w:ascii="Arial" w:cs="Arial" w:eastAsia="Arial" w:hAnsi="Arial"/>
          <w:sz w:val="16"/>
          <w:szCs w:val="16"/>
          <w:b w:val="1"/>
          <w:bCs w:val="1"/>
          <w:u w:val="single" w:color="auto"/>
          <w:color w:val="auto"/>
        </w:rPr>
        <w:t>Assignment</w:t>
      </w:r>
      <w:r>
        <w:rPr>
          <w:rFonts w:ascii="Arial" w:cs="Arial" w:eastAsia="Arial" w:hAnsi="Arial"/>
          <w:sz w:val="16"/>
          <w:szCs w:val="16"/>
          <w:color w:val="auto"/>
        </w:rPr>
        <w:t>. No party hereto shall assign this Agreement or any part hereof without the prior written consent of the other parties.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foregoing, this Agreement shall be binding upon and inure to the benefit of the parties hereto and their respective permitted successors and assigns. Any attempted assignment in violation of the terms of this Section 11.03 shall be null and void, ab initio.</w:t>
      </w:r>
    </w:p>
    <w:p>
      <w:pPr>
        <w:spacing w:after="0" w:line="155"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b w:val="1"/>
          <w:bCs w:val="1"/>
          <w:color w:val="auto"/>
        </w:rPr>
        <w:t xml:space="preserve">Section 11.04 </w:t>
      </w:r>
      <w:r>
        <w:rPr>
          <w:rFonts w:ascii="Arial" w:cs="Arial" w:eastAsia="Arial" w:hAnsi="Arial"/>
          <w:sz w:val="16"/>
          <w:szCs w:val="16"/>
          <w:b w:val="1"/>
          <w:bCs w:val="1"/>
          <w:u w:val="single" w:color="auto"/>
          <w:color w:val="auto"/>
        </w:rPr>
        <w:t>Rights of Third Parties</w:t>
      </w:r>
      <w:r>
        <w:rPr>
          <w:rFonts w:ascii="Arial" w:cs="Arial" w:eastAsia="Arial" w:hAnsi="Arial"/>
          <w:sz w:val="16"/>
          <w:szCs w:val="16"/>
          <w:color w:val="auto"/>
        </w:rPr>
        <w:t>. Nothing expressed or implied in this Agreement is intended or shall be construed to confer upon or give any Person,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hereto, any right or remedies under or by reason of this Agreement; provided, however, that, notwithstanding the foregoing (a) in the event the Closing occurs, the present and former officers and directors of the Company and Acquiror (and their successors, heirs and representatives) are intended third-party beneficiaries of, and may enforce,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Sections 11.14 and 11.16.</w:t>
      </w:r>
    </w:p>
    <w:p>
      <w:pPr>
        <w:spacing w:after="0" w:line="165"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11.05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Except as otherwise provided herein (including</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3.08</w:t>
      </w:r>
      <w:r>
        <w:rPr>
          <w:rFonts w:ascii="Arial" w:cs="Arial" w:eastAsia="Arial" w:hAnsi="Arial"/>
          <w:sz w:val="16"/>
          <w:szCs w:val="16"/>
          <w:color w:val="auto"/>
        </w:rPr>
        <w:t>, Section 7.01(e) and Section 8.04(a)), each party hereto shall bear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in connection with this Agreement and the transactions herein contemplated whether or not such transactions shall be consummated, including all fees of its legal counsel, financial advisers and accountants.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b w:val="1"/>
          <w:bCs w:val="1"/>
          <w:color w:val="auto"/>
        </w:rPr>
        <w:t xml:space="preserve">Section 11.06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all claims or causes of action based upon, arising out of, or related to this Agreement or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55"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 xml:space="preserve">Section 11.07 </w:t>
      </w:r>
      <w:r>
        <w:rPr>
          <w:rFonts w:ascii="Arial" w:cs="Arial" w:eastAsia="Arial" w:hAnsi="Arial"/>
          <w:sz w:val="16"/>
          <w:szCs w:val="16"/>
          <w:b w:val="1"/>
          <w:bCs w:val="1"/>
          <w:u w:val="single" w:color="auto"/>
          <w:color w:val="auto"/>
        </w:rPr>
        <w:t>Captions; Counterparts</w:t>
      </w:r>
      <w:r>
        <w:rPr>
          <w:rFonts w:ascii="Arial" w:cs="Arial" w:eastAsia="Arial" w:hAnsi="Arial"/>
          <w:sz w:val="16"/>
          <w:szCs w:val="16"/>
          <w:color w:val="auto"/>
        </w:rPr>
        <w:t>. The captions in this Agreement are for convenience only and shall not be considered a part of or affect the construction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 of any provision of this Agreement. This Agreement may be executed in two or more counterparts, each of which shall be deemed an original, but all of which together shall constitute one and the same instrument.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6" w:name="page97"/>
    <w:bookmarkEnd w:id="96"/>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11.08 </w:t>
      </w:r>
      <w:r>
        <w:rPr>
          <w:rFonts w:ascii="Arial" w:cs="Arial" w:eastAsia="Arial" w:hAnsi="Arial"/>
          <w:sz w:val="16"/>
          <w:szCs w:val="16"/>
          <w:b w:val="1"/>
          <w:bCs w:val="1"/>
          <w:u w:val="single" w:color="auto"/>
          <w:color w:val="auto"/>
        </w:rPr>
        <w:t>Schedules and Exhibits</w:t>
      </w:r>
      <w:r>
        <w:rPr>
          <w:rFonts w:ascii="Arial" w:cs="Arial" w:eastAsia="Arial" w:hAnsi="Arial"/>
          <w:sz w:val="16"/>
          <w:szCs w:val="16"/>
          <w:color w:val="auto"/>
        </w:rPr>
        <w:t>. The Schedules and Exhibits referenced herein are a part of this Agreement as if fully set forth herein. All references herein to</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5"/>
          <w:szCs w:val="15"/>
          <w:b w:val="1"/>
          <w:bCs w:val="1"/>
          <w:color w:val="auto"/>
        </w:rPr>
        <w:t xml:space="preserve">Section 11.09 </w:t>
      </w: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This Agreement (together with the Schedules and Exhibits to this Agreement), that certain Confidentiality Agreement, dated January</w:t>
      </w:r>
      <w:r>
        <w:rPr>
          <w:rFonts w:ascii="Arial" w:cs="Arial" w:eastAsia="Arial" w:hAnsi="Arial"/>
          <w:sz w:val="15"/>
          <w:szCs w:val="15"/>
          <w:b w:val="1"/>
          <w:bCs w:val="1"/>
          <w:color w:val="auto"/>
        </w:rPr>
        <w:t xml:space="preserve"> </w:t>
      </w:r>
      <w:r>
        <w:rPr>
          <w:rFonts w:ascii="Arial" w:cs="Arial" w:eastAsia="Arial" w:hAnsi="Arial"/>
          <w:sz w:val="15"/>
          <w:szCs w:val="15"/>
          <w:color w:val="auto"/>
        </w:rPr>
        <w:t>12, 2021, between Acquiror and the Company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and any other documents, instruments, and agreements among the parties hereto as contemplated by or referred to herein, constitute the entire agreement among the parties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or referenced in this Agreement and the Confidentiality Agreement.</w:t>
      </w:r>
    </w:p>
    <w:p>
      <w:pPr>
        <w:spacing w:after="0" w:line="153"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b w:val="1"/>
          <w:bCs w:val="1"/>
          <w:color w:val="auto"/>
        </w:rPr>
        <w:t xml:space="preserve">Section 11.10 </w:t>
      </w: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This Agreement may be amended or modified in whole or in part, only by a duly authorized agreement in writing executed in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this Agreement and which makes reference to this Agreement. The approval of this Agreement by the stockholders of any of the parties shall not restrict the ability of the board of directors of any of the parties to terminate this Agreement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or to cause such party to enter into an amendment to this Agreement pursuant to this </w:t>
      </w:r>
      <w:r>
        <w:rPr>
          <w:rFonts w:ascii="Arial" w:cs="Arial" w:eastAsia="Arial" w:hAnsi="Arial"/>
          <w:sz w:val="16"/>
          <w:szCs w:val="16"/>
          <w:u w:val="single" w:color="auto"/>
          <w:color w:val="auto"/>
        </w:rPr>
        <w:t>Section 11.10</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b w:val="1"/>
          <w:bCs w:val="1"/>
          <w:color w:val="auto"/>
        </w:rPr>
        <w:t xml:space="preserve">Section 11.11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invalid or unenforceable by any court of competent jurisdiction, the other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b w:val="1"/>
          <w:bCs w:val="1"/>
          <w:color w:val="auto"/>
        </w:rPr>
        <w:t xml:space="preserve">Section 11.12 </w:t>
      </w:r>
      <w:r>
        <w:rPr>
          <w:rFonts w:ascii="Arial" w:cs="Arial" w:eastAsia="Arial" w:hAnsi="Arial"/>
          <w:sz w:val="16"/>
          <w:szCs w:val="16"/>
          <w:b w:val="1"/>
          <w:bCs w:val="1"/>
          <w:u w:val="single" w:color="auto"/>
          <w:color w:val="auto"/>
        </w:rPr>
        <w:t>Jurisdiction; WAIVER OF TRIAL BY JURY</w:t>
      </w:r>
      <w:r>
        <w:rPr>
          <w:rFonts w:ascii="Arial" w:cs="Arial" w:eastAsia="Arial" w:hAnsi="Arial"/>
          <w:sz w:val="16"/>
          <w:szCs w:val="16"/>
          <w:color w:val="auto"/>
        </w:rPr>
        <w:t>. Any Action based upon, arising out of or related to this Agreement, or the transactions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6"/>
          <w:szCs w:val="16"/>
          <w:u w:val="single" w:color="auto"/>
          <w:color w:val="auto"/>
        </w:rPr>
        <w:t>Section 11.12</w:t>
      </w:r>
      <w:r>
        <w:rPr>
          <w:rFonts w:ascii="Arial" w:cs="Arial" w:eastAsia="Arial" w:hAnsi="Arial"/>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both"/>
        <w:ind w:right="20" w:firstLine="574"/>
        <w:spacing w:after="0" w:line="292" w:lineRule="auto"/>
        <w:rPr>
          <w:sz w:val="20"/>
          <w:szCs w:val="20"/>
          <w:color w:val="auto"/>
        </w:rPr>
      </w:pPr>
      <w:r>
        <w:rPr>
          <w:rFonts w:ascii="Arial" w:cs="Arial" w:eastAsia="Arial" w:hAnsi="Arial"/>
          <w:sz w:val="14"/>
          <w:szCs w:val="14"/>
          <w:b w:val="1"/>
          <w:bCs w:val="1"/>
          <w:color w:val="auto"/>
        </w:rPr>
        <w:t xml:space="preserve">Section 11.13 </w:t>
      </w:r>
      <w:r>
        <w:rPr>
          <w:rFonts w:ascii="Arial" w:cs="Arial" w:eastAsia="Arial" w:hAnsi="Arial"/>
          <w:sz w:val="14"/>
          <w:szCs w:val="14"/>
          <w:b w:val="1"/>
          <w:bCs w:val="1"/>
          <w:u w:val="single" w:color="auto"/>
          <w:color w:val="auto"/>
        </w:rPr>
        <w:t>Enforcement</w:t>
      </w:r>
      <w:r>
        <w:rPr>
          <w:rFonts w:ascii="Arial" w:cs="Arial" w:eastAsia="Arial" w:hAnsi="Arial"/>
          <w:sz w:val="14"/>
          <w:szCs w:val="14"/>
          <w:color w:val="auto"/>
        </w:rPr>
        <w:t>. (a) The parties agree that irreparable damage for which monetary damages, even if available, would not be an adequate remedy, would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The parties acknowledge and agree that (a) the parties shall be entitled to an injunction, specific performance, or other equitable relief, to prevent breaches of this Agreement and to enforce specifically the terms and provisions hereof, without proof of damages, prior to the valid termination of this Agreement in accordance with </w:t>
      </w:r>
      <w:r>
        <w:rPr>
          <w:rFonts w:ascii="Arial" w:cs="Arial" w:eastAsia="Arial" w:hAnsi="Arial"/>
          <w:sz w:val="14"/>
          <w:szCs w:val="14"/>
          <w:u w:val="single" w:color="auto"/>
          <w:color w:val="auto"/>
        </w:rPr>
        <w:t>Section 10.01</w:t>
      </w:r>
      <w:r>
        <w:rPr>
          <w:rFonts w:ascii="Arial" w:cs="Arial" w:eastAsia="Arial" w:hAnsi="Arial"/>
          <w:sz w:val="14"/>
          <w:szCs w:val="14"/>
          <w:color w:val="auto"/>
        </w:rPr>
        <w:t xml:space="preserve">, this being in addition to any other remedy to which they are entitled under this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shall not be required to provide any bond or other security in connection with any such injunction.</w:t>
      </w:r>
    </w:p>
    <w:p>
      <w:pPr>
        <w:spacing w:after="0" w:line="144"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b w:val="1"/>
          <w:bCs w:val="1"/>
          <w:color w:val="auto"/>
        </w:rPr>
        <w:t xml:space="preserve">Section 11.14 </w:t>
      </w:r>
      <w:r>
        <w:rPr>
          <w:rFonts w:ascii="Arial" w:cs="Arial" w:eastAsia="Arial" w:hAnsi="Arial"/>
          <w:sz w:val="14"/>
          <w:szCs w:val="14"/>
          <w:b w:val="1"/>
          <w:bCs w:val="1"/>
          <w:u w:val="single" w:color="auto"/>
          <w:color w:val="auto"/>
        </w:rPr>
        <w:t>Non-Recourse</w:t>
      </w:r>
      <w:r>
        <w:rPr>
          <w:rFonts w:ascii="Arial" w:cs="Arial" w:eastAsia="Arial" w:hAnsi="Arial"/>
          <w:sz w:val="14"/>
          <w:szCs w:val="14"/>
          <w:color w:val="auto"/>
        </w:rPr>
        <w:t>. This Agreement may only be enforced against, and any claim or cause of action based upon, arising out of, or related to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or the transactions contemplated hereby may only be brought against, the entities that are expressly named as parties hereto, and then only with respect to the specific obligations set forth herein with respect to such party. Except to the extent named as a party to this Agreement (and then only to the extent of the specific obligations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Acquiror, First Merger Sub or Second Merger Sub under this Agreement of or for any claim based on, arising out of, or related to this Agreement or the transactions contemplated hereby.</w:t>
      </w:r>
    </w:p>
    <w:p>
      <w:pPr>
        <w:spacing w:after="0" w:line="138" w:lineRule="exact"/>
        <w:rPr>
          <w:sz w:val="20"/>
          <w:szCs w:val="20"/>
          <w:color w:val="auto"/>
        </w:rPr>
      </w:pPr>
    </w:p>
    <w:p>
      <w:pPr>
        <w:jc w:val="both"/>
        <w:ind w:firstLine="574"/>
        <w:spacing w:after="0" w:line="278" w:lineRule="auto"/>
        <w:rPr>
          <w:sz w:val="20"/>
          <w:szCs w:val="20"/>
          <w:color w:val="auto"/>
        </w:rPr>
      </w:pPr>
      <w:r>
        <w:rPr>
          <w:rFonts w:ascii="Arial" w:cs="Arial" w:eastAsia="Arial" w:hAnsi="Arial"/>
          <w:sz w:val="15"/>
          <w:szCs w:val="15"/>
          <w:b w:val="1"/>
          <w:bCs w:val="1"/>
          <w:color w:val="auto"/>
        </w:rPr>
        <w:t xml:space="preserve">Section 11.15 </w:t>
      </w:r>
      <w:r>
        <w:rPr>
          <w:rFonts w:ascii="Arial" w:cs="Arial" w:eastAsia="Arial" w:hAnsi="Arial"/>
          <w:sz w:val="15"/>
          <w:szCs w:val="15"/>
          <w:b w:val="1"/>
          <w:bCs w:val="1"/>
          <w:u w:val="single" w:color="auto"/>
          <w:color w:val="auto"/>
        </w:rPr>
        <w:t>Nonsurvival of Representations, Warranties and Covenants</w:t>
      </w:r>
      <w:r>
        <w:rPr>
          <w:rFonts w:ascii="Arial" w:cs="Arial" w:eastAsia="Arial" w:hAnsi="Arial"/>
          <w:sz w:val="15"/>
          <w:szCs w:val="15"/>
          <w:color w:val="auto"/>
        </w:rPr>
        <w:t>. None of the representations, warranties, covenants, obligations or other agreements 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Arial" w:cs="Arial" w:eastAsia="Arial" w:hAnsi="Arial"/>
          <w:sz w:val="15"/>
          <w:szCs w:val="15"/>
          <w:u w:val="single" w:color="auto"/>
          <w:color w:val="auto"/>
        </w:rPr>
        <w:t>Section 11.15</w:t>
      </w:r>
      <w:r>
        <w:rPr>
          <w:rFonts w:ascii="Arial" w:cs="Arial" w:eastAsia="Arial" w:hAnsi="Arial"/>
          <w:sz w:val="15"/>
          <w:szCs w:val="15"/>
          <w:color w:val="auto"/>
        </w:rPr>
        <w: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8" w:name="page99"/>
    <w:bookmarkEnd w:id="98"/>
    <w:p>
      <w:pPr>
        <w:jc w:val="both"/>
        <w:ind w:firstLine="574"/>
        <w:spacing w:after="0" w:line="289" w:lineRule="auto"/>
        <w:rPr>
          <w:sz w:val="20"/>
          <w:szCs w:val="20"/>
          <w:color w:val="auto"/>
        </w:rPr>
      </w:pPr>
      <w:r>
        <w:rPr>
          <w:rFonts w:ascii="Arial" w:cs="Arial" w:eastAsia="Arial" w:hAnsi="Arial"/>
          <w:sz w:val="14"/>
          <w:szCs w:val="14"/>
          <w:b w:val="1"/>
          <w:bCs w:val="1"/>
          <w:color w:val="auto"/>
        </w:rPr>
        <w:t xml:space="preserve">Section 11.16 </w:t>
      </w:r>
      <w:r>
        <w:rPr>
          <w:rFonts w:ascii="Arial" w:cs="Arial" w:eastAsia="Arial" w:hAnsi="Arial"/>
          <w:sz w:val="14"/>
          <w:szCs w:val="14"/>
          <w:b w:val="1"/>
          <w:bCs w:val="1"/>
          <w:u w:val="single" w:color="auto"/>
          <w:color w:val="auto"/>
        </w:rPr>
        <w:t>Acknowledgements</w:t>
      </w:r>
      <w:r>
        <w:rPr>
          <w:rFonts w:ascii="Arial" w:cs="Arial" w:eastAsia="Arial" w:hAnsi="Arial"/>
          <w:sz w:val="14"/>
          <w:szCs w:val="14"/>
          <w:color w:val="auto"/>
        </w:rPr>
        <w:t>. Each of the parties acknowledges and agrees (on its own behalf and on behalf of its respective Affiliates and its and their</w:t>
      </w:r>
      <w:r>
        <w:rPr>
          <w:rFonts w:ascii="Arial" w:cs="Arial" w:eastAsia="Arial" w:hAnsi="Arial"/>
          <w:sz w:val="14"/>
          <w:szCs w:val="14"/>
          <w:b w:val="1"/>
          <w:bCs w:val="1"/>
          <w:color w:val="auto"/>
        </w:rPr>
        <w:t xml:space="preserve"> </w:t>
      </w:r>
      <w:r>
        <w:rPr>
          <w:rFonts w:ascii="Arial" w:cs="Arial" w:eastAsia="Arial" w:hAnsi="Arial"/>
          <w:sz w:val="14"/>
          <w:szCs w:val="14"/>
          <w:color w:val="auto"/>
        </w:rPr>
        <w:t>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 contemplated hereby; (iii) the Acquiror and Merger Sub Representations constitute the sole and exclusive representations and warranties of Acquiror, First Merger Sub and Second Merger Sub; (iv) except for the Company Representations by the Company, the Acquiror and Merger Sub Representations by Acquiror, First Merger Sub and Second Merger Sub, none of the parties hereto or any other Person makes, or has made, any other express or implied representation or warranty with respect to any party hereto (or any party’s Affiliates) or the transactions contemplated by this Agreement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hereto or their respective Affiliates or Representatives in certain “data rooms,” management presentations or in any other form in expectation of the Transactions, including meetings, calls or correspondence with management of any party hereto (or any party’s Subsidiaries), and (y) any relating to the future or historical business, condition (financial or otherwise), results of operations, prospects, assets or liabilities of any party hereto (or its Subsidiaries), or the quality, quantity or condition of any party’s or its Subsidiaries’ assets) are specifically disclaimed by all parties hereto and their respective Subsidiaries and all other Persons (including the Representatives and Affiliates of any party hereto or its Subsidiaries); and (v) each party hereto and its respective Affiliates are not relying on any representations and warranties in connection with the Transactions except the Company Representations by the Company, the Acquiror and Merger Sub Representations by Acquiror, First Merger Sub and Second Merger Sub and the other representations expressly made by a Person in the Subscription Agreements, the Sponsor Agreement and the Support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firstLine="574"/>
        <w:spacing w:after="0" w:line="275" w:lineRule="auto"/>
        <w:rPr>
          <w:sz w:val="20"/>
          <w:szCs w:val="20"/>
          <w:color w:val="auto"/>
        </w:rPr>
      </w:pPr>
      <w:r>
        <w:rPr>
          <w:rFonts w:ascii="Arial" w:cs="Arial" w:eastAsia="Arial" w:hAnsi="Arial"/>
          <w:sz w:val="16"/>
          <w:szCs w:val="16"/>
          <w:color w:val="auto"/>
        </w:rPr>
        <w:t>IN WITNESS WHEREOF, Acquiror, First Merger Sub, Second Merger Sub and the Company have caused this Agreement to be executed and delivered as of the date first written above by their respective officers thereunto duly authorized.</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MERGER SUB I INC.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MERGER SUB II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E LA CARTE, INC.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Rajat Suri</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Amended and Restated Certificate of Incorporation of Acquiror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EXHIBIT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Amended and Restated Bylaws of Acquiror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EXHIBIT 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Registration Rights Agreement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376555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103" w:name="page104"/>
    <w:bookmarkEnd w:id="103"/>
    <w:p>
      <w:pPr>
        <w:jc w:val="right"/>
        <w:ind w:right="40"/>
        <w:spacing w:after="0"/>
        <w:rPr>
          <w:sz w:val="20"/>
          <w:szCs w:val="20"/>
          <w:color w:val="auto"/>
        </w:rPr>
      </w:pPr>
      <w:r>
        <w:rPr>
          <w:rFonts w:ascii="Arial" w:cs="Arial" w:eastAsia="Arial" w:hAnsi="Arial"/>
          <w:sz w:val="16"/>
          <w:szCs w:val="16"/>
          <w:b w:val="1"/>
          <w:bCs w:val="1"/>
          <w:color w:val="auto"/>
        </w:rPr>
        <w:t>Exhibit 4.1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as Issuer,</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the Guarantors from time to time party hereto</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U.S. Bank National Association,</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as Trustee</w:t>
      </w:r>
      <w:r>
        <w:rPr>
          <w:rFonts w:ascii="Arial" w:cs="Arial" w:eastAsia="Arial" w:hAnsi="Arial"/>
          <w:sz w:val="26"/>
          <w:szCs w:val="26"/>
          <w:color w:val="auto"/>
          <w:vertAlign w:val="superscript"/>
        </w:rPr>
        <w:t>1</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INDENTURE</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Dated as of [●], 2022</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Convertible Senior PIK Toggle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7907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5" w:lineRule="exact"/>
        <w:rPr>
          <w:sz w:val="20"/>
          <w:szCs w:val="20"/>
          <w:color w:val="auto"/>
        </w:rPr>
      </w:pPr>
    </w:p>
    <w:p>
      <w:pPr>
        <w:ind w:left="284" w:hanging="284"/>
        <w:spacing w:after="0"/>
        <w:tabs>
          <w:tab w:leader="none" w:pos="284" w:val="left"/>
        </w:tabs>
        <w:numPr>
          <w:ilvl w:val="0"/>
          <w:numId w:val="95"/>
        </w:numPr>
        <w:rPr>
          <w:rFonts w:ascii="Arial" w:cs="Arial" w:eastAsia="Arial" w:hAnsi="Arial"/>
          <w:sz w:val="27"/>
          <w:szCs w:val="27"/>
          <w:color w:val="auto"/>
          <w:vertAlign w:val="superscript"/>
        </w:rPr>
      </w:pPr>
      <w:r>
        <w:rPr>
          <w:rFonts w:ascii="Arial" w:cs="Arial" w:eastAsia="Arial" w:hAnsi="Arial"/>
          <w:sz w:val="16"/>
          <w:szCs w:val="16"/>
          <w:color w:val="auto"/>
        </w:rPr>
        <w:t>NTD: This Indenture is subject to comments from the trustee that are reasonably acceptable to both parties.</w:t>
      </w:r>
    </w:p>
    <w:p>
      <w:pPr>
        <w:ind w:left="284" w:hanging="284"/>
        <w:spacing w:after="0" w:line="181" w:lineRule="auto"/>
        <w:tabs>
          <w:tab w:leader="none" w:pos="284" w:val="left"/>
        </w:tabs>
        <w:numPr>
          <w:ilvl w:val="0"/>
          <w:numId w:val="96"/>
        </w:numPr>
        <w:rPr>
          <w:rFonts w:ascii="Arial" w:cs="Arial" w:eastAsia="Arial" w:hAnsi="Arial"/>
          <w:sz w:val="22"/>
          <w:szCs w:val="22"/>
          <w:color w:val="auto"/>
          <w:vertAlign w:val="superscript"/>
        </w:rPr>
      </w:pPr>
      <w:r>
        <w:rPr>
          <w:rFonts w:ascii="Arial" w:cs="Arial" w:eastAsia="Arial" w:hAnsi="Arial"/>
          <w:sz w:val="14"/>
          <w:szCs w:val="14"/>
          <w:color w:val="auto"/>
        </w:rPr>
        <w:t>NTD: Interest rate to be increased by 1.5% should the gross proceeds of the concurrent stock offering be less than $35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379730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TABLE OF CONTENTS</w:t>
            </w:r>
          </w:p>
        </w:tc>
        <w:tc>
          <w:tcPr>
            <w:tcW w:w="1140" w:type="dxa"/>
            <w:vAlign w:val="bottom"/>
          </w:tcPr>
          <w:p>
            <w:pPr>
              <w:spacing w:after="0"/>
              <w:rPr>
                <w:sz w:val="16"/>
                <w:szCs w:val="16"/>
                <w:color w:val="auto"/>
              </w:rPr>
            </w:pPr>
          </w:p>
        </w:tc>
      </w:tr>
      <w:tr>
        <w:trPr>
          <w:trHeight w:val="414"/>
        </w:trPr>
        <w:tc>
          <w:tcPr>
            <w:tcW w:w="110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CCEEFF"/>
            </w:tcBorders>
          </w:tcPr>
          <w:p>
            <w:pPr>
              <w:spacing w:after="0"/>
              <w:rPr>
                <w:sz w:val="24"/>
                <w:szCs w:val="24"/>
                <w:color w:val="auto"/>
              </w:rPr>
            </w:pPr>
          </w:p>
        </w:tc>
        <w:tc>
          <w:tcPr>
            <w:tcW w:w="36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AGE</w:t>
            </w:r>
          </w:p>
        </w:tc>
      </w:tr>
      <w:tr>
        <w:trPr>
          <w:trHeight w:val="179"/>
        </w:trPr>
        <w:tc>
          <w:tcPr>
            <w:tcW w:w="11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5340" w:type="dxa"/>
            <w:vAlign w:val="bottom"/>
            <w:gridSpan w:val="2"/>
            <w:shd w:val="clear" w:color="auto" w:fill="CCEEFF"/>
          </w:tcPr>
          <w:p>
            <w:pPr>
              <w:jc w:val="center"/>
              <w:ind w:right="3640"/>
              <w:spacing w:after="0" w:line="179" w:lineRule="exact"/>
              <w:rPr>
                <w:sz w:val="20"/>
                <w:szCs w:val="20"/>
                <w:color w:val="auto"/>
              </w:rPr>
            </w:pPr>
            <w:r>
              <w:rPr>
                <w:rFonts w:ascii="Arial" w:cs="Arial" w:eastAsia="Arial" w:hAnsi="Arial"/>
                <w:sz w:val="16"/>
                <w:szCs w:val="16"/>
                <w:color w:val="auto"/>
                <w:w w:val="96"/>
              </w:rPr>
              <w:t>ARTICLE 1</w:t>
            </w:r>
          </w:p>
        </w:tc>
        <w:tc>
          <w:tcPr>
            <w:tcW w:w="1140" w:type="dxa"/>
            <w:vAlign w:val="bottom"/>
            <w:shd w:val="clear" w:color="auto" w:fill="CCEEFF"/>
          </w:tcPr>
          <w:p>
            <w:pPr>
              <w:spacing w:after="0"/>
              <w:rPr>
                <w:sz w:val="15"/>
                <w:szCs w:val="15"/>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EFINITIONS</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1.01.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Definitions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1.02.</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References to Interest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5340" w:type="dxa"/>
            <w:vAlign w:val="bottom"/>
            <w:gridSpan w:val="2"/>
            <w:shd w:val="clear" w:color="auto" w:fill="CCEEFF"/>
          </w:tcPr>
          <w:p>
            <w:pPr>
              <w:jc w:val="center"/>
              <w:ind w:right="3640"/>
              <w:spacing w:after="0"/>
              <w:rPr>
                <w:sz w:val="20"/>
                <w:szCs w:val="20"/>
                <w:color w:val="auto"/>
              </w:rPr>
            </w:pPr>
            <w:r>
              <w:rPr>
                <w:rFonts w:ascii="Arial" w:cs="Arial" w:eastAsia="Arial" w:hAnsi="Arial"/>
                <w:sz w:val="16"/>
                <w:szCs w:val="16"/>
                <w:color w:val="auto"/>
                <w:w w:val="96"/>
              </w:rPr>
              <w:t>ARTICLE 2</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SSUE</w:t>
            </w:r>
            <w:r>
              <w:rPr>
                <w:rFonts w:ascii="Arial" w:cs="Arial" w:eastAsia="Arial" w:hAnsi="Arial"/>
                <w:sz w:val="16"/>
                <w:szCs w:val="16"/>
                <w:color w:val="auto"/>
              </w:rPr>
              <w:t>, D</w:t>
            </w:r>
            <w:r>
              <w:rPr>
                <w:rFonts w:ascii="Arial" w:cs="Arial" w:eastAsia="Arial" w:hAnsi="Arial"/>
                <w:sz w:val="10"/>
                <w:szCs w:val="10"/>
                <w:color w:val="auto"/>
              </w:rPr>
              <w:t>ESCRIPTION</w:t>
            </w:r>
            <w:r>
              <w:rPr>
                <w:rFonts w:ascii="Arial" w:cs="Arial" w:eastAsia="Arial" w:hAnsi="Arial"/>
                <w:sz w:val="16"/>
                <w:szCs w:val="16"/>
                <w:color w:val="auto"/>
              </w:rPr>
              <w:t>, E</w:t>
            </w:r>
            <w:r>
              <w:rPr>
                <w:rFonts w:ascii="Arial" w:cs="Arial" w:eastAsia="Arial" w:hAnsi="Arial"/>
                <w:sz w:val="10"/>
                <w:szCs w:val="10"/>
                <w:color w:val="auto"/>
              </w:rPr>
              <w:t>XECUTION</w:t>
            </w:r>
            <w:r>
              <w:rPr>
                <w:rFonts w:ascii="Arial" w:cs="Arial" w:eastAsia="Arial" w:hAnsi="Arial"/>
                <w:sz w:val="16"/>
                <w:szCs w:val="16"/>
                <w:color w:val="auto"/>
              </w:rPr>
              <w:t>, R</w:t>
            </w:r>
            <w:r>
              <w:rPr>
                <w:rFonts w:ascii="Arial" w:cs="Arial" w:eastAsia="Arial" w:hAnsi="Arial"/>
                <w:sz w:val="10"/>
                <w:szCs w:val="10"/>
                <w:color w:val="auto"/>
              </w:rPr>
              <w:t>EGISTRATION AND</w:t>
            </w:r>
            <w:r>
              <w:rPr>
                <w:rFonts w:ascii="Arial" w:cs="Arial" w:eastAsia="Arial" w:hAnsi="Arial"/>
                <w:sz w:val="16"/>
                <w:szCs w:val="16"/>
                <w:color w:val="auto"/>
              </w:rPr>
              <w:t xml:space="preserve"> E</w:t>
            </w:r>
            <w:r>
              <w:rPr>
                <w:rFonts w:ascii="Arial" w:cs="Arial" w:eastAsia="Arial" w:hAnsi="Arial"/>
                <w:sz w:val="10"/>
                <w:szCs w:val="10"/>
                <w:color w:val="auto"/>
              </w:rPr>
              <w:t>XCHANGE OF</w:t>
            </w:r>
            <w:r>
              <w:rPr>
                <w:rFonts w:ascii="Arial" w:cs="Arial" w:eastAsia="Arial" w:hAnsi="Arial"/>
                <w:sz w:val="16"/>
                <w:szCs w:val="16"/>
                <w:color w:val="auto"/>
              </w:rPr>
              <w:t xml:space="preserve"> N</w:t>
            </w:r>
            <w:r>
              <w:rPr>
                <w:rFonts w:ascii="Arial" w:cs="Arial" w:eastAsia="Arial" w:hAnsi="Arial"/>
                <w:sz w:val="10"/>
                <w:szCs w:val="10"/>
                <w:color w:val="auto"/>
              </w:rPr>
              <w:t>OTES</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Designation and Amount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2.02.</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Form of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2.03.</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Date and Denomination of Notes; Payments of Interest and Defaulted Amounts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2.04.</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Execution, Authentication and Delivery of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2.05.</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Exchange and Registration of Transfer of Notes; Restrictions on Transfer; Depositary.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2.06.</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Mutilated, Destroyed, Lost or Stolen Notes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2.07.</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Temporary Notes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2.08.</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Cancellation of Notes Paid, Converted, Etc</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2.09.</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CUSIP Numbers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2.10.</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Additional Notes; Repurchases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5340" w:type="dxa"/>
            <w:vAlign w:val="bottom"/>
            <w:gridSpan w:val="2"/>
            <w:shd w:val="clear" w:color="auto" w:fill="CCEEFF"/>
          </w:tcPr>
          <w:p>
            <w:pPr>
              <w:jc w:val="center"/>
              <w:ind w:right="3640"/>
              <w:spacing w:after="0"/>
              <w:rPr>
                <w:sz w:val="20"/>
                <w:szCs w:val="20"/>
                <w:color w:val="auto"/>
              </w:rPr>
            </w:pPr>
            <w:r>
              <w:rPr>
                <w:rFonts w:ascii="Arial" w:cs="Arial" w:eastAsia="Arial" w:hAnsi="Arial"/>
                <w:sz w:val="16"/>
                <w:szCs w:val="16"/>
                <w:color w:val="auto"/>
                <w:w w:val="96"/>
              </w:rPr>
              <w:t>ARTICLE 3</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9020" w:type="dxa"/>
            <w:vAlign w:val="bottom"/>
            <w:gridSpan w:val="3"/>
          </w:tcPr>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ATISFACTION AND</w:t>
            </w:r>
            <w:r>
              <w:rPr>
                <w:rFonts w:ascii="Arial" w:cs="Arial" w:eastAsia="Arial" w:hAnsi="Arial"/>
                <w:sz w:val="16"/>
                <w:szCs w:val="16"/>
                <w:color w:val="auto"/>
              </w:rPr>
              <w:t xml:space="preserve"> D</w:t>
            </w:r>
            <w:r>
              <w:rPr>
                <w:rFonts w:ascii="Arial" w:cs="Arial" w:eastAsia="Arial" w:hAnsi="Arial"/>
                <w:sz w:val="10"/>
                <w:szCs w:val="10"/>
                <w:color w:val="auto"/>
              </w:rPr>
              <w:t>ISCHARGE</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3.01.</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Satisfaction and Discharge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w w:val="96"/>
              </w:rPr>
              <w:t>ARTICLE 4</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9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ARTICULAR</w:t>
            </w:r>
            <w:r>
              <w:rPr>
                <w:rFonts w:ascii="Arial" w:cs="Arial" w:eastAsia="Arial" w:hAnsi="Arial"/>
                <w:sz w:val="16"/>
                <w:szCs w:val="16"/>
                <w:color w:val="auto"/>
              </w:rPr>
              <w:t xml:space="preserve"> C</w:t>
            </w:r>
            <w:r>
              <w:rPr>
                <w:rFonts w:ascii="Arial" w:cs="Arial" w:eastAsia="Arial" w:hAnsi="Arial"/>
                <w:sz w:val="10"/>
                <w:szCs w:val="10"/>
                <w:color w:val="auto"/>
              </w:rPr>
              <w:t>OVENANTS OF THE</w:t>
            </w:r>
            <w:r>
              <w:rPr>
                <w:rFonts w:ascii="Arial" w:cs="Arial" w:eastAsia="Arial" w:hAnsi="Arial"/>
                <w:sz w:val="16"/>
                <w:szCs w:val="16"/>
                <w:color w:val="auto"/>
              </w:rPr>
              <w:t xml:space="preserve"> C</w:t>
            </w:r>
            <w:r>
              <w:rPr>
                <w:rFonts w:ascii="Arial" w:cs="Arial" w:eastAsia="Arial" w:hAnsi="Arial"/>
                <w:sz w:val="10"/>
                <w:szCs w:val="10"/>
                <w:color w:val="auto"/>
              </w:rPr>
              <w:t>OMPANY</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Payment of Principal and Interest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Maintenance of Office or Agency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4.03.</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Appointments to Fill Vacancies in Trustee’s Office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4.04.</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Provisions as to Paying Agent.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4.05.</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Existence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4.06.</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Rule 144A Information Requirement and Annual Reports.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4.07.</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Stay, Extension and Usury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4.08.</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Compliance Certificate; Statements as to Defaults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4.09.</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Further Instruments and 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4.10.</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Limitations on Certain Restricted Payments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Limitation on Incurrence of Additional Indebtedness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Transactions with Affiliates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4.13.</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Limitation on Liens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4.14.</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Subsidiary Guarantees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4.15.</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Registration Rights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4.16.</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Payment of Taxes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4.17.</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4.18.</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Limitation on Sales of Assets.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10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340" w:type="dxa"/>
            <w:vAlign w:val="bottom"/>
            <w:gridSpan w:val="2"/>
          </w:tcPr>
          <w:p>
            <w:pPr>
              <w:jc w:val="center"/>
              <w:ind w:right="3640"/>
              <w:spacing w:after="0"/>
              <w:rPr>
                <w:sz w:val="20"/>
                <w:szCs w:val="20"/>
                <w:color w:val="auto"/>
              </w:rPr>
            </w:pPr>
            <w:r>
              <w:rPr>
                <w:rFonts w:ascii="Arial" w:cs="Arial" w:eastAsia="Arial" w:hAnsi="Arial"/>
                <w:sz w:val="16"/>
                <w:szCs w:val="16"/>
                <w:color w:val="auto"/>
                <w:w w:val="96"/>
              </w:rPr>
              <w:t>ARTICLE 5</w:t>
            </w: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9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rPr>
              <w:t>L</w:t>
            </w:r>
            <w:r>
              <w:rPr>
                <w:rFonts w:ascii="Arial" w:cs="Arial" w:eastAsia="Arial" w:hAnsi="Arial"/>
                <w:sz w:val="10"/>
                <w:szCs w:val="10"/>
                <w:color w:val="auto"/>
              </w:rPr>
              <w:t>ISTS OF</w:t>
            </w:r>
            <w:r>
              <w:rPr>
                <w:rFonts w:ascii="Arial" w:cs="Arial" w:eastAsia="Arial" w:hAnsi="Arial"/>
                <w:sz w:val="16"/>
                <w:szCs w:val="16"/>
                <w:color w:val="auto"/>
              </w:rPr>
              <w:t xml:space="preserve"> H</w:t>
            </w:r>
            <w:r>
              <w:rPr>
                <w:rFonts w:ascii="Arial" w:cs="Arial" w:eastAsia="Arial" w:hAnsi="Arial"/>
                <w:sz w:val="10"/>
                <w:szCs w:val="10"/>
                <w:color w:val="auto"/>
              </w:rPr>
              <w:t>OLDERS AND</w:t>
            </w:r>
            <w:r>
              <w:rPr>
                <w:rFonts w:ascii="Arial" w:cs="Arial" w:eastAsia="Arial" w:hAnsi="Arial"/>
                <w:sz w:val="16"/>
                <w:szCs w:val="16"/>
                <w:color w:val="auto"/>
              </w:rPr>
              <w:t xml:space="preserve"> R</w:t>
            </w:r>
            <w:r>
              <w:rPr>
                <w:rFonts w:ascii="Arial" w:cs="Arial" w:eastAsia="Arial" w:hAnsi="Arial"/>
                <w:sz w:val="10"/>
                <w:szCs w:val="10"/>
                <w:color w:val="auto"/>
              </w:rPr>
              <w:t>EPORTS BY THE</w:t>
            </w:r>
            <w:r>
              <w:rPr>
                <w:rFonts w:ascii="Arial" w:cs="Arial" w:eastAsia="Arial" w:hAnsi="Arial"/>
                <w:sz w:val="16"/>
                <w:szCs w:val="16"/>
                <w:color w:val="auto"/>
              </w:rPr>
              <w:t xml:space="preserve"> C</w:t>
            </w:r>
            <w:r>
              <w:rPr>
                <w:rFonts w:ascii="Arial" w:cs="Arial" w:eastAsia="Arial" w:hAnsi="Arial"/>
                <w:sz w:val="10"/>
                <w:szCs w:val="10"/>
                <w:color w:val="auto"/>
              </w:rPr>
              <w:t>OMPANY AND THE</w:t>
            </w:r>
            <w:r>
              <w:rPr>
                <w:rFonts w:ascii="Arial" w:cs="Arial" w:eastAsia="Arial" w:hAnsi="Arial"/>
                <w:sz w:val="16"/>
                <w:szCs w:val="16"/>
                <w:color w:val="auto"/>
              </w:rPr>
              <w:t xml:space="preserve"> T</w:t>
            </w:r>
            <w:r>
              <w:rPr>
                <w:rFonts w:ascii="Arial" w:cs="Arial" w:eastAsia="Arial" w:hAnsi="Arial"/>
                <w:sz w:val="10"/>
                <w:szCs w:val="10"/>
                <w:color w:val="auto"/>
              </w:rPr>
              <w:t>RUSTEE</w:t>
            </w:r>
          </w:p>
        </w:tc>
        <w:tc>
          <w:tcPr>
            <w:tcW w:w="11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5.01.</w:t>
            </w:r>
          </w:p>
        </w:tc>
        <w:tc>
          <w:tcPr>
            <w:tcW w:w="9020" w:type="dxa"/>
            <w:vAlign w:val="bottom"/>
            <w:gridSpan w:val="3"/>
            <w:shd w:val="clear" w:color="auto" w:fill="CCEEFF"/>
          </w:tcPr>
          <w:p>
            <w:pPr>
              <w:ind w:left="260"/>
              <w:spacing w:after="0"/>
              <w:rPr>
                <w:sz w:val="20"/>
                <w:szCs w:val="20"/>
                <w:color w:val="auto"/>
              </w:rPr>
            </w:pPr>
            <w:r>
              <w:rPr>
                <w:rFonts w:ascii="Arial" w:cs="Arial" w:eastAsia="Arial" w:hAnsi="Arial"/>
                <w:sz w:val="16"/>
                <w:szCs w:val="16"/>
                <w:i w:val="1"/>
                <w:iCs w:val="1"/>
                <w:color w:val="auto"/>
              </w:rPr>
              <w:t>Lists of Holders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204"/>
        </w:trPr>
        <w:tc>
          <w:tcPr>
            <w:tcW w:w="1100" w:type="dxa"/>
            <w:vAlign w:val="bottom"/>
          </w:tcPr>
          <w:p>
            <w:pPr>
              <w:spacing w:after="0"/>
              <w:rPr>
                <w:sz w:val="20"/>
                <w:szCs w:val="20"/>
                <w:color w:val="auto"/>
              </w:rPr>
            </w:pPr>
            <w:r>
              <w:rPr>
                <w:rFonts w:ascii="Arial" w:cs="Arial" w:eastAsia="Arial" w:hAnsi="Arial"/>
                <w:sz w:val="16"/>
                <w:szCs w:val="16"/>
                <w:color w:val="auto"/>
              </w:rPr>
              <w:t>Section 5.02.</w:t>
            </w:r>
          </w:p>
        </w:tc>
        <w:tc>
          <w:tcPr>
            <w:tcW w:w="9020" w:type="dxa"/>
            <w:vAlign w:val="bottom"/>
            <w:gridSpan w:val="3"/>
          </w:tcPr>
          <w:p>
            <w:pPr>
              <w:ind w:left="260"/>
              <w:spacing w:after="0"/>
              <w:rPr>
                <w:sz w:val="20"/>
                <w:szCs w:val="20"/>
                <w:color w:val="auto"/>
              </w:rPr>
            </w:pPr>
            <w:r>
              <w:rPr>
                <w:rFonts w:ascii="Arial" w:cs="Arial" w:eastAsia="Arial" w:hAnsi="Arial"/>
                <w:sz w:val="16"/>
                <w:szCs w:val="16"/>
                <w:i w:val="1"/>
                <w:iCs w:val="1"/>
                <w:color w:val="auto"/>
              </w:rPr>
              <w:t>Preservation and Disclosure of Lists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39</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w w:val="96"/>
              </w:rPr>
              <w:t>ARTICLE 6</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EFAULTS AND</w:t>
            </w:r>
            <w:r>
              <w:rPr>
                <w:rFonts w:ascii="Arial" w:cs="Arial" w:eastAsia="Arial" w:hAnsi="Arial"/>
                <w:sz w:val="16"/>
                <w:szCs w:val="16"/>
                <w:color w:val="auto"/>
              </w:rPr>
              <w:t xml:space="preserve"> R</w:t>
            </w:r>
            <w:r>
              <w:rPr>
                <w:rFonts w:ascii="Arial" w:cs="Arial" w:eastAsia="Arial" w:hAnsi="Arial"/>
                <w:sz w:val="10"/>
                <w:szCs w:val="10"/>
                <w:color w:val="auto"/>
              </w:rPr>
              <w:t>EMEDIES</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Events of Default</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39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6.02.</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Acceleration; Rescission and Annulment</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6.03.</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Additional Interest</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41</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6.04.</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Payments of Notes on Default; Suit Therefor</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41</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6.05.</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Application of Monies Collected by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42</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6.06.</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Proceedings by Holders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42</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6.07.</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Proceedings by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6.08.</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Remedies Cumulative and Continuing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6.09.</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Direction of Proceedings and Waiver of Defaults by Majority of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43</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6.10.</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Notice of Defaults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6.11.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Undertaking to Pay Costs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w w:val="96"/>
              </w:rPr>
              <w:t>ARTICLE 7</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 THE</w:t>
            </w:r>
            <w:r>
              <w:rPr>
                <w:rFonts w:ascii="Arial" w:cs="Arial" w:eastAsia="Arial" w:hAnsi="Arial"/>
                <w:sz w:val="16"/>
                <w:szCs w:val="16"/>
                <w:color w:val="auto"/>
              </w:rPr>
              <w:t xml:space="preserve"> T</w:t>
            </w:r>
            <w:r>
              <w:rPr>
                <w:rFonts w:ascii="Arial" w:cs="Arial" w:eastAsia="Arial" w:hAnsi="Arial"/>
                <w:sz w:val="10"/>
                <w:szCs w:val="10"/>
                <w:color w:val="auto"/>
              </w:rPr>
              <w:t>RUSTEE</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Duties and Responsibilities of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44</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Reliance on Documents, Opinions, Etc</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45</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7.03.</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No Responsibility for Recitals, Etc</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7.04.</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Trustee, Paying Agents, Conversion Agents or Note Registrar May Own Notes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7.05.</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Monies and Shares of Common Stock to Be Held in Trust</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7.06.</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Compensation and Expenses of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46</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7.07.</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Officer’s Certificate and Opinion of Counsel as Evidence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7.08.</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Eligibility of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7.09.</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Resignation or Removal of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47</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7.10.</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Acceptance by Successor Trustee</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7.11.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Succession by Merger, Etc</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7.12.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Trustee’s Application for Instructions from the Company</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60"/>
              <w:spacing w:after="0"/>
              <w:rPr>
                <w:sz w:val="20"/>
                <w:szCs w:val="20"/>
                <w:color w:val="auto"/>
              </w:rPr>
            </w:pPr>
            <w:r>
              <w:rPr>
                <w:rFonts w:ascii="Arial" w:cs="Arial" w:eastAsia="Arial" w:hAnsi="Arial"/>
                <w:sz w:val="16"/>
                <w:szCs w:val="16"/>
                <w:color w:val="auto"/>
                <w:w w:val="96"/>
              </w:rPr>
              <w:t>ARTICLE 8</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4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w:t>
            </w:r>
            <w:r>
              <w:rPr>
                <w:rFonts w:ascii="Arial" w:cs="Arial" w:eastAsia="Arial" w:hAnsi="Arial"/>
                <w:sz w:val="16"/>
                <w:szCs w:val="16"/>
                <w:color w:val="auto"/>
              </w:rPr>
              <w:t xml:space="preserve"> T</w:t>
            </w:r>
            <w:r>
              <w:rPr>
                <w:rFonts w:ascii="Arial" w:cs="Arial" w:eastAsia="Arial" w:hAnsi="Arial"/>
                <w:sz w:val="10"/>
                <w:szCs w:val="10"/>
                <w:color w:val="auto"/>
              </w:rPr>
              <w:t>HE</w:t>
            </w:r>
            <w:r>
              <w:rPr>
                <w:rFonts w:ascii="Arial" w:cs="Arial" w:eastAsia="Arial" w:hAnsi="Arial"/>
                <w:sz w:val="16"/>
                <w:szCs w:val="16"/>
                <w:color w:val="auto"/>
              </w:rPr>
              <w:t xml:space="preserve"> H</w:t>
            </w:r>
            <w:r>
              <w:rPr>
                <w:rFonts w:ascii="Arial" w:cs="Arial" w:eastAsia="Arial" w:hAnsi="Arial"/>
                <w:sz w:val="10"/>
                <w:szCs w:val="10"/>
                <w:color w:val="auto"/>
              </w:rPr>
              <w:t>OLDERS</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8.01.</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Action by Holders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48</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8.02.</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Proof of Execution by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8.03.</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Who Are Deemed Absolute Owners</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8.04.</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Company-Owned Notes Disregarded</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8.05.</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Revocation of Consents; Future Holders Bound</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jc w:val="center"/>
              <w:ind w:left="1560"/>
              <w:spacing w:after="0"/>
              <w:rPr>
                <w:sz w:val="20"/>
                <w:szCs w:val="20"/>
                <w:color w:val="auto"/>
              </w:rPr>
            </w:pPr>
            <w:r>
              <w:rPr>
                <w:rFonts w:ascii="Arial" w:cs="Arial" w:eastAsia="Arial" w:hAnsi="Arial"/>
                <w:sz w:val="16"/>
                <w:szCs w:val="16"/>
                <w:color w:val="auto"/>
                <w:w w:val="96"/>
              </w:rPr>
              <w:t>ARTICLE 9</w:t>
            </w: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7420" w:type="dxa"/>
            <w:vAlign w:val="bottom"/>
          </w:tcPr>
          <w:p>
            <w:pPr>
              <w:jc w:val="center"/>
              <w:ind w:left="1540"/>
              <w:spacing w:after="0"/>
              <w:rPr>
                <w:sz w:val="20"/>
                <w:szCs w:val="20"/>
                <w:color w:val="auto"/>
              </w:rPr>
            </w:pPr>
            <w:r>
              <w:rPr>
                <w:rFonts w:ascii="Arial" w:cs="Arial" w:eastAsia="Arial" w:hAnsi="Arial"/>
                <w:sz w:val="16"/>
                <w:szCs w:val="16"/>
                <w:color w:val="auto"/>
              </w:rPr>
              <w:t>H</w:t>
            </w:r>
            <w:r>
              <w:rPr>
                <w:rFonts w:ascii="Arial" w:cs="Arial" w:eastAsia="Arial" w:hAnsi="Arial"/>
                <w:sz w:val="10"/>
                <w:szCs w:val="10"/>
                <w:color w:val="auto"/>
              </w:rPr>
              <w:t>OLDERS</w:t>
            </w:r>
            <w:r>
              <w:rPr>
                <w:rFonts w:ascii="Arial" w:cs="Arial" w:eastAsia="Arial" w:hAnsi="Arial"/>
                <w:sz w:val="16"/>
                <w:szCs w:val="16"/>
                <w:color w:val="auto"/>
              </w:rPr>
              <w:t>’ M</w:t>
            </w:r>
            <w:r>
              <w:rPr>
                <w:rFonts w:ascii="Arial" w:cs="Arial" w:eastAsia="Arial" w:hAnsi="Arial"/>
                <w:sz w:val="10"/>
                <w:szCs w:val="10"/>
                <w:color w:val="auto"/>
              </w:rPr>
              <w:t>EETINGS</w:t>
            </w:r>
          </w:p>
        </w:tc>
        <w:tc>
          <w:tcPr>
            <w:tcW w:w="2740" w:type="dxa"/>
            <w:vAlign w:val="bottom"/>
          </w:tcPr>
          <w:p>
            <w:pPr>
              <w:spacing w:after="0"/>
              <w:rPr>
                <w:sz w:val="16"/>
                <w:szCs w:val="16"/>
                <w:color w:val="auto"/>
              </w:rPr>
            </w:pPr>
          </w:p>
        </w:tc>
      </w:tr>
      <w:tr>
        <w:trPr>
          <w:trHeight w:val="191"/>
        </w:trPr>
        <w:tc>
          <w:tcPr>
            <w:tcW w:w="110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9.01.</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Purpose of Meetings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49</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9.02.</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Call of Meetings by Trustee</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9.03.</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Call of Meetings by Company or Holders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9.04.</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Qualifications for Voting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tcPr>
          <w:p>
            <w:pPr>
              <w:spacing w:after="0"/>
              <w:rPr>
                <w:sz w:val="20"/>
                <w:szCs w:val="20"/>
                <w:color w:val="auto"/>
              </w:rPr>
            </w:pPr>
            <w:r>
              <w:rPr>
                <w:rFonts w:ascii="Arial" w:cs="Arial" w:eastAsia="Arial" w:hAnsi="Arial"/>
                <w:sz w:val="16"/>
                <w:szCs w:val="16"/>
                <w:color w:val="auto"/>
              </w:rPr>
              <w:t>Section 9.05.</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Regulations</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50</w:t>
            </w:r>
          </w:p>
        </w:tc>
      </w:tr>
      <w:tr>
        <w:trPr>
          <w:trHeight w:val="191"/>
        </w:trPr>
        <w:tc>
          <w:tcPr>
            <w:tcW w:w="1100" w:type="dxa"/>
            <w:vAlign w:val="bottom"/>
            <w:shd w:val="clear" w:color="auto" w:fill="CCEEFF"/>
          </w:tcPr>
          <w:p>
            <w:pPr>
              <w:spacing w:after="0"/>
              <w:rPr>
                <w:sz w:val="20"/>
                <w:szCs w:val="20"/>
                <w:color w:val="auto"/>
              </w:rPr>
            </w:pPr>
            <w:r>
              <w:rPr>
                <w:rFonts w:ascii="Arial" w:cs="Arial" w:eastAsia="Arial" w:hAnsi="Arial"/>
                <w:sz w:val="16"/>
                <w:szCs w:val="16"/>
                <w:color w:val="auto"/>
              </w:rPr>
              <w:t>Section 9.06.</w:t>
            </w:r>
          </w:p>
        </w:tc>
        <w:tc>
          <w:tcPr>
            <w:tcW w:w="742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Voting</w:t>
            </w:r>
          </w:p>
        </w:tc>
        <w:tc>
          <w:tcPr>
            <w:tcW w:w="274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w:t>
            </w:r>
          </w:p>
        </w:tc>
      </w:tr>
      <w:tr>
        <w:trPr>
          <w:trHeight w:val="204"/>
        </w:trPr>
        <w:tc>
          <w:tcPr>
            <w:tcW w:w="1100" w:type="dxa"/>
            <w:vAlign w:val="bottom"/>
          </w:tcPr>
          <w:p>
            <w:pPr>
              <w:spacing w:after="0"/>
              <w:rPr>
                <w:sz w:val="20"/>
                <w:szCs w:val="20"/>
                <w:color w:val="auto"/>
              </w:rPr>
            </w:pPr>
            <w:r>
              <w:rPr>
                <w:rFonts w:ascii="Arial" w:cs="Arial" w:eastAsia="Arial" w:hAnsi="Arial"/>
                <w:sz w:val="16"/>
                <w:szCs w:val="16"/>
                <w:color w:val="auto"/>
              </w:rPr>
              <w:t>Section 9.07.</w:t>
            </w:r>
          </w:p>
        </w:tc>
        <w:tc>
          <w:tcPr>
            <w:tcW w:w="7420" w:type="dxa"/>
            <w:vAlign w:val="bottom"/>
          </w:tcPr>
          <w:p>
            <w:pPr>
              <w:ind w:left="260"/>
              <w:spacing w:after="0"/>
              <w:rPr>
                <w:sz w:val="20"/>
                <w:szCs w:val="20"/>
                <w:color w:val="auto"/>
              </w:rPr>
            </w:pPr>
            <w:r>
              <w:rPr>
                <w:rFonts w:ascii="Arial" w:cs="Arial" w:eastAsia="Arial" w:hAnsi="Arial"/>
                <w:sz w:val="16"/>
                <w:szCs w:val="16"/>
                <w:i w:val="1"/>
                <w:iCs w:val="1"/>
                <w:color w:val="auto"/>
              </w:rPr>
              <w:t>No Delay of Rights by Meeting</w:t>
            </w:r>
          </w:p>
        </w:tc>
        <w:tc>
          <w:tcPr>
            <w:tcW w:w="2740" w:type="dxa"/>
            <w:vAlign w:val="bottom"/>
          </w:tcPr>
          <w:p>
            <w:pPr>
              <w:jc w:val="right"/>
              <w:ind w:right="400"/>
              <w:spacing w:after="0"/>
              <w:rPr>
                <w:sz w:val="20"/>
                <w:szCs w:val="20"/>
                <w:color w:val="auto"/>
              </w:rPr>
            </w:pPr>
            <w:r>
              <w:rPr>
                <w:rFonts w:ascii="Arial" w:cs="Arial" w:eastAsia="Arial" w:hAnsi="Arial"/>
                <w:sz w:val="16"/>
                <w:szCs w:val="16"/>
                <w:color w:val="auto"/>
              </w:rPr>
              <w:t>51</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6"/>
          <w:szCs w:val="16"/>
          <w:color w:val="auto"/>
        </w:rPr>
        <w:t>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UPPLEMENTAL</w:t>
      </w:r>
      <w:r>
        <w:rPr>
          <w:rFonts w:ascii="Arial" w:cs="Arial" w:eastAsia="Arial" w:hAnsi="Arial"/>
          <w:sz w:val="16"/>
          <w:szCs w:val="16"/>
          <w:color w:val="auto"/>
        </w:rPr>
        <w:t xml:space="preserve"> I</w:t>
      </w:r>
      <w:r>
        <w:rPr>
          <w:rFonts w:ascii="Arial" w:cs="Arial" w:eastAsia="Arial" w:hAnsi="Arial"/>
          <w:sz w:val="10"/>
          <w:szCs w:val="10"/>
          <w:color w:val="auto"/>
        </w:rPr>
        <w:t>NDENTURES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shd w:val="clear" w:color="auto" w:fill="CCEEFF"/>
          </w:tcPr>
          <w:p>
            <w:pPr>
              <w:spacing w:after="0"/>
              <w:rPr>
                <w:sz w:val="14"/>
                <w:szCs w:val="14"/>
                <w:color w:val="auto"/>
              </w:rPr>
            </w:pPr>
          </w:p>
        </w:tc>
        <w:tc>
          <w:tcPr>
            <w:tcW w:w="9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10.01.</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Supplemental Indentures Without Consent of Holders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10.02.</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Supplemental Indentures with Consent of Holders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10.03.</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Effect of Supplemental Indentures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10.04.</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Notation on Notes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10.05.</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Evidence of Compliance of Supplemental Indenture to Be Furnished Trustee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52</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11</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ONSOLIDATION</w:t>
            </w:r>
            <w:r>
              <w:rPr>
                <w:rFonts w:ascii="Arial" w:cs="Arial" w:eastAsia="Arial" w:hAnsi="Arial"/>
                <w:sz w:val="16"/>
                <w:szCs w:val="16"/>
                <w:color w:val="auto"/>
              </w:rPr>
              <w:t>, M</w:t>
            </w:r>
            <w:r>
              <w:rPr>
                <w:rFonts w:ascii="Arial" w:cs="Arial" w:eastAsia="Arial" w:hAnsi="Arial"/>
                <w:sz w:val="10"/>
                <w:szCs w:val="10"/>
                <w:color w:val="auto"/>
              </w:rPr>
              <w:t>ERGER</w:t>
            </w:r>
            <w:r>
              <w:rPr>
                <w:rFonts w:ascii="Arial" w:cs="Arial" w:eastAsia="Arial" w:hAnsi="Arial"/>
                <w:sz w:val="16"/>
                <w:szCs w:val="16"/>
                <w:color w:val="auto"/>
              </w:rPr>
              <w:t>, S</w:t>
            </w:r>
            <w:r>
              <w:rPr>
                <w:rFonts w:ascii="Arial" w:cs="Arial" w:eastAsia="Arial" w:hAnsi="Arial"/>
                <w:sz w:val="10"/>
                <w:szCs w:val="10"/>
                <w:color w:val="auto"/>
              </w:rPr>
              <w:t>ALE</w:t>
            </w:r>
            <w:r>
              <w:rPr>
                <w:rFonts w:ascii="Arial" w:cs="Arial" w:eastAsia="Arial" w:hAnsi="Arial"/>
                <w:sz w:val="16"/>
                <w:szCs w:val="16"/>
                <w:color w:val="auto"/>
              </w:rPr>
              <w:t>, C</w:t>
            </w:r>
            <w:r>
              <w:rPr>
                <w:rFonts w:ascii="Arial" w:cs="Arial" w:eastAsia="Arial" w:hAnsi="Arial"/>
                <w:sz w:val="10"/>
                <w:szCs w:val="10"/>
                <w:color w:val="auto"/>
              </w:rPr>
              <w:t>ONVEYANCE AND</w:t>
            </w:r>
            <w:r>
              <w:rPr>
                <w:rFonts w:ascii="Arial" w:cs="Arial" w:eastAsia="Arial" w:hAnsi="Arial"/>
                <w:sz w:val="16"/>
                <w:szCs w:val="16"/>
                <w:color w:val="auto"/>
              </w:rPr>
              <w:t xml:space="preserve"> L</w:t>
            </w:r>
            <w:r>
              <w:rPr>
                <w:rFonts w:ascii="Arial" w:cs="Arial" w:eastAsia="Arial" w:hAnsi="Arial"/>
                <w:sz w:val="10"/>
                <w:szCs w:val="10"/>
                <w:color w:val="auto"/>
              </w:rPr>
              <w:t>EASE</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11.01.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Company May Consolidate, Etc. on Certain Terms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53</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11.02.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Successor Corporation to Be Substituted</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53</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12</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MMUNITY OF</w:t>
            </w:r>
            <w:r>
              <w:rPr>
                <w:rFonts w:ascii="Arial" w:cs="Arial" w:eastAsia="Arial" w:hAnsi="Arial"/>
                <w:sz w:val="16"/>
                <w:szCs w:val="16"/>
                <w:color w:val="auto"/>
              </w:rPr>
              <w:t xml:space="preserve"> I</w:t>
            </w:r>
            <w:r>
              <w:rPr>
                <w:rFonts w:ascii="Arial" w:cs="Arial" w:eastAsia="Arial" w:hAnsi="Arial"/>
                <w:sz w:val="10"/>
                <w:szCs w:val="10"/>
                <w:color w:val="auto"/>
              </w:rPr>
              <w:t>NCORPORATORS</w:t>
            </w:r>
            <w:r>
              <w:rPr>
                <w:rFonts w:ascii="Arial" w:cs="Arial" w:eastAsia="Arial" w:hAnsi="Arial"/>
                <w:sz w:val="16"/>
                <w:szCs w:val="16"/>
                <w:color w:val="auto"/>
              </w:rPr>
              <w:t>, S</w:t>
            </w:r>
            <w:r>
              <w:rPr>
                <w:rFonts w:ascii="Arial" w:cs="Arial" w:eastAsia="Arial" w:hAnsi="Arial"/>
                <w:sz w:val="10"/>
                <w:szCs w:val="10"/>
                <w:color w:val="auto"/>
              </w:rPr>
              <w:t>TOCKHOLDERS</w:t>
            </w:r>
            <w:r>
              <w:rPr>
                <w:rFonts w:ascii="Arial" w:cs="Arial" w:eastAsia="Arial" w:hAnsi="Arial"/>
                <w:sz w:val="16"/>
                <w:szCs w:val="16"/>
                <w:color w:val="auto"/>
              </w:rPr>
              <w:t>, O</w:t>
            </w:r>
            <w:r>
              <w:rPr>
                <w:rFonts w:ascii="Arial" w:cs="Arial" w:eastAsia="Arial" w:hAnsi="Arial"/>
                <w:sz w:val="10"/>
                <w:szCs w:val="10"/>
                <w:color w:val="auto"/>
              </w:rPr>
              <w:t>FFICERS AND</w:t>
            </w:r>
            <w:r>
              <w:rPr>
                <w:rFonts w:ascii="Arial" w:cs="Arial" w:eastAsia="Arial" w:hAnsi="Arial"/>
                <w:sz w:val="16"/>
                <w:szCs w:val="16"/>
                <w:color w:val="auto"/>
              </w:rPr>
              <w:t xml:space="preserve"> D</w:t>
            </w:r>
            <w:r>
              <w:rPr>
                <w:rFonts w:ascii="Arial" w:cs="Arial" w:eastAsia="Arial" w:hAnsi="Arial"/>
                <w:sz w:val="10"/>
                <w:szCs w:val="10"/>
                <w:color w:val="auto"/>
              </w:rPr>
              <w:t>IRECTORS</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12.01.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Indenture and Notes Solely Corporate Obligations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95"/>
              </w:rPr>
              <w:t>ARTICLE 13</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80"/>
              <w:spacing w:after="0"/>
              <w:rPr>
                <w:sz w:val="20"/>
                <w:szCs w:val="20"/>
                <w:color w:val="auto"/>
              </w:rPr>
            </w:pPr>
            <w:r>
              <w:rPr>
                <w:rFonts w:ascii="Arial" w:cs="Arial" w:eastAsia="Arial" w:hAnsi="Arial"/>
                <w:sz w:val="16"/>
                <w:szCs w:val="16"/>
                <w:color w:val="auto"/>
                <w:w w:val="99"/>
              </w:rPr>
              <w:t>[R</w:t>
            </w:r>
            <w:r>
              <w:rPr>
                <w:rFonts w:ascii="Arial" w:cs="Arial" w:eastAsia="Arial" w:hAnsi="Arial"/>
                <w:sz w:val="10"/>
                <w:szCs w:val="10"/>
                <w:color w:val="auto"/>
                <w:w w:val="99"/>
              </w:rPr>
              <w:t>ESERVED</w:t>
            </w:r>
            <w:r>
              <w:rPr>
                <w:rFonts w:ascii="Arial" w:cs="Arial" w:eastAsia="Arial" w:hAnsi="Arial"/>
                <w:sz w:val="16"/>
                <w:szCs w:val="16"/>
                <w:color w:val="auto"/>
                <w:w w:val="99"/>
              </w:rPr>
              <w:t>]</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14</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80"/>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ONVERSION OF</w:t>
            </w:r>
            <w:r>
              <w:rPr>
                <w:rFonts w:ascii="Arial" w:cs="Arial" w:eastAsia="Arial" w:hAnsi="Arial"/>
                <w:sz w:val="16"/>
                <w:szCs w:val="16"/>
                <w:color w:val="auto"/>
              </w:rPr>
              <w:t xml:space="preserve"> N</w:t>
            </w:r>
            <w:r>
              <w:rPr>
                <w:rFonts w:ascii="Arial" w:cs="Arial" w:eastAsia="Arial" w:hAnsi="Arial"/>
                <w:sz w:val="10"/>
                <w:szCs w:val="10"/>
                <w:color w:val="auto"/>
              </w:rPr>
              <w:t>OTES</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Conversion Privilege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Conversion Procedure; Settlement Upon Conversion</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54</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Company’s Mandatory Conversion Option.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56</w:t>
            </w:r>
          </w:p>
        </w:tc>
      </w:tr>
      <w:tr>
        <w:trPr>
          <w:trHeight w:val="179"/>
        </w:trPr>
        <w:tc>
          <w:tcPr>
            <w:tcW w:w="1140" w:type="dxa"/>
            <w:vAlign w:val="bottom"/>
          </w:tcPr>
          <w:p>
            <w:pPr>
              <w:spacing w:after="0" w:line="179" w:lineRule="exact"/>
              <w:rPr>
                <w:sz w:val="20"/>
                <w:szCs w:val="20"/>
                <w:color w:val="auto"/>
              </w:rPr>
            </w:pPr>
            <w:r>
              <w:rPr>
                <w:rFonts w:ascii="Arial" w:cs="Arial" w:eastAsia="Arial" w:hAnsi="Arial"/>
                <w:sz w:val="16"/>
                <w:szCs w:val="16"/>
                <w:color w:val="auto"/>
              </w:rPr>
              <w:t>Section 14.04.</w:t>
            </w:r>
          </w:p>
        </w:tc>
        <w:tc>
          <w:tcPr>
            <w:tcW w:w="9220" w:type="dxa"/>
            <w:vAlign w:val="bottom"/>
          </w:tcPr>
          <w:p>
            <w:pPr>
              <w:ind w:left="220"/>
              <w:spacing w:after="0" w:line="179" w:lineRule="exact"/>
              <w:rPr>
                <w:sz w:val="20"/>
                <w:szCs w:val="20"/>
                <w:color w:val="auto"/>
              </w:rPr>
            </w:pPr>
            <w:r>
              <w:rPr>
                <w:rFonts w:ascii="Arial" w:cs="Arial" w:eastAsia="Arial" w:hAnsi="Arial"/>
                <w:sz w:val="16"/>
                <w:szCs w:val="16"/>
                <w:i w:val="1"/>
                <w:iCs w:val="1"/>
                <w:color w:val="auto"/>
                <w:w w:val="93"/>
              </w:rPr>
              <w:t>Increased Conversion Rate Applicable to Certain Notes Surrendered in Connection with Make-Whole Fundamental Changes or during a</w:t>
            </w:r>
          </w:p>
        </w:tc>
        <w:tc>
          <w:tcPr>
            <w:tcW w:w="900" w:type="dxa"/>
            <w:vAlign w:val="bottom"/>
          </w:tcPr>
          <w:p>
            <w:pPr>
              <w:jc w:val="right"/>
              <w:ind w:right="400"/>
              <w:spacing w:after="0" w:line="179" w:lineRule="exact"/>
              <w:rPr>
                <w:sz w:val="20"/>
                <w:szCs w:val="20"/>
                <w:color w:val="auto"/>
              </w:rPr>
            </w:pPr>
            <w:r>
              <w:rPr>
                <w:rFonts w:ascii="Arial" w:cs="Arial" w:eastAsia="Arial" w:hAnsi="Arial"/>
                <w:sz w:val="16"/>
                <w:szCs w:val="16"/>
                <w:color w:val="auto"/>
              </w:rPr>
              <w:t>57</w:t>
            </w:r>
          </w:p>
        </w:tc>
      </w:tr>
      <w:tr>
        <w:trPr>
          <w:trHeight w:val="204"/>
        </w:trPr>
        <w:tc>
          <w:tcPr>
            <w:tcW w:w="1140" w:type="dxa"/>
            <w:vAlign w:val="bottom"/>
          </w:tcPr>
          <w:p>
            <w:pPr>
              <w:spacing w:after="0"/>
              <w:rPr>
                <w:sz w:val="17"/>
                <w:szCs w:val="17"/>
                <w:color w:val="auto"/>
              </w:rPr>
            </w:pP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Redemption Period</w:t>
            </w:r>
          </w:p>
        </w:tc>
        <w:tc>
          <w:tcPr>
            <w:tcW w:w="900" w:type="dxa"/>
            <w:vAlign w:val="bottom"/>
          </w:tcPr>
          <w:p>
            <w:pPr>
              <w:spacing w:after="0"/>
              <w:rPr>
                <w:sz w:val="17"/>
                <w:szCs w:val="17"/>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14.05.</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Adjustment of Conversion Rate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14.06.</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Adjustments of Prices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14.07.</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Shares to Be Fully Paid</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14.08.</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Effect of Recapitalizations, Reclassifications and Changes of the Common Stock</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14.09.</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Certain Covenants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69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14.10.</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Responsibility of Trustee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69</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14.11.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Notice to Holders Prior to Certain Actions</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14.12.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Stockholder Rights Plans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14.13.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Exchange in Lieu of Conversion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70</w:t>
            </w: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w w:val="95"/>
              </w:rPr>
              <w:t>ARTICLE 15</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80"/>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EPURCHASE OF</w:t>
            </w:r>
            <w:r>
              <w:rPr>
                <w:rFonts w:ascii="Arial" w:cs="Arial" w:eastAsia="Arial" w:hAnsi="Arial"/>
                <w:sz w:val="16"/>
                <w:szCs w:val="16"/>
                <w:color w:val="auto"/>
              </w:rPr>
              <w:t xml:space="preserve"> N</w:t>
            </w:r>
            <w:r>
              <w:rPr>
                <w:rFonts w:ascii="Arial" w:cs="Arial" w:eastAsia="Arial" w:hAnsi="Arial"/>
                <w:sz w:val="10"/>
                <w:szCs w:val="10"/>
                <w:color w:val="auto"/>
              </w:rPr>
              <w:t>OTES AT</w:t>
            </w:r>
            <w:r>
              <w:rPr>
                <w:rFonts w:ascii="Arial" w:cs="Arial" w:eastAsia="Arial" w:hAnsi="Arial"/>
                <w:sz w:val="16"/>
                <w:szCs w:val="16"/>
                <w:color w:val="auto"/>
              </w:rPr>
              <w:t xml:space="preserve"> O</w:t>
            </w:r>
            <w:r>
              <w:rPr>
                <w:rFonts w:ascii="Arial" w:cs="Arial" w:eastAsia="Arial" w:hAnsi="Arial"/>
                <w:sz w:val="10"/>
                <w:szCs w:val="10"/>
                <w:color w:val="auto"/>
              </w:rPr>
              <w:t>PTION OF</w:t>
            </w:r>
            <w:r>
              <w:rPr>
                <w:rFonts w:ascii="Arial" w:cs="Arial" w:eastAsia="Arial" w:hAnsi="Arial"/>
                <w:sz w:val="16"/>
                <w:szCs w:val="16"/>
                <w:color w:val="auto"/>
              </w:rPr>
              <w:t xml:space="preserve"> H</w:t>
            </w:r>
            <w:r>
              <w:rPr>
                <w:rFonts w:ascii="Arial" w:cs="Arial" w:eastAsia="Arial" w:hAnsi="Arial"/>
                <w:sz w:val="10"/>
                <w:szCs w:val="10"/>
                <w:color w:val="auto"/>
              </w:rPr>
              <w:t>OLDERS</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15.01.</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[Intentionally Omitted]</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15.02.</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Repurchase at Option of Holders Upon a Fundamental Change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15.03.</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Withdrawal of Fundamental Change Repurchase Notice</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73</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15.04.</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Deposit of Fundamental Change Repurchase Price</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73</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15.05.</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Covenant to Comply with Applicable Laws Upon Repurchase of Notes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74</w:t>
            </w: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jc w:val="center"/>
              <w:ind w:right="160"/>
              <w:spacing w:after="0"/>
              <w:rPr>
                <w:sz w:val="20"/>
                <w:szCs w:val="20"/>
                <w:color w:val="auto"/>
              </w:rPr>
            </w:pPr>
            <w:r>
              <w:rPr>
                <w:rFonts w:ascii="Arial" w:cs="Arial" w:eastAsia="Arial" w:hAnsi="Arial"/>
                <w:sz w:val="16"/>
                <w:szCs w:val="16"/>
                <w:color w:val="auto"/>
                <w:w w:val="95"/>
              </w:rPr>
              <w:t>ARTICLE 16</w:t>
            </w: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9220" w:type="dxa"/>
            <w:vAlign w:val="bottom"/>
            <w:shd w:val="clear" w:color="auto" w:fill="CCEEFF"/>
          </w:tcPr>
          <w:p>
            <w:pPr>
              <w:jc w:val="center"/>
              <w:ind w:right="160"/>
              <w:spacing w:after="0"/>
              <w:rPr>
                <w:sz w:val="20"/>
                <w:szCs w:val="20"/>
                <w:color w:val="auto"/>
              </w:rPr>
            </w:pPr>
            <w:r>
              <w:rPr>
                <w:rFonts w:ascii="Arial" w:cs="Arial" w:eastAsia="Arial" w:hAnsi="Arial"/>
                <w:sz w:val="16"/>
                <w:szCs w:val="16"/>
                <w:color w:val="auto"/>
              </w:rPr>
              <w:t>O</w:t>
            </w:r>
            <w:r>
              <w:rPr>
                <w:rFonts w:ascii="Arial" w:cs="Arial" w:eastAsia="Arial" w:hAnsi="Arial"/>
                <w:sz w:val="10"/>
                <w:szCs w:val="10"/>
                <w:color w:val="auto"/>
              </w:rPr>
              <w:t>PTIONAL</w:t>
            </w:r>
            <w:r>
              <w:rPr>
                <w:rFonts w:ascii="Arial" w:cs="Arial" w:eastAsia="Arial" w:hAnsi="Arial"/>
                <w:sz w:val="16"/>
                <w:szCs w:val="16"/>
                <w:color w:val="auto"/>
              </w:rPr>
              <w:t xml:space="preserve"> R</w:t>
            </w:r>
            <w:r>
              <w:rPr>
                <w:rFonts w:ascii="Arial" w:cs="Arial" w:eastAsia="Arial" w:hAnsi="Arial"/>
                <w:sz w:val="10"/>
                <w:szCs w:val="10"/>
                <w:color w:val="auto"/>
              </w:rPr>
              <w:t>EDEMPTION</w:t>
            </w:r>
          </w:p>
        </w:tc>
        <w:tc>
          <w:tcPr>
            <w:tcW w:w="90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9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16.01.</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Optional Redemption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74</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16.02.</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Notice of Optional Redemption; Selection of Notes</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75</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16.03.</w:t>
            </w:r>
          </w:p>
        </w:tc>
        <w:tc>
          <w:tcPr>
            <w:tcW w:w="92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Payment of Notes Called for Redemption</w:t>
            </w:r>
          </w:p>
        </w:tc>
        <w:tc>
          <w:tcPr>
            <w:tcW w:w="90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76</w:t>
            </w:r>
          </w:p>
        </w:tc>
      </w:tr>
      <w:tr>
        <w:trPr>
          <w:trHeight w:val="204"/>
        </w:trPr>
        <w:tc>
          <w:tcPr>
            <w:tcW w:w="1140" w:type="dxa"/>
            <w:vAlign w:val="bottom"/>
          </w:tcPr>
          <w:p>
            <w:pPr>
              <w:spacing w:after="0"/>
              <w:rPr>
                <w:sz w:val="20"/>
                <w:szCs w:val="20"/>
                <w:color w:val="auto"/>
              </w:rPr>
            </w:pPr>
            <w:r>
              <w:rPr>
                <w:rFonts w:ascii="Arial" w:cs="Arial" w:eastAsia="Arial" w:hAnsi="Arial"/>
                <w:sz w:val="16"/>
                <w:szCs w:val="16"/>
                <w:color w:val="auto"/>
              </w:rPr>
              <w:t>Section 16.04.</w:t>
            </w:r>
          </w:p>
        </w:tc>
        <w:tc>
          <w:tcPr>
            <w:tcW w:w="9220" w:type="dxa"/>
            <w:vAlign w:val="bottom"/>
          </w:tcPr>
          <w:p>
            <w:pPr>
              <w:ind w:left="220"/>
              <w:spacing w:after="0"/>
              <w:rPr>
                <w:sz w:val="20"/>
                <w:szCs w:val="20"/>
                <w:color w:val="auto"/>
              </w:rPr>
            </w:pPr>
            <w:r>
              <w:rPr>
                <w:rFonts w:ascii="Arial" w:cs="Arial" w:eastAsia="Arial" w:hAnsi="Arial"/>
                <w:sz w:val="16"/>
                <w:szCs w:val="16"/>
                <w:i w:val="1"/>
                <w:iCs w:val="1"/>
                <w:color w:val="auto"/>
              </w:rPr>
              <w:t>Restrictions on Redemption</w:t>
            </w:r>
          </w:p>
        </w:tc>
        <w:tc>
          <w:tcPr>
            <w:tcW w:w="900" w:type="dxa"/>
            <w:vAlign w:val="bottom"/>
          </w:tcPr>
          <w:p>
            <w:pPr>
              <w:jc w:val="right"/>
              <w:ind w:right="400"/>
              <w:spacing w:after="0"/>
              <w:rPr>
                <w:sz w:val="20"/>
                <w:szCs w:val="20"/>
                <w:color w:val="auto"/>
              </w:rPr>
            </w:pPr>
            <w:r>
              <w:rPr>
                <w:rFonts w:ascii="Arial" w:cs="Arial" w:eastAsia="Arial" w:hAnsi="Arial"/>
                <w:sz w:val="16"/>
                <w:szCs w:val="16"/>
                <w:color w:val="auto"/>
              </w:rPr>
              <w:t>76</w:t>
            </w: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jc w:val="center"/>
              <w:ind w:left="840"/>
              <w:spacing w:after="0"/>
              <w:rPr>
                <w:sz w:val="20"/>
                <w:szCs w:val="20"/>
                <w:color w:val="auto"/>
              </w:rPr>
            </w:pPr>
            <w:r>
              <w:rPr>
                <w:rFonts w:ascii="Arial" w:cs="Arial" w:eastAsia="Arial" w:hAnsi="Arial"/>
                <w:sz w:val="16"/>
                <w:szCs w:val="16"/>
                <w:color w:val="auto"/>
                <w:w w:val="99"/>
              </w:rPr>
              <w:t>ARTICLE 17 G</w:t>
            </w:r>
            <w:r>
              <w:rPr>
                <w:rFonts w:ascii="Arial" w:cs="Arial" w:eastAsia="Arial" w:hAnsi="Arial"/>
                <w:sz w:val="10"/>
                <w:szCs w:val="10"/>
                <w:color w:val="auto"/>
                <w:w w:val="99"/>
              </w:rPr>
              <w:t>UARANTEE</w:t>
            </w: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17.01.</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Guarantee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76</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17.02.</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Limitation on Guarantor Liability</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77</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17.03.</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Release of Guarantees</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jc w:val="center"/>
              <w:ind w:left="860"/>
              <w:spacing w:after="0"/>
              <w:rPr>
                <w:sz w:val="20"/>
                <w:szCs w:val="20"/>
                <w:color w:val="auto"/>
              </w:rPr>
            </w:pPr>
            <w:r>
              <w:rPr>
                <w:rFonts w:ascii="Arial" w:cs="Arial" w:eastAsia="Arial" w:hAnsi="Arial"/>
                <w:sz w:val="16"/>
                <w:szCs w:val="16"/>
                <w:color w:val="auto"/>
                <w:w w:val="95"/>
              </w:rPr>
              <w:t>ARTICLE 18</w:t>
            </w: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jc w:val="center"/>
              <w:ind w:left="840"/>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ISCELLANEOUS</w:t>
            </w:r>
            <w:r>
              <w:rPr>
                <w:rFonts w:ascii="Arial" w:cs="Arial" w:eastAsia="Arial" w:hAnsi="Arial"/>
                <w:sz w:val="16"/>
                <w:szCs w:val="16"/>
                <w:color w:val="auto"/>
              </w:rPr>
              <w:t xml:space="preserve"> P</w:t>
            </w:r>
            <w:r>
              <w:rPr>
                <w:rFonts w:ascii="Arial" w:cs="Arial" w:eastAsia="Arial" w:hAnsi="Arial"/>
                <w:sz w:val="10"/>
                <w:szCs w:val="10"/>
                <w:color w:val="auto"/>
              </w:rPr>
              <w:t>ROVISIONS</w:t>
            </w: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16"/>
                <w:szCs w:val="16"/>
                <w:color w:val="auto"/>
              </w:rPr>
            </w:pPr>
          </w:p>
        </w:tc>
        <w:tc>
          <w:tcPr>
            <w:tcW w:w="804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18.01.</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Provisions Binding on Company’s Successors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18.02.</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Official Acts by Successor Corporation</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18.03.</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Addresses for Notices, Etc</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78</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18.04.</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Governing Law; Jurisdiction</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79</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18.05.</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Evidence of Compliance with Conditions Precedent; Certificates and Opinions of Counsel to Trustee</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79</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18.06.</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Legal Holidays</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18.07.</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No Security Interest Created</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18.08.</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Benefits of Indenture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18.09.</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Table of Contents, Headings, Etc</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18.10.</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Authenticating Agent</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80</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18.11.</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Execution in Counterparts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18.12.</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Severability</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18.13.</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Waiver of Jury Trial</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18.14.</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Force Majeure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81</w:t>
            </w:r>
          </w:p>
        </w:tc>
      </w:tr>
      <w:tr>
        <w:trPr>
          <w:trHeight w:val="191"/>
        </w:trPr>
        <w:tc>
          <w:tcPr>
            <w:tcW w:w="1140" w:type="dxa"/>
            <w:vAlign w:val="bottom"/>
          </w:tcPr>
          <w:p>
            <w:pPr>
              <w:spacing w:after="0"/>
              <w:rPr>
                <w:sz w:val="20"/>
                <w:szCs w:val="20"/>
                <w:color w:val="auto"/>
              </w:rPr>
            </w:pPr>
            <w:r>
              <w:rPr>
                <w:rFonts w:ascii="Arial" w:cs="Arial" w:eastAsia="Arial" w:hAnsi="Arial"/>
                <w:sz w:val="16"/>
                <w:szCs w:val="16"/>
                <w:color w:val="auto"/>
              </w:rPr>
              <w:t>Section 18.15.</w:t>
            </w:r>
          </w:p>
        </w:tc>
        <w:tc>
          <w:tcPr>
            <w:tcW w:w="8040" w:type="dxa"/>
            <w:vAlign w:val="bottom"/>
          </w:tcPr>
          <w:p>
            <w:pPr>
              <w:ind w:left="220"/>
              <w:spacing w:after="0"/>
              <w:rPr>
                <w:sz w:val="20"/>
                <w:szCs w:val="20"/>
                <w:color w:val="auto"/>
              </w:rPr>
            </w:pPr>
            <w:r>
              <w:rPr>
                <w:rFonts w:ascii="Arial" w:cs="Arial" w:eastAsia="Arial" w:hAnsi="Arial"/>
                <w:sz w:val="16"/>
                <w:szCs w:val="16"/>
                <w:i w:val="1"/>
                <w:iCs w:val="1"/>
                <w:color w:val="auto"/>
              </w:rPr>
              <w:t>Calculations</w:t>
            </w:r>
          </w:p>
        </w:tc>
        <w:tc>
          <w:tcPr>
            <w:tcW w:w="2080" w:type="dxa"/>
            <w:vAlign w:val="bottom"/>
          </w:tcPr>
          <w:p>
            <w:pPr>
              <w:jc w:val="center"/>
              <w:ind w:left="880"/>
              <w:spacing w:after="0"/>
              <w:rPr>
                <w:sz w:val="20"/>
                <w:szCs w:val="20"/>
                <w:color w:val="auto"/>
              </w:rPr>
            </w:pPr>
            <w:r>
              <w:rPr>
                <w:rFonts w:ascii="Arial" w:cs="Arial" w:eastAsia="Arial" w:hAnsi="Arial"/>
                <w:sz w:val="16"/>
                <w:szCs w:val="16"/>
                <w:color w:val="auto"/>
                <w:w w:val="89"/>
              </w:rPr>
              <w:t>82</w:t>
            </w: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Section 18.16.</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USA PATRIOT Act</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89"/>
              </w:rPr>
              <w:t>82</w:t>
            </w:r>
          </w:p>
        </w:tc>
      </w:tr>
      <w:tr>
        <w:trPr>
          <w:trHeight w:val="383"/>
        </w:trPr>
        <w:tc>
          <w:tcPr>
            <w:tcW w:w="1140" w:type="dxa"/>
            <w:vAlign w:val="bottom"/>
          </w:tcPr>
          <w:p>
            <w:pPr>
              <w:spacing w:after="0"/>
              <w:rPr>
                <w:sz w:val="24"/>
                <w:szCs w:val="24"/>
                <w:color w:val="auto"/>
              </w:rPr>
            </w:pPr>
          </w:p>
        </w:tc>
        <w:tc>
          <w:tcPr>
            <w:tcW w:w="8040" w:type="dxa"/>
            <w:vAlign w:val="bottom"/>
          </w:tcPr>
          <w:p>
            <w:pPr>
              <w:jc w:val="center"/>
              <w:ind w:left="840"/>
              <w:spacing w:after="0"/>
              <w:rPr>
                <w:sz w:val="20"/>
                <w:szCs w:val="20"/>
                <w:color w:val="auto"/>
              </w:rPr>
            </w:pPr>
            <w:r>
              <w:rPr>
                <w:rFonts w:ascii="Arial" w:cs="Arial" w:eastAsia="Arial" w:hAnsi="Arial"/>
                <w:sz w:val="16"/>
                <w:szCs w:val="16"/>
                <w:b w:val="1"/>
                <w:bCs w:val="1"/>
                <w:color w:val="auto"/>
              </w:rPr>
              <w:t>EXHIBIT</w:t>
            </w:r>
          </w:p>
        </w:tc>
        <w:tc>
          <w:tcPr>
            <w:tcW w:w="2080" w:type="dxa"/>
            <w:vAlign w:val="bottom"/>
          </w:tcPr>
          <w:p>
            <w:pPr>
              <w:spacing w:after="0"/>
              <w:rPr>
                <w:sz w:val="24"/>
                <w:szCs w:val="24"/>
                <w:color w:val="auto"/>
              </w:rPr>
            </w:pP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Exhibit A</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Form of Note</w:t>
            </w:r>
          </w:p>
        </w:tc>
        <w:tc>
          <w:tcPr>
            <w:tcW w:w="2080" w:type="dxa"/>
            <w:vAlign w:val="bottom"/>
            <w:shd w:val="clear" w:color="auto" w:fill="CCEEFF"/>
          </w:tcPr>
          <w:p>
            <w:pPr>
              <w:jc w:val="center"/>
              <w:ind w:left="860"/>
              <w:spacing w:after="0"/>
              <w:rPr>
                <w:sz w:val="20"/>
                <w:szCs w:val="20"/>
                <w:color w:val="auto"/>
              </w:rPr>
            </w:pPr>
            <w:r>
              <w:rPr>
                <w:rFonts w:ascii="Arial" w:cs="Arial" w:eastAsia="Arial" w:hAnsi="Arial"/>
                <w:sz w:val="16"/>
                <w:szCs w:val="16"/>
                <w:color w:val="auto"/>
              </w:rPr>
              <w:t>A-1</w:t>
            </w:r>
          </w:p>
        </w:tc>
      </w:tr>
      <w:tr>
        <w:trPr>
          <w:trHeight w:val="191"/>
        </w:trPr>
        <w:tc>
          <w:tcPr>
            <w:tcW w:w="11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91"/>
        </w:trPr>
        <w:tc>
          <w:tcPr>
            <w:tcW w:w="1140" w:type="dxa"/>
            <w:vAlign w:val="bottom"/>
            <w:shd w:val="clear" w:color="auto" w:fill="CCEEFF"/>
          </w:tcPr>
          <w:p>
            <w:pPr>
              <w:spacing w:after="0"/>
              <w:rPr>
                <w:sz w:val="20"/>
                <w:szCs w:val="20"/>
                <w:color w:val="auto"/>
              </w:rPr>
            </w:pPr>
            <w:r>
              <w:rPr>
                <w:rFonts w:ascii="Arial" w:cs="Arial" w:eastAsia="Arial" w:hAnsi="Arial"/>
                <w:sz w:val="16"/>
                <w:szCs w:val="16"/>
                <w:color w:val="auto"/>
              </w:rPr>
              <w:t>Exhibit B</w:t>
            </w:r>
          </w:p>
        </w:tc>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Form of PIK Election Notice</w:t>
            </w:r>
          </w:p>
        </w:tc>
        <w:tc>
          <w:tcPr>
            <w:tcW w:w="20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96"/>
              </w:rPr>
              <w:t>B-1</w:t>
            </w: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08" w:name="page109"/>
    <w:bookmarkEnd w:id="108"/>
    <w:p>
      <w:pPr>
        <w:jc w:val="both"/>
        <w:ind w:right="20" w:firstLine="574"/>
        <w:spacing w:after="0" w:line="280" w:lineRule="auto"/>
        <w:rPr>
          <w:sz w:val="20"/>
          <w:szCs w:val="20"/>
          <w:color w:val="auto"/>
        </w:rPr>
      </w:pPr>
      <w:r>
        <w:rPr>
          <w:rFonts w:ascii="Arial" w:cs="Arial" w:eastAsia="Arial" w:hAnsi="Arial"/>
          <w:sz w:val="16"/>
          <w:szCs w:val="16"/>
          <w:color w:val="auto"/>
        </w:rPr>
        <w:t>INDENTURE dated as of [ ● ], 2022 between [ ● ], a Delaware corporation, as issuer (the “</w:t>
      </w:r>
      <w:r>
        <w:rPr>
          <w:rFonts w:ascii="Arial" w:cs="Arial" w:eastAsia="Arial" w:hAnsi="Arial"/>
          <w:sz w:val="16"/>
          <w:szCs w:val="16"/>
          <w:b w:val="1"/>
          <w:bCs w:val="1"/>
          <w:color w:val="auto"/>
        </w:rPr>
        <w:t>Company</w:t>
      </w:r>
      <w:r>
        <w:rPr>
          <w:rFonts w:ascii="Arial" w:cs="Arial" w:eastAsia="Arial" w:hAnsi="Arial"/>
          <w:sz w:val="16"/>
          <w:szCs w:val="16"/>
          <w:color w:val="auto"/>
        </w:rPr>
        <w:t>,” as more fully set forth in Section 1.01)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more fully set forth in Section 1.01).</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 I T N E S S E T H:</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for its lawful corporate purposes, the Company has duly authorized the issuance of its 9.0%/11.0%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initially in an aggregate principal amount not to exceed $70,000,000, and in order to provide the terms and conditions upon which the Notes are to be authenticated, issued and delivered, the Company has duly authorized the execution and delivery of this Indenture; and</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 provided; and</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THIS INDENTURE WITNESSETH:</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EFINITIONS</w:t>
      </w:r>
    </w:p>
    <w:p>
      <w:pPr>
        <w:spacing w:after="0" w:line="18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Definitions</w:t>
      </w:r>
      <w:r>
        <w:rPr>
          <w:rFonts w:ascii="Arial" w:cs="Arial" w:eastAsia="Arial" w:hAnsi="Arial"/>
          <w:sz w:val="16"/>
          <w:szCs w:val="16"/>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1% Provision</w:t>
      </w:r>
      <w:r>
        <w:rPr>
          <w:rFonts w:ascii="Arial" w:cs="Arial" w:eastAsia="Arial" w:hAnsi="Arial"/>
          <w:sz w:val="16"/>
          <w:szCs w:val="16"/>
          <w:color w:val="auto"/>
        </w:rPr>
        <w:t>” shall have the meaning specified in Section 14.05(l).</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30-Day ADTV</w:t>
      </w:r>
      <w:r>
        <w:rPr>
          <w:rFonts w:ascii="Arial" w:cs="Arial" w:eastAsia="Arial" w:hAnsi="Arial"/>
          <w:sz w:val="15"/>
          <w:szCs w:val="15"/>
          <w:color w:val="auto"/>
        </w:rPr>
        <w:t>” means, as of any date and with respect to any shares of Common Stock, an amount equal to the arithmetic average of the products, for each Trading Day in the 30 Trading Day period ending on, and including, the Trading Day immediately preceding such date, of (i) the daily trading volume in such shares of Common Stock on the applicable exchange for such Trading Day and (ii) the Daily VWAP for such Trading Day; provided that in the case of calculating the amount in this clause (ii) with respect to any shares of Common Stock, in respect of any Trading Day occurring on or subsequent to the Ex-Dividend Date for such dividend or distribution, such amount shall be increased by an amount of cash in U.S. dollars per share of Common Stock distributed, or to be distributed, in such dividend or distribution, net of any applicable withholding taxes, as determined by the Conversion Agent, unless such dividend or distribution does not occur, in which case such amount shall be reduced to the amount that would then be in effect if such dividend or distribution had not been declared.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9" w:name="page110"/>
    <w:bookmarkEnd w:id="109"/>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Interest</w:t>
      </w:r>
      <w:r>
        <w:rPr>
          <w:rFonts w:ascii="Arial" w:cs="Arial" w:eastAsia="Arial" w:hAnsi="Arial"/>
          <w:sz w:val="16"/>
          <w:szCs w:val="16"/>
          <w:color w:val="auto"/>
        </w:rPr>
        <w:t>” means all amounts, if any, payable pursuant to Section 4.06(d) and Section 6.03, as applicable.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w:t>
      </w:r>
      <w:r>
        <w:rPr>
          <w:rFonts w:ascii="Arial" w:cs="Arial" w:eastAsia="Arial" w:hAnsi="Arial"/>
          <w:sz w:val="16"/>
          <w:szCs w:val="16"/>
          <w:color w:val="auto"/>
        </w:rPr>
        <w:t>” shall have the meaning specified in Section 14.04(a).</w:t>
      </w:r>
    </w:p>
    <w:p>
      <w:pPr>
        <w:spacing w:after="0" w:line="198" w:lineRule="exact"/>
        <w:rPr>
          <w:sz w:val="20"/>
          <w:szCs w:val="20"/>
          <w:color w:val="auto"/>
        </w:rPr>
      </w:pPr>
    </w:p>
    <w:p>
      <w:pPr>
        <w:jc w:val="both"/>
        <w:ind w:left="4" w:firstLine="574"/>
        <w:spacing w:after="0" w:line="26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Warrants</w:t>
      </w:r>
      <w:r>
        <w:rPr>
          <w:rFonts w:ascii="Arial" w:cs="Arial" w:eastAsia="Arial" w:hAnsi="Arial"/>
          <w:sz w:val="16"/>
          <w:szCs w:val="16"/>
          <w:color w:val="auto"/>
        </w:rPr>
        <w:t>” shall mean warrants to purchase a number of shares of Common Stock equal to 50% of the number of shares of Common Stock into which the Notes redeemed pursuant to Section 16.01 were convertible on the Trading Day immediately prior to the Redemption Date. The Additional Warrants shall be identical to the Warrants (as such term is defined in the Subscription Agreement dated [●], 2021 by and between the Company, [***] and [***] except that the exercise period of the Additional Warrants shall terminate on [●], 2026.</w:t>
      </w:r>
      <w:r>
        <w:rPr>
          <w:rFonts w:ascii="Arial" w:cs="Arial" w:eastAsia="Arial" w:hAnsi="Arial"/>
          <w:sz w:val="26"/>
          <w:szCs w:val="26"/>
          <w:color w:val="auto"/>
          <w:vertAlign w:val="superscript"/>
        </w:rPr>
        <w:t>3</w:t>
      </w:r>
    </w:p>
    <w:p>
      <w:pPr>
        <w:spacing w:after="0" w:line="45" w:lineRule="exact"/>
        <w:rPr>
          <w:sz w:val="20"/>
          <w:szCs w:val="20"/>
          <w:color w:val="auto"/>
        </w:rPr>
      </w:pPr>
    </w:p>
    <w:p>
      <w:pPr>
        <w:jc w:val="both"/>
        <w:ind w:left="4"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means Indebtedness of a Person or any of its Subsidiaries existing at the time such Person becomes a Subsidiary of the Company or at the time it merges or consolidates with or into the Company or any of its Subsidiaries or assumed in connection with the acquisition of assets from such Person and in each case whether or not incurred by such Person in connection with, or in anticipation or contemplation of, such Person becoming a Subsidiary of the Company or such acquisition, merger or consolidation.</w:t>
      </w:r>
    </w:p>
    <w:p>
      <w:pPr>
        <w:spacing w:after="0" w:line="162" w:lineRule="exact"/>
        <w:rPr>
          <w:sz w:val="20"/>
          <w:szCs w:val="20"/>
          <w:color w:val="auto"/>
        </w:rPr>
      </w:pPr>
    </w:p>
    <w:p>
      <w:pPr>
        <w:jc w:val="both"/>
        <w:ind w:left="4" w:firstLine="574"/>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Arial" w:cs="Arial" w:eastAsia="Arial" w:hAnsi="Arial"/>
          <w:sz w:val="14"/>
          <w:szCs w:val="14"/>
          <w:b w:val="1"/>
          <w:bCs w:val="1"/>
          <w:color w:val="auto"/>
        </w:rPr>
        <w:t>Affiliate</w:t>
      </w:r>
      <w:r>
        <w:rPr>
          <w:rFonts w:ascii="Arial" w:cs="Arial" w:eastAsia="Arial" w:hAnsi="Arial"/>
          <w:sz w:val="14"/>
          <w:szCs w:val="14"/>
          <w:color w:val="auto"/>
        </w:rPr>
        <w:t>” of another Person for purposes of this Indenture shall be made based on the facts at the time such determination is made or required to be made, as the case may be, hereunder.</w:t>
      </w:r>
    </w:p>
    <w:p>
      <w:pPr>
        <w:spacing w:after="0" w:line="142" w:lineRule="exact"/>
        <w:rPr>
          <w:sz w:val="20"/>
          <w:szCs w:val="20"/>
          <w:color w:val="auto"/>
        </w:rPr>
      </w:pPr>
    </w:p>
    <w:p>
      <w:pPr>
        <w:jc w:val="both"/>
        <w:ind w:left="4" w:right="20" w:firstLine="574"/>
        <w:spacing w:after="0" w:line="20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Premium</w:t>
      </w:r>
      <w:r>
        <w:rPr>
          <w:rFonts w:ascii="Arial" w:cs="Arial" w:eastAsia="Arial" w:hAnsi="Arial"/>
          <w:sz w:val="14"/>
          <w:szCs w:val="14"/>
          <w:color w:val="auto"/>
        </w:rPr>
        <w:t>” means, with respect to a Note at any Redemption Date occurring (i) before [●], 2025,</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(x) the present value at such Redemption Date of all required remaining scheduled interest payments (calculated based on the PIK interest rate) due on such Note through [●], 2025</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(but excluding accrued and unpaid interest to the Redemption Date), computed using a discount rate equal to the Treasury Rate plus 0.50% and (y) the Additional Warrants, or (ii) on or after [●], 2025</w:t>
      </w:r>
      <w:r>
        <w:rPr>
          <w:rFonts w:ascii="Arial" w:cs="Arial" w:eastAsia="Arial" w:hAnsi="Arial"/>
          <w:sz w:val="23"/>
          <w:szCs w:val="23"/>
          <w:color w:val="auto"/>
          <w:vertAlign w:val="superscript"/>
        </w:rPr>
        <w:t>6</w:t>
      </w:r>
      <w:r>
        <w:rPr>
          <w:rFonts w:ascii="Arial" w:cs="Arial" w:eastAsia="Arial" w:hAnsi="Arial"/>
          <w:sz w:val="14"/>
          <w:szCs w:val="14"/>
          <w:color w:val="auto"/>
        </w:rPr>
        <w:t>, the present value at</w:t>
      </w:r>
    </w:p>
    <w:p>
      <w:pPr>
        <w:jc w:val="both"/>
        <w:ind w:left="4"/>
        <w:spacing w:after="0" w:line="207" w:lineRule="auto"/>
        <w:rPr>
          <w:sz w:val="20"/>
          <w:szCs w:val="20"/>
          <w:color w:val="auto"/>
        </w:rPr>
      </w:pPr>
      <w:r>
        <w:rPr>
          <w:rFonts w:ascii="Arial" w:cs="Arial" w:eastAsia="Arial" w:hAnsi="Arial"/>
          <w:sz w:val="16"/>
          <w:szCs w:val="16"/>
          <w:color w:val="auto"/>
        </w:rPr>
        <w:t>such Redemption Date of all required remaining scheduled interest payments (calculated based on the PIK interest rate) due on such Note through [●], 2026</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(but excluding accrued and unpaid interest to the Redemption Date), computed using a discount rate equal to the Treasury Rate.</w:t>
      </w:r>
    </w:p>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“Asset Sale” means:</w:t>
      </w:r>
    </w:p>
    <w:p>
      <w:pPr>
        <w:spacing w:after="0" w:line="198" w:lineRule="exact"/>
        <w:rPr>
          <w:sz w:val="20"/>
          <w:szCs w:val="20"/>
          <w:color w:val="auto"/>
        </w:rPr>
      </w:pPr>
    </w:p>
    <w:p>
      <w:pPr>
        <w:ind w:left="4" w:firstLine="569"/>
        <w:spacing w:after="0" w:line="349" w:lineRule="auto"/>
        <w:tabs>
          <w:tab w:leader="none" w:pos="807"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sale, lease, conveyance or other disposition of any assets or rights; provided that the sale, lease, conveyance or other disposition of all or substantially all of the assets of the Company and its Subsidiaries, taken as a whole, will be governed by Article 11 and/or Article 15 and not by the provisions of the Asset Sale covenant; and</w:t>
      </w:r>
    </w:p>
    <w:p>
      <w:pPr>
        <w:spacing w:after="0" w:line="105" w:lineRule="exact"/>
        <w:rPr>
          <w:rFonts w:ascii="Arial" w:cs="Arial" w:eastAsia="Arial" w:hAnsi="Arial"/>
          <w:sz w:val="14"/>
          <w:szCs w:val="14"/>
          <w:color w:val="auto"/>
        </w:rPr>
      </w:pPr>
    </w:p>
    <w:p>
      <w:pPr>
        <w:ind w:left="804" w:hanging="231"/>
        <w:spacing w:after="0"/>
        <w:tabs>
          <w:tab w:leader="none" w:pos="804"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issuance of Equity Interests in any of the Company’s Subsidiaries or the sale of Equity Interests in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08" w:lineRule="exact"/>
        <w:rPr>
          <w:sz w:val="20"/>
          <w:szCs w:val="20"/>
          <w:color w:val="auto"/>
        </w:rPr>
      </w:pPr>
    </w:p>
    <w:p>
      <w:pPr>
        <w:ind w:left="284" w:hanging="284"/>
        <w:spacing w:after="0"/>
        <w:tabs>
          <w:tab w:leader="none" w:pos="284" w:val="left"/>
        </w:tabs>
        <w:numPr>
          <w:ilvl w:val="0"/>
          <w:numId w:val="98"/>
        </w:numPr>
        <w:rPr>
          <w:rFonts w:ascii="Arial" w:cs="Arial" w:eastAsia="Arial" w:hAnsi="Arial"/>
          <w:sz w:val="27"/>
          <w:szCs w:val="27"/>
          <w:color w:val="auto"/>
          <w:vertAlign w:val="superscript"/>
        </w:rPr>
      </w:pPr>
      <w:r>
        <w:rPr>
          <w:rFonts w:ascii="Arial" w:cs="Arial" w:eastAsia="Arial" w:hAnsi="Arial"/>
          <w:sz w:val="16"/>
          <w:szCs w:val="16"/>
          <w:color w:val="auto"/>
        </w:rPr>
        <w:t>NTD: Insert Maturity Date.</w:t>
      </w:r>
    </w:p>
    <w:p>
      <w:pPr>
        <w:ind w:left="284" w:hanging="284"/>
        <w:spacing w:after="0" w:line="181" w:lineRule="auto"/>
        <w:tabs>
          <w:tab w:leader="none" w:pos="284"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day before the third anniversary of issuance.</w:t>
      </w:r>
    </w:p>
    <w:p>
      <w:pPr>
        <w:ind w:left="284" w:hanging="284"/>
        <w:spacing w:after="0" w:line="181" w:lineRule="auto"/>
        <w:tabs>
          <w:tab w:leader="none" w:pos="284" w:val="left"/>
        </w:tabs>
        <w:numPr>
          <w:ilvl w:val="0"/>
          <w:numId w:val="100"/>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third anniversary of issuance.</w:t>
      </w:r>
    </w:p>
    <w:p>
      <w:pPr>
        <w:ind w:left="284" w:hanging="284"/>
        <w:spacing w:after="0" w:line="182" w:lineRule="auto"/>
        <w:tabs>
          <w:tab w:leader="none" w:pos="284" w:val="left"/>
        </w:tabs>
        <w:numPr>
          <w:ilvl w:val="0"/>
          <w:numId w:val="101"/>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the third anniversary of issuance.</w:t>
      </w:r>
    </w:p>
    <w:p>
      <w:pPr>
        <w:ind w:left="284" w:hanging="284"/>
        <w:spacing w:after="0" w:line="181" w:lineRule="auto"/>
        <w:tabs>
          <w:tab w:leader="none" w:pos="284" w:val="left"/>
        </w:tabs>
        <w:numPr>
          <w:ilvl w:val="0"/>
          <w:numId w:val="102"/>
        </w:numPr>
        <w:rPr>
          <w:rFonts w:ascii="Arial" w:cs="Arial" w:eastAsia="Arial" w:hAnsi="Arial"/>
          <w:sz w:val="22"/>
          <w:szCs w:val="22"/>
          <w:color w:val="auto"/>
          <w:vertAlign w:val="superscript"/>
        </w:rPr>
      </w:pPr>
      <w:r>
        <w:rPr>
          <w:rFonts w:ascii="Arial" w:cs="Arial" w:eastAsia="Arial" w:hAnsi="Arial"/>
          <w:sz w:val="14"/>
          <w:szCs w:val="14"/>
          <w:color w:val="auto"/>
        </w:rPr>
        <w:t>NTD: Insert Maturity Date.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10" w:name="page111"/>
    <w:bookmarkEnd w:id="110"/>
    <w:p>
      <w:pPr>
        <w:ind w:left="560"/>
        <w:spacing w:after="0"/>
        <w:rPr>
          <w:sz w:val="20"/>
          <w:szCs w:val="20"/>
          <w:color w:val="auto"/>
        </w:rPr>
      </w:pPr>
      <w:r>
        <w:rPr>
          <w:rFonts w:ascii="Arial" w:cs="Arial" w:eastAsia="Arial" w:hAnsi="Arial"/>
          <w:sz w:val="16"/>
          <w:szCs w:val="16"/>
          <w:color w:val="auto"/>
        </w:rPr>
        <w:t>Notwithstanding the preceding, none of the following items will be deemed to be an Asset Sale:</w:t>
      </w:r>
    </w:p>
    <w:p>
      <w:pPr>
        <w:spacing w:after="0" w:line="198" w:lineRule="exact"/>
        <w:rPr>
          <w:sz w:val="20"/>
          <w:szCs w:val="20"/>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that involves assets having a Fair Market Value of less than $1.0 million at such time;</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transfer of assets (including Equity Interests of Subsidiaries) between or among the Company and its Subsidiaries;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 issuance of Equity Interests by a Subsidiary of the Company to the Company or to another Subsidiary of the Company;</w:t>
      </w:r>
    </w:p>
    <w:p>
      <w:pPr>
        <w:spacing w:after="0" w:line="198" w:lineRule="exact"/>
        <w:rPr>
          <w:rFonts w:ascii="Arial" w:cs="Arial" w:eastAsia="Arial" w:hAnsi="Arial"/>
          <w:sz w:val="16"/>
          <w:szCs w:val="16"/>
          <w:color w:val="auto"/>
        </w:rPr>
      </w:pPr>
    </w:p>
    <w:p>
      <w:pPr>
        <w:jc w:val="both"/>
        <w:ind w:right="20" w:firstLine="569"/>
        <w:spacing w:after="0" w:line="258" w:lineRule="auto"/>
        <w:tabs>
          <w:tab w:leader="none" w:pos="8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sale, abandonment, disposition, lease or sublease of products, inventory, equipment, services, accounts receivable or other assets or property (including, but not limited to, real property), or the granting of any option or other right to purchase, lease or otherwise acquire such assets, in each case, in the ordinary course of business and any sale or other disposition of assets that are damaged, worn out, obsolete or otherwise unsuitable for use or unusable by the Company or its Subsidiaries in connection with the conduct of their business as determined in good faith by the Company’s executive officers;</w:t>
      </w:r>
    </w:p>
    <w:p>
      <w:pPr>
        <w:spacing w:after="0" w:line="164"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sale or other disposition of cash or Cash Equivalents;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Restricted Payment that does not violate Section 4.10 of this Indenture or a Permitted Investment;</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sale or disposition deemed to occur in connection with the granting or creating of a Permitted Lien;</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licensing of patents, trademarks, copyrights, and other intellectual property rights in the ordinary course of business;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any involuntary loss, damage or destruction of property;</w:t>
      </w:r>
    </w:p>
    <w:p>
      <w:pPr>
        <w:spacing w:after="0" w:line="198" w:lineRule="exact"/>
        <w:rPr>
          <w:rFonts w:ascii="Arial" w:cs="Arial" w:eastAsia="Arial" w:hAnsi="Arial"/>
          <w:sz w:val="16"/>
          <w:szCs w:val="16"/>
          <w:color w:val="auto"/>
        </w:rPr>
      </w:pPr>
    </w:p>
    <w:p>
      <w:pPr>
        <w:ind w:left="880" w:hanging="311"/>
        <w:spacing w:after="0"/>
        <w:tabs>
          <w:tab w:leader="none" w:pos="8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involuntary condemnation, seizure or taking, by exercise of the power of eminent domain or otherwise, or confiscation or requisition of use of property; and</w:t>
      </w:r>
    </w:p>
    <w:p>
      <w:pPr>
        <w:spacing w:after="0" w:line="221" w:lineRule="exact"/>
        <w:rPr>
          <w:rFonts w:ascii="Arial" w:cs="Arial" w:eastAsia="Arial" w:hAnsi="Arial"/>
          <w:sz w:val="14"/>
          <w:szCs w:val="14"/>
          <w:color w:val="auto"/>
        </w:rPr>
      </w:pPr>
    </w:p>
    <w:p>
      <w:pPr>
        <w:ind w:right="20" w:firstLine="569"/>
        <w:spacing w:after="0" w:line="275" w:lineRule="auto"/>
        <w:tabs>
          <w:tab w:leader="none" w:pos="89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lapse of registered patents, trademarks and other intellectual property of the Company and its Subsidiaries to the extent not economically desirable in the conduct of their business and so long as such lapse does not materially interfere with the business of the Company and its Subsidiaries.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for it 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44"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Note, any day other than a Saturday, a Sunday or a day on which the Federal Reserve Bank of New York is authorized or required by law or executive order to close or be closed. However, solely for purposes of Section 18.06, a day on which the applicable place of payment is authorized or required by law or executive order to close or be closed will be deemed not to be a “Business Day.”</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for any entity, any and all shares, interests, rights to purchase, warrants, options, participations or other equivalents of or interests in (however designated) stock issued by that entity, but shall not include any debt securities convertible or exchangeable for any securities otherwise constituting Capital Stock pursuant to this definition until so converted or exchanged.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1" w:name="page112"/>
    <w:bookmarkEnd w:id="111"/>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Capitalized Lease Obligation</w:t>
      </w:r>
      <w:r>
        <w:rPr>
          <w:rFonts w:ascii="Arial" w:cs="Arial" w:eastAsia="Arial" w:hAnsi="Arial"/>
          <w:sz w:val="16"/>
          <w:szCs w:val="16"/>
          <w:color w:val="auto"/>
        </w:rPr>
        <w:t>” means, as to any Person, the obligations of such Person under a lease that are required to be classified and accounted for as capital lease obligations under GAAP and, for purposes of this definition, the amount of such obligations at any date shall be the capitalized amount of such obligations at such date, determined in accordance with GAAP.</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w:t>
      </w:r>
    </w:p>
    <w:p>
      <w:pPr>
        <w:spacing w:after="0" w:line="202" w:lineRule="exact"/>
        <w:rPr>
          <w:sz w:val="20"/>
          <w:szCs w:val="20"/>
          <w:color w:val="auto"/>
        </w:rPr>
      </w:pPr>
    </w:p>
    <w:p>
      <w:pPr>
        <w:ind w:firstLine="569"/>
        <w:spacing w:after="0" w:line="275" w:lineRule="auto"/>
        <w:tabs>
          <w:tab w:leader="none" w:pos="81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 thereof;</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marketable direct obligations issued or fully guaranteed by any state of the United States of America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162" w:lineRule="exact"/>
        <w:rPr>
          <w:rFonts w:ascii="Arial" w:cs="Arial" w:eastAsia="Arial" w:hAnsi="Arial"/>
          <w:sz w:val="16"/>
          <w:szCs w:val="16"/>
          <w:color w:val="auto"/>
        </w:rPr>
      </w:pPr>
    </w:p>
    <w:p>
      <w:pPr>
        <w:ind w:right="20" w:firstLine="569"/>
        <w:spacing w:after="0" w:line="275" w:lineRule="auto"/>
        <w:tabs>
          <w:tab w:leader="none" w:pos="8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commercial paper maturing no more than 270 days from the date of creation thereof and, at the time of acquisition, having a rating of at least A-2 from S&amp;P or at least P-2 from Moody’s;</w:t>
      </w:r>
    </w:p>
    <w:p>
      <w:pPr>
        <w:spacing w:after="0" w:line="151" w:lineRule="exact"/>
        <w:rPr>
          <w:rFonts w:ascii="Arial" w:cs="Arial" w:eastAsia="Arial" w:hAnsi="Arial"/>
          <w:sz w:val="16"/>
          <w:szCs w:val="16"/>
          <w:color w:val="auto"/>
        </w:rPr>
      </w:pPr>
    </w:p>
    <w:p>
      <w:pPr>
        <w:ind w:right="20" w:firstLine="569"/>
        <w:spacing w:after="0" w:line="275" w:lineRule="auto"/>
        <w:tabs>
          <w:tab w:leader="none" w:pos="82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the case of any foreign Subsidiary of the Company, such local currencies held by it from time to time in the ordinary course of business and the foreign equivalent of Cash Equivalents described in clause (2) above;</w:t>
      </w:r>
    </w:p>
    <w:p>
      <w:pPr>
        <w:spacing w:after="0" w:line="151" w:lineRule="exact"/>
        <w:rPr>
          <w:rFonts w:ascii="Arial" w:cs="Arial" w:eastAsia="Arial" w:hAnsi="Arial"/>
          <w:sz w:val="16"/>
          <w:szCs w:val="16"/>
          <w:color w:val="auto"/>
        </w:rPr>
      </w:pPr>
    </w:p>
    <w:p>
      <w:pPr>
        <w:jc w:val="both"/>
        <w:ind w:firstLine="569"/>
        <w:spacing w:after="0" w:line="287" w:lineRule="auto"/>
        <w:tabs>
          <w:tab w:leader="none" w:pos="80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demand or time deposit accounts with commercial banks that satisfy the criteria described in clause (6) below or any other commercial bank organized under the laws of the United States of America, any state thereof, the District of Columbia, Canada or any province or territory thereof; provided that the full amount maintained with any such other bank is insured by the Federal Deposit Insurance Corporation or the Canadian Deposit Insurance Corporation, as applicable;</w:t>
      </w:r>
    </w:p>
    <w:p>
      <w:pPr>
        <w:spacing w:after="0" w:line="146" w:lineRule="exact"/>
        <w:rPr>
          <w:rFonts w:ascii="Arial" w:cs="Arial" w:eastAsia="Arial" w:hAnsi="Arial"/>
          <w:sz w:val="15"/>
          <w:szCs w:val="15"/>
          <w:color w:val="auto"/>
        </w:rPr>
      </w:pPr>
    </w:p>
    <w:p>
      <w:pPr>
        <w:jc w:val="both"/>
        <w:ind w:firstLine="569"/>
        <w:spacing w:after="0" w:line="255" w:lineRule="auto"/>
        <w:tabs>
          <w:tab w:leader="none" w:pos="8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obligations (including, but not limited to, overnight bank deposits, demand or time deposits, bankers’ acceptances and certificates of deposit) issued or guaranteed by a depository institution or trust company organized under the laws of the United States of America, any state thereof, the District of Columbia, Canada or any province or territory thereof or any United States branch of a foreign bank or any member of the European Union; provided that (A) such instrument has a final maturity not more than one year from the date of purchase thereof by the Company or any Subsidiary of the Company and (B) such depository institution or trust company has at the date of acquisition thereof combined capital and surplus in excess of $500.0 million;</w:t>
      </w:r>
    </w:p>
    <w:p>
      <w:pPr>
        <w:spacing w:after="0" w:line="169" w:lineRule="exact"/>
        <w:rPr>
          <w:rFonts w:ascii="Arial" w:cs="Arial" w:eastAsia="Arial" w:hAnsi="Arial"/>
          <w:sz w:val="16"/>
          <w:szCs w:val="16"/>
          <w:color w:val="auto"/>
        </w:rPr>
      </w:pPr>
    </w:p>
    <w:p>
      <w:pPr>
        <w:ind w:right="20" w:firstLine="569"/>
        <w:spacing w:after="0" w:line="275" w:lineRule="auto"/>
        <w:tabs>
          <w:tab w:leader="none" w:pos="80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debt securities with maturities of six months or less from the date of acquisition backed by standby letters of credit issued by any commercial bank satisfying the criteria described in clause (6) above;</w:t>
      </w:r>
    </w:p>
    <w:p>
      <w:pPr>
        <w:spacing w:after="0" w:line="151" w:lineRule="exact"/>
        <w:rPr>
          <w:rFonts w:ascii="Arial" w:cs="Arial" w:eastAsia="Arial" w:hAnsi="Arial"/>
          <w:sz w:val="16"/>
          <w:szCs w:val="16"/>
          <w:color w:val="auto"/>
        </w:rPr>
      </w:pPr>
    </w:p>
    <w:p>
      <w:pPr>
        <w:ind w:firstLine="569"/>
        <w:spacing w:after="0" w:line="275" w:lineRule="auto"/>
        <w:tabs>
          <w:tab w:leader="none" w:pos="80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repurchase obligations with a term of not more than seven days for underlying securities of the types described in clauses (1), (2) and (6) above entered into with any bank meeting the qualifications specified in clause (6) above; and</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investments in money market funds which invest substantially all their assets in securities of the types described in clauses (1) through (7) above.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Interest</w:t>
      </w:r>
      <w:r>
        <w:rPr>
          <w:rFonts w:ascii="Arial" w:cs="Arial" w:eastAsia="Arial" w:hAnsi="Arial"/>
          <w:sz w:val="16"/>
          <w:szCs w:val="16"/>
          <w:color w:val="auto"/>
        </w:rPr>
        <w:t>” shall have the meaning specified in Section 4.01.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Designations</w:t>
      </w:r>
      <w:r>
        <w:rPr>
          <w:rFonts w:ascii="Arial" w:cs="Arial" w:eastAsia="Arial" w:hAnsi="Arial"/>
          <w:sz w:val="16"/>
          <w:szCs w:val="16"/>
          <w:color w:val="auto"/>
        </w:rPr>
        <w:t>” means the certificate of designations of the Company in effect on the date hereof, as amended from time to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2" w:name="page113"/>
    <w:bookmarkEnd w:id="112"/>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A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B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Clause C Distribution</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close of business</w:t>
      </w:r>
      <w:r>
        <w:rPr>
          <w:rFonts w:ascii="Arial" w:cs="Arial" w:eastAsia="Arial" w:hAnsi="Arial"/>
          <w:sz w:val="16"/>
          <w:szCs w:val="16"/>
          <w:color w:val="auto"/>
        </w:rPr>
        <w:t>” means 5:00 p.m. (New York City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Combination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the U.S. Securities and Exchange Commission.</w:t>
      </w:r>
    </w:p>
    <w:p>
      <w:pPr>
        <w:spacing w:after="0" w:line="198" w:lineRule="exact"/>
        <w:rPr>
          <w:sz w:val="20"/>
          <w:szCs w:val="20"/>
          <w:color w:val="auto"/>
        </w:rPr>
      </w:pPr>
    </w:p>
    <w:p>
      <w:pPr>
        <w:jc w:val="both"/>
        <w:ind w:left="4"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63"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the voting common stock of the Company, par value $[0.0001]</w:t>
      </w:r>
      <w:r>
        <w:rPr>
          <w:rFonts w:ascii="Arial" w:cs="Arial" w:eastAsia="Arial" w:hAnsi="Arial"/>
          <w:sz w:val="25"/>
          <w:szCs w:val="25"/>
          <w:color w:val="auto"/>
          <w:vertAlign w:val="superscript"/>
        </w:rPr>
        <w:t>8</w:t>
      </w:r>
      <w:r>
        <w:rPr>
          <w:rFonts w:ascii="Arial" w:cs="Arial" w:eastAsia="Arial" w:hAnsi="Arial"/>
          <w:sz w:val="15"/>
          <w:szCs w:val="15"/>
          <w:color w:val="auto"/>
        </w:rPr>
        <w:t xml:space="preserve"> per share, at the date of this Indenture, subject to Section 14.08.</w:t>
      </w:r>
    </w:p>
    <w:p>
      <w:pPr>
        <w:spacing w:after="0" w:line="123"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w:t>
      </w:r>
      <w:r>
        <w:rPr>
          <w:rFonts w:ascii="Arial" w:cs="Arial" w:eastAsia="Arial" w:hAnsi="Arial"/>
          <w:sz w:val="15"/>
          <w:szCs w:val="15"/>
          <w:color w:val="auto"/>
        </w:rPr>
        <w:t>” shall have the meaning specified in the first paragraph of this Indenture, and subject to the provisions of Article 11, shall include its successors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assigns.</w:t>
      </w:r>
    </w:p>
    <w:p>
      <w:pPr>
        <w:spacing w:after="0" w:line="18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Order</w:t>
      </w:r>
      <w:r>
        <w:rPr>
          <w:rFonts w:ascii="Arial" w:cs="Arial" w:eastAsia="Arial" w:hAnsi="Arial"/>
          <w:sz w:val="16"/>
          <w:szCs w:val="16"/>
          <w:color w:val="auto"/>
        </w:rPr>
        <w:t>” means a written order of the Company signed by any of its Officers and delivered to the Trustee.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Agent</w:t>
      </w:r>
      <w:r>
        <w:rPr>
          <w:rFonts w:ascii="Arial" w:cs="Arial" w:eastAsia="Arial" w:hAnsi="Arial"/>
          <w:sz w:val="16"/>
          <w:szCs w:val="16"/>
          <w:color w:val="auto"/>
        </w:rPr>
        <w:t>” shall have the meaning specified in Section 4.02.</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Consideration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shall have the meaning specified in Section 14.02(c).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Obligation</w:t>
      </w:r>
      <w:r>
        <w:rPr>
          <w:rFonts w:ascii="Arial" w:cs="Arial" w:eastAsia="Arial" w:hAnsi="Arial"/>
          <w:sz w:val="16"/>
          <w:szCs w:val="16"/>
          <w:color w:val="auto"/>
        </w:rPr>
        <w:t>” shall have the meaning specified in Section 14.01(a).</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xml:space="preserve">” means as of any time, $1,000,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the Conversion Rate as of such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Rate</w:t>
      </w:r>
      <w:r>
        <w:rPr>
          <w:rFonts w:ascii="Arial" w:cs="Arial" w:eastAsia="Arial" w:hAnsi="Arial"/>
          <w:sz w:val="16"/>
          <w:szCs w:val="16"/>
          <w:color w:val="auto"/>
        </w:rPr>
        <w:t>” shall have the meaning specified in Section 14.01(a).</w:t>
      </w:r>
    </w:p>
    <w:p>
      <w:pPr>
        <w:spacing w:after="0" w:line="198" w:lineRule="exact"/>
        <w:rPr>
          <w:sz w:val="20"/>
          <w:szCs w:val="20"/>
          <w:color w:val="auto"/>
        </w:rPr>
      </w:pPr>
    </w:p>
    <w:p>
      <w:pPr>
        <w:jc w:val="both"/>
        <w:ind w:left="4" w:right="20" w:firstLine="574"/>
        <w:spacing w:after="0" w:line="23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designated office of the Trustee at which at any time this Indenture shall be administered, which office at the date hereof is located at U.S. Bank National Association,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Attention: [●],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76" w:lineRule="exact"/>
        <w:rPr>
          <w:sz w:val="20"/>
          <w:szCs w:val="20"/>
          <w:color w:val="auto"/>
        </w:rPr>
      </w:pPr>
    </w:p>
    <w:p>
      <w:pPr>
        <w:jc w:val="both"/>
        <w:ind w:left="4"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Credit Facility</w:t>
      </w:r>
      <w:r>
        <w:rPr>
          <w:rFonts w:ascii="Arial" w:cs="Arial" w:eastAsia="Arial" w:hAnsi="Arial"/>
          <w:sz w:val="15"/>
          <w:szCs w:val="15"/>
          <w:color w:val="auto"/>
        </w:rPr>
        <w:t>” means any credit or debt facilities, commercial paper facilities or other debt instruments, indentures or agreements, in each case providing for revolving credit loans, term loans, receivables financings, letters of credit or other Indebtedness, in each case, including all agreements, instruments and documents executed and delivered pursuant to or in connection with any of the foregoing, including but not limited to any notes and letters of credit issued pursuant thereto and any guarantee and collateral agreement, patent and trademark security agreement, mortgages or letter of credit applications and other guarantees, pledge agreements, security agreements and collateral documents, in each case as the same may be amended, supplemented, waived or otherwise modified from time to time, or refunded, refinanced, restructured, replaced, renewed, repaid, increased or extended from time to time (whether in whole or in part, whether with the original banks, lenders or institutions or other banks, lenders or institutions or otherwise, and whether provided under any original Credit Facility or one or more other credit agreements, indentures, financing agreements or other Credit Facilities or otherwise). Without limiting the generality of the foregoing, the term “Credit Facility” shall include any (i) agreement changing the maturity of any Indebtedness incurred thereunder or contemplated thereby, (ii) agreement adding Subsidiaries as additional borrowers or guarantors thereunder, (iii) agreement increasing the amount of Indebtedness incurred thereunder or available to be borrowed thereunder, (iv) Hedging Agreement or other similar agreement or arrangement with respect thereto or (v) agreement otherwise altering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79070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3" w:lineRule="exact"/>
        <w:rPr>
          <w:sz w:val="20"/>
          <w:szCs w:val="20"/>
          <w:color w:val="auto"/>
        </w:rPr>
      </w:pPr>
    </w:p>
    <w:p>
      <w:pPr>
        <w:ind w:left="284" w:hanging="284"/>
        <w:spacing w:after="0"/>
        <w:tabs>
          <w:tab w:leader="none" w:pos="284" w:val="left"/>
        </w:tabs>
        <w:numPr>
          <w:ilvl w:val="0"/>
          <w:numId w:val="105"/>
        </w:numPr>
        <w:rPr>
          <w:rFonts w:ascii="Arial" w:cs="Arial" w:eastAsia="Arial" w:hAnsi="Arial"/>
          <w:sz w:val="27"/>
          <w:szCs w:val="27"/>
          <w:color w:val="auto"/>
          <w:vertAlign w:val="superscript"/>
        </w:rPr>
      </w:pPr>
      <w:r>
        <w:rPr>
          <w:rFonts w:ascii="Arial" w:cs="Arial" w:eastAsia="Arial" w:hAnsi="Arial"/>
          <w:sz w:val="16"/>
          <w:szCs w:val="16"/>
          <w:color w:val="auto"/>
        </w:rPr>
        <w:t>NTD: To be confirmed.</w:t>
      </w:r>
    </w:p>
    <w:p>
      <w:pPr>
        <w:ind w:left="284" w:hanging="284"/>
        <w:spacing w:after="0" w:line="181" w:lineRule="auto"/>
        <w:tabs>
          <w:tab w:leader="none" w:pos="284" w:val="left"/>
        </w:tabs>
        <w:numPr>
          <w:ilvl w:val="0"/>
          <w:numId w:val="106"/>
        </w:numPr>
        <w:rPr>
          <w:rFonts w:ascii="Arial" w:cs="Arial" w:eastAsia="Arial" w:hAnsi="Arial"/>
          <w:sz w:val="22"/>
          <w:szCs w:val="22"/>
          <w:color w:val="auto"/>
          <w:vertAlign w:val="superscript"/>
        </w:rPr>
      </w:pPr>
      <w:r>
        <w:rPr>
          <w:rFonts w:ascii="Arial" w:cs="Arial" w:eastAsia="Arial" w:hAnsi="Arial"/>
          <w:sz w:val="14"/>
          <w:szCs w:val="14"/>
          <w:color w:val="auto"/>
        </w:rPr>
        <w:t>NTD: Trustee to provide.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13" w:name="page114"/>
    <w:bookmarkEnd w:id="113"/>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for The Depository Trust Company, with respect to the Global Notes, or any successor entity thereto.</w:t>
      </w:r>
    </w:p>
    <w:p>
      <w:pPr>
        <w:spacing w:after="0" w:line="198" w:lineRule="exact"/>
        <w:rPr>
          <w:sz w:val="20"/>
          <w:szCs w:val="20"/>
          <w:color w:val="auto"/>
        </w:rPr>
      </w:pPr>
    </w:p>
    <w:p>
      <w:pPr>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Conversion Value</w:t>
      </w:r>
      <w:r>
        <w:rPr>
          <w:rFonts w:ascii="Arial" w:cs="Arial" w:eastAsia="Arial" w:hAnsi="Arial"/>
          <w:sz w:val="16"/>
          <w:szCs w:val="16"/>
          <w:color w:val="auto"/>
        </w:rPr>
        <w:t>” means, for each of the 30 consecutive Trading Days during the Observation Period, 1/30th of the product of (a) the Conversion Rate on such Trading Day and (b) the Daily VWAP for such Trading Day.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Measurement Value</w:t>
      </w:r>
      <w:r>
        <w:rPr>
          <w:rFonts w:ascii="Arial" w:cs="Arial" w:eastAsia="Arial" w:hAnsi="Arial"/>
          <w:sz w:val="16"/>
          <w:szCs w:val="16"/>
          <w:color w:val="auto"/>
        </w:rPr>
        <w:t xml:space="preserve">” means the Specified Dollar Amount (if any),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for each of the 30 consecutive Trading Days during the Observation Period, shall consist of:</w:t>
      </w:r>
    </w:p>
    <w:p>
      <w:pPr>
        <w:spacing w:after="0" w:line="202" w:lineRule="exact"/>
        <w:rPr>
          <w:sz w:val="20"/>
          <w:szCs w:val="20"/>
          <w:color w:val="auto"/>
        </w:rPr>
      </w:pPr>
    </w:p>
    <w:p>
      <w:pPr>
        <w:ind w:left="780" w:hanging="211"/>
        <w:spacing w:after="0"/>
        <w:tabs>
          <w:tab w:leader="none" w:pos="7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 and</w:t>
      </w:r>
    </w:p>
    <w:p>
      <w:pPr>
        <w:spacing w:after="0" w:line="198" w:lineRule="exact"/>
        <w:rPr>
          <w:rFonts w:ascii="Arial" w:cs="Arial" w:eastAsia="Arial" w:hAnsi="Arial"/>
          <w:sz w:val="16"/>
          <w:szCs w:val="16"/>
          <w:color w:val="auto"/>
        </w:rPr>
      </w:pPr>
    </w:p>
    <w:p>
      <w:pPr>
        <w:ind w:firstLine="569"/>
        <w:spacing w:after="0" w:line="275" w:lineRule="auto"/>
        <w:tabs>
          <w:tab w:leader="none" w:pos="8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Daily VWAP for such Trading Day.</w:t>
      </w:r>
    </w:p>
    <w:p>
      <w:pPr>
        <w:spacing w:after="0" w:line="14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of the 30 consecutive Trading Days during the relevant Observation Period, the per share volume-weighted average price as displayed under the heading “Bloomberg VWAP” on Bloomberg page “[●]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6"/>
          <w:szCs w:val="16"/>
          <w:b w:val="1"/>
          <w:bCs w:val="1"/>
          <w:color w:val="auto"/>
        </w:rPr>
        <w:t>Daily VWAP</w:t>
      </w:r>
      <w:r>
        <w:rPr>
          <w:rFonts w:ascii="Arial" w:cs="Arial" w:eastAsia="Arial" w:hAnsi="Arial"/>
          <w:sz w:val="16"/>
          <w:szCs w:val="16"/>
          <w:color w:val="auto"/>
        </w:rPr>
        <w:t>” shall be determined without regard to after-hours trading or any other trading outside of the regular trading session trading hours.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event that is, or after notice or passage of time, or both, would be, an Event of Default.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Defaulted Amounts</w:t>
      </w:r>
      <w:r>
        <w:rPr>
          <w:rFonts w:ascii="Arial" w:cs="Arial" w:eastAsia="Arial" w:hAnsi="Arial"/>
          <w:sz w:val="16"/>
          <w:szCs w:val="16"/>
          <w:color w:val="auto"/>
        </w:rPr>
        <w:t>” means any amounts on any Note (including, without limitation, the Redemption Price, the Fundamental Change Repurchase Price, principal and interest) that are payable but are not punctually paid or duly provided for.</w:t>
      </w:r>
    </w:p>
    <w:p>
      <w:pPr>
        <w:spacing w:after="0" w:line="144"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Default Settlement Method</w:t>
      </w:r>
      <w:r>
        <w:rPr>
          <w:rFonts w:ascii="Arial" w:cs="Arial" w:eastAsia="Arial" w:hAnsi="Arial"/>
          <w:sz w:val="15"/>
          <w:szCs w:val="15"/>
          <w:color w:val="auto"/>
        </w:rPr>
        <w:t xml:space="preserve">” means, initially, Combination Settlement with a Specified Dollar Amount of $1,000 per $1,000 principal amount of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the Company may, from time to time, change the Default Settlement Method by sending written notice of the new Default Settlement Method to the Holders, the Trustee and the Conversion Agent (if other than the Trustee);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Company may, by notice to all Holders, the Trustee and the Conversion Agent (if other than the Trustee), irrevocably fix the Settlement Method (to any Settlement Method that it is then permitted to elect), that will apply to all Note conversions with a Conversion Date that is on or after the date the Company sends such notice. Notwithstanding the foregoing, no such change in the Default Settlement Method or irrevocable election will affect any Settlement Method theretofore elected (or deemed to be elected) with respect to any Note pursuant to </w:t>
      </w:r>
      <w:r>
        <w:rPr>
          <w:rFonts w:ascii="Arial" w:cs="Arial" w:eastAsia="Arial" w:hAnsi="Arial"/>
          <w:sz w:val="15"/>
          <w:szCs w:val="15"/>
          <w:u w:val="single" w:color="auto"/>
          <w:color w:val="auto"/>
        </w:rPr>
        <w:t>Section 14.02</w:t>
      </w:r>
      <w:r>
        <w:rPr>
          <w:rFonts w:ascii="Arial" w:cs="Arial" w:eastAsia="Arial" w:hAnsi="Arial"/>
          <w:sz w:val="15"/>
          <w:szCs w:val="15"/>
          <w:color w:val="auto"/>
        </w:rPr>
        <w:t xml:space="preserve">. Concurrently with sending written notice to all Holders, the Trustee and the Conversion Agent (if other than the Trustee) of a change in the Default Settlement Method or an election to irrevocably fix the Settlement Method, the Company shall promptly issue a report on Form 8-K or press release, which the Company shall post on its website, announcing that it has made such change to the Default Settlement Method or elected to irrevocably fix the Settlement Method, as the case may be. For the avoidance of doubt, such an irrevocable election, if made, will be effective without the need to amend this Indenture or the Notes, including pursuant to </w:t>
      </w:r>
      <w:r>
        <w:rPr>
          <w:rFonts w:ascii="Arial" w:cs="Arial" w:eastAsia="Arial" w:hAnsi="Arial"/>
          <w:sz w:val="15"/>
          <w:szCs w:val="15"/>
          <w:u w:val="single" w:color="auto"/>
          <w:color w:val="auto"/>
        </w:rPr>
        <w:t>Section 10.01(i)</w:t>
      </w:r>
      <w:r>
        <w:rPr>
          <w:rFonts w:ascii="Arial" w:cs="Arial" w:eastAsia="Arial" w:hAnsi="Arial"/>
          <w:sz w:val="15"/>
          <w:szCs w:val="15"/>
          <w:color w:val="auto"/>
          <w:highlight w:val="white"/>
        </w:rPr>
        <w:t>.</w:t>
      </w:r>
      <w:r>
        <w:rPr>
          <w:rFonts w:ascii="Arial" w:cs="Arial" w:eastAsia="Arial" w:hAnsi="Arial"/>
          <w:sz w:val="15"/>
          <w:szCs w:val="15"/>
          <w:color w:val="auto"/>
        </w:rPr>
        <w:t xml:space="preserve"> However, the Company may nonetheless choose to execute such an amendment at its option.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4" w:name="page115"/>
    <w:bookmarkEnd w:id="114"/>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Depositary</w:t>
      </w:r>
      <w:r>
        <w:rPr>
          <w:rFonts w:ascii="Arial" w:cs="Arial" w:eastAsia="Arial" w:hAnsi="Arial"/>
          <w:sz w:val="15"/>
          <w:szCs w:val="15"/>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5"/>
          <w:szCs w:val="15"/>
          <w:b w:val="1"/>
          <w:bCs w:val="1"/>
          <w:color w:val="auto"/>
        </w:rPr>
        <w:t>Depositary</w:t>
      </w:r>
      <w:r>
        <w:rPr>
          <w:rFonts w:ascii="Arial" w:cs="Arial" w:eastAsia="Arial" w:hAnsi="Arial"/>
          <w:sz w:val="15"/>
          <w:szCs w:val="15"/>
          <w:color w:val="auto"/>
        </w:rPr>
        <w:t>” shall mean or include such successor.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Financial Institution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Disqualified Capital Stock</w:t>
      </w:r>
      <w:r>
        <w:rPr>
          <w:rFonts w:ascii="Arial" w:cs="Arial" w:eastAsia="Arial" w:hAnsi="Arial"/>
          <w:sz w:val="14"/>
          <w:szCs w:val="14"/>
          <w:color w:val="auto"/>
        </w:rPr>
        <w:t xml:space="preserve">” means that portion of any Capital Stock which, by its terms (or by the terms of any security into which it is convertible or for which it is exchangeable at the option of the holder thereof) or upon the happening of any event, matures or is mandatorily redeemable (other than solely for Capital Stock in such Person that does not constitute Disqualified Capital Stock and cash in lieu of fractional shares of such Capital Stock), pursuant to a sinking fund obligation or otherwise, or is redeemable (other than solely for Capital Stock in such Person that does not constitute Disqualified Capital Stock and cash in lieu of fractional shares of such Capital Stock) at the sole option of the holder thereof, on or prior to the final maturity date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Capital Stock in any Person is issued pursuant to any plan for the benefit of employees of the Company or any Subsidiary or by any such plan to such employees, such Capital Stock shall not constitute Disqualified Capital Stock solely because it may be required to be repurchased by the Company or any Subsidiary in order to satisfy applicable statutory or regulatory obligations of such Person.</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Distributed Property</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any Subsidiary of the Company that is organized under the laws of the United States of America or any state thereof or the District of Columbia and any Subsidiary of such Domestic Subsidiary (including, for the avoidance of doubt, any Subsidiary of the Company which is organized and existing under the laws of Puerto Rico or any other territory of the United States of America).</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shall have the meaning specified in Section 14.03(c), except that, as used in Section 14.04 and Section 14.05,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Common Stock under a separate ticker symbol or CUSIP number will not be considered “regular way” for this purpose.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Market</w:t>
      </w:r>
      <w:r>
        <w:rPr>
          <w:rFonts w:ascii="Arial" w:cs="Arial" w:eastAsia="Arial" w:hAnsi="Arial"/>
          <w:sz w:val="16"/>
          <w:szCs w:val="16"/>
          <w:color w:val="auto"/>
        </w:rPr>
        <w:t>” means The New York Stock Exchange or The Nasdaq Stock Market.</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Conditions</w:t>
      </w:r>
      <w:r>
        <w:rPr>
          <w:rFonts w:ascii="Arial" w:cs="Arial" w:eastAsia="Arial" w:hAnsi="Arial"/>
          <w:sz w:val="14"/>
          <w:szCs w:val="14"/>
          <w:color w:val="auto"/>
        </w:rPr>
        <w:t>” means, with respect to a given date of determination: (i) on each day during the period beginning 30 days prior to such applicable date of determination and ending on and including such applicable date of determination (the “</w:t>
      </w:r>
      <w:r>
        <w:rPr>
          <w:rFonts w:ascii="Arial" w:cs="Arial" w:eastAsia="Arial" w:hAnsi="Arial"/>
          <w:sz w:val="14"/>
          <w:szCs w:val="14"/>
          <w:b w:val="1"/>
          <w:bCs w:val="1"/>
          <w:color w:val="auto"/>
        </w:rPr>
        <w:t>Equity Conditions Measuring Period</w:t>
      </w:r>
      <w:r>
        <w:rPr>
          <w:rFonts w:ascii="Arial" w:cs="Arial" w:eastAsia="Arial" w:hAnsi="Arial"/>
          <w:sz w:val="14"/>
          <w:szCs w:val="14"/>
          <w:color w:val="auto"/>
        </w:rPr>
        <w:t>”) either (x) one or more registration statements filed with the Commission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(without regard to any limitations on conversion set forth herein) (a “</w:t>
      </w:r>
      <w:r>
        <w:rPr>
          <w:rFonts w:ascii="Arial" w:cs="Arial" w:eastAsia="Arial" w:hAnsi="Arial"/>
          <w:sz w:val="14"/>
          <w:szCs w:val="14"/>
          <w:b w:val="1"/>
          <w:bCs w:val="1"/>
          <w:color w:val="auto"/>
        </w:rPr>
        <w:t>Required Minimum Securities Amount</w:t>
      </w:r>
      <w:r>
        <w:rPr>
          <w:rFonts w:ascii="Arial" w:cs="Arial" w:eastAsia="Arial" w:hAnsi="Arial"/>
          <w:sz w:val="14"/>
          <w:szCs w:val="14"/>
          <w:color w:val="auto"/>
        </w:rPr>
        <w:t xml:space="preserve">”) or (y) all shares of Common Stock issuable upon conversion of the applicable Notes shall be eligible for sale pursuant to Rule 144 of the Securities Act, and the Company is then current with its required filings with the Commission; (ii) on each day during the Equity Conditions Measuring Period, the Common Stock (including all shares of Common Stock issued or issuable upon conversion of the Notes) is listed or designated for quotation (as applicable) on an Eligible Market and shall not have been suspended from trading on an Eligible Market (other than suspensions of not more than two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the Notes on a timely basis in accordance herewith and to the extent required hereby and to the extent required by any other Transaction Document; (iv) any shares of Common Stock to be issued in connection with the event requiring determination (or issuable upon conversion of the portion of the Notes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Change shall have occurred which has not been abandoned, terminated or consummated; (vi) the Company shall have no knowledge of any fact that would reasonably be expected to cause (1) any registration statement filed with the Commission to not be effective or the prospectus contained therein to not be available, in each case, for the resale of the applicable Required Minimum Securities Amount of all shares of Common Stock issuable upon conversion of the applicable Notes in accordance with the terms of the Subscription Agreement or (2) any shares of Common Stock issuable upon conversion of the applicable Notes to not be eligible for sale pursuant to Rule 144, (vii) on each Trading Day during the Equity Conditions Measuring Period there shall not have occurred any Volume Failure as of such applicable date of determination; (viii) on the applicable date of determination all shares of Common Stock to be issued in connection with the event requiring this determination (or issuable upon conversion of the portion of this Note being redeemed in the event requiring this determination (without regards to any limitations on conversion set forth herein)) may be issued in full from the authorized and available shares of Common Stock of the Company; (ix) on each day during the Equity Conditions Measuring Period, there shall not have occurred and there shall not exist an Event of Default or an event that with the passage of time or giving of notice would constitute an Event of Default; (x) the shares of Common Stock issuable pursuant to the event requiring the satisfaction of the Equity Conditions are duly authorized and will be listed and eligible upon issuance for trading on an Eligible Market; (xi) no Holder shall be in possession of any material, non-public information provided to any of them by the Company, any of its Subsidiaries or any of their respective affiliates, employees, officers, representatives, agents or the like; </w:t>
      </w:r>
      <w:r>
        <w:rPr>
          <w:rFonts w:ascii="Arial" w:cs="Arial" w:eastAsia="Arial" w:hAnsi="Arial"/>
          <w:sz w:val="14"/>
          <w:szCs w:val="14"/>
          <w:i w:val="1"/>
          <w:iCs w:val="1"/>
          <w:color w:val="auto"/>
        </w:rPr>
        <w:t>provided</w:t>
      </w:r>
      <w:r>
        <w:rPr>
          <w:rFonts w:ascii="Arial" w:cs="Arial" w:eastAsia="Arial" w:hAnsi="Arial"/>
          <w:sz w:val="14"/>
          <w:szCs w:val="14"/>
          <w:color w:val="auto"/>
        </w:rPr>
        <w:t>, however that the foregoing shall not apply to information provided to any individual serving as a member of the board of directors or as a board observer in the course of such individual’s status as a director or board observer; or (xii) the Company shall not have failed to make any payment due pursuant to any Transaction Document which failure remains incurred as of the Mandatory Conversion 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5" w:name="page116"/>
    <w:bookmarkEnd w:id="115"/>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Conditions Failure</w:t>
      </w:r>
      <w:r>
        <w:rPr>
          <w:rFonts w:ascii="Arial" w:cs="Arial" w:eastAsia="Arial" w:hAnsi="Arial"/>
          <w:sz w:val="14"/>
          <w:szCs w:val="14"/>
          <w:color w:val="auto"/>
        </w:rPr>
        <w:t>” means, with respect to any date of determination, the Equity Conditions have not been satisfied (or waived in writing by the applicable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shall have the meaning specified in the definition of “</w:t>
      </w:r>
      <w:r>
        <w:rPr>
          <w:rFonts w:ascii="Arial" w:cs="Arial" w:eastAsia="Arial" w:hAnsi="Arial"/>
          <w:sz w:val="16"/>
          <w:szCs w:val="16"/>
          <w:b w:val="1"/>
          <w:bCs w:val="1"/>
          <w:color w:val="auto"/>
        </w:rPr>
        <w:t>Equity Conditions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Capital Stock and all warrants, options or other rights to acquire Capital Stock (but excluding any debt security that is convertible into, or exchangeable for Capital Stock).</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shall have the meaning specified in Section 6.01.</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Ex-Dividend Date</w:t>
      </w:r>
      <w:r>
        <w:rPr>
          <w:rFonts w:ascii="Arial" w:cs="Arial" w:eastAsia="Arial" w:hAnsi="Arial"/>
          <w:sz w:val="16"/>
          <w:szCs w:val="16"/>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Election</w:t>
      </w:r>
      <w:r>
        <w:rPr>
          <w:rFonts w:ascii="Arial" w:cs="Arial" w:eastAsia="Arial" w:hAnsi="Arial"/>
          <w:sz w:val="16"/>
          <w:szCs w:val="16"/>
          <w:color w:val="auto"/>
        </w:rPr>
        <w:t>” shall have the meaning specified in Section 14.12(a).</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value of such asset or liability as determined by senior management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in this Indenture, if the fair market value exceeds $1.0 million, such determination shall be made by the Board of Directors of the Company or an authorized committee thereof in good faith (including as to the value of all non-cash assets and liabilities).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Form of Assignment and Transfer</w:t>
      </w:r>
      <w:r>
        <w:rPr>
          <w:rFonts w:ascii="Arial" w:cs="Arial" w:eastAsia="Arial" w:hAnsi="Arial"/>
          <w:sz w:val="15"/>
          <w:szCs w:val="15"/>
          <w:color w:val="auto"/>
        </w:rPr>
        <w:t>” means the “Form of Assignment and Transfer” attached as Attachment 3 to the Form of Note attached hereto as Exhibit A.</w:t>
      </w:r>
    </w:p>
    <w:p>
      <w:pPr>
        <w:spacing w:after="0" w:line="21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Fundamental Change Repurchase Notice</w:t>
      </w:r>
      <w:r>
        <w:rPr>
          <w:rFonts w:ascii="Arial" w:cs="Arial" w:eastAsia="Arial" w:hAnsi="Arial"/>
          <w:sz w:val="16"/>
          <w:szCs w:val="16"/>
          <w:color w:val="auto"/>
        </w:rPr>
        <w:t>” means the “Form of Fundamental Change Repurchase Notice” attached as Attachment 2 to the Form of Note attached hereto as Exhibit A.</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Form of Note</w:t>
      </w:r>
      <w:r>
        <w:rPr>
          <w:rFonts w:ascii="Arial" w:cs="Arial" w:eastAsia="Arial" w:hAnsi="Arial"/>
          <w:sz w:val="16"/>
          <w:szCs w:val="16"/>
          <w:color w:val="auto"/>
        </w:rPr>
        <w:t>” means the “Form of Note” attached hereto as Exhibit 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Form of Notice of Conversion</w:t>
      </w:r>
      <w:r>
        <w:rPr>
          <w:rFonts w:ascii="Arial" w:cs="Arial" w:eastAsia="Arial" w:hAnsi="Arial"/>
          <w:sz w:val="15"/>
          <w:szCs w:val="15"/>
          <w:color w:val="auto"/>
        </w:rPr>
        <w:t>” means the “Form of Notice of Conversion” attached as Attachment 1 to the Form of Note attached hereto as Exhibit A.</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w:t>
      </w:r>
      <w:r>
        <w:rPr>
          <w:rFonts w:ascii="Arial" w:cs="Arial" w:eastAsia="Arial" w:hAnsi="Arial"/>
          <w:sz w:val="16"/>
          <w:szCs w:val="16"/>
          <w:color w:val="auto"/>
        </w:rPr>
        <w:t>” shall be deemed to have occurred at the time after the Notes are originally issued if any of the following occurs:</w:t>
      </w:r>
    </w:p>
    <w:p>
      <w:pPr>
        <w:spacing w:after="0" w:line="202" w:lineRule="exact"/>
        <w:rPr>
          <w:sz w:val="20"/>
          <w:szCs w:val="20"/>
          <w:color w:val="auto"/>
        </w:rPr>
      </w:pPr>
    </w:p>
    <w:p>
      <w:pPr>
        <w:jc w:val="both"/>
        <w:ind w:left="560" w:firstLine="583"/>
        <w:spacing w:after="0" w:line="272" w:lineRule="auto"/>
        <w:tabs>
          <w:tab w:leader="none" w:pos="1351"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a “person” or “group” within the meaning of Section 13(d) of the Exchange Act, other than the Company, its direct or indirect Wholly Owned Subsidiaries and the employee benefit plans of the Company and its Wholly Owned Subsidiaries, has become the direct or indirect “beneficial owner,” as defined in Rule 13d-3 under the Exchange Act, of Common Stock of the Company representing more than 50% of the voting power of the Common Stock of the Company and has filed a Schedule TO (or any successor schedule, form or report) or any schedule, form or report under the Exchange Act that discloses such fact,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6" w:name="page117"/>
    <w:bookmarkEnd w:id="116"/>
    <w:p>
      <w:pPr>
        <w:jc w:val="both"/>
        <w:ind w:left="560" w:firstLine="583"/>
        <w:spacing w:after="0" w:line="270" w:lineRule="auto"/>
        <w:tabs>
          <w:tab w:leader="none" w:pos="136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neither (i) a transaction described in clause (A) or clause (B) in which the holders of all classes of the Company’s Common Equity</w:t>
      </w:r>
      <w:r>
        <w:rPr>
          <w:rFonts w:ascii="Arial" w:cs="Arial" w:eastAsia="Arial" w:hAnsi="Arial"/>
          <w:sz w:val="15"/>
          <w:szCs w:val="15"/>
          <w:i w:val="1"/>
          <w:iCs w:val="1"/>
          <w:color w:val="auto"/>
        </w:rPr>
        <w:t xml:space="preserve"> </w:t>
      </w:r>
      <w:r>
        <w:rPr>
          <w:rFonts w:ascii="Arial" w:cs="Arial" w:eastAsia="Arial" w:hAnsi="Arial"/>
          <w:sz w:val="15"/>
          <w:szCs w:val="15"/>
          <w:color w:val="auto"/>
        </w:rPr>
        <w:t>immediately prior to such transaction own, directly or indirectly, more than 50% of all classes of Common Equity of the continuing or surviving corporation or transferee or the direct or indirect parent thereof immediately after such transaction in substantially the same proportions (relative to each other) as such ownership immediately prior to such transaction nor (ii) any merger of the Company solely for the purpose of change its jurisdiction of incorporation that results in a reclassification, conversion or exchange of outstanding shares of Common Stock solely into shares of common stock of the surviving entity shall, in each case, be a Fundamental Change pursuant to this clause (b);</w:t>
      </w:r>
    </w:p>
    <w:p>
      <w:pPr>
        <w:spacing w:after="0" w:line="159" w:lineRule="exact"/>
        <w:rPr>
          <w:rFonts w:ascii="Arial" w:cs="Arial" w:eastAsia="Arial" w:hAnsi="Arial"/>
          <w:sz w:val="15"/>
          <w:szCs w:val="15"/>
          <w:color w:val="auto"/>
        </w:rPr>
      </w:pPr>
    </w:p>
    <w:p>
      <w:pPr>
        <w:ind w:left="1360" w:hanging="217"/>
        <w:spacing w:after="0"/>
        <w:tabs>
          <w:tab w:leader="none" w:pos="13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stockholders of the Company approve any plan or proposal for the liquidation or dissolution of the Company;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6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Common Stock (or other common stock underlying the Notes) ceases to be listed or quoted on any Eligible Market and is not listed or quoted on an Eligible Market within one Trading Day of such cessation;</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however</w:t>
      </w:r>
      <w:r>
        <w:rPr>
          <w:rFonts w:ascii="Arial" w:cs="Arial" w:eastAsia="Arial" w:hAnsi="Arial"/>
          <w:sz w:val="15"/>
          <w:szCs w:val="15"/>
          <w:color w:val="auto"/>
        </w:rPr>
        <w:t>, that a transaction or transactions described in clause (a) or clause (b) above shall not constitute a Fundamental Change, if at least 90% of the consideration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Eligible Market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(subject to the provisions of Section 14.02(a), Section 14.04 and Section 14.03) becomes Reference Property for the Notes. If any transaction in which the Common Stock is replaced by the securities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purposes of this definition, any transaction that constitutes a Fundamental Change pursuant to both clause (a) and clause (b) of this definition (without regard to the proviso in clause (2)) shall be deemed a Fundamental Change solely under clause (2) of such definition (subject to such proviso).</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Company Notice</w:t>
      </w:r>
      <w:r>
        <w:rPr>
          <w:rFonts w:ascii="Arial" w:cs="Arial" w:eastAsia="Arial" w:hAnsi="Arial"/>
          <w:sz w:val="16"/>
          <w:szCs w:val="16"/>
          <w:color w:val="auto"/>
        </w:rPr>
        <w:t>” shall have the meaning specified in Section 15.02(c).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shall have the meaning specified in Section 15.02(a).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shall have the meaning specified in Section 15.02(b)(i).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shall have the meaning specified in Section 15.02(a).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7" w:name="page118"/>
    <w:bookmarkEnd w:id="117"/>
    <w:p>
      <w:pPr>
        <w:jc w:val="both"/>
        <w:ind w:firstLine="574"/>
        <w:spacing w:after="0" w:line="278" w:lineRule="auto"/>
        <w:rPr>
          <w:sz w:val="20"/>
          <w:szCs w:val="20"/>
          <w:color w:val="auto"/>
        </w:rPr>
      </w:pPr>
      <w:r>
        <w:rPr>
          <w:rFonts w:ascii="Arial" w:cs="Arial" w:eastAsia="Arial" w:hAnsi="Arial"/>
          <w:sz w:val="15"/>
          <w:szCs w:val="15"/>
          <w:color w:val="auto"/>
        </w:rPr>
        <w:t>The terms “</w:t>
      </w:r>
      <w:r>
        <w:rPr>
          <w:rFonts w:ascii="Arial" w:cs="Arial" w:eastAsia="Arial" w:hAnsi="Arial"/>
          <w:sz w:val="15"/>
          <w:szCs w:val="15"/>
          <w:b w:val="1"/>
          <w:bCs w:val="1"/>
          <w:color w:val="auto"/>
        </w:rPr>
        <w:t>given</w:t>
      </w:r>
      <w:r>
        <w:rPr>
          <w:rFonts w:ascii="Arial" w:cs="Arial" w:eastAsia="Arial" w:hAnsi="Arial"/>
          <w:sz w:val="15"/>
          <w:szCs w:val="15"/>
          <w:color w:val="auto"/>
        </w:rPr>
        <w:t>”, “</w:t>
      </w:r>
      <w:r>
        <w:rPr>
          <w:rFonts w:ascii="Arial" w:cs="Arial" w:eastAsia="Arial" w:hAnsi="Arial"/>
          <w:sz w:val="15"/>
          <w:szCs w:val="15"/>
          <w:b w:val="1"/>
          <w:bCs w:val="1"/>
          <w:color w:val="auto"/>
        </w:rPr>
        <w:t>mailed</w:t>
      </w:r>
      <w:r>
        <w:rPr>
          <w:rFonts w:ascii="Arial" w:cs="Arial" w:eastAsia="Arial" w:hAnsi="Arial"/>
          <w:sz w:val="15"/>
          <w:szCs w:val="15"/>
          <w:color w:val="auto"/>
        </w:rPr>
        <w:t>”, “</w:t>
      </w:r>
      <w:r>
        <w:rPr>
          <w:rFonts w:ascii="Arial" w:cs="Arial" w:eastAsia="Arial" w:hAnsi="Arial"/>
          <w:sz w:val="15"/>
          <w:szCs w:val="15"/>
          <w:b w:val="1"/>
          <w:bCs w:val="1"/>
          <w:color w:val="auto"/>
        </w:rPr>
        <w:t>notify,</w:t>
      </w:r>
      <w:r>
        <w:rPr>
          <w:rFonts w:ascii="Arial" w:cs="Arial" w:eastAsia="Arial" w:hAnsi="Arial"/>
          <w:sz w:val="15"/>
          <w:szCs w:val="15"/>
          <w:color w:val="auto"/>
        </w:rPr>
        <w:t>” “</w:t>
      </w:r>
      <w:r>
        <w:rPr>
          <w:rFonts w:ascii="Arial" w:cs="Arial" w:eastAsia="Arial" w:hAnsi="Arial"/>
          <w:sz w:val="15"/>
          <w:szCs w:val="15"/>
          <w:b w:val="1"/>
          <w:bCs w:val="1"/>
          <w:color w:val="auto"/>
        </w:rPr>
        <w:t>delivered</w:t>
      </w:r>
      <w:r>
        <w:rPr>
          <w:rFonts w:ascii="Arial" w:cs="Arial" w:eastAsia="Arial" w:hAnsi="Arial"/>
          <w:sz w:val="15"/>
          <w:szCs w:val="15"/>
          <w:color w:val="auto"/>
        </w:rPr>
        <w:t>” or “</w:t>
      </w:r>
      <w:r>
        <w:rPr>
          <w:rFonts w:ascii="Arial" w:cs="Arial" w:eastAsia="Arial" w:hAnsi="Arial"/>
          <w:sz w:val="15"/>
          <w:szCs w:val="15"/>
          <w:b w:val="1"/>
          <w:bCs w:val="1"/>
          <w:color w:val="auto"/>
        </w:rPr>
        <w:t>sent</w:t>
      </w:r>
      <w:r>
        <w:rPr>
          <w:rFonts w:ascii="Arial" w:cs="Arial" w:eastAsia="Arial" w:hAnsi="Arial"/>
          <w:sz w:val="15"/>
          <w:szCs w:val="15"/>
          <w:color w:val="auto"/>
        </w:rPr>
        <w:t>” with respect to any notice to be given to a Holder pursuant to this Indenture, including in circumstances pursuant to which such notice must be “written,”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18.03. Notice so “given” shall be deemed to include any notice to be “mailed” or “delivered,” as applicable, under this Indenture.</w:t>
      </w:r>
    </w:p>
    <w:p>
      <w:pPr>
        <w:spacing w:after="0" w:line="148"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which are in effect as of the Issue Date.</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Global Note</w:t>
      </w:r>
      <w:r>
        <w:rPr>
          <w:rFonts w:ascii="Arial" w:cs="Arial" w:eastAsia="Arial" w:hAnsi="Arial"/>
          <w:sz w:val="16"/>
          <w:szCs w:val="16"/>
          <w:color w:val="auto"/>
        </w:rPr>
        <w:t>” shall have the meaning specified in Section 2.05(b).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 guarantee by a Guarantor of the Company’s obligations under this Indenture.</w:t>
      </w:r>
    </w:p>
    <w:p>
      <w:pPr>
        <w:spacing w:after="0" w:line="198" w:lineRule="exact"/>
        <w:rPr>
          <w:sz w:val="20"/>
          <w:szCs w:val="20"/>
          <w:color w:val="auto"/>
        </w:rPr>
      </w:pPr>
    </w:p>
    <w:p>
      <w:pPr>
        <w:jc w:val="both"/>
        <w:ind w:right="20" w:firstLine="574"/>
        <w:spacing w:after="0" w:line="32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Guarantor</w:t>
      </w:r>
      <w:r>
        <w:rPr>
          <w:rFonts w:ascii="Arial" w:cs="Arial" w:eastAsia="Arial" w:hAnsi="Arial"/>
          <w:sz w:val="14"/>
          <w:szCs w:val="14"/>
          <w:color w:val="auto"/>
        </w:rPr>
        <w:t>” means each Domestic Subsidiary of the Company that is a guarantor of the Notes, including any Person that is required after the Issue Date to execute a Guarantee of the Notes pursuant to Section 4.14; provided that any Person constituting a Guarantor as described above shall cease to constitute a Guarantor when its respective Guarantee is released in accordance with the terms of this Indenture. On the Issue Date, each Domestic Subsidiary of the Company shall be a Guarantor.</w:t>
      </w:r>
    </w:p>
    <w:p>
      <w:pPr>
        <w:spacing w:after="0" w:line="121"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Agreement</w:t>
      </w:r>
      <w:r>
        <w:rPr>
          <w:rFonts w:ascii="Arial" w:cs="Arial" w:eastAsia="Arial" w:hAnsi="Arial"/>
          <w:sz w:val="16"/>
          <w:szCs w:val="16"/>
          <w:color w:val="auto"/>
        </w:rPr>
        <w:t>” means any rate swap agreement, forward rate agreement, commodity swap, commodity option, interest rate option, forward foreign exchange agreement, spot foreign exchange agreement, rate cap agreement, rate floor agreement, rate collar agreement, currency swap agreement, cross-currency rate swap agreement, currency option and any other similar agreement entered into for the purposes of hedging risks of currency, interest, or commodity price fluctuations or similar matters, or any indemnity agreements and arrangements entered into in connection therewith, in each case, as the same may be amended, restated, supplemented, or otherwise modified from time to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Obligations</w:t>
      </w:r>
      <w:r>
        <w:rPr>
          <w:rFonts w:ascii="Arial" w:cs="Arial" w:eastAsia="Arial" w:hAnsi="Arial"/>
          <w:sz w:val="16"/>
          <w:szCs w:val="16"/>
          <w:color w:val="auto"/>
        </w:rPr>
        <w:t>” means, with respect to any Person, the obligations of such Person under a Hedging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as applied to any Note, or other similar terms (but excluding the term “beneficial holder”), means any Person in whose name at the time a particular Note is registered on the Note Register.</w:t>
      </w:r>
    </w:p>
    <w:p>
      <w:pPr>
        <w:spacing w:after="0" w:line="14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Horizon Revolving Credit Facility</w:t>
      </w:r>
      <w:r>
        <w:rPr>
          <w:rFonts w:ascii="Arial" w:cs="Arial" w:eastAsia="Arial" w:hAnsi="Arial"/>
          <w:sz w:val="16"/>
          <w:szCs w:val="16"/>
          <w:color w:val="auto"/>
        </w:rPr>
        <w:t>” means the senior secured facility under the Venture Loan and Security Agreement, dated as of March 5, 2021, by and between Horizon Technology Finance Corporation, as lender and collateral agent, and E la Carte, Inc., a Delaware corporation.</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on any date of determination (without duplication):</w:t>
      </w:r>
    </w:p>
    <w:p>
      <w:pPr>
        <w:spacing w:after="0" w:line="202" w:lineRule="exact"/>
        <w:rPr>
          <w:sz w:val="20"/>
          <w:szCs w:val="20"/>
          <w:color w:val="auto"/>
        </w:rPr>
      </w:pPr>
    </w:p>
    <w:p>
      <w:pPr>
        <w:ind w:left="800" w:hanging="231"/>
        <w:spacing w:after="0"/>
        <w:tabs>
          <w:tab w:leader="none" w:pos="8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principal of indebtedness of such Person for borrowed money;</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principal of obligations of such Person evidenced by bonds, debentures, notes or other similar instruments;</w:t>
      </w:r>
    </w:p>
    <w:p>
      <w:pPr>
        <w:spacing w:after="0" w:line="198" w:lineRule="exact"/>
        <w:rPr>
          <w:rFonts w:ascii="Arial" w:cs="Arial" w:eastAsia="Arial" w:hAnsi="Arial"/>
          <w:sz w:val="16"/>
          <w:szCs w:val="16"/>
          <w:color w:val="auto"/>
        </w:rPr>
      </w:pPr>
    </w:p>
    <w:p>
      <w:pPr>
        <w:jc w:val="both"/>
        <w:ind w:firstLine="569"/>
        <w:spacing w:after="0" w:line="258" w:lineRule="auto"/>
        <w:tabs>
          <w:tab w:leader="none" w:pos="80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accounts payable and such obligations are satisfied within 30 days of Incurrence);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8" w:name="page119"/>
    <w:bookmarkEnd w:id="118"/>
    <w:p>
      <w:pPr>
        <w:ind w:right="20" w:firstLine="569"/>
        <w:spacing w:after="0" w:line="309" w:lineRule="auto"/>
        <w:tabs>
          <w:tab w:leader="none" w:pos="80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principal component of all obligations of such Person to pay the deferred and unpaid purchase price of property (except trade payables or similar obligations to trade creditors), which purchase price is due more than one year after the date of placing such property in service or taking final delivery and title thereto;</w:t>
      </w:r>
    </w:p>
    <w:p>
      <w:pPr>
        <w:spacing w:after="0" w:line="129" w:lineRule="exact"/>
        <w:rPr>
          <w:rFonts w:ascii="Arial" w:cs="Arial" w:eastAsia="Arial" w:hAnsi="Arial"/>
          <w:sz w:val="15"/>
          <w:szCs w:val="15"/>
          <w:color w:val="auto"/>
        </w:rPr>
      </w:pPr>
    </w:p>
    <w:p>
      <w:pPr>
        <w:ind w:left="800" w:hanging="231"/>
        <w:spacing w:after="0"/>
        <w:tabs>
          <w:tab w:leader="none" w:pos="8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Capitalized Lease Obligations of such Person;</w:t>
      </w:r>
    </w:p>
    <w:p>
      <w:pPr>
        <w:spacing w:after="0" w:line="198" w:lineRule="exact"/>
        <w:rPr>
          <w:rFonts w:ascii="Arial" w:cs="Arial" w:eastAsia="Arial" w:hAnsi="Arial"/>
          <w:sz w:val="16"/>
          <w:szCs w:val="16"/>
          <w:color w:val="auto"/>
        </w:rPr>
      </w:pPr>
    </w:p>
    <w:p>
      <w:pPr>
        <w:ind w:right="20" w:firstLine="569"/>
        <w:spacing w:after="0" w:line="275" w:lineRule="auto"/>
        <w:tabs>
          <w:tab w:leader="none" w:pos="8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principal component of all obligations, or liquidation preference, of such Person with respect to any Disqualified Capital Stock or, with respect to any Subsidiary, any Preferred Stock (but excluding, in each case, any accrued dividends);</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Company) and (b) the amount of such Indebtedness of such other Persons;</w:t>
      </w:r>
    </w:p>
    <w:p>
      <w:pPr>
        <w:spacing w:after="0" w:line="162" w:lineRule="exact"/>
        <w:rPr>
          <w:rFonts w:ascii="Arial" w:cs="Arial" w:eastAsia="Arial" w:hAnsi="Arial"/>
          <w:sz w:val="16"/>
          <w:szCs w:val="16"/>
          <w:color w:val="auto"/>
        </w:rPr>
      </w:pPr>
    </w:p>
    <w:p>
      <w:pPr>
        <w:ind w:firstLine="569"/>
        <w:spacing w:after="0" w:line="275" w:lineRule="auto"/>
        <w:tabs>
          <w:tab w:leader="none" w:pos="80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guarantees by such Person of the principal component of Indebtedness of the type referred to in clauses (1), (2), (3), (4), (5) and (9) of other Persons to the extent guaranteed by such Person;</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0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The amount of Indebtedness of any Person at any time in the case of a revolving credit or similar facility will be the total amount of funds borrowed and then outstanding. The amount of any Indebtedness outstanding as of any date will be (a) the accreted value thereof in the case of any Indebtedness issued with original issue discount and (b) the principal amount of Indebtedness, or liquidation preference thereof, in the case of any other Indebtedness. Indebtedness will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Financial Advisor</w:t>
      </w:r>
      <w:r>
        <w:rPr>
          <w:rFonts w:ascii="Arial" w:cs="Arial" w:eastAsia="Arial" w:hAnsi="Arial"/>
          <w:sz w:val="16"/>
          <w:szCs w:val="16"/>
          <w:color w:val="auto"/>
        </w:rPr>
        <w:t>” means a firm (1) which does not, and whose directors, officers and employees or Affiliates do not, have a direct or indirect financial interest in the Company, and (2) which, in the judgment of the Board of Directors of the Company, is otherwise independent and qualified to perform the task for which it is to be engaged.</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w:t>
      </w:r>
      <w:r>
        <w:rPr>
          <w:rFonts w:ascii="Arial" w:cs="Arial" w:eastAsia="Arial" w:hAnsi="Arial"/>
          <w:sz w:val="16"/>
          <w:szCs w:val="16"/>
          <w:color w:val="auto"/>
        </w:rPr>
        <w:t>” means, with respect to the Notes, interest (including PIK Interest) on the Notes.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each March 15, June 15, September 15 and December 15 of each year, beginning on [June 15], 2022.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9" w:name="page120"/>
    <w:bookmarkEnd w:id="119"/>
    <w:p>
      <w:pPr>
        <w:jc w:val="both"/>
        <w:ind w:right="20" w:firstLine="574"/>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Investment</w:t>
      </w:r>
      <w:r>
        <w:rPr>
          <w:rFonts w:ascii="Arial" w:cs="Arial" w:eastAsia="Arial" w:hAnsi="Arial"/>
          <w:sz w:val="14"/>
          <w:szCs w:val="14"/>
          <w:color w:val="auto"/>
        </w:rPr>
        <w:t>” means, with respect to any Person, any direct or indirect loan or other extension of credit (including, without limitation, a guarantee) or capital contribution to (by means of any transfer of cash or other property to others or any payment for property or services for the account or use of others), or any purchase or acquisition by such Person of any Capital Stock, bonds, notes, debentures or other securities or evidences of Indebtedness issued by, any other Person. “Investment” shall exclude extensions of trade credit by the Company and its Subsidiaries in accordance with normal trade practices of the Company or such Subsidiary, as the case may be.</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Date</w:t>
      </w:r>
      <w:r>
        <w:rPr>
          <w:rFonts w:ascii="Arial" w:cs="Arial" w:eastAsia="Arial" w:hAnsi="Arial"/>
          <w:sz w:val="16"/>
          <w:szCs w:val="16"/>
          <w:color w:val="auto"/>
        </w:rPr>
        <w:t>” means [●], 202[●], the date of original issuance of the Notes.</w:t>
      </w:r>
    </w:p>
    <w:p>
      <w:pPr>
        <w:spacing w:after="0" w:line="19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Last Original Issue Date</w:t>
      </w:r>
      <w:r>
        <w:rPr>
          <w:rFonts w:ascii="Arial" w:cs="Arial" w:eastAsia="Arial" w:hAnsi="Arial"/>
          <w:sz w:val="16"/>
          <w:szCs w:val="16"/>
          <w:color w:val="auto"/>
        </w:rPr>
        <w:t>” means, (A) with respect to the Notes offered pursuant to the Subscription Agreement dated [●] by and between the Company and [●], the date of this Indenture; (B) with respect to any additional Notes issued pursuant to the first sentence of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Last Reported Sale Price</w:t>
      </w:r>
      <w:r>
        <w:rPr>
          <w:rFonts w:ascii="Arial" w:cs="Arial" w:eastAsia="Arial" w:hAnsi="Arial"/>
          <w:sz w:val="15"/>
          <w:szCs w:val="15"/>
          <w:color w:val="auto"/>
        </w:rPr>
        <w:t>” of the Common Stock (or any other security for which a last reported sale price must be determined) on any date means the closing sale price (or if no closing sale price is reported, the average of the bid and ask prices or, if more than one in either case, the average of the average bid and the average ask prices) per share of the Common Stock (or such other security) on that date as reported in composite transactions for the principal U.S. national or regional securities exchange on which the Common Stock is traded. If the Common Stock (or such other security) is not listed for trading on a U.S. national or regional securities exchange on the relevant date,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the last quoted bid price per share of the Common Stock (or such other security) in the over-the-counter market on the relevant date as reported by OTC Markets Group Inc. or a similar organization. If the Common Stock (or such other security) is not so quoted,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the average of the midpoint of the last bid and ask prices per share of the Common Stock (or such other security) on the relevant date from each of at least three nationally recognized independent investment banking firms selected by the Company for this purpose. The “</w:t>
      </w:r>
      <w:r>
        <w:rPr>
          <w:rFonts w:ascii="Arial" w:cs="Arial" w:eastAsia="Arial" w:hAnsi="Arial"/>
          <w:sz w:val="15"/>
          <w:szCs w:val="15"/>
          <w:b w:val="1"/>
          <w:bCs w:val="1"/>
          <w:color w:val="auto"/>
        </w:rPr>
        <w:t>Last Reported Sale Price</w:t>
      </w:r>
      <w:r>
        <w:rPr>
          <w:rFonts w:ascii="Arial" w:cs="Arial" w:eastAsia="Arial" w:hAnsi="Arial"/>
          <w:sz w:val="15"/>
          <w:szCs w:val="15"/>
          <w:color w:val="auto"/>
        </w:rPr>
        <w:t>” shall be determined without regard to after-hours trading or any other trading outside of regular trading session hours.</w:t>
      </w:r>
    </w:p>
    <w:p>
      <w:pPr>
        <w:spacing w:after="0" w:line="15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Lien</w:t>
      </w:r>
      <w:r>
        <w:rPr>
          <w:rFonts w:ascii="Arial" w:cs="Arial" w:eastAsia="Arial" w:hAnsi="Arial"/>
          <w:sz w:val="16"/>
          <w:szCs w:val="16"/>
          <w:color w:val="auto"/>
        </w:rPr>
        <w:t>” means any lien, mortgage, deed of trust, pledge, security interest, charge or encumbrance of any kind (including any conditional sale or other title retention agreement, any lease in the nature thereof and any agreement to give any security interest).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(b) of the definition thereof).</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 Period</w:t>
      </w:r>
      <w:r>
        <w:rPr>
          <w:rFonts w:ascii="Arial" w:cs="Arial" w:eastAsia="Arial" w:hAnsi="Arial"/>
          <w:sz w:val="16"/>
          <w:szCs w:val="16"/>
          <w:color w:val="auto"/>
        </w:rPr>
        <w:t>” shall have the meaning specified in Section 14.03(a).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w:t>
      </w:r>
      <w:r>
        <w:rPr>
          <w:rFonts w:ascii="Arial" w:cs="Arial" w:eastAsia="Arial" w:hAnsi="Arial"/>
          <w:sz w:val="16"/>
          <w:szCs w:val="16"/>
          <w:color w:val="auto"/>
        </w:rPr>
        <w:t>” means a conversion pursuant to Section 14.03(a).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Condition</w:t>
      </w:r>
      <w:r>
        <w:rPr>
          <w:rFonts w:ascii="Arial" w:cs="Arial" w:eastAsia="Arial" w:hAnsi="Arial"/>
          <w:sz w:val="16"/>
          <w:szCs w:val="16"/>
          <w:color w:val="auto"/>
        </w:rPr>
        <w:t>” means the conditions required for the Company to cause Notes to be converted pursuant to Section 14.03(a).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0" w:name="page121"/>
    <w:bookmarkEnd w:id="12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Date</w:t>
      </w:r>
      <w:r>
        <w:rPr>
          <w:rFonts w:ascii="Arial" w:cs="Arial" w:eastAsia="Arial" w:hAnsi="Arial"/>
          <w:sz w:val="16"/>
          <w:szCs w:val="16"/>
          <w:color w:val="auto"/>
        </w:rPr>
        <w:t>” means the Conversion Date for a Mandatory Conversion, as provided in Section 14.03(c).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Notice</w:t>
      </w:r>
      <w:r>
        <w:rPr>
          <w:rFonts w:ascii="Arial" w:cs="Arial" w:eastAsia="Arial" w:hAnsi="Arial"/>
          <w:sz w:val="16"/>
          <w:szCs w:val="16"/>
          <w:color w:val="auto"/>
        </w:rPr>
        <w:t>” shall have the meaning specified in Section 14.03(b).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Mandatory Conversion Notice Date</w:t>
      </w:r>
      <w:r>
        <w:rPr>
          <w:rFonts w:ascii="Arial" w:cs="Arial" w:eastAsia="Arial" w:hAnsi="Arial"/>
          <w:sz w:val="15"/>
          <w:szCs w:val="15"/>
          <w:color w:val="auto"/>
        </w:rPr>
        <w:t>” means the date on which the Company provides the Mandatory Conversion Notice in accordance with Section 14.03(b).</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Right</w:t>
      </w:r>
      <w:r>
        <w:rPr>
          <w:rFonts w:ascii="Arial" w:cs="Arial" w:eastAsia="Arial" w:hAnsi="Arial"/>
          <w:sz w:val="16"/>
          <w:szCs w:val="16"/>
          <w:color w:val="auto"/>
        </w:rPr>
        <w:t>” shall have the meaning specified in Section 14.03(a).</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Capitalization</w:t>
      </w:r>
      <w:r>
        <w:rPr>
          <w:rFonts w:ascii="Arial" w:cs="Arial" w:eastAsia="Arial" w:hAnsi="Arial"/>
          <w:sz w:val="16"/>
          <w:szCs w:val="16"/>
          <w:color w:val="auto"/>
        </w:rPr>
        <w:t>” means, with respect to any date of determination, an amount equal to (i) the total number of issued and outstanding publicly traded shares of Common Stock multiplied by (ii) the 30-Day ADTV immediately preceding such date.</w:t>
      </w:r>
    </w:p>
    <w:p>
      <w:pPr>
        <w:spacing w:after="0" w:line="144"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for the purpose of determining amounts due upon conversion only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 2026.</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Merger Event</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Nasdaq Stock Market</w:t>
      </w:r>
      <w:r>
        <w:rPr>
          <w:rFonts w:ascii="Arial" w:cs="Arial" w:eastAsia="Arial" w:hAnsi="Arial"/>
          <w:sz w:val="16"/>
          <w:szCs w:val="16"/>
          <w:color w:val="auto"/>
        </w:rPr>
        <w:t>” shall mean the Nasdaq Capital Market, the Nasdaq Global Market and the Nasdaq Global Select Market.</w:t>
      </w:r>
    </w:p>
    <w:p>
      <w:pPr>
        <w:spacing w:after="0" w:line="198" w:lineRule="exact"/>
        <w:rPr>
          <w:sz w:val="20"/>
          <w:szCs w:val="20"/>
          <w:color w:val="auto"/>
        </w:rPr>
      </w:pPr>
    </w:p>
    <w:p>
      <w:pPr>
        <w:jc w:val="both"/>
        <w:ind w:firstLine="574"/>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Proceeds</w:t>
      </w:r>
      <w:r>
        <w:rPr>
          <w:rFonts w:ascii="Arial" w:cs="Arial" w:eastAsia="Arial" w:hAnsi="Arial"/>
          <w:sz w:val="14"/>
          <w:szCs w:val="14"/>
          <w:color w:val="auto"/>
        </w:rPr>
        <w:t>” means the aggregate cash proceeds and the fair market value of any Cash Equivalents received by the Company or any of its Subsidiaries in respect of any Asset Sale (including, without limitation, any cash or Cash Equivalents received upon the sale or other disposition of any non-cash consideration received in any Asset Sale), net of (1) the direct costs relating to such Asset Sale, including, without limitation, legal, accounting and investment banking fees, sales commissions, rationalization and other relocation expenses incurred as a result of the Asset Sale, and taxes paid or payable as a result of the Asset Sale after taking into account any available tax credits or deductions and any tax sharing arrangements, (2) amounts required to be applied to the repayment of Indebtedness secured by a Permitted Lien on the asset or assets that were the subject of such Asset Sale, and (3) any reserve for adjustment in respect of the sale price of such asset or assets established in accordance with GAAP.</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 Offer</w:t>
      </w:r>
      <w:r>
        <w:rPr>
          <w:rFonts w:ascii="Arial" w:cs="Arial" w:eastAsia="Arial" w:hAnsi="Arial"/>
          <w:sz w:val="16"/>
          <w:szCs w:val="16"/>
          <w:color w:val="auto"/>
        </w:rPr>
        <w:t>” shall have the meaning specified in Section 4.18(d).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w:t>
      </w:r>
      <w:r>
        <w:rPr>
          <w:rFonts w:ascii="Arial" w:cs="Arial" w:eastAsia="Arial" w:hAnsi="Arial"/>
          <w:sz w:val="16"/>
          <w:szCs w:val="16"/>
          <w:color w:val="auto"/>
        </w:rPr>
        <w:t>” or “</w:t>
      </w:r>
      <w:r>
        <w:rPr>
          <w:rFonts w:ascii="Arial" w:cs="Arial" w:eastAsia="Arial" w:hAnsi="Arial"/>
          <w:sz w:val="16"/>
          <w:szCs w:val="16"/>
          <w:b w:val="1"/>
          <w:bCs w:val="1"/>
          <w:color w:val="auto"/>
        </w:rPr>
        <w:t>Notes</w:t>
      </w:r>
      <w:r>
        <w:rPr>
          <w:rFonts w:ascii="Arial" w:cs="Arial" w:eastAsia="Arial" w:hAnsi="Arial"/>
          <w:sz w:val="16"/>
          <w:szCs w:val="16"/>
          <w:color w:val="auto"/>
        </w:rPr>
        <w:t>” shall have the meaning specified in the first paragraph of the recitals of this Indenture.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Obligation</w:t>
      </w:r>
      <w:r>
        <w:rPr>
          <w:rFonts w:ascii="Arial" w:cs="Arial" w:eastAsia="Arial" w:hAnsi="Arial"/>
          <w:sz w:val="16"/>
          <w:szCs w:val="16"/>
          <w:color w:val="auto"/>
        </w:rPr>
        <w:t>” shall have the meaning specified in Section 13.01.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Register</w:t>
      </w:r>
      <w:r>
        <w:rPr>
          <w:rFonts w:ascii="Arial" w:cs="Arial" w:eastAsia="Arial" w:hAnsi="Arial"/>
          <w:sz w:val="16"/>
          <w:szCs w:val="16"/>
          <w:color w:val="auto"/>
        </w:rPr>
        <w:t>” shall have the meaning specified in Section 2.05(a).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 Registrar</w:t>
      </w:r>
      <w:r>
        <w:rPr>
          <w:rFonts w:ascii="Arial" w:cs="Arial" w:eastAsia="Arial" w:hAnsi="Arial"/>
          <w:sz w:val="16"/>
          <w:szCs w:val="16"/>
          <w:color w:val="auto"/>
        </w:rPr>
        <w:t>” shall have the meaning specified in Section 2.05(a).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of Conversion</w:t>
      </w:r>
      <w:r>
        <w:rPr>
          <w:rFonts w:ascii="Arial" w:cs="Arial" w:eastAsia="Arial" w:hAnsi="Arial"/>
          <w:sz w:val="16"/>
          <w:szCs w:val="16"/>
          <w:color w:val="auto"/>
        </w:rPr>
        <w:t>” shall have the meaning specified in Section 14.02(b).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of Redemption</w:t>
      </w:r>
      <w:r>
        <w:rPr>
          <w:rFonts w:ascii="Arial" w:cs="Arial" w:eastAsia="Arial" w:hAnsi="Arial"/>
          <w:sz w:val="16"/>
          <w:szCs w:val="16"/>
          <w:color w:val="auto"/>
        </w:rPr>
        <w:t>” shall have the meaning specified in Section 16.02(a).</w:t>
      </w:r>
    </w:p>
    <w:p>
      <w:pPr>
        <w:spacing w:after="0" w:line="19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obligations for principal, premium, interest, penalties, fees, expenses, indemnifications, reimbursements, damages and other liabilities payable under the documentation governing any Indebtedness.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1" w:name="page122"/>
    <w:bookmarkEnd w:id="121"/>
    <w:p>
      <w:pPr>
        <w:jc w:val="both"/>
        <w:ind w:left="4" w:firstLine="574"/>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Observation Period</w:t>
      </w:r>
      <w:r>
        <w:rPr>
          <w:rFonts w:ascii="Arial" w:cs="Arial" w:eastAsia="Arial" w:hAnsi="Arial"/>
          <w:sz w:val="14"/>
          <w:szCs w:val="14"/>
          <w:color w:val="auto"/>
        </w:rPr>
        <w:t>” with respect to any Note surrendered for conversion means: (i) subject to clause (ii), if the relevant Conversion Date occurs prior to [●], 2026</w:t>
      </w:r>
      <w:r>
        <w:rPr>
          <w:rFonts w:ascii="Arial" w:cs="Arial" w:eastAsia="Arial" w:hAnsi="Arial"/>
          <w:sz w:val="23"/>
          <w:szCs w:val="23"/>
          <w:color w:val="auto"/>
          <w:vertAlign w:val="superscript"/>
        </w:rPr>
        <w:t>10</w:t>
      </w:r>
      <w:r>
        <w:rPr>
          <w:rFonts w:ascii="Arial" w:cs="Arial" w:eastAsia="Arial" w:hAnsi="Arial"/>
          <w:sz w:val="14"/>
          <w:szCs w:val="14"/>
          <w:color w:val="auto"/>
        </w:rPr>
        <w:t>, the 30 consecutive Trading Day period beginning on, and including, the second Trading Day immediately succeeding such Conversion Date; (ii) if the relevant Conversion Date for a Note called for redemption occurs during a Redemption Period pursuant to Section 16.02, the 30 consecutive Trading Days beginning on, and including, the 31st Scheduled Trading Day immediately preceding such Redemption Date; and (iii) subject to clause (ii) of this definition above, if the relevant Conversion Date occurs on or after [●], 2026, the 30 consecutive Trading Days beginning on, and including, the 31st Scheduled Trading Day immediately preceding the Maturity Date.</w:t>
      </w:r>
    </w:p>
    <w:p>
      <w:pPr>
        <w:spacing w:after="0" w:line="153"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with respect to the Company, the Chief Executive Officer, the Chief Financial Officer, or the Chief Revenue Officer, or any Vice President (whether or not designated by a number or numbers or word or words added before or after the title “Vice President”).</w:t>
      </w:r>
    </w:p>
    <w:p>
      <w:pPr>
        <w:spacing w:after="0" w:line="144" w:lineRule="exact"/>
        <w:rPr>
          <w:sz w:val="20"/>
          <w:szCs w:val="20"/>
          <w:color w:val="auto"/>
        </w:rPr>
      </w:pPr>
    </w:p>
    <w:p>
      <w:pPr>
        <w:jc w:val="both"/>
        <w:ind w:left="4"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when used with respect to the Company, means a certificate that is delivered to the Trustee and that is signed by any Officer of the Company. Each such certificate shall include the statements provided for in Section 18.05 if and to the extent required by the provisions of such Section. The Officer giving an Officer’s Certificate pursuant to Section 4.08 shall be the principal executive, financial or accounting officer of the Company.</w:t>
      </w:r>
    </w:p>
    <w:p>
      <w:pPr>
        <w:spacing w:after="0" w:line="15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open of business</w:t>
      </w:r>
      <w:r>
        <w:rPr>
          <w:rFonts w:ascii="Arial" w:cs="Arial" w:eastAsia="Arial" w:hAnsi="Arial"/>
          <w:sz w:val="16"/>
          <w:szCs w:val="16"/>
          <w:color w:val="auto"/>
        </w:rPr>
        <w:t>” means 9:00 a.m. (New York City time).</w:t>
      </w:r>
    </w:p>
    <w:p>
      <w:pPr>
        <w:spacing w:after="0" w:line="198" w:lineRule="exact"/>
        <w:rPr>
          <w:sz w:val="20"/>
          <w:szCs w:val="20"/>
          <w:color w:val="auto"/>
        </w:rPr>
      </w:pPr>
    </w:p>
    <w:p>
      <w:pPr>
        <w:jc w:val="both"/>
        <w:ind w:left="4"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Opinion of Counsel</w:t>
      </w:r>
      <w:r>
        <w:rPr>
          <w:rFonts w:ascii="Arial" w:cs="Arial" w:eastAsia="Arial" w:hAnsi="Arial"/>
          <w:sz w:val="15"/>
          <w:szCs w:val="15"/>
          <w:color w:val="auto"/>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18.05 if and to the extent required by the provisions of such Section 18.05.</w:t>
      </w:r>
    </w:p>
    <w:p>
      <w:pPr>
        <w:spacing w:after="0" w:line="14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Optional Redemption</w:t>
      </w:r>
      <w:r>
        <w:rPr>
          <w:rFonts w:ascii="Arial" w:cs="Arial" w:eastAsia="Arial" w:hAnsi="Arial"/>
          <w:sz w:val="16"/>
          <w:szCs w:val="16"/>
          <w:color w:val="auto"/>
        </w:rPr>
        <w:t>” shall have the meaning specified in Section 16.01.</w:t>
      </w:r>
    </w:p>
    <w:p>
      <w:pPr>
        <w:spacing w:after="0" w:line="198"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outstanding</w:t>
      </w:r>
      <w:r>
        <w:rPr>
          <w:rFonts w:ascii="Arial" w:cs="Arial" w:eastAsia="Arial" w:hAnsi="Arial"/>
          <w:sz w:val="16"/>
          <w:szCs w:val="16"/>
          <w:color w:val="auto"/>
        </w:rPr>
        <w:t>,” when used with reference to Notes, shall, subject to the provisions of Section 8.04, mean, as of any particular time, all Notes authenticated and delivered by the Trustee under this Indenture, except:</w:t>
      </w:r>
    </w:p>
    <w:p>
      <w:pPr>
        <w:spacing w:after="0" w:line="148" w:lineRule="exact"/>
        <w:rPr>
          <w:sz w:val="20"/>
          <w:szCs w:val="20"/>
          <w:color w:val="auto"/>
        </w:rPr>
      </w:pPr>
    </w:p>
    <w:p>
      <w:pPr>
        <w:ind w:left="1364" w:hanging="217"/>
        <w:spacing w:after="0"/>
        <w:tabs>
          <w:tab w:leader="none" w:pos="136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theretofore canceled by the Trustee or accepted by the Trustee for cancellation;</w:t>
      </w:r>
    </w:p>
    <w:p>
      <w:pPr>
        <w:spacing w:after="0" w:line="198" w:lineRule="exact"/>
        <w:rPr>
          <w:rFonts w:ascii="Arial" w:cs="Arial" w:eastAsia="Arial" w:hAnsi="Arial"/>
          <w:sz w:val="16"/>
          <w:szCs w:val="16"/>
          <w:color w:val="auto"/>
        </w:rPr>
      </w:pPr>
    </w:p>
    <w:p>
      <w:pPr>
        <w:jc w:val="both"/>
        <w:ind w:left="564" w:right="20" w:firstLine="583"/>
        <w:spacing w:after="0" w:line="262" w:lineRule="auto"/>
        <w:tabs>
          <w:tab w:leader="none" w:pos="137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162" w:lineRule="exact"/>
        <w:rPr>
          <w:rFonts w:ascii="Arial" w:cs="Arial" w:eastAsia="Arial" w:hAnsi="Arial"/>
          <w:sz w:val="16"/>
          <w:szCs w:val="16"/>
          <w:color w:val="auto"/>
        </w:rPr>
      </w:pPr>
    </w:p>
    <w:p>
      <w:pPr>
        <w:ind w:left="564" w:right="20" w:firstLine="583"/>
        <w:spacing w:after="0" w:line="349" w:lineRule="auto"/>
        <w:tabs>
          <w:tab w:leader="none" w:pos="1363"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Notes that have been paid pursuant to Section 2.08 or Notes in lieu of which, or in substitution for which, other Notes shall have been authenticated and delivered pursuant to the terms of Section 2.08 unless proof satisfactory to the Trustee is presented that any such Notes are held by protected purchasers in due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79070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5" w:lineRule="exact"/>
        <w:rPr>
          <w:sz w:val="20"/>
          <w:szCs w:val="20"/>
          <w:color w:val="auto"/>
        </w:rPr>
      </w:pPr>
    </w:p>
    <w:p>
      <w:pPr>
        <w:ind w:left="284" w:hanging="284"/>
        <w:spacing w:after="0"/>
        <w:tabs>
          <w:tab w:leader="none" w:pos="284" w:val="left"/>
        </w:tabs>
        <w:numPr>
          <w:ilvl w:val="0"/>
          <w:numId w:val="113"/>
        </w:numPr>
        <w:rPr>
          <w:rFonts w:ascii="Arial" w:cs="Arial" w:eastAsia="Arial" w:hAnsi="Arial"/>
          <w:sz w:val="27"/>
          <w:szCs w:val="27"/>
          <w:color w:val="auto"/>
          <w:vertAlign w:val="superscript"/>
        </w:rPr>
      </w:pPr>
      <w:r>
        <w:rPr>
          <w:rFonts w:ascii="Arial" w:cs="Arial" w:eastAsia="Arial" w:hAnsi="Arial"/>
          <w:sz w:val="16"/>
          <w:szCs w:val="16"/>
          <w:color w:val="auto"/>
        </w:rPr>
        <w:t>NTD: Insert date that is 32 days prior to the Maturity Date.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22" w:name="page123"/>
    <w:bookmarkEnd w:id="122"/>
    <w:p>
      <w:pPr>
        <w:ind w:left="1360" w:hanging="217"/>
        <w:spacing w:after="0"/>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converted pursuant to Article 14 and required to be cancelled pursuant to Section 2.08;</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redeemed pursuant to Article 16; and</w:t>
      </w:r>
    </w:p>
    <w:p>
      <w:pPr>
        <w:spacing w:after="0" w:line="198" w:lineRule="exact"/>
        <w:rPr>
          <w:rFonts w:ascii="Arial" w:cs="Arial" w:eastAsia="Arial" w:hAnsi="Arial"/>
          <w:sz w:val="16"/>
          <w:szCs w:val="16"/>
          <w:color w:val="auto"/>
        </w:rPr>
      </w:pPr>
    </w:p>
    <w:p>
      <w:pPr>
        <w:ind w:left="560" w:right="1380" w:firstLine="583"/>
        <w:spacing w:after="0" w:line="496" w:lineRule="auto"/>
        <w:tabs>
          <w:tab w:leader="none" w:pos="133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Notes repurchased by the Company pursuant to the penultimate sentence of Section 2.10 and delivered to the Trustee for cancellation. “</w:t>
      </w:r>
      <w:r>
        <w:rPr>
          <w:rFonts w:ascii="Arial" w:cs="Arial" w:eastAsia="Arial" w:hAnsi="Arial"/>
          <w:sz w:val="16"/>
          <w:szCs w:val="16"/>
          <w:b w:val="1"/>
          <w:bCs w:val="1"/>
          <w:color w:val="auto"/>
        </w:rPr>
        <w:t>Paying Agent</w:t>
      </w:r>
      <w:r>
        <w:rPr>
          <w:rFonts w:ascii="Arial" w:cs="Arial" w:eastAsia="Arial" w:hAnsi="Arial"/>
          <w:sz w:val="16"/>
          <w:szCs w:val="16"/>
          <w:color w:val="auto"/>
        </w:rPr>
        <w:t>” shall have the meaning specified in Section 4.02.</w:t>
      </w: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w:t>
      </w:r>
      <w:r>
        <w:rPr>
          <w:rFonts w:ascii="Arial" w:cs="Arial" w:eastAsia="Arial" w:hAnsi="Arial"/>
          <w:sz w:val="16"/>
          <w:szCs w:val="16"/>
          <w:color w:val="auto"/>
        </w:rPr>
        <w:t>” means a business in which the Company and its Subsidiaries were engaged on the Closing Date, and any business that is related, ancillary, incidental or complementary thereto.</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shall have the meaning specified in Section 4.11(b).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Investment</w:t>
      </w:r>
      <w:r>
        <w:rPr>
          <w:rFonts w:ascii="Arial" w:cs="Arial" w:eastAsia="Arial" w:hAnsi="Arial"/>
          <w:sz w:val="16"/>
          <w:szCs w:val="16"/>
          <w:color w:val="auto"/>
        </w:rPr>
        <w:t>” means:</w:t>
      </w:r>
    </w:p>
    <w:p>
      <w:pPr>
        <w:spacing w:after="0" w:line="202" w:lineRule="exact"/>
        <w:rPr>
          <w:sz w:val="20"/>
          <w:szCs w:val="20"/>
          <w:color w:val="auto"/>
        </w:rPr>
      </w:pPr>
    </w:p>
    <w:p>
      <w:pPr>
        <w:ind w:firstLine="569"/>
        <w:spacing w:after="0" w:line="309" w:lineRule="auto"/>
        <w:tabs>
          <w:tab w:leader="none" w:pos="803"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any Investment in a Subsidiary (including the Capital Stock of a Subsidiary) or the Company or a Person that will, upon the making of such Investment, become a Subsidiary or merge or consolidate with or into, or transfer or convey all or substantially all its assets to, or is liquidated into, the Company or a Subsidiary;</w:t>
      </w:r>
    </w:p>
    <w:p>
      <w:pPr>
        <w:spacing w:after="0" w:line="129" w:lineRule="exact"/>
        <w:rPr>
          <w:rFonts w:ascii="Arial" w:cs="Arial" w:eastAsia="Arial" w:hAnsi="Arial"/>
          <w:sz w:val="15"/>
          <w:szCs w:val="15"/>
          <w:color w:val="auto"/>
        </w:rPr>
      </w:pPr>
    </w:p>
    <w:p>
      <w:pPr>
        <w:ind w:right="20" w:firstLine="569"/>
        <w:spacing w:after="0" w:line="275" w:lineRule="auto"/>
        <w:tabs>
          <w:tab w:leader="none" w:pos="8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receivables owing to the Company or any Subsidiary created or acquired in the ordinary course of business and payable or dischargeable in accordance with customary trade terms;</w:t>
      </w:r>
    </w:p>
    <w:p>
      <w:pPr>
        <w:spacing w:after="0" w:line="151" w:lineRule="exact"/>
        <w:rPr>
          <w:rFonts w:ascii="Arial" w:cs="Arial" w:eastAsia="Arial" w:hAnsi="Arial"/>
          <w:sz w:val="16"/>
          <w:szCs w:val="16"/>
          <w:color w:val="auto"/>
        </w:rPr>
      </w:pPr>
    </w:p>
    <w:p>
      <w:pPr>
        <w:ind w:firstLine="569"/>
        <w:spacing w:after="0" w:line="275" w:lineRule="auto"/>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payroll, travel and similar advances to cover matters that are expected at the time of such advances ultimately to be treated as expenses for accounting purposes and that are made in the ordinary course of business;</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Investments in or repurchases of the Notes;</w:t>
      </w:r>
    </w:p>
    <w:p>
      <w:pPr>
        <w:spacing w:after="0" w:line="198" w:lineRule="exact"/>
        <w:rPr>
          <w:rFonts w:ascii="Arial" w:cs="Arial" w:eastAsia="Arial" w:hAnsi="Arial"/>
          <w:sz w:val="16"/>
          <w:szCs w:val="16"/>
          <w:color w:val="auto"/>
        </w:rPr>
      </w:pPr>
    </w:p>
    <w:p>
      <w:pPr>
        <w:jc w:val="both"/>
        <w:ind w:right="20" w:firstLine="569"/>
        <w:spacing w:after="0" w:line="262" w:lineRule="auto"/>
        <w:tabs>
          <w:tab w:leader="none" w:pos="8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Investments consisting of purchases and acquisitions of inventory, supplies, services, material and equipment or licenses or leases of intellectual property, in any case, in the ordinary course of business or for the purpose of obtaining, maintaining or renewing client contracts and loans and advances to distributors, in each case, in the ordinary course of business;</w:t>
      </w:r>
    </w:p>
    <w:p>
      <w:pPr>
        <w:spacing w:after="0" w:line="162" w:lineRule="exact"/>
        <w:rPr>
          <w:rFonts w:ascii="Arial" w:cs="Arial" w:eastAsia="Arial" w:hAnsi="Arial"/>
          <w:sz w:val="16"/>
          <w:szCs w:val="16"/>
          <w:color w:val="auto"/>
        </w:rPr>
      </w:pPr>
    </w:p>
    <w:p>
      <w:pPr>
        <w:ind w:right="20" w:firstLine="569"/>
        <w:spacing w:after="0" w:line="275" w:lineRule="auto"/>
        <w:tabs>
          <w:tab w:leader="none" w:pos="80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Investments in prepaid expenses, negotiable instruments held for collection and lease, utility and workers’ compensation, performance and similar deposits entered into as a result of the operations of the business of the Company and its Subsidiaries in the ordinary course of business;</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Guarantees issued in accordance with Section 4.14 and Article 17;</w:t>
      </w:r>
    </w:p>
    <w:p>
      <w:pPr>
        <w:spacing w:after="0" w:line="198" w:lineRule="exact"/>
        <w:rPr>
          <w:rFonts w:ascii="Arial" w:cs="Arial" w:eastAsia="Arial" w:hAnsi="Arial"/>
          <w:sz w:val="16"/>
          <w:szCs w:val="16"/>
          <w:color w:val="auto"/>
        </w:rPr>
      </w:pPr>
    </w:p>
    <w:p>
      <w:pPr>
        <w:jc w:val="both"/>
        <w:ind w:right="20" w:firstLine="569"/>
        <w:spacing w:after="0" w:line="262" w:lineRule="auto"/>
        <w:tabs>
          <w:tab w:leader="none" w:pos="81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Investments in existence on the Issue Date and any extension, modification, replacement, reinvestment or renewal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extensions, modifications, replacements, reinvestments or renewals are not more disadvantageous to the Holders in any material respect than such Investments as they were in existence on the Issue Date; and</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cash and Cash Equivalents.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the following types of Liens:</w:t>
      </w:r>
    </w:p>
    <w:p>
      <w:pPr>
        <w:spacing w:after="0" w:line="202" w:lineRule="exact"/>
        <w:rPr>
          <w:sz w:val="20"/>
          <w:szCs w:val="20"/>
          <w:color w:val="auto"/>
        </w:rPr>
      </w:pPr>
    </w:p>
    <w:p>
      <w:pPr>
        <w:ind w:left="800" w:hanging="231"/>
        <w:spacing w:after="0"/>
        <w:tabs>
          <w:tab w:leader="none" w:pos="8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Liens securing Indebtedness incurred pursuant to Section 4.11(b)(1) and all related Obligations;</w:t>
      </w:r>
    </w:p>
    <w:p>
      <w:pPr>
        <w:spacing w:after="0" w:line="198" w:lineRule="exact"/>
        <w:rPr>
          <w:rFonts w:ascii="Arial" w:cs="Arial" w:eastAsia="Arial" w:hAnsi="Arial"/>
          <w:sz w:val="16"/>
          <w:szCs w:val="16"/>
          <w:color w:val="auto"/>
        </w:rPr>
      </w:pPr>
    </w:p>
    <w:p>
      <w:pPr>
        <w:jc w:val="both"/>
        <w:ind w:right="20" w:firstLine="569"/>
        <w:spacing w:after="0" w:line="317" w:lineRule="auto"/>
        <w:tabs>
          <w:tab w:leader="none" w:pos="801"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Liens securing Indebtedness incurred pursuant to Section 4.11(b)(6) and all related Obligations; provided that such Liens do not extend to any property or assets other than property or assets acquired with such Indebtedness (and additions, accessions, improvements and replacements and customary deposits in connection therewith and proceeds and products therefrom) and (ii) Liens incurred in the ordinary course of business securing Indebtedness incurred pursuant to Section 4.11(b)(13);</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3" w:name="page124"/>
    <w:bookmarkEnd w:id="123"/>
    <w:p>
      <w:pPr>
        <w:ind w:left="800" w:hanging="231"/>
        <w:spacing w:after="0"/>
        <w:tabs>
          <w:tab w:leader="none" w:pos="8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Liens imposed by law, including carriers’, warehousemen’s, mechanics’, materialmen’s, repairmen’s Liens or other similar Liens, incurred in the ordinary course of</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business;</w:t>
      </w:r>
    </w:p>
    <w:p>
      <w:pPr>
        <w:spacing w:after="0" w:line="185" w:lineRule="exact"/>
        <w:rPr>
          <w:rFonts w:ascii="Arial" w:cs="Arial" w:eastAsia="Arial" w:hAnsi="Arial"/>
          <w:sz w:val="14"/>
          <w:szCs w:val="14"/>
          <w:color w:val="auto"/>
        </w:rPr>
      </w:pPr>
    </w:p>
    <w:p>
      <w:pPr>
        <w:ind w:right="20" w:firstLine="569"/>
        <w:spacing w:after="0" w:line="275" w:lineRule="auto"/>
        <w:tabs>
          <w:tab w:leader="none" w:pos="8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for taxes, assessments or other governmental charges not yet subject to penalties for non-payment or that are being contested in good faith by appropriate proceedings, provided appropriate reserves required pursuant to GAAP have been made in respect thereof;</w:t>
      </w:r>
    </w:p>
    <w:p>
      <w:pPr>
        <w:spacing w:after="0" w:line="151" w:lineRule="exact"/>
        <w:rPr>
          <w:rFonts w:ascii="Arial" w:cs="Arial" w:eastAsia="Arial" w:hAnsi="Arial"/>
          <w:sz w:val="16"/>
          <w:szCs w:val="16"/>
          <w:color w:val="auto"/>
        </w:rPr>
      </w:pPr>
    </w:p>
    <w:p>
      <w:pPr>
        <w:ind w:right="20" w:firstLine="569"/>
        <w:spacing w:after="0" w:line="309" w:lineRule="auto"/>
        <w:tabs>
          <w:tab w:leader="none" w:pos="80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Liens in favor of issuers of surety or performance bonds or letters of credit or bankers’ acceptances or similar obligations issued pursuant to the request of and for the account of such Person in the ordinary course of its business; provided, however, that such letters of credit do not constitute Indebtedness;</w:t>
      </w:r>
    </w:p>
    <w:p>
      <w:pPr>
        <w:spacing w:after="0" w:line="129" w:lineRule="exact"/>
        <w:rPr>
          <w:rFonts w:ascii="Arial" w:cs="Arial" w:eastAsia="Arial" w:hAnsi="Arial"/>
          <w:sz w:val="15"/>
          <w:szCs w:val="15"/>
          <w:color w:val="auto"/>
        </w:rPr>
      </w:pPr>
    </w:p>
    <w:p>
      <w:pPr>
        <w:jc w:val="both"/>
        <w:ind w:right="20" w:firstLine="569"/>
        <w:spacing w:after="0" w:line="262" w:lineRule="auto"/>
        <w:tabs>
          <w:tab w:leader="none" w:pos="81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pledges, deposits or Liens in connection with workers’ compensation, professional liability insurance, insurance programs, unemployment insurance and other social security and other similar legislation or other insurance-related obligations (including, without limitation, pledges or deposits securing liability to insurance carriers under insurance or self-insurance arrangements);</w:t>
      </w:r>
    </w:p>
    <w:p>
      <w:pPr>
        <w:spacing w:after="0" w:line="162"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existing on the Issue Date (other than Liens permitted under clauses (1) and (2)) and replacement Liens that do not encumber additional assets, unless such encumbrance is otherwise permitted;</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securing Indebtedness or other obligations of a Subsidiary of the Company owing to the Company or another Subsidiary of the Company; and</w:t>
      </w:r>
    </w:p>
    <w:p>
      <w:pPr>
        <w:spacing w:after="0" w:line="198" w:lineRule="exact"/>
        <w:rPr>
          <w:rFonts w:ascii="Arial" w:cs="Arial" w:eastAsia="Arial" w:hAnsi="Arial"/>
          <w:sz w:val="16"/>
          <w:szCs w:val="16"/>
          <w:color w:val="auto"/>
        </w:rPr>
      </w:pPr>
    </w:p>
    <w:p>
      <w:pPr>
        <w:jc w:val="both"/>
        <w:ind w:firstLine="569"/>
        <w:spacing w:after="0" w:line="262" w:lineRule="auto"/>
        <w:tabs>
          <w:tab w:leader="none" w:pos="8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Liens existing on property or assets of a Person at the time such Person becomes a Subsidiary of the Company (or at the time the Company or a Subsidiary acquires such property or assets); provided, however, that such Liens and arrangements are not created in connection with, or in contemplation of, such other Person becoming such a Subsidiary (or such acquisition of such property or assets).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Physical Settlement</w:t>
      </w:r>
      <w:r>
        <w:rPr>
          <w:rFonts w:ascii="Arial" w:cs="Arial" w:eastAsia="Arial" w:hAnsi="Arial"/>
          <w:sz w:val="16"/>
          <w:szCs w:val="16"/>
          <w:color w:val="auto"/>
        </w:rPr>
        <w:t>” shall have the meaning specified in Section 14.02(a)(i).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Election</w:t>
      </w:r>
      <w:r>
        <w:rPr>
          <w:rFonts w:ascii="Arial" w:cs="Arial" w:eastAsia="Arial" w:hAnsi="Arial"/>
          <w:sz w:val="16"/>
          <w:szCs w:val="16"/>
          <w:color w:val="auto"/>
        </w:rPr>
        <w:t>” shall have the meaning specified in Section 4.01.</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Interest</w:t>
      </w:r>
      <w:r>
        <w:rPr>
          <w:rFonts w:ascii="Arial" w:cs="Arial" w:eastAsia="Arial" w:hAnsi="Arial"/>
          <w:sz w:val="16"/>
          <w:szCs w:val="16"/>
          <w:color w:val="auto"/>
        </w:rPr>
        <w:t>” means the portion of an installment of interest due on an Interest Payment Date after a PIK Election as applicable in respect of Notes that is payable in PIK Notes or by increasing the outstanding principal amount of the Notes, in each case as provided in the Notes.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Notes</w:t>
      </w:r>
      <w:r>
        <w:rPr>
          <w:rFonts w:ascii="Arial" w:cs="Arial" w:eastAsia="Arial" w:hAnsi="Arial"/>
          <w:sz w:val="16"/>
          <w:szCs w:val="16"/>
          <w:color w:val="auto"/>
        </w:rPr>
        <w:t>” shall have the meaning specified in Section 2.02.</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PIK Payment</w:t>
      </w:r>
      <w:r>
        <w:rPr>
          <w:rFonts w:ascii="Arial" w:cs="Arial" w:eastAsia="Arial" w:hAnsi="Arial"/>
          <w:sz w:val="16"/>
          <w:szCs w:val="16"/>
          <w:color w:val="auto"/>
        </w:rPr>
        <w:t>” shall have the meaning specified in Section 2.02.</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Physical Notes</w:t>
      </w:r>
      <w:r>
        <w:rPr>
          <w:rFonts w:ascii="Arial" w:cs="Arial" w:eastAsia="Arial" w:hAnsi="Arial"/>
          <w:sz w:val="15"/>
          <w:szCs w:val="15"/>
          <w:color w:val="auto"/>
        </w:rPr>
        <w:t>” means permanent certificated Notes in registered form issued in denominations of $1,000 principal amount and integral multiples thereof.</w:t>
      </w:r>
    </w:p>
    <w:p>
      <w:pPr>
        <w:spacing w:after="0" w:line="210"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Note</w:t>
      </w:r>
      <w:r>
        <w:rPr>
          <w:rFonts w:ascii="Arial" w:cs="Arial" w:eastAsia="Arial" w:hAnsi="Arial"/>
          <w:sz w:val="16"/>
          <w:szCs w:val="16"/>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4" w:name="page125"/>
    <w:bookmarkEnd w:id="124"/>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of any Person means any Capital Stock of such Person that has preferential rights to any other Capital Stock of such Person with respect to dividends or redemptions or upon liquidation.</w:t>
      </w:r>
    </w:p>
    <w:p>
      <w:pPr>
        <w:spacing w:after="0" w:line="144" w:lineRule="exact"/>
        <w:rPr>
          <w:sz w:val="20"/>
          <w:szCs w:val="20"/>
          <w:color w:val="auto"/>
        </w:rPr>
      </w:pPr>
    </w:p>
    <w:p>
      <w:pPr>
        <w:jc w:val="both"/>
        <w:ind w:right="20" w:firstLine="574"/>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Record Date</w:t>
      </w:r>
      <w:r>
        <w:rPr>
          <w:rFonts w:ascii="Arial" w:cs="Arial" w:eastAsia="Arial" w:hAnsi="Arial"/>
          <w:sz w:val="15"/>
          <w:szCs w:val="15"/>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time and date fixed for determination of holders of the Common Stock (or such other security) entitled to receive such cash, securities or other property (whether such date is fixed by the Company in good faith, by statute, by contract or otherwise).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specified in Section 16.02(a).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Notice Date</w:t>
      </w:r>
      <w:r>
        <w:rPr>
          <w:rFonts w:ascii="Arial" w:cs="Arial" w:eastAsia="Arial" w:hAnsi="Arial"/>
          <w:sz w:val="16"/>
          <w:szCs w:val="16"/>
          <w:color w:val="auto"/>
        </w:rPr>
        <w:t>” means the date on which the Company provides the Notice of Redemption in accordance with Section 16.02.</w:t>
      </w:r>
    </w:p>
    <w:p>
      <w:pPr>
        <w:spacing w:after="0" w:line="198"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Period</w:t>
      </w:r>
      <w:r>
        <w:rPr>
          <w:rFonts w:ascii="Arial" w:cs="Arial" w:eastAsia="Arial" w:hAnsi="Arial"/>
          <w:sz w:val="15"/>
          <w:szCs w:val="15"/>
          <w:color w:val="auto"/>
        </w:rPr>
        <w:t>” means, with respect to any Optional Redemption of Notes pursuant to Article 16, the period from, and including, the Redemption Notice Date for such Optional Redemption to, and including, the close of business on the second Scheduled Trading Day immediately preceding the Redemption Date.</w:t>
      </w:r>
    </w:p>
    <w:p>
      <w:pPr>
        <w:spacing w:after="0" w:line="121"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for any Notes to be redeemed pursuant to Section 16.01, 100% of the principal amount of such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to, but excluding, the Redemption Date (unless the Redemption Date falls after a Regular Record Date but on or prior to the immediately succeeding Interest Payment Date, in which case the Company will pay, on or, at the Company’s election, before such Interest Payment Date, the full amount of accrued and unpaid interest to the Holders of record of such Notes as of the close of business on such Regular Record Date, and the Redemption Price will be equal to 100% of the principal amount of such Notes to be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Premium.</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Property</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Indebtedness</w:t>
      </w:r>
      <w:r>
        <w:rPr>
          <w:rFonts w:ascii="Arial" w:cs="Arial" w:eastAsia="Arial" w:hAnsi="Arial"/>
          <w:sz w:val="16"/>
          <w:szCs w:val="16"/>
          <w:color w:val="auto"/>
        </w:rPr>
        <w:t>” shall have the meaning specified in Section 4.11(b)(10).</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the Amended and Restated Registration Rights Agreement dated [●], 2022, by and among the Company, Ventoux CCM Acquisition Corp., Ventoux Acquisition Holdings LLC, Chardan International Investments, LLC, [***], and the other parties thereto.</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shall have the meaning specified in the Subscription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Regular Record Date</w:t>
      </w:r>
      <w:r>
        <w:rPr>
          <w:rFonts w:ascii="Arial" w:cs="Arial" w:eastAsia="Arial" w:hAnsi="Arial"/>
          <w:sz w:val="16"/>
          <w:szCs w:val="16"/>
          <w:color w:val="auto"/>
        </w:rPr>
        <w:t>,” with respect to any Interest Payment Date, means the June 1 or December 1 (whether or not such day is a Business Day), as the case may be, immediately preceding the applicable June 15 or December 15 Interest Payment Date, respectively.</w:t>
      </w:r>
    </w:p>
    <w:p>
      <w:pPr>
        <w:spacing w:after="0" w:line="144"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Reorganization Merger Event</w:t>
      </w:r>
      <w:r>
        <w:rPr>
          <w:rFonts w:ascii="Arial" w:cs="Arial" w:eastAsia="Arial" w:hAnsi="Arial"/>
          <w:sz w:val="15"/>
          <w:szCs w:val="15"/>
          <w:color w:val="auto"/>
        </w:rPr>
        <w:t>” means a Merger Event that is solely for the purpose of changing the jurisdiction of organization of the Company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5" w:name="page126"/>
    <w:bookmarkEnd w:id="125"/>
    <w:p>
      <w:pPr>
        <w:jc w:val="both"/>
        <w:ind w:right="20" w:firstLine="574"/>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Responsible Officer</w:t>
      </w:r>
      <w:r>
        <w:rPr>
          <w:rFonts w:ascii="Arial" w:cs="Arial" w:eastAsia="Arial" w:hAnsi="Arial"/>
          <w:sz w:val="15"/>
          <w:szCs w:val="15"/>
          <w:color w:val="auto"/>
        </w:rPr>
        <w:t>” means, when used with respect to the Trustee, any officer within the Corporate Trust Office of the Trustee, including any senior vice president, vice president, assistant vice president, any trust officer or assistant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Investment</w:t>
      </w:r>
      <w:r>
        <w:rPr>
          <w:rFonts w:ascii="Arial" w:cs="Arial" w:eastAsia="Arial" w:hAnsi="Arial"/>
          <w:sz w:val="16"/>
          <w:szCs w:val="16"/>
          <w:color w:val="auto"/>
        </w:rPr>
        <w:t>” means any Investment other than a Permitted Investment.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Restrictive Notes Legend</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w:t>
      </w:r>
      <w:r>
        <w:rPr>
          <w:rFonts w:ascii="Arial" w:cs="Arial" w:eastAsia="Arial" w:hAnsi="Arial"/>
          <w:sz w:val="16"/>
          <w:szCs w:val="16"/>
          <w:color w:val="auto"/>
        </w:rPr>
        <w:t>” means Rule 144 as promulgated under the Securities Act.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144A</w:t>
      </w:r>
      <w:r>
        <w:rPr>
          <w:rFonts w:ascii="Arial" w:cs="Arial" w:eastAsia="Arial" w:hAnsi="Arial"/>
          <w:sz w:val="16"/>
          <w:szCs w:val="16"/>
          <w:color w:val="auto"/>
        </w:rPr>
        <w:t>” means Rule 144A as promulgated under the Securities Act.</w:t>
      </w:r>
    </w:p>
    <w:p>
      <w:pPr>
        <w:spacing w:after="0" w:line="198" w:lineRule="exact"/>
        <w:rPr>
          <w:sz w:val="20"/>
          <w:szCs w:val="20"/>
          <w:color w:val="auto"/>
        </w:rPr>
      </w:pPr>
    </w:p>
    <w:p>
      <w:pPr>
        <w:jc w:val="both"/>
        <w:ind w:right="20"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Scheduled Trading Day</w:t>
      </w:r>
      <w:r>
        <w:rPr>
          <w:rFonts w:ascii="Arial" w:cs="Arial" w:eastAsia="Arial" w:hAnsi="Arial"/>
          <w:sz w:val="15"/>
          <w:szCs w:val="15"/>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5"/>
          <w:szCs w:val="15"/>
          <w:b w:val="1"/>
          <w:bCs w:val="1"/>
          <w:color w:val="auto"/>
        </w:rPr>
        <w:t>Scheduled Trading Day</w:t>
      </w:r>
      <w:r>
        <w:rPr>
          <w:rFonts w:ascii="Arial" w:cs="Arial" w:eastAsia="Arial" w:hAnsi="Arial"/>
          <w:sz w:val="15"/>
          <w:szCs w:val="15"/>
          <w:color w:val="auto"/>
        </w:rPr>
        <w:t>” means a Business Day.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Amount</w:t>
      </w:r>
      <w:r>
        <w:rPr>
          <w:rFonts w:ascii="Arial" w:cs="Arial" w:eastAsia="Arial" w:hAnsi="Arial"/>
          <w:sz w:val="16"/>
          <w:szCs w:val="16"/>
          <w:color w:val="auto"/>
        </w:rPr>
        <w:t>” shall have the meaning specified in Section 14.02(a)(iv).</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Method</w:t>
      </w:r>
      <w:r>
        <w:rPr>
          <w:rFonts w:ascii="Arial" w:cs="Arial" w:eastAsia="Arial" w:hAnsi="Arial"/>
          <w:sz w:val="16"/>
          <w:szCs w:val="16"/>
          <w:color w:val="auto"/>
        </w:rPr>
        <w:t>” means, with respect to any conversion of Notes, Physical Settlement, Cash Settlement or Combination Settlement, as elected (or deemed to have been elected) by the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Method Election Date</w:t>
      </w:r>
      <w:r>
        <w:rPr>
          <w:rFonts w:ascii="Arial" w:cs="Arial" w:eastAsia="Arial" w:hAnsi="Arial"/>
          <w:sz w:val="16"/>
          <w:szCs w:val="16"/>
          <w:color w:val="auto"/>
        </w:rPr>
        <w:t>” shall have the meaning specified in Section 14.02(a)(iii).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Notice</w:t>
      </w:r>
      <w:r>
        <w:rPr>
          <w:rFonts w:ascii="Arial" w:cs="Arial" w:eastAsia="Arial" w:hAnsi="Arial"/>
          <w:sz w:val="16"/>
          <w:szCs w:val="16"/>
          <w:color w:val="auto"/>
        </w:rPr>
        <w:t>” shall have the meaning specified in Section 14.02(a)(iii).</w:t>
      </w:r>
    </w:p>
    <w:p>
      <w:pPr>
        <w:spacing w:after="0" w:line="198" w:lineRule="exact"/>
        <w:rPr>
          <w:sz w:val="20"/>
          <w:szCs w:val="20"/>
          <w:color w:val="auto"/>
        </w:rPr>
      </w:pPr>
    </w:p>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Significant Subsidiary</w:t>
      </w:r>
      <w:r>
        <w:rPr>
          <w:rFonts w:ascii="Arial" w:cs="Arial" w:eastAsia="Arial" w:hAnsi="Arial"/>
          <w:sz w:val="14"/>
          <w:szCs w:val="14"/>
          <w:color w:val="auto"/>
        </w:rPr>
        <w:t xml:space="preserve">” means a Subsidiary of the Company that meets the definition of “significant subsidiary” in Rule 1-02(w) of Regulation S-X under the Exchange Act;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 Subsidiary that meets the criteria of clause (1)(iii) of the definition thereof but not clause (1)(i) or (1)(ii) thereof, in each case, as such rule is in effect on the date hereof, such Subsidiary shall be deemed not to be a Significant Subsidiary unless the Subsidiary’s income (or loss) from continuing operations before income taxes exclusive of amounts attributable to any non-controlling interests for the last completed fiscal year prior to the date of such determination exceeds $1,000,000. For the avoidance of doubt, to the extent any such Subsidiary would not be deemed to be a “significant subsidiary” under the relevant definition set forth in Article 1, Rule 1-02 of Regulation S-X (or any successor rule) as in effect on the relevant date of determination, such Subsidiary shall not be deemed to be a “significant subsidiary” under this Indenture irrespective of whether such Subsidiary would otherwise be deemed to be a “significant subsidiary” pursuant to the immediately preceding sentence.</w:t>
      </w:r>
    </w:p>
    <w:p>
      <w:pPr>
        <w:spacing w:after="0" w:line="14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Dollar Amount</w:t>
      </w:r>
      <w:r>
        <w:rPr>
          <w:rFonts w:ascii="Arial" w:cs="Arial" w:eastAsia="Arial" w:hAnsi="Arial"/>
          <w:sz w:val="16"/>
          <w:szCs w:val="16"/>
          <w:color w:val="auto"/>
        </w:rPr>
        <w:t>” means the maximum cash amount per $1,000 principal amount of Notes to be received upon conversion as specified in the Settlement Notice (or deemed specified as provided in Section 14.02(a)(iii)) related to any converted Notes.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Spin-Off</w:t>
      </w:r>
      <w:r>
        <w:rPr>
          <w:rFonts w:ascii="Arial" w:cs="Arial" w:eastAsia="Arial" w:hAnsi="Arial"/>
          <w:sz w:val="16"/>
          <w:szCs w:val="16"/>
          <w:color w:val="auto"/>
        </w:rPr>
        <w:t>” shall have the meaning specified in Section 14.05(c).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6" w:name="page127"/>
    <w:bookmarkEnd w:id="126"/>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Price</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collectively, the Subscription Agreements dated as of [●], each between the Company and the Subscriber defined therein.</w:t>
      </w:r>
    </w:p>
    <w:p>
      <w:pPr>
        <w:spacing w:after="0" w:line="210"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Successor Company</w:t>
      </w:r>
      <w:r>
        <w:rPr>
          <w:rFonts w:ascii="Arial" w:cs="Arial" w:eastAsia="Arial" w:hAnsi="Arial"/>
          <w:sz w:val="16"/>
          <w:szCs w:val="16"/>
          <w:color w:val="auto"/>
        </w:rPr>
        <w:t>” shall have the meaning specified in Section 11.01(a).</w:t>
      </w:r>
    </w:p>
    <w:p>
      <w:pPr>
        <w:spacing w:after="0" w:line="198" w:lineRule="exact"/>
        <w:rPr>
          <w:sz w:val="20"/>
          <w:szCs w:val="20"/>
          <w:color w:val="auto"/>
        </w:rPr>
      </w:pPr>
    </w:p>
    <w:p>
      <w:pPr>
        <w:jc w:val="both"/>
        <w:ind w:left="4" w:right="20"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Day</w:t>
      </w:r>
      <w:r>
        <w:rPr>
          <w:rFonts w:ascii="Arial" w:cs="Arial" w:eastAsia="Arial" w:hAnsi="Arial"/>
          <w:sz w:val="15"/>
          <w:szCs w:val="15"/>
          <w:color w:val="auto"/>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(including an over-the-counter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Common Stock (or such other security) is not so listed or traded, “</w:t>
      </w:r>
      <w:r>
        <w:rPr>
          <w:rFonts w:ascii="Arial" w:cs="Arial" w:eastAsia="Arial" w:hAnsi="Arial"/>
          <w:sz w:val="15"/>
          <w:szCs w:val="15"/>
          <w:b w:val="1"/>
          <w:bCs w:val="1"/>
          <w:color w:val="auto"/>
        </w:rPr>
        <w:t>Trading Day</w:t>
      </w:r>
      <w:r>
        <w:rPr>
          <w:rFonts w:ascii="Arial" w:cs="Arial" w:eastAsia="Arial" w:hAnsi="Arial"/>
          <w:sz w:val="15"/>
          <w:szCs w:val="15"/>
          <w:color w:val="auto"/>
        </w:rPr>
        <w:t xml:space="preserve">” means a Business Day;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further </w:t>
      </w:r>
      <w:r>
        <w:rPr>
          <w:rFonts w:ascii="Arial" w:cs="Arial" w:eastAsia="Arial" w:hAnsi="Arial"/>
          <w:sz w:val="15"/>
          <w:szCs w:val="15"/>
          <w:color w:val="auto"/>
        </w:rPr>
        <w:t>that, for purposes of determining amounts due upon conversion only, “</w:t>
      </w:r>
      <w:r>
        <w:rPr>
          <w:rFonts w:ascii="Arial" w:cs="Arial" w:eastAsia="Arial" w:hAnsi="Arial"/>
          <w:sz w:val="15"/>
          <w:szCs w:val="15"/>
          <w:b w:val="1"/>
          <w:bCs w:val="1"/>
          <w:color w:val="auto"/>
        </w:rPr>
        <w:t>Trading Day</w:t>
      </w:r>
      <w:r>
        <w:rPr>
          <w:rFonts w:ascii="Arial" w:cs="Arial" w:eastAsia="Arial" w:hAnsi="Arial"/>
          <w:sz w:val="15"/>
          <w:szCs w:val="15"/>
          <w:color w:val="auto"/>
        </w:rPr>
        <w:t>” means a day on which (x) there is no Market Disruption Event and (y) trading in</w:t>
      </w:r>
      <w:r>
        <w:rPr>
          <w:rFonts w:ascii="Arial" w:cs="Arial" w:eastAsia="Arial" w:hAnsi="Arial"/>
          <w:sz w:val="15"/>
          <w:szCs w:val="15"/>
          <w:i w:val="1"/>
          <w:iCs w:val="1"/>
          <w:color w:val="auto"/>
        </w:rPr>
        <w:t xml:space="preserve"> </w:t>
      </w:r>
      <w:r>
        <w:rPr>
          <w:rFonts w:ascii="Arial" w:cs="Arial" w:eastAsia="Arial" w:hAnsi="Arial"/>
          <w:sz w:val="15"/>
          <w:szCs w:val="15"/>
          <w:color w:val="auto"/>
        </w:rPr>
        <w:t>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5"/>
          <w:szCs w:val="15"/>
          <w:b w:val="1"/>
          <w:bCs w:val="1"/>
          <w:color w:val="auto"/>
        </w:rPr>
        <w:t>Trading</w:t>
      </w:r>
      <w:r>
        <w:rPr>
          <w:rFonts w:ascii="Arial" w:cs="Arial" w:eastAsia="Arial" w:hAnsi="Arial"/>
          <w:sz w:val="15"/>
          <w:szCs w:val="15"/>
          <w:color w:val="auto"/>
        </w:rPr>
        <w:t xml:space="preserve"> </w:t>
      </w:r>
      <w:r>
        <w:rPr>
          <w:rFonts w:ascii="Arial" w:cs="Arial" w:eastAsia="Arial" w:hAnsi="Arial"/>
          <w:sz w:val="15"/>
          <w:szCs w:val="15"/>
          <w:b w:val="1"/>
          <w:bCs w:val="1"/>
          <w:color w:val="auto"/>
        </w:rPr>
        <w:t>Day</w:t>
      </w:r>
      <w:r>
        <w:rPr>
          <w:rFonts w:ascii="Arial" w:cs="Arial" w:eastAsia="Arial" w:hAnsi="Arial"/>
          <w:sz w:val="15"/>
          <w:szCs w:val="15"/>
          <w:color w:val="auto"/>
        </w:rPr>
        <w:t>” means a Business Day.</w:t>
      </w:r>
    </w:p>
    <w:p>
      <w:pPr>
        <w:spacing w:after="0" w:line="160"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date of determination means the average of the secondary market bid quotations obtained for $2,000,000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but two such bids are obtained, then the average of the two bids shall be used, and if only one such bid can reasonably be obtained, that one bid shall be used.</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means any Subscription Agreement, this Indenture and the Notes.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shall have the meaning specified in Section 2.05(c).</w:t>
      </w:r>
    </w:p>
    <w:p>
      <w:pPr>
        <w:spacing w:after="0" w:line="198" w:lineRule="exact"/>
        <w:rPr>
          <w:sz w:val="20"/>
          <w:szCs w:val="20"/>
          <w:color w:val="auto"/>
        </w:rPr>
      </w:pPr>
    </w:p>
    <w:p>
      <w:pPr>
        <w:jc w:val="both"/>
        <w:ind w:left="4" w:right="20" w:firstLine="574"/>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Treasury Rate</w:t>
      </w:r>
      <w:r>
        <w:rPr>
          <w:rFonts w:ascii="Arial" w:cs="Arial" w:eastAsia="Arial" w:hAnsi="Arial"/>
          <w:sz w:val="14"/>
          <w:szCs w:val="14"/>
          <w:color w:val="auto"/>
        </w:rPr>
        <w:t>” means, at any redemption date, the yield to maturity as of such redemption date of constant maturity United States Treasury securities (as compiled and published in the most recent Federal Reserve Statistical Release H. 15 (519) that has become publicly available at least two Business Days prior to such redemption date (or, if such statistical release is no longer published, any publicly available source of similar market data)) most nearly equal to the period from such redemption date to [●],</w:t>
      </w:r>
    </w:p>
    <w:p>
      <w:pPr>
        <w:spacing w:after="0" w:line="1" w:lineRule="exact"/>
        <w:rPr>
          <w:sz w:val="20"/>
          <w:szCs w:val="20"/>
          <w:color w:val="auto"/>
        </w:rPr>
      </w:pPr>
    </w:p>
    <w:p>
      <w:pPr>
        <w:jc w:val="both"/>
        <w:ind w:left="4"/>
        <w:spacing w:after="0" w:line="238" w:lineRule="auto"/>
        <w:rPr>
          <w:sz w:val="20"/>
          <w:szCs w:val="20"/>
          <w:color w:val="auto"/>
        </w:rPr>
      </w:pPr>
      <w:r>
        <w:rPr>
          <w:rFonts w:ascii="Arial" w:cs="Arial" w:eastAsia="Arial" w:hAnsi="Arial"/>
          <w:sz w:val="15"/>
          <w:szCs w:val="15"/>
          <w:color w:val="auto"/>
        </w:rPr>
        <w:t>2025</w:t>
      </w:r>
      <w:r>
        <w:rPr>
          <w:rFonts w:ascii="Arial" w:cs="Arial" w:eastAsia="Arial" w:hAnsi="Arial"/>
          <w:sz w:val="25"/>
          <w:szCs w:val="25"/>
          <w:color w:val="auto"/>
          <w:vertAlign w:val="superscript"/>
        </w:rPr>
        <w:t>11</w:t>
      </w:r>
      <w:r>
        <w:rPr>
          <w:rFonts w:ascii="Arial" w:cs="Arial" w:eastAsia="Arial" w:hAnsi="Arial"/>
          <w:sz w:val="15"/>
          <w:szCs w:val="15"/>
          <w:color w:val="auto"/>
        </w:rPr>
        <w:t xml:space="preserve"> (or, in the case of a redemption after such date, [●], 2025</w:t>
      </w:r>
      <w:r>
        <w:rPr>
          <w:rFonts w:ascii="Arial" w:cs="Arial" w:eastAsia="Arial" w:hAnsi="Arial"/>
          <w:sz w:val="25"/>
          <w:szCs w:val="25"/>
          <w:color w:val="auto"/>
          <w:vertAlign w:val="superscript"/>
        </w:rPr>
        <w:t>12</w:t>
      </w:r>
      <w:r>
        <w:rPr>
          <w:rFonts w:ascii="Arial" w:cs="Arial" w:eastAsia="Arial" w:hAnsi="Arial"/>
          <w:sz w:val="15"/>
          <w:szCs w:val="15"/>
          <w:color w:val="auto"/>
        </w:rPr>
        <w:t>; provided, however, that if no published maturity exactly corresponds with such date, then the Treasury Rate shall be interpolated or extrapolated on a straight-line basis from the arithmetic mean of the yields for the next shortest and next longest published maturities; provided further, however, that if the period from such redemption date to [●], 2025 (or, in the case of a redemption after such date, [●], 2025, is less than one year, the weekly average yield on actually traded United States Treasury securities adjusted to a constant maturity of one year 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1790700"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90" w:lineRule="exact"/>
        <w:rPr>
          <w:sz w:val="20"/>
          <w:szCs w:val="20"/>
          <w:color w:val="auto"/>
        </w:rPr>
      </w:pPr>
    </w:p>
    <w:p>
      <w:pPr>
        <w:ind w:left="284" w:hanging="284"/>
        <w:spacing w:after="0"/>
        <w:tabs>
          <w:tab w:leader="none" w:pos="284" w:val="left"/>
        </w:tabs>
        <w:numPr>
          <w:ilvl w:val="0"/>
          <w:numId w:val="118"/>
        </w:numPr>
        <w:rPr>
          <w:rFonts w:ascii="Arial" w:cs="Arial" w:eastAsia="Arial" w:hAnsi="Arial"/>
          <w:sz w:val="27"/>
          <w:szCs w:val="27"/>
          <w:color w:val="auto"/>
          <w:vertAlign w:val="superscript"/>
        </w:rPr>
      </w:pPr>
      <w:r>
        <w:rPr>
          <w:rFonts w:ascii="Arial" w:cs="Arial" w:eastAsia="Arial" w:hAnsi="Arial"/>
          <w:sz w:val="16"/>
          <w:szCs w:val="16"/>
          <w:color w:val="auto"/>
        </w:rPr>
        <w:t>NTD: Insert date that is the day before the third anniversary of issuance.</w:t>
      </w:r>
    </w:p>
    <w:p>
      <w:pPr>
        <w:spacing w:after="0" w:line="1" w:lineRule="exact"/>
        <w:rPr>
          <w:rFonts w:ascii="Arial" w:cs="Arial" w:eastAsia="Arial" w:hAnsi="Arial"/>
          <w:sz w:val="27"/>
          <w:szCs w:val="27"/>
          <w:color w:val="auto"/>
          <w:vertAlign w:val="superscript"/>
        </w:rPr>
      </w:pPr>
    </w:p>
    <w:p>
      <w:pPr>
        <w:ind w:left="284" w:hanging="284"/>
        <w:spacing w:after="0" w:line="180" w:lineRule="auto"/>
        <w:tabs>
          <w:tab w:leader="none" w:pos="284" w:val="left"/>
        </w:tabs>
        <w:numPr>
          <w:ilvl w:val="0"/>
          <w:numId w:val="118"/>
        </w:numPr>
        <w:rPr>
          <w:rFonts w:ascii="Arial" w:cs="Arial" w:eastAsia="Arial" w:hAnsi="Arial"/>
          <w:sz w:val="22"/>
          <w:szCs w:val="22"/>
          <w:color w:val="auto"/>
          <w:vertAlign w:val="superscript"/>
        </w:rPr>
      </w:pPr>
      <w:r>
        <w:rPr>
          <w:rFonts w:ascii="Arial" w:cs="Arial" w:eastAsia="Arial" w:hAnsi="Arial"/>
          <w:sz w:val="14"/>
          <w:szCs w:val="14"/>
          <w:color w:val="auto"/>
        </w:rPr>
        <w:t>NTD: Insert date that is third anniversary of issuance.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27" w:name="page128"/>
    <w:bookmarkEnd w:id="12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Event</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 Indenture Act</w:t>
      </w:r>
      <w:r>
        <w:rPr>
          <w:rFonts w:ascii="Arial" w:cs="Arial" w:eastAsia="Arial" w:hAnsi="Arial"/>
          <w:sz w:val="16"/>
          <w:szCs w:val="16"/>
          <w:color w:val="auto"/>
        </w:rPr>
        <w:t xml:space="preserve">” means the Trust Indenture Act of 1939, as amended, as it was in force at the date of execution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Trust Indenture Act of 1939 is amended after the date hereof, the term “Trust Indenture Act” shall mean, to the extent required by such amendment, the Trust Indenture Act of 1939, as so amended.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shall have the meaning specified in Section 14.07(a).</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Valuation Period</w:t>
      </w:r>
      <w:r>
        <w:rPr>
          <w:rFonts w:ascii="Arial" w:cs="Arial" w:eastAsia="Arial" w:hAnsi="Arial"/>
          <w:sz w:val="16"/>
          <w:szCs w:val="16"/>
          <w:color w:val="auto"/>
        </w:rPr>
        <w:t>” shall have the meaning specified in Section 14.04(c).</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Volume Failure</w:t>
      </w:r>
      <w:r>
        <w:rPr>
          <w:rFonts w:ascii="Arial" w:cs="Arial" w:eastAsia="Arial" w:hAnsi="Arial"/>
          <w:sz w:val="16"/>
          <w:szCs w:val="16"/>
          <w:color w:val="auto"/>
        </w:rPr>
        <w:t>” means, with respect to a particular date of determination, the average daily dollar trading volume (as reported on Bloomberg) of the Common Stock on the primary U.S. national or regional securities exchange or market on which the Common Stock is listed on any Trading Day during the 20 Trading Day period ending on the Trading Day immediately preceding such date of determination (such period, the “</w:t>
      </w:r>
      <w:r>
        <w:rPr>
          <w:rFonts w:ascii="Arial" w:cs="Arial" w:eastAsia="Arial" w:hAnsi="Arial"/>
          <w:sz w:val="16"/>
          <w:szCs w:val="16"/>
          <w:b w:val="1"/>
          <w:bCs w:val="1"/>
          <w:color w:val="auto"/>
        </w:rPr>
        <w:t>Volume Failure Measuring Period</w:t>
      </w:r>
      <w:r>
        <w:rPr>
          <w:rFonts w:ascii="Arial" w:cs="Arial" w:eastAsia="Arial" w:hAnsi="Arial"/>
          <w:sz w:val="16"/>
          <w:szCs w:val="16"/>
          <w:color w:val="auto"/>
        </w:rPr>
        <w:t>”), is less than $2,000,000 (as adjusted for any stock splits, stock dividends, stock combinations, recapitalizations or other similar transactions occurring after the effective date of the Subscription Agreement). All such determinations to be appropriately adjusted for any stock splits, stock dividends, stock combinations, recapitalizations or other similar transactions during such Volume Failure Measuring Period.</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Life to Maturity</w:t>
      </w:r>
      <w:r>
        <w:rPr>
          <w:rFonts w:ascii="Arial" w:cs="Arial" w:eastAsia="Arial" w:hAnsi="Arial"/>
          <w:sz w:val="16"/>
          <w:szCs w:val="16"/>
          <w:color w:val="auto"/>
        </w:rPr>
        <w:t>” means, when applied to any Indebtedness at any date, the number of years obtained by dividing (1) the then outstanding aggregate principal amount of such Indebtedness into (2) the sum of the total of the products obtained by multiplying (a) the amount of each then remaining installment, sinking fund, serial maturity or other required payment of principal, including payment at final maturity, in respect thereof, by (b) the number of years (calculated to the nearest one-twelfth) which will elapse between such date and the making of such payment.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4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References to Interest</w:t>
      </w:r>
      <w:r>
        <w:rPr>
          <w:rFonts w:ascii="Arial" w:cs="Arial" w:eastAsia="Arial" w:hAnsi="Arial"/>
          <w:sz w:val="16"/>
          <w:szCs w:val="16"/>
          <w:color w:val="auto"/>
        </w:rPr>
        <w:t>.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color w:val="auto"/>
        </w:rPr>
        <w:t>ARTICLE 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SSUE</w:t>
      </w:r>
      <w:r>
        <w:rPr>
          <w:rFonts w:ascii="Arial" w:cs="Arial" w:eastAsia="Arial" w:hAnsi="Arial"/>
          <w:sz w:val="16"/>
          <w:szCs w:val="16"/>
          <w:color w:val="auto"/>
        </w:rPr>
        <w:t>, D</w:t>
      </w:r>
      <w:r>
        <w:rPr>
          <w:rFonts w:ascii="Arial" w:cs="Arial" w:eastAsia="Arial" w:hAnsi="Arial"/>
          <w:sz w:val="10"/>
          <w:szCs w:val="10"/>
          <w:color w:val="auto"/>
        </w:rPr>
        <w:t>ESCRIPTION</w:t>
      </w:r>
      <w:r>
        <w:rPr>
          <w:rFonts w:ascii="Arial" w:cs="Arial" w:eastAsia="Arial" w:hAnsi="Arial"/>
          <w:sz w:val="16"/>
          <w:szCs w:val="16"/>
          <w:color w:val="auto"/>
        </w:rPr>
        <w:t>, E</w:t>
      </w:r>
      <w:r>
        <w:rPr>
          <w:rFonts w:ascii="Arial" w:cs="Arial" w:eastAsia="Arial" w:hAnsi="Arial"/>
          <w:sz w:val="10"/>
          <w:szCs w:val="10"/>
          <w:color w:val="auto"/>
        </w:rPr>
        <w:t>XECUTION</w:t>
      </w:r>
      <w:r>
        <w:rPr>
          <w:rFonts w:ascii="Arial" w:cs="Arial" w:eastAsia="Arial" w:hAnsi="Arial"/>
          <w:sz w:val="16"/>
          <w:szCs w:val="16"/>
          <w:color w:val="auto"/>
        </w:rPr>
        <w:t>, R</w:t>
      </w:r>
      <w:r>
        <w:rPr>
          <w:rFonts w:ascii="Arial" w:cs="Arial" w:eastAsia="Arial" w:hAnsi="Arial"/>
          <w:sz w:val="10"/>
          <w:szCs w:val="10"/>
          <w:color w:val="auto"/>
        </w:rPr>
        <w:t>EGISTRATION AND</w:t>
      </w:r>
      <w:r>
        <w:rPr>
          <w:rFonts w:ascii="Arial" w:cs="Arial" w:eastAsia="Arial" w:hAnsi="Arial"/>
          <w:sz w:val="16"/>
          <w:szCs w:val="16"/>
          <w:color w:val="auto"/>
        </w:rPr>
        <w:t xml:space="preserve"> E</w:t>
      </w:r>
      <w:r>
        <w:rPr>
          <w:rFonts w:ascii="Arial" w:cs="Arial" w:eastAsia="Arial" w:hAnsi="Arial"/>
          <w:sz w:val="10"/>
          <w:szCs w:val="10"/>
          <w:color w:val="auto"/>
        </w:rPr>
        <w:t>XCHANGE OF</w:t>
      </w:r>
      <w:r>
        <w:rPr>
          <w:rFonts w:ascii="Arial" w:cs="Arial" w:eastAsia="Arial" w:hAnsi="Arial"/>
          <w:sz w:val="16"/>
          <w:szCs w:val="16"/>
          <w:color w:val="auto"/>
        </w:rPr>
        <w:t xml:space="preserve"> N</w:t>
      </w:r>
      <w:r>
        <w:rPr>
          <w:rFonts w:ascii="Arial" w:cs="Arial" w:eastAsia="Arial" w:hAnsi="Arial"/>
          <w:sz w:val="10"/>
          <w:szCs w:val="10"/>
          <w:color w:val="auto"/>
        </w:rPr>
        <w:t>OTES</w:t>
      </w:r>
    </w:p>
    <w:p>
      <w:pPr>
        <w:spacing w:after="0" w:line="186"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i w:val="1"/>
          <w:iCs w:val="1"/>
          <w:color w:val="auto"/>
        </w:rPr>
        <w:t>Designation and Amount</w:t>
      </w:r>
      <w:r>
        <w:rPr>
          <w:rFonts w:ascii="Arial" w:cs="Arial" w:eastAsia="Arial" w:hAnsi="Arial"/>
          <w:sz w:val="14"/>
          <w:szCs w:val="14"/>
          <w:color w:val="auto"/>
        </w:rPr>
        <w:t>. The Notes shall be designated as the “9.0%/11% Convertible Senior PIK Toggle Notes due 2026.” The aggregate principal amount of Notes that may be authenticated and delivered under this Indenture is initially limited to $70,000,000 (excluding any Notes issued in connection with a PIK Election), subject to Section 2.10 and except for Notes authenticated and delivered upon registration or transfer of, or in exchange for, or in lieu of other Notes to the extent expressly permitted hereunder. Unless the context requires otherwise, references to the “principal” or “principal amount” of Notes including for purposes of calculating any Redemption Price, Fundamental Change Repurchase Price or otherwise, includes any increase in the principal amount of the Notes as a result of a PIK Payment.</w:t>
      </w:r>
    </w:p>
    <w:p>
      <w:pPr>
        <w:spacing w:after="0" w:line="138"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i w:val="1"/>
          <w:iCs w:val="1"/>
          <w:color w:val="auto"/>
        </w:rPr>
        <w:t>Form of Notes</w:t>
      </w:r>
      <w:r>
        <w:rPr>
          <w:rFonts w:ascii="Arial" w:cs="Arial" w:eastAsia="Arial" w:hAnsi="Arial"/>
          <w:sz w:val="15"/>
          <w:szCs w:val="15"/>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In connection with the payment of PIK Interest pursuant to a PIK Election in respect of the Notes, the Company is entitled to, without the consent of the Holders and without regard to Section 2.01 and 4.11 hereof, increase the outstanding principal amount of the Notes or issue additional Notes (“</w:t>
      </w:r>
      <w:r>
        <w:rPr>
          <w:rFonts w:ascii="Arial" w:cs="Arial" w:eastAsia="Arial" w:hAnsi="Arial"/>
          <w:sz w:val="16"/>
          <w:szCs w:val="16"/>
          <w:b w:val="1"/>
          <w:bCs w:val="1"/>
          <w:color w:val="auto"/>
        </w:rPr>
        <w:t>PIK Notes</w:t>
      </w:r>
      <w:r>
        <w:rPr>
          <w:rFonts w:ascii="Arial" w:cs="Arial" w:eastAsia="Arial" w:hAnsi="Arial"/>
          <w:sz w:val="16"/>
          <w:szCs w:val="16"/>
          <w:color w:val="auto"/>
        </w:rPr>
        <w:t>”) under this Indenture on the same terms and conditions as the Notes (in each case, a “</w:t>
      </w:r>
      <w:r>
        <w:rPr>
          <w:rFonts w:ascii="Arial" w:cs="Arial" w:eastAsia="Arial" w:hAnsi="Arial"/>
          <w:sz w:val="16"/>
          <w:szCs w:val="16"/>
          <w:b w:val="1"/>
          <w:bCs w:val="1"/>
          <w:color w:val="auto"/>
        </w:rPr>
        <w:t>PIK Payment</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3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9" w:name="page130"/>
    <w:bookmarkEnd w:id="129"/>
    <w:p>
      <w:pPr>
        <w:jc w:val="both"/>
        <w:ind w:firstLine="574"/>
        <w:spacing w:after="0" w:line="271" w:lineRule="auto"/>
        <w:rPr>
          <w:sz w:val="20"/>
          <w:szCs w:val="20"/>
          <w:color w:val="auto"/>
        </w:rPr>
      </w:pPr>
      <w:r>
        <w:rPr>
          <w:rFonts w:ascii="Arial" w:cs="Arial" w:eastAsia="Arial" w:hAnsi="Arial"/>
          <w:sz w:val="15"/>
          <w:szCs w:val="15"/>
          <w:color w:val="auto"/>
        </w:rPr>
        <w:t>On any Interest Payment Date on which the Company pays PIK Interest pursuant to a PIK Election with respect to a Global Note, the Trustee upon receipt of an Authentication Order shall increase the principal amount of such Note by an amount equal to the interest payable, rounded up to the nearest $1.00 for the relevant interest period on the principal amount of such Note as of the relevant Regular Record Date for such Interest Payment Date, to the credit of the Holders on such Regular Record Date, pro rata in accordance with their interests, and an adjustment shall be made on the books and records of the Trustee with respect to such Global Note, by the Trustee to reflect such increase. On any Interest Payment Date on which the Company pays PIK Interest pursuant to a PIK Election by issuing certificated PIK Notes, the principal amount of any such PIK Notes issued to any Holder, for the relevant interest period as of the relevant Regular Record Date for such Interest Payment Date, shall be rounded up to the nearest $1.00. Following an increase in the principal amount of a Global Note as a result of a PIK Payment such Global Note will bear interest on such increased principal amount from and after the relevant Interest Payment Date. The Company may not make a PIK Election in connection with the payment of any interest payable upon a redemption or in connection with a Fundamental Change.</w:t>
      </w:r>
    </w:p>
    <w:p>
      <w:pPr>
        <w:spacing w:after="0" w:line="159"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i w:val="1"/>
          <w:iCs w:val="1"/>
          <w:color w:val="auto"/>
        </w:rPr>
        <w:t>Date and Denomination of Notes; Payments of Interest and Defaulted Amounts.</w:t>
      </w:r>
      <w:r>
        <w:rPr>
          <w:rFonts w:ascii="Arial" w:cs="Arial" w:eastAsia="Arial" w:hAnsi="Arial"/>
          <w:sz w:val="14"/>
          <w:szCs w:val="14"/>
          <w:color w:val="auto"/>
        </w:rPr>
        <w:t xml:space="preserve"> (a) The Notes shall be issuable in registered form without coupons in minimum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38" w:lineRule="exact"/>
        <w:rPr>
          <w:sz w:val="20"/>
          <w:szCs w:val="20"/>
          <w:color w:val="auto"/>
        </w:rPr>
      </w:pPr>
    </w:p>
    <w:p>
      <w:pPr>
        <w:jc w:val="both"/>
        <w:ind w:firstLine="1143"/>
        <w:spacing w:after="0" w:line="270" w:lineRule="auto"/>
        <w:tabs>
          <w:tab w:leader="none" w:pos="137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addresses as they appear in the Note Register and (B) to Holders holding Physical Notes having an aggregate principal amount of more than $5,000,000, either by check mailed to each such Holder or, upon written application by such a Holder to the Note Registrar in a form reasonably satisfactory to the Note Registrar not later than the relevant Regular Record Date, by wire transfer in immediately available funds to that Holder’s account within the United States if such Holder has provided the Trustee or the Paying Agent (if other than the Trustee) with the requisite information necessary to make such wire transfer, which written application shall remain in effect until the Holder notifies, in writing, the Note Registrar to the contrary or (ii) on any Global Note by wire transfer of immediately available funds to the account of the Depositary or its nominee.</w:t>
      </w:r>
    </w:p>
    <w:p>
      <w:pPr>
        <w:spacing w:after="0" w:line="159" w:lineRule="exact"/>
        <w:rPr>
          <w:rFonts w:ascii="Arial" w:cs="Arial" w:eastAsia="Arial" w:hAnsi="Arial"/>
          <w:sz w:val="15"/>
          <w:szCs w:val="15"/>
          <w:color w:val="auto"/>
        </w:rPr>
      </w:pPr>
    </w:p>
    <w:p>
      <w:pPr>
        <w:jc w:val="both"/>
        <w:ind w:right="20" w:firstLine="1143"/>
        <w:spacing w:after="0" w:line="262" w:lineRule="auto"/>
        <w:tabs>
          <w:tab w:leader="none" w:pos="137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w:t>
      </w:r>
    </w:p>
    <w:p>
      <w:pPr>
        <w:spacing w:after="0" w:line="162" w:lineRule="exact"/>
        <w:rPr>
          <w:rFonts w:ascii="Arial" w:cs="Arial" w:eastAsia="Arial" w:hAnsi="Arial"/>
          <w:sz w:val="16"/>
          <w:szCs w:val="16"/>
          <w:color w:val="auto"/>
        </w:rPr>
      </w:pPr>
    </w:p>
    <w:p>
      <w:pPr>
        <w:jc w:val="both"/>
        <w:ind w:firstLine="1716"/>
        <w:spacing w:after="0" w:line="269" w:lineRule="auto"/>
        <w:tabs>
          <w:tab w:leader="none" w:pos="1918" w:val="left"/>
        </w:tabs>
        <w:numPr>
          <w:ilvl w:val="1"/>
          <w:numId w:val="119"/>
        </w:numPr>
        <w:rPr>
          <w:rFonts w:ascii="Arial" w:cs="Arial" w:eastAsia="Arial" w:hAnsi="Arial"/>
          <w:sz w:val="15"/>
          <w:szCs w:val="15"/>
          <w:color w:val="auto"/>
        </w:rPr>
      </w:pPr>
      <w:r>
        <w:rPr>
          <w:rFonts w:ascii="Arial" w:cs="Arial" w:eastAsia="Arial" w:hAnsi="Arial"/>
          <w:sz w:val="15"/>
          <w:szCs w:val="15"/>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at least [●] Business Days before such notice is to be sent to the Holders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The Trustee shall have no responsibility whatsoever for the calculation of the Defaulted Amount.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0" w:name="page131"/>
    <w:bookmarkEnd w:id="130"/>
    <w:p>
      <w:pPr>
        <w:jc w:val="both"/>
        <w:ind w:right="20" w:firstLine="1716"/>
        <w:spacing w:after="0" w:line="258" w:lineRule="auto"/>
        <w:tabs>
          <w:tab w:leader="none" w:pos="195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i w:val="1"/>
          <w:iCs w:val="1"/>
          <w:color w:val="auto"/>
        </w:rPr>
        <w:t>Execution, Authentication and Delivery of Notes</w:t>
      </w:r>
      <w:r>
        <w:rPr>
          <w:rFonts w:ascii="Arial" w:cs="Arial" w:eastAsia="Arial" w:hAnsi="Arial"/>
          <w:sz w:val="16"/>
          <w:szCs w:val="16"/>
          <w:color w:val="auto"/>
        </w:rPr>
        <w:t>. The Notes shall be signed in the name and on behalf of the Company by the manual, facsimile or electronic signature of its Chief Executive Officer, Chief Financial Officer, Treasurer, Secretary or other Officer of the Company.</w:t>
      </w:r>
    </w:p>
    <w:p>
      <w:pPr>
        <w:spacing w:after="0" w:line="15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At any time and from time to time after the execution and delivery of this Indenture, the Company may deliver Notes, including any additional Notes or PIK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Trustee shall be entitled to receive an Officer’s Certificate and an Opinion of Counsel of the Company with respect to the issuance, authentication and delivery of such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notwithstanding anything to the contrary herein, no Officer’s Certificate or Opinion of Counsel shall be required to be delivered in connection with a payment of PIK Interest (whether by an issuance of PIK Notes or by an increase in Global Notes reflecting a PIK Payment).</w:t>
      </w:r>
    </w:p>
    <w:p>
      <w:pPr>
        <w:spacing w:after="0" w:line="157"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Only such Notes as shall bear thereon a certificate of authentication substantially in the form set forth on the Form of Note attached as Exhibit A hereto, executed manually by an authorized officer of the Trustee (or an authenticating agent appointed by the Trustee as provided by Section 18.10),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1" w:name="page132"/>
    <w:bookmarkEnd w:id="131"/>
    <w:p>
      <w:pPr>
        <w:jc w:val="both"/>
        <w:ind w:right="20" w:firstLine="574"/>
        <w:spacing w:after="0" w:line="301"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i w:val="1"/>
          <w:iCs w:val="1"/>
          <w:color w:val="auto"/>
        </w:rPr>
        <w:t>Exchange and Registration of Transfer of Notes; Restrictions on Transfer; Depositary.</w:t>
      </w:r>
      <w:r>
        <w:rPr>
          <w:rFonts w:ascii="Arial" w:cs="Arial" w:eastAsia="Arial" w:hAnsi="Arial"/>
          <w:sz w:val="14"/>
          <w:szCs w:val="14"/>
          <w:color w:val="auto"/>
        </w:rPr>
        <w:t xml:space="preserve">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4"/>
          <w:szCs w:val="14"/>
          <w:b w:val="1"/>
          <w:bCs w:val="1"/>
          <w:color w:val="auto"/>
        </w:rPr>
        <w:t>Note Register</w:t>
      </w:r>
      <w:r>
        <w:rPr>
          <w:rFonts w:ascii="Arial" w:cs="Arial" w:eastAsia="Arial" w:hAnsi="Arial"/>
          <w:sz w:val="14"/>
          <w:szCs w:val="14"/>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4"/>
          <w:szCs w:val="14"/>
          <w:b w:val="1"/>
          <w:bCs w:val="1"/>
          <w:color w:val="auto"/>
        </w:rPr>
        <w:t>Note Registrar</w:t>
      </w:r>
      <w:r>
        <w:rPr>
          <w:rFonts w:ascii="Arial" w:cs="Arial" w:eastAsia="Arial" w:hAnsi="Arial"/>
          <w:sz w:val="14"/>
          <w:szCs w:val="14"/>
          <w:color w:val="auto"/>
        </w:rPr>
        <w:t>” for the purpose of registering Notes and transfers of Notes as herein provided. The Company may appoint one or more co-Note Registrars in accordance with Section 4.02.</w:t>
      </w:r>
    </w:p>
    <w:p>
      <w:pPr>
        <w:spacing w:after="0" w:line="13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46"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2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All Notes presented or surrendered for registration of transfer or for exchange, repurchase, redemption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thereof.</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52" w:lineRule="exact"/>
        <w:rPr>
          <w:sz w:val="20"/>
          <w:szCs w:val="20"/>
          <w:color w:val="auto"/>
        </w:rPr>
      </w:pPr>
    </w:p>
    <w:p>
      <w:pPr>
        <w:jc w:val="both"/>
        <w:ind w:firstLine="1143"/>
        <w:spacing w:after="0" w:line="276" w:lineRule="auto"/>
        <w:tabs>
          <w:tab w:leader="none" w:pos="137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Arial" w:cs="Arial" w:eastAsia="Arial" w:hAnsi="Arial"/>
          <w:sz w:val="15"/>
          <w:szCs w:val="15"/>
          <w:b w:val="1"/>
          <w:bCs w:val="1"/>
          <w:color w:val="auto"/>
        </w:rPr>
        <w:t>Global Note</w:t>
      </w:r>
      <w:r>
        <w:rPr>
          <w:rFonts w:ascii="Arial" w:cs="Arial" w:eastAsia="Arial" w:hAnsi="Arial"/>
          <w:sz w:val="15"/>
          <w:szCs w:val="15"/>
          <w:color w:val="auto"/>
        </w:rPr>
        <w:t>”)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2" w:name="page133"/>
    <w:bookmarkEnd w:id="132"/>
    <w:p>
      <w:pPr>
        <w:jc w:val="both"/>
        <w:ind w:firstLine="1143"/>
        <w:spacing w:after="0" w:line="254" w:lineRule="auto"/>
        <w:tabs>
          <w:tab w:leader="none" w:pos="138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Every Note that bears or is required under this Section 2.05(c) to bear the Restrictive Notes Legend (together with any Common Stock issued upon conversion of the Notes that is required to bear the legend set forth in Section 2.05(d), collectively, the “</w:t>
      </w:r>
      <w:r>
        <w:rPr>
          <w:rFonts w:ascii="Arial" w:cs="Arial" w:eastAsia="Arial" w:hAnsi="Arial"/>
          <w:sz w:val="16"/>
          <w:szCs w:val="16"/>
          <w:b w:val="1"/>
          <w:bCs w:val="1"/>
          <w:color w:val="auto"/>
        </w:rPr>
        <w:t>Restricted Securities</w:t>
      </w:r>
      <w:r>
        <w:rPr>
          <w:rFonts w:ascii="Arial" w:cs="Arial" w:eastAsia="Arial" w:hAnsi="Arial"/>
          <w:sz w:val="16"/>
          <w:szCs w:val="16"/>
          <w:color w:val="auto"/>
        </w:rPr>
        <w:t>”) shall be subject to the restrictions on transfer set forth in this Section 2.05(c) (including the legend set forth below) or Section 2.05(d)(including the legend set forth therein), as applicable,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6"/>
          <w:szCs w:val="16"/>
          <w:b w:val="1"/>
          <w:bCs w:val="1"/>
          <w:color w:val="auto"/>
        </w:rPr>
        <w:t>transfer</w:t>
      </w:r>
      <w:r>
        <w:rPr>
          <w:rFonts w:ascii="Arial" w:cs="Arial" w:eastAsia="Arial" w:hAnsi="Arial"/>
          <w:sz w:val="16"/>
          <w:szCs w:val="16"/>
          <w:color w:val="auto"/>
        </w:rPr>
        <w:t>” encompasses any sale, pledge, transfer or other disposition whatsoever of any Restricted Security.</w:t>
      </w:r>
    </w:p>
    <w:p>
      <w:pPr>
        <w:spacing w:after="0" w:line="170"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Any certificate evidencing some or all of the Notes (and all securities issued in exchange therefor or substitution thereof, other than Common Stock, if any, issued upon conversion thereof, which shall bear the legend set forth in Section 2.05(d), if applicable) shall bear a legend in substantially the following form (the “</w:t>
      </w:r>
      <w:r>
        <w:rPr>
          <w:rFonts w:ascii="Arial" w:cs="Arial" w:eastAsia="Arial" w:hAnsi="Arial"/>
          <w:sz w:val="15"/>
          <w:szCs w:val="15"/>
          <w:b w:val="1"/>
          <w:bCs w:val="1"/>
          <w:color w:val="auto"/>
        </w:rPr>
        <w:t>Restrictive Notes</w:t>
      </w:r>
      <w:r>
        <w:rPr>
          <w:rFonts w:ascii="Arial" w:cs="Arial" w:eastAsia="Arial" w:hAnsi="Arial"/>
          <w:sz w:val="15"/>
          <w:szCs w:val="15"/>
          <w:color w:val="auto"/>
        </w:rPr>
        <w:t xml:space="preserve"> </w:t>
      </w:r>
      <w:r>
        <w:rPr>
          <w:rFonts w:ascii="Arial" w:cs="Arial" w:eastAsia="Arial" w:hAnsi="Arial"/>
          <w:sz w:val="15"/>
          <w:szCs w:val="15"/>
          <w:b w:val="1"/>
          <w:bCs w:val="1"/>
          <w:color w:val="auto"/>
        </w:rPr>
        <w:t>Legend</w:t>
      </w:r>
      <w:r>
        <w:rPr>
          <w:rFonts w:ascii="Arial" w:cs="Arial" w:eastAsia="Arial" w:hAnsi="Arial"/>
          <w:sz w:val="15"/>
          <w:szCs w:val="15"/>
          <w:color w:val="auto"/>
        </w:rPr>
        <w:t>”) (unless such Notes have been transferred pursuant to a registration statement that has become or been declared effective under the Securities Act and that continues to</w:t>
      </w:r>
      <w:r>
        <w:rPr>
          <w:rFonts w:ascii="Arial" w:cs="Arial" w:eastAsia="Arial" w:hAnsi="Arial"/>
          <w:sz w:val="15"/>
          <w:szCs w:val="15"/>
          <w:b w:val="1"/>
          <w:bCs w:val="1"/>
          <w:color w:val="auto"/>
        </w:rPr>
        <w:t xml:space="preserve"> </w:t>
      </w:r>
      <w:r>
        <w:rPr>
          <w:rFonts w:ascii="Arial" w:cs="Arial" w:eastAsia="Arial" w:hAnsi="Arial"/>
          <w:sz w:val="15"/>
          <w:szCs w:val="15"/>
          <w:color w:val="auto"/>
        </w:rPr>
        <w:t>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55"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THIS SECURITY AND THE COMMON STOCK, IF ANY, ISSUABLE UPON CONVERSION OF THIS SECURITY HAVE NOT BEEN REGISTERED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MAY NOT BE OFFERED, SOLD, PLEDGED OR OTHERWISE TRANSFERRED EXCEPT IN ACCORDANCE WITH THE FOLLOWING SENTENCE. BY ITS ACQUISITION HEREOF OR OF A BENEFICIAL INTEREST HEREIN, THE ACQUIRER:</w:t>
      </w:r>
    </w:p>
    <w:p>
      <w:pPr>
        <w:spacing w:after="0" w:line="142"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AGREES FOR THE BENEFIT OF [●]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6" w:lineRule="exact"/>
        <w:rPr>
          <w:sz w:val="20"/>
          <w:szCs w:val="20"/>
          <w:color w:val="auto"/>
        </w:rPr>
      </w:pPr>
    </w:p>
    <w:p>
      <w:pPr>
        <w:ind w:left="1400" w:hanging="257"/>
        <w:spacing w:after="0"/>
        <w:tabs>
          <w:tab w:leader="none" w:pos="14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8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42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3" w:name="page134"/>
    <w:bookmarkEnd w:id="133"/>
    <w:p>
      <w:pPr>
        <w:jc w:val="both"/>
        <w:ind w:right="20" w:firstLine="57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NO AFFILIATE (AS DEFINED IN RULE 144 UNDER THE SECURITIES ACT) OF THE COMPANY OR PERSON THAT HAS BEEN AN AFFILIATE (AS DEFINED IN RULE 144 UNDER THE SECURITIES ACT) OF THE COMPANY DURING THE PRECEDING THREE MONTHS MAY PURCHASE, OTHERWISE ACQUIRE OR HOLD THIS SECURITY OR A BENEFICIAL INTEREST HEREIN.</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 transfer of any Note prior to the Resale Restriction Termination Date will be registered by the Note Registrar unless the applicable box on the Form of Assignment and Transfer has been checked.</w:t>
      </w:r>
    </w:p>
    <w:p>
      <w:pPr>
        <w:spacing w:after="0" w:line="152"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Restrictive Notes Legend set forth above and affixed on any Note will be deemed, in accordance with the terms of the certificate representing such Note, to be removed therefrom upon the Company’ s delivery to the Trustee of written notice to such effect, without further action by the Company, the Trustee, the Holder(s) thereof or any other Person; at such time, such Note will be deemed to be assigned an unrestricted CUSIP number as provided in the certificate representing such Note, it being understood that the Depositary of any Global Note may require a mandatory exchange or other process to cause such Global Note to be identified by an unrestricted CUSIP number in the facilities of such Depositary;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such Note is a Global Note and the Depositary thereof requires a mandatory exchange or other procedure to cause such Global Note to be identified by “unrestricted” CUSIP and ISIN numbers in the facilities of such Depositary, then (i) the Company will effect such exchange or procedure as soon as reasonably practicable; and (ii) for purposes of Section 4.06, such Global Note will not be deemed to be identified by unrestricted CUSIP and ISIN numbers until such time as such exchange or procedure is effected. The Company and the Trustee reserve the right to require the delivery of such legal opinions, certifications or other evidence as may reasonably be required in order to determine that any proposed transfer of any Note is being made in compliance with the Securities Act and applicable state securities laws.</w:t>
      </w:r>
    </w:p>
    <w:p>
      <w:pPr>
        <w:spacing w:after="0" w:line="15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Company shall be entitled to instruct the Custodian in writing to so surrender any Global Note as to which any of the conditions set forth in clause (i) through (iii) of the first sentence of the immediately preceding paragraph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4" w:name="page135"/>
    <w:bookmarkEnd w:id="134"/>
    <w:p>
      <w:pPr>
        <w:jc w:val="both"/>
        <w:ind w:right="20" w:firstLine="574"/>
        <w:spacing w:after="0" w:line="262" w:lineRule="auto"/>
        <w:rPr>
          <w:sz w:val="20"/>
          <w:szCs w:val="20"/>
          <w:color w:val="auto"/>
        </w:rPr>
      </w:pPr>
      <w:r>
        <w:rPr>
          <w:rFonts w:ascii="Arial" w:cs="Arial" w:eastAsia="Arial" w:hAnsi="Arial"/>
          <w:sz w:val="16"/>
          <w:szCs w:val="16"/>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62" w:lineRule="exact"/>
        <w:rPr>
          <w:sz w:val="20"/>
          <w:szCs w:val="20"/>
          <w:color w:val="auto"/>
        </w:rPr>
      </w:pPr>
    </w:p>
    <w:p>
      <w:pPr>
        <w:jc w:val="both"/>
        <w:ind w:right="20" w:firstLine="574"/>
        <w:spacing w:after="0" w:line="272" w:lineRule="auto"/>
        <w:rPr>
          <w:sz w:val="20"/>
          <w:szCs w:val="20"/>
          <w:color w:val="auto"/>
        </w:rPr>
      </w:pPr>
      <w:r>
        <w:rPr>
          <w:rFonts w:ascii="Arial" w:cs="Arial" w:eastAsia="Arial" w:hAnsi="Arial"/>
          <w:sz w:val="15"/>
          <w:szCs w:val="15"/>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5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65"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43"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None of the Company, the Trustee, the Conversion Agent, the Paying Agent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spacing w:after="0" w:line="146" w:lineRule="exact"/>
        <w:rPr>
          <w:sz w:val="20"/>
          <w:szCs w:val="20"/>
          <w:color w:val="auto"/>
        </w:rPr>
      </w:pPr>
    </w:p>
    <w:p>
      <w:pPr>
        <w:jc w:val="both"/>
        <w:ind w:right="20" w:firstLine="1143"/>
        <w:spacing w:after="0" w:line="297" w:lineRule="auto"/>
        <w:tabs>
          <w:tab w:leader="none" w:pos="1374"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5" w:name="page136"/>
    <w:bookmarkEnd w:id="135"/>
    <w:p>
      <w:pPr>
        <w:jc w:val="both"/>
        <w:ind w:right="20" w:firstLine="574"/>
        <w:spacing w:after="0" w:line="265" w:lineRule="auto"/>
        <w:rPr>
          <w:sz w:val="20"/>
          <w:szCs w:val="20"/>
          <w:color w:val="auto"/>
        </w:rPr>
      </w:pPr>
      <w:r>
        <w:rPr>
          <w:rFonts w:ascii="Arial" w:cs="Arial" w:eastAsia="Arial" w:hAnsi="Arial"/>
          <w:sz w:val="16"/>
          <w:szCs w:val="16"/>
          <w:color w:val="auto"/>
        </w:rPr>
        <w:t>THIS SECURITY HAS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right="20" w:firstLine="574"/>
        <w:spacing w:after="0" w:line="257" w:lineRule="auto"/>
        <w:rPr>
          <w:sz w:val="20"/>
          <w:szCs w:val="20"/>
          <w:color w:val="auto"/>
        </w:rPr>
      </w:pPr>
      <w:r>
        <w:rPr>
          <w:rFonts w:ascii="Arial" w:cs="Arial" w:eastAsia="Arial" w:hAnsi="Arial"/>
          <w:sz w:val="16"/>
          <w:szCs w:val="16"/>
          <w:color w:val="auto"/>
        </w:rPr>
        <w:t>AGREES FOR THE BENEFIT OF [●]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OF THE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66" w:lineRule="exact"/>
        <w:rPr>
          <w:sz w:val="20"/>
          <w:szCs w:val="20"/>
          <w:color w:val="auto"/>
        </w:rPr>
      </w:pPr>
    </w:p>
    <w:p>
      <w:pPr>
        <w:ind w:left="1400" w:hanging="257"/>
        <w:spacing w:after="0"/>
        <w:tabs>
          <w:tab w:leader="none" w:pos="14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560" w:right="20" w:firstLine="583"/>
        <w:spacing w:after="0" w:line="275" w:lineRule="auto"/>
        <w:tabs>
          <w:tab w:leader="none" w:pos="139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51" w:lineRule="exact"/>
        <w:rPr>
          <w:rFonts w:ascii="Arial" w:cs="Arial" w:eastAsia="Arial" w:hAnsi="Arial"/>
          <w:sz w:val="16"/>
          <w:szCs w:val="16"/>
          <w:color w:val="auto"/>
        </w:rPr>
      </w:pPr>
    </w:p>
    <w:p>
      <w:pPr>
        <w:jc w:val="both"/>
        <w:ind w:left="560" w:right="20" w:firstLine="583"/>
        <w:spacing w:after="0" w:line="262" w:lineRule="auto"/>
        <w:tabs>
          <w:tab w:leader="none" w:pos="142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 AND ANY APPLICABLE STATE SECURITIES LAWS.</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PRIOR TO THE REGISTRATION OF THIS SECURITY IN CONNECTION WITH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5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36" w:name="page137"/>
    <w:bookmarkEnd w:id="136"/>
    <w:p>
      <w:pPr>
        <w:ind w:left="560"/>
        <w:spacing w:after="0"/>
        <w:rPr>
          <w:sz w:val="20"/>
          <w:szCs w:val="20"/>
          <w:color w:val="auto"/>
        </w:rPr>
      </w:pPr>
      <w:r>
        <w:rPr>
          <w:rFonts w:ascii="Arial" w:cs="Arial" w:eastAsia="Arial" w:hAnsi="Arial"/>
          <w:sz w:val="15"/>
          <w:szCs w:val="15"/>
          <w:color w:val="auto"/>
        </w:rPr>
        <w:t>The Company shall cause any Note that is repurchased or owned by it to be surrendered to the Trustee for cancellation in accordance with Section 2.08.</w:t>
      </w:r>
    </w:p>
    <w:p>
      <w:pPr>
        <w:spacing w:after="0" w:line="21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Trustee and any other agent appointed under this Indenture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Neither the Trustee nor any agent shall have any responsibility or liability for any actions taken or not taken by the Depositary, and may assume performance absent written notice to the contrary.</w:t>
      </w:r>
    </w:p>
    <w:p>
      <w:pPr>
        <w:spacing w:after="0" w:line="152" w:lineRule="exact"/>
        <w:rPr>
          <w:sz w:val="20"/>
          <w:szCs w:val="20"/>
          <w:color w:val="auto"/>
        </w:rPr>
      </w:pPr>
    </w:p>
    <w:p>
      <w:pPr>
        <w:jc w:val="both"/>
        <w:ind w:firstLine="1143"/>
        <w:spacing w:after="0" w:line="280" w:lineRule="auto"/>
        <w:tabs>
          <w:tab w:leader="none" w:pos="136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Any Note or Common Stock issued upon conversion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spacing w:after="0" w:line="151"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7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redemption 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7" w:name="page138"/>
    <w:bookmarkEnd w:id="137"/>
    <w:p>
      <w:pPr>
        <w:jc w:val="both"/>
        <w:ind w:firstLine="574"/>
        <w:spacing w:after="0" w:line="297" w:lineRule="auto"/>
        <w:rPr>
          <w:sz w:val="20"/>
          <w:szCs w:val="20"/>
          <w:color w:val="auto"/>
        </w:rPr>
      </w:pPr>
      <w:r>
        <w:rPr>
          <w:rFonts w:ascii="Arial" w:cs="Arial" w:eastAsia="Arial" w:hAnsi="Arial"/>
          <w:sz w:val="14"/>
          <w:szCs w:val="14"/>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i w:val="1"/>
          <w:iCs w:val="1"/>
          <w:color w:val="auto"/>
        </w:rPr>
        <w:t>Temporary Notes</w:t>
      </w:r>
      <w:r>
        <w:rPr>
          <w:rFonts w:ascii="Arial" w:cs="Arial" w:eastAsia="Arial" w:hAnsi="Arial"/>
          <w:sz w:val="15"/>
          <w:szCs w:val="15"/>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upon receipt of a Company Order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63"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 xml:space="preserve">Section 2.08. </w:t>
      </w:r>
      <w:r>
        <w:rPr>
          <w:rFonts w:ascii="Arial" w:cs="Arial" w:eastAsia="Arial" w:hAnsi="Arial"/>
          <w:sz w:val="15"/>
          <w:szCs w:val="15"/>
          <w:i w:val="1"/>
          <w:iCs w:val="1"/>
          <w:color w:val="auto"/>
        </w:rPr>
        <w:t>Cancellation of Notes Paid, Converted, Etc.</w:t>
      </w:r>
      <w:r>
        <w:rPr>
          <w:rFonts w:ascii="Arial" w:cs="Arial" w:eastAsia="Arial" w:hAnsi="Arial"/>
          <w:sz w:val="15"/>
          <w:szCs w:val="15"/>
          <w:color w:val="auto"/>
        </w:rPr>
        <w:t xml:space="preserve"> The Company shall cause all Notes surrendered for the purpose of payment, repurchase (including upon a Fundamental Change but not including Notes repurchased pursuant to cash-settled swaps and other derivatives), redemption, registration of transfer or exchange or conversion (other than any Notes exchanged pursuant to Section 14.12), if surrendered to the Company or any of its agents, Subsidiaries or Affiliates, as applicable, to be surrendered to the Trustee for cancellation. All Notes delivered to the Trustee shall be canceled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CUSIP Numbers</w:t>
      </w:r>
      <w:r>
        <w:rPr>
          <w:rFonts w:ascii="Arial" w:cs="Arial" w:eastAsia="Arial" w:hAnsi="Arial"/>
          <w:sz w:val="16"/>
          <w:szCs w:val="16"/>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for any defect in the “CUSIP” numbers as they appear on any Note, notice or elsewhere,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8" w:name="page139"/>
    <w:bookmarkEnd w:id="138"/>
    <w:p>
      <w:pPr>
        <w:jc w:val="both"/>
        <w:ind w:firstLine="574"/>
        <w:spacing w:after="0" w:line="269"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i w:val="1"/>
          <w:iCs w:val="1"/>
          <w:color w:val="auto"/>
        </w:rPr>
        <w:t>Additional Notes; Repurchases</w:t>
      </w:r>
      <w:r>
        <w:rPr>
          <w:rFonts w:ascii="Arial" w:cs="Arial" w:eastAsia="Arial" w:hAnsi="Arial"/>
          <w:sz w:val="15"/>
          <w:szCs w:val="15"/>
          <w:color w:val="auto"/>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it has not made a PIK Election prior to such date of issuance of additional Notes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if any such additional Notes are not fungible with the Notes initially issued hereunder for U.S. federal income tax or securities law purposes, such additional Notes shall not have the same CUSIP numbers as the Notes initially issued hereunder. Prior to the issuance of any such additional Notes, the Company shall deliver to the Trustee (copied to the Paying Agent and Note Registrar) a Company Order, an Officer’s Certificate and an Opinion of Counsel, such Officer’s Certificate and Opinion of Counsel to cover such matters, in addition to those required by Section 18.05,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repurchase.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ATISFACTION AND</w:t>
      </w:r>
      <w:r>
        <w:rPr>
          <w:rFonts w:ascii="Arial" w:cs="Arial" w:eastAsia="Arial" w:hAnsi="Arial"/>
          <w:sz w:val="16"/>
          <w:szCs w:val="16"/>
          <w:color w:val="auto"/>
        </w:rPr>
        <w:t xml:space="preserve"> D</w:t>
      </w:r>
      <w:r>
        <w:rPr>
          <w:rFonts w:ascii="Arial" w:cs="Arial" w:eastAsia="Arial" w:hAnsi="Arial"/>
          <w:sz w:val="10"/>
          <w:szCs w:val="10"/>
          <w:color w:val="auto"/>
        </w:rPr>
        <w:t>ISCHARGE</w:t>
      </w:r>
    </w:p>
    <w:p>
      <w:pPr>
        <w:spacing w:after="0" w:line="186" w:lineRule="exact"/>
        <w:rPr>
          <w:sz w:val="20"/>
          <w:szCs w:val="20"/>
          <w:color w:val="auto"/>
        </w:rPr>
      </w:pPr>
    </w:p>
    <w:p>
      <w:pPr>
        <w:jc w:val="both"/>
        <w:ind w:firstLine="574"/>
        <w:spacing w:after="0" w:line="252"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Notes which have been destroyed, lost or stolen and which have been replaced, paid or converted as provided in Section 2.06)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and/or shares of Common Stock (or other Reference Property)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ARTICULAR</w:t>
      </w:r>
      <w:r>
        <w:rPr>
          <w:rFonts w:ascii="Arial" w:cs="Arial" w:eastAsia="Arial" w:hAnsi="Arial"/>
          <w:sz w:val="16"/>
          <w:szCs w:val="16"/>
          <w:color w:val="auto"/>
        </w:rPr>
        <w:t xml:space="preserve"> C</w:t>
      </w:r>
      <w:r>
        <w:rPr>
          <w:rFonts w:ascii="Arial" w:cs="Arial" w:eastAsia="Arial" w:hAnsi="Arial"/>
          <w:sz w:val="10"/>
          <w:szCs w:val="10"/>
          <w:color w:val="auto"/>
        </w:rPr>
        <w:t>OVENANTS OF THE</w:t>
      </w:r>
      <w:r>
        <w:rPr>
          <w:rFonts w:ascii="Arial" w:cs="Arial" w:eastAsia="Arial" w:hAnsi="Arial"/>
          <w:sz w:val="16"/>
          <w:szCs w:val="16"/>
          <w:color w:val="auto"/>
        </w:rPr>
        <w:t xml:space="preserve"> C</w:t>
      </w:r>
      <w:r>
        <w:rPr>
          <w:rFonts w:ascii="Arial" w:cs="Arial" w:eastAsia="Arial" w:hAnsi="Arial"/>
          <w:sz w:val="10"/>
          <w:szCs w:val="10"/>
          <w:color w:val="auto"/>
        </w:rPr>
        <w:t>OMPANY</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Maturity Date, the Company shall repay the principal of each of the Notes (the “</w:t>
      </w:r>
      <w:r>
        <w:rPr>
          <w:rFonts w:ascii="Arial" w:cs="Arial" w:eastAsia="Arial" w:hAnsi="Arial"/>
          <w:sz w:val="16"/>
          <w:szCs w:val="16"/>
          <w:b w:val="1"/>
          <w:bCs w:val="1"/>
          <w:color w:val="auto"/>
        </w:rPr>
        <w:t>Maturity Obligation</w:t>
      </w:r>
      <w:r>
        <w:rPr>
          <w:rFonts w:ascii="Arial" w:cs="Arial" w:eastAsia="Arial" w:hAnsi="Arial"/>
          <w:sz w:val="16"/>
          <w:szCs w:val="16"/>
          <w:color w:val="auto"/>
        </w:rPr>
        <w:t>”) by Cash Settlement.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9" w:name="page140"/>
    <w:bookmarkEnd w:id="139"/>
    <w:p>
      <w:pPr>
        <w:jc w:val="both"/>
        <w:ind w:firstLine="574"/>
        <w:spacing w:after="0" w:line="254" w:lineRule="auto"/>
        <w:rPr>
          <w:sz w:val="20"/>
          <w:szCs w:val="20"/>
          <w:color w:val="auto"/>
        </w:rPr>
      </w:pPr>
      <w:r>
        <w:rPr>
          <w:rFonts w:ascii="Arial" w:cs="Arial" w:eastAsia="Arial" w:hAnsi="Arial"/>
          <w:sz w:val="16"/>
          <w:szCs w:val="16"/>
          <w:color w:val="auto"/>
        </w:rPr>
        <w:t>In the event that the Company determines to pay PIK Interest for any interest period, then Company will deliver a notice substantially in the form of Exhibit B (a “</w:t>
      </w:r>
      <w:r>
        <w:rPr>
          <w:rFonts w:ascii="Arial" w:cs="Arial" w:eastAsia="Arial" w:hAnsi="Arial"/>
          <w:sz w:val="16"/>
          <w:szCs w:val="16"/>
          <w:b w:val="1"/>
          <w:bCs w:val="1"/>
          <w:color w:val="auto"/>
        </w:rPr>
        <w:t>PIK</w:t>
      </w:r>
      <w:r>
        <w:rPr>
          <w:rFonts w:ascii="Arial" w:cs="Arial" w:eastAsia="Arial" w:hAnsi="Arial"/>
          <w:sz w:val="16"/>
          <w:szCs w:val="16"/>
          <w:color w:val="auto"/>
        </w:rPr>
        <w:t xml:space="preserve"> </w:t>
      </w:r>
      <w:r>
        <w:rPr>
          <w:rFonts w:ascii="Arial" w:cs="Arial" w:eastAsia="Arial" w:hAnsi="Arial"/>
          <w:sz w:val="16"/>
          <w:szCs w:val="16"/>
          <w:b w:val="1"/>
          <w:bCs w:val="1"/>
          <w:color w:val="auto"/>
        </w:rPr>
        <w:t>Election</w:t>
      </w:r>
      <w:r>
        <w:rPr>
          <w:rFonts w:ascii="Arial" w:cs="Arial" w:eastAsia="Arial" w:hAnsi="Arial"/>
          <w:sz w:val="16"/>
          <w:szCs w:val="16"/>
          <w:color w:val="auto"/>
        </w:rPr>
        <w:t>”) to the Trustee no later than 30 days prior to the beginning of the relevant interest period, which notice will state the total amount of interest to be paid on the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Date in respect of such interest period and the amount of such interest to be paid as PIK Interest. The Trustee, on behalf of the Company, will promptly deliver a corresponding notice provided by the Company to the Holders. The Company shall not make a PIK Election if a Default or an Event of Default has occurred and is continuing. For the avoidance of doubt, the Company shall not be permitted to pay interest in the form of PIK Interest in connection with a redemption or in connection with a Fundamental Change. For the avoidance of doubt, interest on the Notes in respect of any interest period for which a PIK Election is not timely delivered must be paid entirely in cash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171"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Cash Interest shall be considered paid on the date due if the Paying Agent, if other than the Company or a Subsidiary, holds as of 10:00 a.m. (New York City time) on the due date money deposited by the Company in immediately available funds and designated for and sufficient to pay all principal, premium, if any, and Cash Interest then due. PIK Interest shall be considered paid on the date due if on such date the Trustee has received (i) an Authentication Order to increase the balance of any Global Note to reflect such PIK Interest or (ii) PIK Notes duly executed by the Company together with Authentication Order requesting the authentication of such PIK Notes by the Trustee.</w:t>
      </w:r>
    </w:p>
    <w:p>
      <w:pPr>
        <w:spacing w:after="0" w:line="13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The Company will maintain in the United States of America, an office or agency where the Notes may be surrendered for registration of transfer or exchange or for presentation for payment or repurchase or redemption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located in the United States.</w:t>
      </w:r>
    </w:p>
    <w:p>
      <w:pPr>
        <w:spacing w:after="0" w:line="17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Company hereby initially designates the Trustee as the Paying Agent, Note Registrar, Custodian and Conversion Agent and the Corporate Trust Office as the office or agency in the contiguous United States, where Notes may be surrendered for registration of transfer or exchange or for presentation for payment or repurchase or redemption or for conversion and where notices and demands to or upon the Company in respect of the Notes and this Indenture may be served; provided that the Corporate Trust Office shall not be a place for service of legal process for the Company.</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Appointments to Fill Vacancies in Trustee’s Office</w:t>
      </w:r>
      <w:r>
        <w:rPr>
          <w:rFonts w:ascii="Arial" w:cs="Arial" w:eastAsia="Arial" w:hAnsi="Arial"/>
          <w:sz w:val="16"/>
          <w:szCs w:val="16"/>
          <w:color w:val="auto"/>
        </w:rPr>
        <w:t>. The Company, whenever necessary to avoid or fill a vacancy in the office of Trustee, will appoint, in the manner provided in Section 7.09, a Trustee, so that there shall at all times be a Trustee hereunder.</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i w:val="1"/>
          <w:iCs w:val="1"/>
          <w:color w:val="auto"/>
        </w:rPr>
        <w:t>Provisions as to Paying Agent.</w:t>
      </w:r>
      <w:r>
        <w:rPr>
          <w:rFonts w:ascii="Arial" w:cs="Arial" w:eastAsia="Arial" w:hAnsi="Arial"/>
          <w:sz w:val="15"/>
          <w:szCs w:val="15"/>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29" w:lineRule="exact"/>
        <w:rPr>
          <w:sz w:val="20"/>
          <w:szCs w:val="20"/>
          <w:color w:val="auto"/>
        </w:rPr>
      </w:pPr>
    </w:p>
    <w:p>
      <w:pPr>
        <w:ind w:right="20" w:firstLine="1716"/>
        <w:spacing w:after="0" w:line="275" w:lineRule="auto"/>
        <w:tabs>
          <w:tab w:leader="none" w:pos="193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that it will hold all sums and PIK Notes held by it as such agent for the payment of the principal (including the Redemption Price and the Fundamental Change Repurchase Price, if applicable) of, or accrued and unpaid interest on, the Notes in trust for the benefit of the Holders of the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40" w:name="page141"/>
    <w:bookmarkEnd w:id="140"/>
    <w:p>
      <w:pPr>
        <w:ind w:firstLine="1716"/>
        <w:spacing w:after="0" w:line="309" w:lineRule="auto"/>
        <w:tabs>
          <w:tab w:leader="none" w:pos="19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that it will give the Trustee prompt notice of any failure by the Company to make any payment of the principal (including the Redemption Price and the Fundamental Change Repurchase Price, if applicable) of, and accrued and unpaid interest on, the Notes when the same shall be due and payable; and</w:t>
      </w:r>
    </w:p>
    <w:p>
      <w:pPr>
        <w:spacing w:after="0" w:line="129" w:lineRule="exact"/>
        <w:rPr>
          <w:rFonts w:ascii="Arial" w:cs="Arial" w:eastAsia="Arial" w:hAnsi="Arial"/>
          <w:sz w:val="15"/>
          <w:szCs w:val="15"/>
          <w:color w:val="auto"/>
        </w:rPr>
      </w:pPr>
    </w:p>
    <w:p>
      <w:pPr>
        <w:ind w:left="2000" w:hanging="284"/>
        <w:spacing w:after="0"/>
        <w:tabs>
          <w:tab w:leader="none" w:pos="200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that at any time during the continuance of an Event of Default, upon request of the Trustee, it will forthwith pay to the Trustee all sums or PIK</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Notes so held in trust.</w:t>
      </w:r>
    </w:p>
    <w:p>
      <w:pPr>
        <w:spacing w:after="0" w:line="186"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of any failure to take such action;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such deposit is made on the due date, such deposit must be received by the Paying Agent by 10:00 a.m., New York City time, on such date.</w:t>
      </w:r>
    </w:p>
    <w:p>
      <w:pPr>
        <w:spacing w:after="0" w:line="135" w:lineRule="exact"/>
        <w:rPr>
          <w:sz w:val="20"/>
          <w:szCs w:val="20"/>
          <w:color w:val="auto"/>
        </w:rPr>
      </w:pPr>
    </w:p>
    <w:p>
      <w:pPr>
        <w:jc w:val="both"/>
        <w:ind w:firstLine="1143"/>
        <w:spacing w:after="0" w:line="297" w:lineRule="auto"/>
        <w:tabs>
          <w:tab w:leader="none" w:pos="138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the Company acts as its own Paying Agent, it shall,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On the occurrence of any Event of Default under Section 6.01(h) or Section 6.01(i), the Trustee shall automatically become the Paying Agent.</w:t>
      </w:r>
    </w:p>
    <w:p>
      <w:pPr>
        <w:spacing w:after="0" w:line="143" w:lineRule="exact"/>
        <w:rPr>
          <w:rFonts w:ascii="Arial" w:cs="Arial" w:eastAsia="Arial" w:hAnsi="Arial"/>
          <w:sz w:val="14"/>
          <w:szCs w:val="14"/>
          <w:color w:val="auto"/>
        </w:rPr>
      </w:pPr>
    </w:p>
    <w:p>
      <w:pPr>
        <w:jc w:val="both"/>
        <w:ind w:firstLine="1143"/>
        <w:spacing w:after="0" w:line="306" w:lineRule="auto"/>
        <w:tabs>
          <w:tab w:leader="none" w:pos="136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34" w:lineRule="exact"/>
        <w:rPr>
          <w:rFonts w:ascii="Arial" w:cs="Arial" w:eastAsia="Arial" w:hAnsi="Arial"/>
          <w:sz w:val="14"/>
          <w:szCs w:val="14"/>
          <w:color w:val="auto"/>
        </w:rPr>
      </w:pPr>
    </w:p>
    <w:p>
      <w:pPr>
        <w:jc w:val="both"/>
        <w:ind w:right="20" w:firstLine="1143"/>
        <w:spacing w:after="0" w:line="253" w:lineRule="auto"/>
        <w:tabs>
          <w:tab w:leader="none" w:pos="137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applicable escheatment laws, any money and shares of Common Stock deposited with the Trustee, the Conversion Agent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 or property; and the Holder of such Note shall thereafter, as an unsecured general creditor, look only to the Company for payment thereof, and all liability of the Trustee, the Conversion Agent or such Paying Agent with respect to such trust money and shares of Common Stock, and all liability of the Company as trustee thereof, shall thereupon cease.</w:t>
      </w:r>
    </w:p>
    <w:p>
      <w:pPr>
        <w:spacing w:after="0" w:line="169"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Existence</w:t>
      </w:r>
      <w:r>
        <w:rPr>
          <w:rFonts w:ascii="Arial" w:cs="Arial" w:eastAsia="Arial" w:hAnsi="Arial"/>
          <w:sz w:val="16"/>
          <w:szCs w:val="16"/>
          <w:color w:val="auto"/>
        </w:rPr>
        <w:t>. Subject to Article 11, the Company shall do or cause to be done all things necessary to preserve and keep in full force and effect its corporate existence.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1" w:name="page142"/>
    <w:bookmarkEnd w:id="141"/>
    <w:p>
      <w:pPr>
        <w:jc w:val="both"/>
        <w:ind w:firstLine="574"/>
        <w:spacing w:after="0" w:line="255"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Rule 144A Information Requirement and Annual Reports.</w:t>
      </w:r>
      <w:r>
        <w:rPr>
          <w:rFonts w:ascii="Arial" w:cs="Arial" w:eastAsia="Arial" w:hAnsi="Arial"/>
          <w:sz w:val="16"/>
          <w:szCs w:val="16"/>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70" w:lineRule="exact"/>
        <w:rPr>
          <w:sz w:val="20"/>
          <w:szCs w:val="20"/>
          <w:color w:val="auto"/>
        </w:rPr>
      </w:pPr>
    </w:p>
    <w:p>
      <w:pPr>
        <w:jc w:val="both"/>
        <w:ind w:firstLine="1143"/>
        <w:spacing w:after="0" w:line="253" w:lineRule="auto"/>
        <w:tabs>
          <w:tab w:leader="none" w:pos="13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or with respect to which the Company is actively seeking, confidential treatment and any correspondence with the Commission, and giving effect to any grace period provided by Rule 12b-25 under the Exchange Act (or any successor thereto)). Any such document or report that the Company files with the Commission via the Commission’s EDGAR system (or any successor system) shall be deemed to be filed with the Trustee for purposes of this Section 4.06(b) at the time such documents are filed via the EDGAR system (or such successor). The Trustee shall have no responsibility to determine whether such posting has occurred.</w:t>
      </w:r>
    </w:p>
    <w:p>
      <w:pPr>
        <w:spacing w:after="0" w:line="171" w:lineRule="exact"/>
        <w:rPr>
          <w:rFonts w:ascii="Arial" w:cs="Arial" w:eastAsia="Arial" w:hAnsi="Arial"/>
          <w:sz w:val="16"/>
          <w:szCs w:val="16"/>
          <w:color w:val="auto"/>
        </w:rPr>
      </w:pPr>
    </w:p>
    <w:p>
      <w:pPr>
        <w:jc w:val="both"/>
        <w:ind w:firstLine="1143"/>
        <w:spacing w:after="0" w:line="287" w:lineRule="auto"/>
        <w:tabs>
          <w:tab w:leader="none" w:pos="136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Delivery of the reports, information and documents described in subsection (b) above to the Trustee is for informational purposes only, and the information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46" w:lineRule="exact"/>
        <w:rPr>
          <w:rFonts w:ascii="Arial" w:cs="Arial" w:eastAsia="Arial" w:hAnsi="Arial"/>
          <w:sz w:val="15"/>
          <w:szCs w:val="15"/>
          <w:color w:val="auto"/>
        </w:rPr>
      </w:pPr>
    </w:p>
    <w:p>
      <w:pPr>
        <w:jc w:val="both"/>
        <w:ind w:firstLine="1143"/>
        <w:spacing w:after="0" w:line="269" w:lineRule="auto"/>
        <w:tabs>
          <w:tab w:leader="none" w:pos="139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at any time following the one year anniversary of the Last Original Issue Date,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or the Notes fail to be subject to a registration statement that has become effective or been declared effective under the Securities Act and that continues to be effective in accordance with the terms of the Registration Rights Agreement, the Company shall pay Additional Interest on the Notes. Such Additional Interest shall accrue on the Notes at the rate of (i) 0.25% per annum of the principal amount of the Notes outstanding for each of the first 90 days and (ii) 0.50% per annum of the principal amount of the Notes outstanding for each day from, and including, the 91st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the existence of the Restrictive Notes Legend on Notes in compliance with Section 2.05(c).</w:t>
      </w:r>
    </w:p>
    <w:p>
      <w:pPr>
        <w:spacing w:after="0" w:line="161" w:lineRule="exact"/>
        <w:rPr>
          <w:rFonts w:ascii="Arial" w:cs="Arial" w:eastAsia="Arial" w:hAnsi="Arial"/>
          <w:sz w:val="15"/>
          <w:szCs w:val="15"/>
          <w:color w:val="auto"/>
        </w:rPr>
      </w:pPr>
    </w:p>
    <w:p>
      <w:pPr>
        <w:ind w:left="1360" w:hanging="217"/>
        <w:spacing w:after="0"/>
        <w:tabs>
          <w:tab w:leader="none" w:pos="136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Additional Interest will be payable in cash in arrears on each Interest Payment Date following accrual in the same manner as regular interest on the Notes.</w:t>
      </w:r>
    </w:p>
    <w:p>
      <w:pPr>
        <w:spacing w:after="0" w:line="221" w:lineRule="exact"/>
        <w:rPr>
          <w:rFonts w:ascii="Arial" w:cs="Arial" w:eastAsia="Arial" w:hAnsi="Arial"/>
          <w:sz w:val="14"/>
          <w:szCs w:val="14"/>
          <w:color w:val="auto"/>
        </w:rPr>
      </w:pPr>
    </w:p>
    <w:p>
      <w:pPr>
        <w:jc w:val="both"/>
        <w:ind w:firstLine="1143"/>
        <w:spacing w:after="0" w:line="253" w:lineRule="auto"/>
        <w:tabs>
          <w:tab w:leader="none" w:pos="135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the immediately succeeding sentence, the Additional Interest that is payable in accordance with Section 4.06(d)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and other than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w:t>
      </w:r>
    </w:p>
    <w:p>
      <w:pPr>
        <w:spacing w:after="0" w:line="171" w:lineRule="exact"/>
        <w:rPr>
          <w:rFonts w:ascii="Arial" w:cs="Arial" w:eastAsia="Arial" w:hAnsi="Arial"/>
          <w:sz w:val="16"/>
          <w:szCs w:val="16"/>
          <w:color w:val="auto"/>
        </w:rPr>
      </w:pPr>
    </w:p>
    <w:p>
      <w:pPr>
        <w:jc w:val="both"/>
        <w:ind w:right="20" w:firstLine="1143"/>
        <w:spacing w:after="0" w:line="276" w:lineRule="auto"/>
        <w:tabs>
          <w:tab w:leader="none" w:pos="1383" w:val="left"/>
        </w:tabs>
        <w:numPr>
          <w:ilvl w:val="0"/>
          <w:numId w:val="130"/>
        </w:numPr>
        <w:rPr>
          <w:rFonts w:ascii="Arial" w:cs="Arial" w:eastAsia="Arial" w:hAnsi="Arial"/>
          <w:sz w:val="15"/>
          <w:szCs w:val="15"/>
          <w:color w:val="auto"/>
        </w:rPr>
      </w:pPr>
      <w:r>
        <w:rPr>
          <w:rFonts w:ascii="Arial" w:cs="Arial" w:eastAsia="Arial" w:hAnsi="Arial"/>
          <w:sz w:val="15"/>
          <w:szCs w:val="15"/>
          <w:color w:val="auto"/>
        </w:rPr>
        <w:t>If Additional Interest is payable by the Company pursuant to Section 4.06(d), the Company shall deliver to the Trustee (copied to the Paying Agent)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2" w:name="page143"/>
    <w:bookmarkEnd w:id="142"/>
    <w:p>
      <w:pPr>
        <w:jc w:val="both"/>
        <w:ind w:left="4" w:firstLine="574"/>
        <w:spacing w:after="0" w:line="254"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70" w:lineRule="exact"/>
        <w:rPr>
          <w:sz w:val="20"/>
          <w:szCs w:val="20"/>
          <w:color w:val="auto"/>
        </w:rPr>
      </w:pPr>
    </w:p>
    <w:p>
      <w:pPr>
        <w:jc w:val="both"/>
        <w:ind w:left="4" w:right="20" w:firstLine="574"/>
        <w:spacing w:after="0" w:line="223"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Compliance Certificate; Statements as to Defaults</w:t>
      </w:r>
      <w:r>
        <w:rPr>
          <w:rFonts w:ascii="Arial" w:cs="Arial" w:eastAsia="Arial" w:hAnsi="Arial"/>
          <w:sz w:val="16"/>
          <w:szCs w:val="16"/>
          <w:color w:val="auto"/>
        </w:rPr>
        <w:t>. The Company shall deliver to the Trustee within 120 days after the end of each fiscal year of the Company (beginning with the fiscal year ending on [June 30, 2022]</w:t>
      </w:r>
      <w:r>
        <w:rPr>
          <w:rFonts w:ascii="Arial" w:cs="Arial" w:eastAsia="Arial" w:hAnsi="Arial"/>
          <w:sz w:val="26"/>
          <w:szCs w:val="26"/>
          <w:color w:val="auto"/>
          <w:vertAlign w:val="superscript"/>
        </w:rPr>
        <w:t>13</w:t>
      </w:r>
      <w:r>
        <w:rPr>
          <w:rFonts w:ascii="Arial" w:cs="Arial" w:eastAsia="Arial" w:hAnsi="Arial"/>
          <w:sz w:val="16"/>
          <w:szCs w:val="16"/>
          <w:color w:val="auto"/>
        </w:rPr>
        <w:t>) an Officer’s Certificate stating whether the signers thereof have knowledge of any Default or Event of Default that occurred during the previous year and, if so, specifying each such Default or Event of Default and the nature thereof.</w:t>
      </w:r>
    </w:p>
    <w:p>
      <w:pPr>
        <w:spacing w:after="0" w:line="181" w:lineRule="exact"/>
        <w:rPr>
          <w:sz w:val="20"/>
          <w:szCs w:val="20"/>
          <w:color w:val="auto"/>
        </w:rPr>
      </w:pPr>
    </w:p>
    <w:p>
      <w:pPr>
        <w:jc w:val="both"/>
        <w:ind w:left="4" w:firstLine="574"/>
        <w:spacing w:after="0" w:line="317" w:lineRule="auto"/>
        <w:rPr>
          <w:sz w:val="20"/>
          <w:szCs w:val="20"/>
          <w:color w:val="auto"/>
        </w:rPr>
      </w:pPr>
      <w:r>
        <w:rPr>
          <w:rFonts w:ascii="Arial" w:cs="Arial" w:eastAsia="Arial" w:hAnsi="Arial"/>
          <w:sz w:val="14"/>
          <w:szCs w:val="14"/>
          <w:color w:val="auto"/>
        </w:rPr>
        <w:t>In addition, the Company shall deliver to the Trustee, within 30 days after the occurrence of any Event of Default or Default, an Officer’s Certificate setting forth the details of such Event of Default or Default, its status and the action that the Company is taking or proposing to take in respect thereof; provided that the Company shall not be required to deliver such Officer’s Certificate if such Default or Event of Default has been cured within the applicable grace period (if any) provided for in this Indenture.</w:t>
      </w:r>
    </w:p>
    <w:p>
      <w:pPr>
        <w:spacing w:after="0" w:line="127"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Further Instruments and Acts</w:t>
      </w:r>
      <w:r>
        <w:rPr>
          <w:rFonts w:ascii="Arial" w:cs="Arial" w:eastAsia="Arial" w:hAnsi="Arial"/>
          <w:sz w:val="16"/>
          <w:szCs w:val="16"/>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Limitations on Certain Restricted Payments</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Company shall not, and shall not permit any of its Subsidiaries to, directly or indirectly:</w:t>
      </w:r>
    </w:p>
    <w:p>
      <w:pPr>
        <w:spacing w:after="0" w:line="198" w:lineRule="exact"/>
        <w:rPr>
          <w:rFonts w:ascii="Arial" w:cs="Arial" w:eastAsia="Arial" w:hAnsi="Arial"/>
          <w:sz w:val="16"/>
          <w:szCs w:val="16"/>
          <w:color w:val="auto"/>
        </w:rPr>
      </w:pPr>
    </w:p>
    <w:p>
      <w:pPr>
        <w:jc w:val="both"/>
        <w:ind w:left="4" w:right="20" w:firstLine="1716"/>
        <w:spacing w:after="0" w:line="258" w:lineRule="auto"/>
        <w:tabs>
          <w:tab w:leader="none" w:pos="1926" w:val="left"/>
        </w:tabs>
        <w:numPr>
          <w:ilvl w:val="2"/>
          <w:numId w:val="131"/>
        </w:numPr>
        <w:rPr>
          <w:rFonts w:ascii="Arial" w:cs="Arial" w:eastAsia="Arial" w:hAnsi="Arial"/>
          <w:sz w:val="16"/>
          <w:szCs w:val="16"/>
          <w:color w:val="auto"/>
        </w:rPr>
      </w:pPr>
      <w:r>
        <w:rPr>
          <w:rFonts w:ascii="Arial" w:cs="Arial" w:eastAsia="Arial" w:hAnsi="Arial"/>
          <w:sz w:val="16"/>
          <w:szCs w:val="16"/>
          <w:color w:val="auto"/>
        </w:rPr>
        <w:t>declare or pay any dividend on, or make any other payment or distribution in respect of, its Equity Interests or similar payment to the direct or indirect holders thereof in their capacity as such (other than any dividends or distributions payable solely in its Equity Interests and dividends or distributions payable to the Company or any of its Subsidiaries (and, if such Subsidiary has stockholders other than the Company or other Subsidiaries, to its other stockholders on no more than a pro rata basis));</w:t>
      </w:r>
    </w:p>
    <w:p>
      <w:pPr>
        <w:spacing w:after="0" w:line="164" w:lineRule="exact"/>
        <w:rPr>
          <w:rFonts w:ascii="Arial" w:cs="Arial" w:eastAsia="Arial" w:hAnsi="Arial"/>
          <w:sz w:val="16"/>
          <w:szCs w:val="16"/>
          <w:color w:val="auto"/>
        </w:rPr>
      </w:pPr>
    </w:p>
    <w:p>
      <w:pPr>
        <w:ind w:left="4" w:right="20" w:firstLine="1716"/>
        <w:spacing w:after="0" w:line="309" w:lineRule="auto"/>
        <w:tabs>
          <w:tab w:leader="none" w:pos="1964" w:val="left"/>
        </w:tabs>
        <w:numPr>
          <w:ilvl w:val="2"/>
          <w:numId w:val="131"/>
        </w:numPr>
        <w:rPr>
          <w:rFonts w:ascii="Arial" w:cs="Arial" w:eastAsia="Arial" w:hAnsi="Arial"/>
          <w:sz w:val="15"/>
          <w:szCs w:val="15"/>
          <w:color w:val="auto"/>
        </w:rPr>
      </w:pPr>
      <w:r>
        <w:rPr>
          <w:rFonts w:ascii="Arial" w:cs="Arial" w:eastAsia="Arial" w:hAnsi="Arial"/>
          <w:sz w:val="15"/>
          <w:szCs w:val="15"/>
          <w:color w:val="auto"/>
        </w:rPr>
        <w:t>purchase, redeem or otherwise acquire or retire for value any Equity Interests of the Company held by any Person or any Equity Interests of any Subsidiary of the Company held by any Affiliate of the Company (in each case other than held by the Company or a Subsidiary of the Company);</w:t>
      </w:r>
    </w:p>
    <w:p>
      <w:pPr>
        <w:spacing w:after="0" w:line="129" w:lineRule="exact"/>
        <w:rPr>
          <w:rFonts w:ascii="Arial" w:cs="Arial" w:eastAsia="Arial" w:hAnsi="Arial"/>
          <w:sz w:val="15"/>
          <w:szCs w:val="15"/>
          <w:color w:val="auto"/>
        </w:rPr>
      </w:pPr>
    </w:p>
    <w:p>
      <w:pPr>
        <w:ind w:left="4" w:firstLine="1716"/>
        <w:spacing w:after="0" w:line="275" w:lineRule="auto"/>
        <w:tabs>
          <w:tab w:leader="none" w:pos="2013" w:val="left"/>
        </w:tabs>
        <w:numPr>
          <w:ilvl w:val="2"/>
          <w:numId w:val="131"/>
        </w:numPr>
        <w:rPr>
          <w:rFonts w:ascii="Arial" w:cs="Arial" w:eastAsia="Arial" w:hAnsi="Arial"/>
          <w:sz w:val="16"/>
          <w:szCs w:val="16"/>
          <w:color w:val="auto"/>
        </w:rPr>
      </w:pPr>
      <w:r>
        <w:rPr>
          <w:rFonts w:ascii="Arial" w:cs="Arial" w:eastAsia="Arial" w:hAnsi="Arial"/>
          <w:sz w:val="16"/>
          <w:szCs w:val="16"/>
          <w:color w:val="auto"/>
        </w:rPr>
        <w:t>make any purchase, repurchase, redemption, defeasance or other acquisition or retirement for value, prior to the scheduled maturity, scheduled repayment or scheduled sinking fund payment of any Indebtedness that is contractually subordinated in right of payment to the Notes; or</w:t>
      </w:r>
    </w:p>
    <w:p>
      <w:pPr>
        <w:spacing w:after="0" w:line="151" w:lineRule="exact"/>
        <w:rPr>
          <w:rFonts w:ascii="Arial" w:cs="Arial" w:eastAsia="Arial" w:hAnsi="Arial"/>
          <w:sz w:val="16"/>
          <w:szCs w:val="16"/>
          <w:color w:val="auto"/>
        </w:rPr>
      </w:pPr>
    </w:p>
    <w:p>
      <w:pPr>
        <w:ind w:left="2004" w:hanging="284"/>
        <w:spacing w:after="0"/>
        <w:tabs>
          <w:tab w:leader="none" w:pos="2004" w:val="left"/>
        </w:tabs>
        <w:numPr>
          <w:ilvl w:val="2"/>
          <w:numId w:val="131"/>
        </w:numPr>
        <w:rPr>
          <w:rFonts w:ascii="Arial" w:cs="Arial" w:eastAsia="Arial" w:hAnsi="Arial"/>
          <w:sz w:val="14"/>
          <w:szCs w:val="14"/>
          <w:color w:val="auto"/>
        </w:rPr>
      </w:pPr>
      <w:r>
        <w:rPr>
          <w:rFonts w:ascii="Arial" w:cs="Arial" w:eastAsia="Arial" w:hAnsi="Arial"/>
          <w:sz w:val="14"/>
          <w:szCs w:val="14"/>
          <w:color w:val="auto"/>
        </w:rPr>
        <w:t>make any Restricted Investment (all such payments and other actions set forth in clauses (i) through (iv) above being collectively referred to as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Payments</w:t>
      </w:r>
      <w:r>
        <w:rPr>
          <w:rFonts w:ascii="Arial" w:cs="Arial" w:eastAsia="Arial" w:hAnsi="Arial"/>
          <w:sz w:val="16"/>
          <w:szCs w:val="16"/>
          <w:color w:val="auto"/>
        </w:rPr>
        <w:t>”).</w:t>
      </w:r>
    </w:p>
    <w:p>
      <w:pPr>
        <w:spacing w:after="0" w:line="185" w:lineRule="exact"/>
        <w:rPr>
          <w:rFonts w:ascii="Arial" w:cs="Arial" w:eastAsia="Arial" w:hAnsi="Arial"/>
          <w:sz w:val="14"/>
          <w:szCs w:val="14"/>
          <w:color w:val="auto"/>
        </w:rPr>
      </w:pPr>
    </w:p>
    <w:p>
      <w:pPr>
        <w:ind w:left="804" w:hanging="231"/>
        <w:spacing w:after="0"/>
        <w:tabs>
          <w:tab w:leader="none" w:pos="80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foregoing provisions will not prohibit:</w:t>
      </w:r>
    </w:p>
    <w:p>
      <w:pPr>
        <w:spacing w:after="0" w:line="198" w:lineRule="exact"/>
        <w:rPr>
          <w:sz w:val="20"/>
          <w:szCs w:val="20"/>
          <w:color w:val="auto"/>
        </w:rPr>
      </w:pPr>
    </w:p>
    <w:p>
      <w:pPr>
        <w:jc w:val="both"/>
        <w:ind w:left="4" w:right="20" w:firstLine="569"/>
        <w:spacing w:after="0" w:line="301" w:lineRule="auto"/>
        <w:tabs>
          <w:tab w:leader="none" w:pos="80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 xml:space="preserve">the redemption, repurchase, retirement or other acquisition for value of any Equity Interests of the Company or any Subsidiary of the Company held by employees, former employees, directors, former directors, consultants or former consultants of the Company (or any of its Subsidiaries) (including any redemption, repurchase, retirement or other acquisition by reason of the Company or any of its Subsidiaries retaining any capital stock or other option, warrant or other right in respect of tax withholding obligations, and any related payment in respect of any such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aggregate amount of such repurchases and other acquisitions shall not exceed $3.0 million in any fiscal year (with unused amounts in any fiscal year being carried over to succeeding fiscal years subject to a maximum of $6.0 million in any calendar year);</w:t>
      </w:r>
    </w:p>
    <w:p>
      <w:pPr>
        <w:spacing w:after="0" w:line="137" w:lineRule="exact"/>
        <w:rPr>
          <w:rFonts w:ascii="Arial" w:cs="Arial" w:eastAsia="Arial" w:hAnsi="Arial"/>
          <w:sz w:val="14"/>
          <w:szCs w:val="14"/>
          <w:color w:val="auto"/>
        </w:rPr>
      </w:pPr>
    </w:p>
    <w:p>
      <w:pPr>
        <w:ind w:left="4" w:right="20" w:firstLine="569"/>
        <w:spacing w:after="0" w:line="275" w:lineRule="auto"/>
        <w:tabs>
          <w:tab w:leader="none" w:pos="81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repurchases of Capital Stock of the Company deemed to occur upon exercise of stock options, warrants or similar instruments if such Capital Stock represents a portion of the exercise price of such options, warrants or similar instruments;</w:t>
      </w:r>
    </w:p>
    <w:p>
      <w:pPr>
        <w:spacing w:after="0" w:line="151" w:lineRule="exact"/>
        <w:rPr>
          <w:rFonts w:ascii="Arial" w:cs="Arial" w:eastAsia="Arial" w:hAnsi="Arial"/>
          <w:sz w:val="16"/>
          <w:szCs w:val="16"/>
          <w:color w:val="auto"/>
        </w:rPr>
      </w:pPr>
    </w:p>
    <w:p>
      <w:pPr>
        <w:ind w:left="4" w:right="20" w:firstLine="569"/>
        <w:spacing w:after="0" w:line="275" w:lineRule="auto"/>
        <w:tabs>
          <w:tab w:leader="none" w:pos="811" w:val="left"/>
        </w:tabs>
        <w:numPr>
          <w:ilvl w:val="0"/>
          <w:numId w:val="133"/>
        </w:numPr>
        <w:rPr>
          <w:rFonts w:ascii="Arial" w:cs="Arial" w:eastAsia="Arial" w:hAnsi="Arial"/>
          <w:sz w:val="16"/>
          <w:szCs w:val="16"/>
          <w:color w:val="auto"/>
        </w:rPr>
      </w:pPr>
      <w:r>
        <w:rPr>
          <w:rFonts w:ascii="Arial" w:cs="Arial" w:eastAsia="Arial" w:hAnsi="Arial"/>
          <w:sz w:val="16"/>
          <w:szCs w:val="16"/>
          <w:color w:val="auto"/>
        </w:rPr>
        <w:t>cash payments in lieu of the issuance of fractional shares in connection with the exercise of warrants, options or other securities convertible into or exchangeable for Capital Stock of the Company;</w:t>
      </w:r>
    </w:p>
    <w:p>
      <w:pPr>
        <w:spacing w:after="0" w:line="151" w:lineRule="exact"/>
        <w:rPr>
          <w:rFonts w:ascii="Arial" w:cs="Arial" w:eastAsia="Arial" w:hAnsi="Arial"/>
          <w:sz w:val="16"/>
          <w:szCs w:val="16"/>
          <w:color w:val="auto"/>
        </w:rPr>
      </w:pPr>
    </w:p>
    <w:p>
      <w:pPr>
        <w:jc w:val="both"/>
        <w:ind w:left="4" w:right="20" w:firstLine="569"/>
        <w:spacing w:after="0" w:line="317" w:lineRule="auto"/>
        <w:tabs>
          <w:tab w:leader="none" w:pos="80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any Restricted Payment made in exchange (including any such exchange pursuant to the exercise of a conversion right or privilege in connection with which cash is paid in lieu of the issuance of fractional shares) for, or with the net cash proceeds from, the substantially concurrent sale of Equity Interests of the Company (other than (i) Disqualified Capital Stock and (ii) Capital Stock issued or sold to a Subsidiary or any employee, director, consultant pursuant to an employee stock ownership plan); and</w:t>
      </w:r>
    </w:p>
    <w:p>
      <w:pPr>
        <w:spacing w:after="0" w:line="126" w:lineRule="exact"/>
        <w:rPr>
          <w:rFonts w:ascii="Arial" w:cs="Arial" w:eastAsia="Arial" w:hAnsi="Arial"/>
          <w:sz w:val="14"/>
          <w:szCs w:val="14"/>
          <w:color w:val="auto"/>
        </w:rPr>
      </w:pPr>
    </w:p>
    <w:p>
      <w:pPr>
        <w:ind w:left="804" w:hanging="231"/>
        <w:spacing w:after="0"/>
        <w:tabs>
          <w:tab w:leader="none" w:pos="80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distributions, dividends or other payments by the Company or any Subsidiary of the Company solely to pay income tax obligations then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1" w:lineRule="exact"/>
        <w:rPr>
          <w:sz w:val="20"/>
          <w:szCs w:val="20"/>
          <w:color w:val="auto"/>
        </w:rPr>
      </w:pPr>
    </w:p>
    <w:p>
      <w:pPr>
        <w:ind w:left="164" w:hanging="164"/>
        <w:spacing w:after="0"/>
        <w:tabs>
          <w:tab w:leader="none" w:pos="164" w:val="left"/>
        </w:tabs>
        <w:numPr>
          <w:ilvl w:val="0"/>
          <w:numId w:val="134"/>
        </w:numPr>
        <w:rPr>
          <w:rFonts w:ascii="Arial" w:cs="Arial" w:eastAsia="Arial" w:hAnsi="Arial"/>
          <w:sz w:val="22"/>
          <w:szCs w:val="22"/>
          <w:color w:val="auto"/>
          <w:vertAlign w:val="superscript"/>
        </w:rPr>
      </w:pPr>
      <w:r>
        <w:rPr>
          <w:rFonts w:ascii="Arial" w:cs="Arial" w:eastAsia="Arial" w:hAnsi="Arial"/>
          <w:sz w:val="14"/>
          <w:szCs w:val="14"/>
          <w:color w:val="auto"/>
        </w:rPr>
        <w:t>NTD: Insert end of first fiscal year after issuance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43" w:name="page144"/>
    <w:bookmarkEnd w:id="143"/>
    <w:p>
      <w:pPr>
        <w:ind w:left="560"/>
        <w:spacing w:after="0"/>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i w:val="1"/>
          <w:iCs w:val="1"/>
          <w:color w:val="auto"/>
        </w:rPr>
        <w:t>Limitation on Incurrence of Additional Indebtedness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349" w:lineRule="auto"/>
        <w:tabs>
          <w:tab w:leader="none" w:pos="137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Company shall not, and shall not permit any of its Subsidiaries to, directly or indirectly, create, incur, assume, guarantee, acquire, become liable, contingently or otherwise, with respect to or otherwise become responsible for payment of (collectively, “</w:t>
      </w:r>
      <w:r>
        <w:rPr>
          <w:rFonts w:ascii="Arial" w:cs="Arial" w:eastAsia="Arial" w:hAnsi="Arial"/>
          <w:sz w:val="14"/>
          <w:szCs w:val="14"/>
          <w:b w:val="1"/>
          <w:bCs w:val="1"/>
          <w:color w:val="auto"/>
        </w:rPr>
        <w:t>incur</w:t>
      </w:r>
      <w:r>
        <w:rPr>
          <w:rFonts w:ascii="Arial" w:cs="Arial" w:eastAsia="Arial" w:hAnsi="Arial"/>
          <w:sz w:val="14"/>
          <w:szCs w:val="14"/>
          <w:color w:val="auto"/>
        </w:rPr>
        <w:t>”) any Indebtedness (including Acquired Indebtedness).</w:t>
      </w:r>
    </w:p>
    <w:p>
      <w:pPr>
        <w:spacing w:after="0" w:line="105" w:lineRule="exact"/>
        <w:rPr>
          <w:rFonts w:ascii="Arial" w:cs="Arial" w:eastAsia="Arial" w:hAnsi="Arial"/>
          <w:sz w:val="14"/>
          <w:szCs w:val="14"/>
          <w:color w:val="auto"/>
        </w:rPr>
      </w:pPr>
    </w:p>
    <w:p>
      <w:pPr>
        <w:ind w:firstLine="1143"/>
        <w:spacing w:after="0" w:line="275" w:lineRule="auto"/>
        <w:tabs>
          <w:tab w:leader="none" w:pos="1407" w:val="left"/>
        </w:tabs>
        <w:numPr>
          <w:ilvl w:val="1"/>
          <w:numId w:val="135"/>
        </w:numPr>
        <w:rPr>
          <w:rFonts w:ascii="Arial" w:cs="Arial" w:eastAsia="Arial" w:hAnsi="Arial"/>
          <w:sz w:val="16"/>
          <w:szCs w:val="16"/>
          <w:color w:val="auto"/>
        </w:rPr>
      </w:pPr>
      <w:r>
        <w:rPr>
          <w:rFonts w:ascii="Arial" w:cs="Arial" w:eastAsia="Arial" w:hAnsi="Arial"/>
          <w:sz w:val="16"/>
          <w:szCs w:val="16"/>
          <w:color w:val="auto"/>
        </w:rPr>
        <w:t>Notwithstanding clause (a) of this Section 4.11, the Company and its Subsidiaries may incur, without duplication, any of the following items of Indebtedness (“</w:t>
      </w:r>
      <w:r>
        <w:rPr>
          <w:rFonts w:ascii="Arial" w:cs="Arial" w:eastAsia="Arial" w:hAnsi="Arial"/>
          <w:sz w:val="16"/>
          <w:szCs w:val="16"/>
          <w:b w:val="1"/>
          <w:bCs w:val="1"/>
          <w:color w:val="auto"/>
        </w:rPr>
        <w:t>Permitted Indebtedness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0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(X) the Horizon Revolving Credit Facility and (Y) provided that the Horizon Revolving Credit Facility has been permanently repaid, Indebtedness incurred under any Credit Facility by the Company or any of its Subsidiaries (including letters of credit or bankers’ acceptances issued or created under any Credit Facility) not to exceed $10.0 million at any one time outstanding and any Refinancing Indebtedness in respect thereof;</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represented by the Notes and the Guarantees (other than any additional Notes, but including any PIK Notes);</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of the Company and its Subsidiaries in existence on the Issue Date (other than the Notes, the Guarantees and any Credit Facility);</w:t>
      </w:r>
    </w:p>
    <w:p>
      <w:pPr>
        <w:spacing w:after="0" w:line="198" w:lineRule="exact"/>
        <w:rPr>
          <w:rFonts w:ascii="Arial" w:cs="Arial" w:eastAsia="Arial" w:hAnsi="Arial"/>
          <w:sz w:val="16"/>
          <w:szCs w:val="16"/>
          <w:color w:val="auto"/>
        </w:rPr>
      </w:pPr>
    </w:p>
    <w:p>
      <w:pPr>
        <w:ind w:right="20" w:firstLine="569"/>
        <w:spacing w:after="0" w:line="309" w:lineRule="auto"/>
        <w:tabs>
          <w:tab w:leader="none" w:pos="81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Indebtedness arising from the honoring by a bank or other financial institution of a check, draft or similar instrument (except in the case of daylight overdrafts) drawn against insufficient funds in the ordinary course of business;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such Indebtedness is extinguished within ten Business Days of incurrence;</w:t>
      </w:r>
    </w:p>
    <w:p>
      <w:pPr>
        <w:spacing w:after="0" w:line="129" w:lineRule="exact"/>
        <w:rPr>
          <w:rFonts w:ascii="Arial" w:cs="Arial" w:eastAsia="Arial" w:hAnsi="Arial"/>
          <w:sz w:val="15"/>
          <w:szCs w:val="15"/>
          <w:color w:val="auto"/>
        </w:rPr>
      </w:pPr>
    </w:p>
    <w:p>
      <w:pPr>
        <w:jc w:val="both"/>
        <w:ind w:firstLine="569"/>
        <w:spacing w:after="0" w:line="253" w:lineRule="auto"/>
        <w:tabs>
          <w:tab w:leader="none" w:pos="8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in respect of (i) workers’ compensation claims, self-insurance obligations, customer guarantees, performance, indemnity, surety, judgment, appeal, advance payment (including progress premiums), customs, value added or other tax or other guarantees or other similar bonds, instruments or obligations and completion guarantees and warranties provided by the Company or a Subsidiary or relating to liabilities, obligations or guarantees incurred in the ordinary course of business , (ii) customer deposits and advance payments (including progress premiums) or similar arrangements received in the ordinary course of business from customers, suppliers or vendors for goods or services purchased in the ordinary course of business , or (iii) any customary treasury, depositary, cash management, automatic clearinghouse arrangements, overdraft protections, credit or debit card, purchase card, electronic funds transfer, cash pooling or netting or setting off arrangements or similar arrangements in the ordinary course of business;</w:t>
      </w:r>
    </w:p>
    <w:p>
      <w:pPr>
        <w:spacing w:after="0" w:line="171" w:lineRule="exact"/>
        <w:rPr>
          <w:rFonts w:ascii="Arial" w:cs="Arial" w:eastAsia="Arial" w:hAnsi="Arial"/>
          <w:sz w:val="16"/>
          <w:szCs w:val="16"/>
          <w:color w:val="auto"/>
        </w:rPr>
      </w:pPr>
    </w:p>
    <w:p>
      <w:pPr>
        <w:jc w:val="both"/>
        <w:ind w:right="20" w:firstLine="569"/>
        <w:spacing w:after="0" w:line="255" w:lineRule="auto"/>
        <w:tabs>
          <w:tab w:leader="none" w:pos="83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Indebtedness (including Capitalized Lease Obligations) of the Company or any of its Subsidiaries incurred to finance the purchase, lease, construction or improvement of any property, plant or equipment used or to be used in the business of the Company or such Subsidiary through the direct purchase of such property, plant or equipment, and any Refinancing Indebtedness which serves to refund or refinance any Indebtedness incurred pursuant to this clause in an aggregate outstanding principal amount which, when taken together with the principal amount of all other Indebtedness incurred pursuant to this clause and then outstanding, will not exceed $10.0 million at any one time outstanding;</w:t>
      </w:r>
    </w:p>
    <w:p>
      <w:pPr>
        <w:spacing w:after="0" w:line="169" w:lineRule="exact"/>
        <w:rPr>
          <w:rFonts w:ascii="Arial" w:cs="Arial" w:eastAsia="Arial" w:hAnsi="Arial"/>
          <w:sz w:val="16"/>
          <w:szCs w:val="16"/>
          <w:color w:val="auto"/>
        </w:rPr>
      </w:pPr>
    </w:p>
    <w:p>
      <w:pPr>
        <w:jc w:val="both"/>
        <w:ind w:right="20" w:firstLine="569"/>
        <w:spacing w:after="0" w:line="262" w:lineRule="auto"/>
        <w:tabs>
          <w:tab w:leader="none" w:pos="80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Indebtedness of (x) the Company or any of its Subsidiaries incurred or issued to finance an acquisition or (y) Persons that are acquired by the Company or any of its Subsidiaries or merged into, amalgamated or consolidated with the Company or any of its Subsidiaries in accordance with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 an aggregate amount not to exceed $10.0 million at any one time outstanding;</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0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guarantees by the Company or any of its Subsidiaries of Indebtedness of the Company or any of its Subsidiaries so long as the incurrence of such Indebtedness is permitted by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which guarantees Indebtedness of the Company (other than the Notes) or of any other Subsidiary will concurrently provide a guarantee of the Notes;</w:t>
      </w:r>
    </w:p>
    <w:p>
      <w:pPr>
        <w:spacing w:after="0" w:line="162" w:lineRule="exact"/>
        <w:rPr>
          <w:rFonts w:ascii="Arial" w:cs="Arial" w:eastAsia="Arial" w:hAnsi="Arial"/>
          <w:sz w:val="16"/>
          <w:szCs w:val="16"/>
          <w:color w:val="auto"/>
        </w:rPr>
      </w:pPr>
    </w:p>
    <w:p>
      <w:pPr>
        <w:jc w:val="both"/>
        <w:ind w:firstLine="569"/>
        <w:spacing w:after="0" w:line="276" w:lineRule="auto"/>
        <w:tabs>
          <w:tab w:leader="none" w:pos="813"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Indebtedness of the Company owing to and held by any Subsidiary of the Company or Indebtedness of a Subsidiary of the Company owing to and held by the Company or any other Subsidiary of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subsequent issuance or transfer of Capital Stock or any other event which results in any such Indebtedness being beneficially held by a Person other than the Company or a Subsidiary of the Company; and any sale or other transfer of any such Indebtedness to a Person other than the Company or a Subsidiary of the Company shall be deemed, in each case under this clause (9) of this Section 4.11(b), to constitute an incurrence of such Indebtedness on the date of any such issuance, sale or transfer by the Company or such Subsidiary, as the case may be;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4" w:name="page145"/>
    <w:bookmarkEnd w:id="144"/>
    <w:p>
      <w:pPr>
        <w:jc w:val="both"/>
        <w:ind w:firstLine="569"/>
        <w:spacing w:after="0" w:line="290" w:lineRule="auto"/>
        <w:tabs>
          <w:tab w:leader="none" w:pos="907"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incurrence by the Company or any of its Subsidiaries of Indebtedness that serves to refund, refinance, replace, renew, extend or defease (collectively, “refinance” with “refinances,” “refinanced” and “refinancing” having a correlative meaning) any Indebtedness of the Company or any of its Subsidiaries incurred pursuant to Section 4.11(b)(2), (3) or (7) (“</w:t>
      </w:r>
      <w:r>
        <w:rPr>
          <w:rFonts w:ascii="Arial" w:cs="Arial" w:eastAsia="Arial" w:hAnsi="Arial"/>
          <w:sz w:val="14"/>
          <w:szCs w:val="14"/>
          <w:b w:val="1"/>
          <w:bCs w:val="1"/>
          <w:color w:val="auto"/>
        </w:rPr>
        <w:t>Refinancing Indebtedness</w:t>
      </w:r>
      <w:r>
        <w:rPr>
          <w:rFonts w:ascii="Arial" w:cs="Arial" w:eastAsia="Arial" w:hAnsi="Arial"/>
          <w:sz w:val="14"/>
          <w:szCs w:val="14"/>
          <w:color w:val="auto"/>
        </w:rPr>
        <w:t xml:space="preserve">”) on or prior to its respective maturity;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any Refinancing Indebtedness: (A) (i) if the Stated Maturity of the Indebtedness being refinanced is earlier than the Stated Maturity of the Notes, has a Stated Maturity no earlier than the Stated Maturity of the Indebtedness being refinanced or (ii) if the Stated Maturity of the Indebtedness being refinanced is later than the Stated Maturity of the Notes, has a Stated Maturity at least 91 days later than the Stated Maturity of the Notes; (B) has a Weighted Average Life to Maturity at the time such Refinancing Indebtedness is incurred which is not less than the remaining Weighted Average Life to Maturity of the Indebtedness being refinanced (or requires no or nominal payments in cash (other than interest payments) prior to the date that is 91 days after the maturity date of the Notes); (C) to the extent such Refinancing Indebtedness refinances Indebtedness subordinated in right of payment to the Notes or any Guarantee thereof, such Refinancing Indebtedness is subordinated in right of payment to the Notes or such Guarantee at least to the same extent as the Indebtedness being refinanced; and (D)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premiums required by the instruments governing such existing Indebtedness or reasonable tender premiums, as determined in good faith by the Board of Directors of the Company, defeasance costs, accrued interest and fees and expenses in connection with any such refinancing);</w:t>
      </w:r>
    </w:p>
    <w:p>
      <w:pPr>
        <w:spacing w:after="0" w:line="147" w:lineRule="exact"/>
        <w:rPr>
          <w:rFonts w:ascii="Arial" w:cs="Arial" w:eastAsia="Arial" w:hAnsi="Arial"/>
          <w:sz w:val="14"/>
          <w:szCs w:val="14"/>
          <w:color w:val="auto"/>
        </w:rPr>
      </w:pPr>
    </w:p>
    <w:p>
      <w:pPr>
        <w:jc w:val="both"/>
        <w:ind w:right="20" w:firstLine="569"/>
        <w:spacing w:after="0" w:line="258" w:lineRule="auto"/>
        <w:tabs>
          <w:tab w:leader="none" w:pos="88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Indebtedness of the Company or any of its Subsidiaries not to exceed $10.0 million at any one time outstanding and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(x) the Market Capitalization of the Company exceeds $1.1 billion for at least 20 Trading Days (whether or not consecutive) during a period of 30 consecutive Trading Days immediately prior to incurrence and (y) the 30-Day ADTV ending on the Business Day immediately prior to incurrence is greater than or equal to $2 million;</w:t>
      </w:r>
    </w:p>
    <w:p>
      <w:pPr>
        <w:spacing w:after="0" w:line="164" w:lineRule="exact"/>
        <w:rPr>
          <w:rFonts w:ascii="Arial" w:cs="Arial" w:eastAsia="Arial" w:hAnsi="Arial"/>
          <w:sz w:val="16"/>
          <w:szCs w:val="16"/>
          <w:color w:val="auto"/>
        </w:rPr>
      </w:pPr>
    </w:p>
    <w:p>
      <w:pPr>
        <w:jc w:val="both"/>
        <w:ind w:firstLine="569"/>
        <w:spacing w:after="0" w:line="262" w:lineRule="auto"/>
        <w:tabs>
          <w:tab w:leader="none" w:pos="8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Indebtedness arising from agreements of the Issuer or a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and</w:t>
      </w:r>
    </w:p>
    <w:p>
      <w:pPr>
        <w:spacing w:after="0" w:line="162" w:lineRule="exact"/>
        <w:rPr>
          <w:rFonts w:ascii="Arial" w:cs="Arial" w:eastAsia="Arial" w:hAnsi="Arial"/>
          <w:sz w:val="16"/>
          <w:szCs w:val="16"/>
          <w:color w:val="auto"/>
        </w:rPr>
      </w:pPr>
    </w:p>
    <w:p>
      <w:pPr>
        <w:ind w:right="20" w:firstLine="569"/>
        <w:spacing w:after="0" w:line="275"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Hedging Obligations (excluding Hedging Obligations entered into for speculative purposes) for the purpose of limiting interest rate risk with respect to any Indebtedness permitted to be incurred pursuant to this covenant, exchange rate risk or commodity pricing risk.</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Company shall not, and shall not permit any of its Subsidiaries to, directly or indirectly, make any payment to, or sell, lease, exchange, transfer or otherwise dispose of any of its properties or assets to, or purchase any property or assets from, or enter into or make or amend any contract, agreement, understanding, loan, advance or guarantee with, or for the benefit of, any affiliate (each of the foregoing, an “</w:t>
      </w:r>
      <w:r>
        <w:rPr>
          <w:rFonts w:ascii="Arial" w:cs="Arial" w:eastAsia="Arial" w:hAnsi="Arial"/>
          <w:sz w:val="16"/>
          <w:szCs w:val="16"/>
          <w:b w:val="1"/>
          <w:bCs w:val="1"/>
          <w:color w:val="auto"/>
        </w:rPr>
        <w:t>Affiliate Transaction</w:t>
      </w:r>
      <w:r>
        <w:rPr>
          <w:rFonts w:ascii="Arial" w:cs="Arial" w:eastAsia="Arial" w:hAnsi="Arial"/>
          <w:sz w:val="16"/>
          <w:szCs w:val="16"/>
          <w:color w:val="auto"/>
        </w:rPr>
        <w:t>”) unless such Affiliate Transaction is on terms that are no less favorable to the Company or the relevant Subsidiary than those that would have been obtained in a comparable transaction at the time in an arm’s-length transaction with a person who was not an affiliate.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foregoing provisions will not apply to the following:</w:t>
      </w:r>
    </w:p>
    <w:p>
      <w:pPr>
        <w:spacing w:after="0" w:line="198" w:lineRule="exact"/>
        <w:rPr>
          <w:sz w:val="20"/>
          <w:szCs w:val="20"/>
          <w:color w:val="auto"/>
        </w:rPr>
      </w:pPr>
    </w:p>
    <w:p>
      <w:pPr>
        <w:ind w:firstLine="1143"/>
        <w:spacing w:after="0" w:line="275" w:lineRule="auto"/>
        <w:tabs>
          <w:tab w:leader="none" w:pos="139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employment agreement and other employment benefits (including retirement, health, stock option and other benefit plans) entered into by the Company or any of its Subsidiaries in the ordinary course of business of the Company or such Subsidiary;</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transactions exclusively between or among the Company and/or its Subsidiaries;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9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agreement existing on the Issue Date, as in effect on the Issue Date, or as modified, amended or amended and restated by any modification, amendment or amendment and restatement (x) that, taken as a whole, is not more disadvantageous to the Holders in any material respect than such agreement as it was in effect on the Issue Date or (y) made in compliance with the applicable provisions of this covenant;</w:t>
      </w:r>
    </w:p>
    <w:p>
      <w:pPr>
        <w:spacing w:after="0" w:line="162" w:lineRule="exact"/>
        <w:rPr>
          <w:rFonts w:ascii="Arial" w:cs="Arial" w:eastAsia="Arial" w:hAnsi="Arial"/>
          <w:sz w:val="16"/>
          <w:szCs w:val="16"/>
          <w:color w:val="auto"/>
        </w:rPr>
      </w:pPr>
    </w:p>
    <w:p>
      <w:pPr>
        <w:ind w:left="1380" w:hanging="237"/>
        <w:spacing w:after="0"/>
        <w:tabs>
          <w:tab w:leader="none" w:pos="13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reasonable compensation of, and indemnity arrangements in favor of, directors of the Company and its Subsidiaries entered into in the ordinary course of</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business;</w:t>
      </w:r>
    </w:p>
    <w:p>
      <w:pPr>
        <w:spacing w:after="0" w:line="185" w:lineRule="exact"/>
        <w:rPr>
          <w:rFonts w:ascii="Arial" w:cs="Arial" w:eastAsia="Arial" w:hAnsi="Arial"/>
          <w:sz w:val="14"/>
          <w:szCs w:val="14"/>
          <w:color w:val="auto"/>
        </w:rPr>
      </w:pPr>
    </w:p>
    <w:p>
      <w:pPr>
        <w:ind w:left="1360" w:hanging="217"/>
        <w:spacing w:after="0"/>
        <w:tabs>
          <w:tab w:leader="none" w:pos="13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issuance or sale of any equity interests of the Company and any contribution to the common equity of the Company; and</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5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transactions in which the Company or any Subsidiary of the Company delivers to the Trustee a letter from an Independent Financial Advisor stating that such transaction is fair to the Company or such Subsidiary from a financial point of view or stating that the terms are not materially less favorable than those that could have been obtained by the Company or such Subsidiary in a comparable transaction at such time on an arms’ length basis from a Person that is not an Affiliate.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5" w:name="page146"/>
    <w:bookmarkEnd w:id="145"/>
    <w:p>
      <w:pPr>
        <w:jc w:val="both"/>
        <w:ind w:firstLine="574"/>
        <w:spacing w:after="0" w:line="258"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i w:val="1"/>
          <w:iCs w:val="1"/>
          <w:color w:val="auto"/>
        </w:rPr>
        <w:t>Limitation on Liens</w:t>
      </w:r>
      <w:r>
        <w:rPr>
          <w:rFonts w:ascii="Arial" w:cs="Arial" w:eastAsia="Arial" w:hAnsi="Arial"/>
          <w:sz w:val="16"/>
          <w:szCs w:val="16"/>
          <w:color w:val="auto"/>
        </w:rPr>
        <w:t>. The Company shall not, and shall not permit any of its Subsidiaries, directly or indirectly, to, enter into, create, incur, assume or suffer to exist any Liens of any kind securing Indebtedness, other than Permitted Liens, on or with respect to any property or assets of the Company or any Subsidiary now owned or hereafter acquired or any interest therein or any income or profits therefrom, unless the Notes, the Guarantees and related Obligations are secured on an equal (or senior) and ratable basis with such Indebtedness (and related Obligations).</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4.14. </w:t>
      </w:r>
      <w:r>
        <w:rPr>
          <w:rFonts w:ascii="Arial" w:cs="Arial" w:eastAsia="Arial" w:hAnsi="Arial"/>
          <w:sz w:val="14"/>
          <w:szCs w:val="14"/>
          <w:i w:val="1"/>
          <w:iCs w:val="1"/>
          <w:color w:val="auto"/>
        </w:rPr>
        <w:t>Subsidiary Guarantees</w:t>
      </w:r>
      <w:r>
        <w:rPr>
          <w:rFonts w:ascii="Arial" w:cs="Arial" w:eastAsia="Arial" w:hAnsi="Arial"/>
          <w:sz w:val="14"/>
          <w:szCs w:val="14"/>
          <w:color w:val="auto"/>
        </w:rPr>
        <w:t xml:space="preserve">. The Company shall not create any Domestic Subsidiary or permit any of its Domestic Subsidiaries, directly or indirectly, by way of pledge, intercompany note or otherwise, to assume, guarantee or in any other manner become liable with respect to any Indebtedness (other than the Notes) of the Company or any Guarantor, unless, in any such case, such Domestic Subsidiary executes and delivers a supplemental indenture to this Indenture providing a Guarantee as provided in Article 17 by such Domestic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Domestic Subsidiary shall be required to guarantee the Notes if it is prohibited by law from Guaranteeing the Notes.</w:t>
      </w:r>
    </w:p>
    <w:p>
      <w:pPr>
        <w:spacing w:after="0" w:line="13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i w:val="1"/>
          <w:iCs w:val="1"/>
          <w:color w:val="auto"/>
        </w:rPr>
        <w:t>Registration Rights</w:t>
      </w:r>
      <w:r>
        <w:rPr>
          <w:rFonts w:ascii="Arial" w:cs="Arial" w:eastAsia="Arial" w:hAnsi="Arial"/>
          <w:sz w:val="16"/>
          <w:szCs w:val="16"/>
          <w:color w:val="auto"/>
        </w:rPr>
        <w:t>. The Company agrees that the Holders from time to time of Registrable Securities are entitled to the benefits of the Registration Rights Agreement. By its acceptance thereof, the Holder of Registrable Securities will have agreed to be bound by the terms of the Registration Rights Agreement relating to such Registrable Securities.</w:t>
      </w:r>
    </w:p>
    <w:p>
      <w:pPr>
        <w:spacing w:after="0" w:line="16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4.16. </w:t>
      </w:r>
      <w:r>
        <w:rPr>
          <w:rFonts w:ascii="Arial" w:cs="Arial" w:eastAsia="Arial" w:hAnsi="Arial"/>
          <w:sz w:val="14"/>
          <w:szCs w:val="14"/>
          <w:i w:val="1"/>
          <w:iCs w:val="1"/>
          <w:color w:val="auto"/>
        </w:rPr>
        <w:t>Payment of Taxes</w:t>
      </w:r>
      <w:r>
        <w:rPr>
          <w:rFonts w:ascii="Arial" w:cs="Arial" w:eastAsia="Arial" w:hAnsi="Arial"/>
          <w:sz w:val="14"/>
          <w:szCs w:val="14"/>
          <w:color w:val="auto"/>
        </w:rPr>
        <w:t>. The Company shall pay or discharge or cause to be paid or discharged, before the same shall become delinquent, (i) all material taxes, assessments and governmental charges (including withholding taxes and any penalties, interest and additions to taxes) levied or imposed upon it or properties of it and (ii) all lawful claims for labor, materials and supplies that, if unpaid, might by law become a lien upon the property, except for such non-compliances as could not singly or in the aggregate reasonably be expected to have a material adverse effect on the financial condition or results of operations of the Company and its Subsidiaries, taken as a whole.</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Compliance with Laws</w:t>
      </w:r>
      <w:r>
        <w:rPr>
          <w:rFonts w:ascii="Arial" w:cs="Arial" w:eastAsia="Arial" w:hAnsi="Arial"/>
          <w:sz w:val="14"/>
          <w:szCs w:val="14"/>
          <w:color w:val="auto"/>
        </w:rPr>
        <w:t>. The Company shall comply with all applicable statutes, rules, regulations and orders of the United States of America, all states and municipalities thereof, and of any governmental department, commission, board, regulatory authority, bureau, agency and instrumentality of the foregoing, in respect of the conduct of its respective businesses and the ownership of its respective properties, except for such non-compliances as could not singly or in the aggregate reasonably be expected to have a material adverse effect on the financial condition or results of operations of the Company and its Subsidiaries, taken as a whole.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i w:val="1"/>
          <w:iCs w:val="1"/>
          <w:color w:val="auto"/>
        </w:rPr>
        <w:t>Limitation on Sales of Assets</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Company shall not, and shall not permit any Subsidiary to, make any Asset Sale unless:</w:t>
      </w:r>
    </w:p>
    <w:p>
      <w:pPr>
        <w:spacing w:after="0" w:line="198" w:lineRule="exact"/>
        <w:rPr>
          <w:rFonts w:ascii="Arial" w:cs="Arial" w:eastAsia="Arial" w:hAnsi="Arial"/>
          <w:sz w:val="16"/>
          <w:szCs w:val="16"/>
          <w:color w:val="auto"/>
        </w:rPr>
      </w:pPr>
    </w:p>
    <w:p>
      <w:pPr>
        <w:ind w:firstLine="1716"/>
        <w:spacing w:after="0" w:line="275" w:lineRule="auto"/>
        <w:tabs>
          <w:tab w:leader="none" w:pos="191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Company or the applicable Subsidiary, as the case may be, receives consideration at the time of the Asset Sale at least equal to the Fair Market Value of the assets or Equity Interests issued or sold or otherwise disposed of;</w:t>
      </w:r>
    </w:p>
    <w:p>
      <w:pPr>
        <w:spacing w:after="0" w:line="151" w:lineRule="exact"/>
        <w:rPr>
          <w:rFonts w:ascii="Arial" w:cs="Arial" w:eastAsia="Arial" w:hAnsi="Arial"/>
          <w:sz w:val="16"/>
          <w:szCs w:val="16"/>
          <w:color w:val="auto"/>
        </w:rPr>
      </w:pPr>
    </w:p>
    <w:p>
      <w:pPr>
        <w:ind w:left="1960" w:hanging="244"/>
        <w:spacing w:after="0"/>
        <w:tabs>
          <w:tab w:leader="none" w:pos="196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at least 75% of the consideration received in the Asset Sale by the Company or such Subsidiary is in the form of cash or Cash Equivalents.</w:t>
      </w: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For purposes of this provision, each of the following will be deemed to be cash:</w:t>
      </w:r>
    </w:p>
    <w:p>
      <w:pPr>
        <w:spacing w:after="0" w:line="198" w:lineRule="exact"/>
        <w:rPr>
          <w:sz w:val="20"/>
          <w:szCs w:val="20"/>
          <w:color w:val="auto"/>
        </w:rPr>
      </w:pPr>
    </w:p>
    <w:p>
      <w:pPr>
        <w:jc w:val="both"/>
        <w:ind w:firstLine="2003"/>
        <w:spacing w:after="0" w:line="262" w:lineRule="auto"/>
        <w:tabs>
          <w:tab w:leader="none" w:pos="2275" w:val="left"/>
        </w:tabs>
        <w:numPr>
          <w:ilvl w:val="2"/>
          <w:numId w:val="140"/>
        </w:numPr>
        <w:rPr>
          <w:rFonts w:ascii="Arial" w:cs="Arial" w:eastAsia="Arial" w:hAnsi="Arial"/>
          <w:sz w:val="16"/>
          <w:szCs w:val="16"/>
          <w:color w:val="auto"/>
        </w:rPr>
      </w:pPr>
      <w:r>
        <w:rPr>
          <w:rFonts w:ascii="Arial" w:cs="Arial" w:eastAsia="Arial" w:hAnsi="Arial"/>
          <w:sz w:val="16"/>
          <w:szCs w:val="16"/>
          <w:color w:val="auto"/>
        </w:rPr>
        <w:t>any liabilities, as shown on the Company most recent consolidated balance sheet, of the Company or any Subsidiary (other than contingent liabilities and liabilities that are by their terms subordinated to the Notes or any Guarantee) that are assumed by the transferee of any such assets pursuant to a customary novation agreement that releases the Company or such Subsidiary from further liability; and</w:t>
      </w:r>
    </w:p>
    <w:p>
      <w:pPr>
        <w:spacing w:after="0" w:line="162" w:lineRule="exact"/>
        <w:rPr>
          <w:rFonts w:ascii="Arial" w:cs="Arial" w:eastAsia="Arial" w:hAnsi="Arial"/>
          <w:sz w:val="16"/>
          <w:szCs w:val="16"/>
          <w:color w:val="auto"/>
        </w:rPr>
      </w:pPr>
    </w:p>
    <w:p>
      <w:pPr>
        <w:ind w:right="20" w:firstLine="2003"/>
        <w:spacing w:after="0" w:line="309" w:lineRule="auto"/>
        <w:tabs>
          <w:tab w:leader="none" w:pos="2273" w:val="left"/>
        </w:tabs>
        <w:numPr>
          <w:ilvl w:val="2"/>
          <w:numId w:val="140"/>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the Company or any such Subsidiary from such transferee that are converted by the Company or such Subsidiary into cash within 90 days following the date of such Asset Sale, to the extent of the cash received in that conversion.</w:t>
      </w:r>
    </w:p>
    <w:p>
      <w:pPr>
        <w:spacing w:after="0" w:line="129" w:lineRule="exact"/>
        <w:rPr>
          <w:rFonts w:ascii="Arial" w:cs="Arial" w:eastAsia="Arial" w:hAnsi="Arial"/>
          <w:sz w:val="15"/>
          <w:szCs w:val="15"/>
          <w:color w:val="auto"/>
        </w:rPr>
      </w:pPr>
    </w:p>
    <w:p>
      <w:pPr>
        <w:ind w:left="1360" w:hanging="217"/>
        <w:spacing w:after="0"/>
        <w:tabs>
          <w:tab w:leader="none" w:pos="13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Within 365 days after the receipt of any Net Proceeds from an Asset Sale, the Company (or the applicable Subsidiary, as the case may be) may apply such</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Net Proceeds:</w:t>
      </w:r>
    </w:p>
    <w:p>
      <w:pPr>
        <w:spacing w:after="0" w:line="185" w:lineRule="exact"/>
        <w:rPr>
          <w:rFonts w:ascii="Arial" w:cs="Arial" w:eastAsia="Arial" w:hAnsi="Arial"/>
          <w:sz w:val="14"/>
          <w:szCs w:val="14"/>
          <w:color w:val="auto"/>
        </w:rPr>
      </w:pPr>
    </w:p>
    <w:p>
      <w:pPr>
        <w:ind w:left="1900" w:hanging="184"/>
        <w:spacing w:after="0"/>
        <w:tabs>
          <w:tab w:leader="none" w:pos="190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to repay any indebtedness secured by a Lien and, in the case of a revolving credit facility, correspondingly permanently reduce commitments with</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respect thereto;</w:t>
      </w:r>
    </w:p>
    <w:p>
      <w:pPr>
        <w:spacing w:after="0" w:line="185" w:lineRule="exact"/>
        <w:rPr>
          <w:rFonts w:ascii="Arial" w:cs="Arial" w:eastAsia="Arial" w:hAnsi="Arial"/>
          <w:sz w:val="14"/>
          <w:szCs w:val="14"/>
          <w:color w:val="auto"/>
        </w:rPr>
      </w:pPr>
    </w:p>
    <w:p>
      <w:pPr>
        <w:ind w:right="20" w:firstLine="1716"/>
        <w:spacing w:after="0" w:line="275" w:lineRule="auto"/>
        <w:tabs>
          <w:tab w:leader="none" w:pos="1984"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or any Capital Stock of, another Permitted Business, if, after giving effect to any such acquisition of Capital Stock, the Permitted Business is or becomes a Guarantor;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6" w:name="page147"/>
    <w:bookmarkEnd w:id="146"/>
    <w:p>
      <w:pPr>
        <w:ind w:left="2000" w:hanging="284"/>
        <w:spacing w:after="0"/>
        <w:tabs>
          <w:tab w:leader="none" w:pos="20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make a capital expenditure; or</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GAAP and that are used or useful in a Permitted Business.</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89"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Pending the final application of any Net Proceeds, the Company may temporarily reduce indebtedness consisting of revolving credit borrowings or otherwise use the Net Proceeds in any manner that is not prohibited by this Indenture. For the avoidance of doubt, any obligation under a revolving credit facility to apply Net Proceeds from Asset Sales to permanently reduce such revolving credit facility will not be deemed to be a permanent reduction under this Indenture unless the Company so elects in accordance with clause (1) of Section 4.18(b).</w:t>
      </w:r>
    </w:p>
    <w:p>
      <w:pPr>
        <w:spacing w:after="0" w:line="164" w:lineRule="exact"/>
        <w:rPr>
          <w:rFonts w:ascii="Arial" w:cs="Arial" w:eastAsia="Arial" w:hAnsi="Arial"/>
          <w:sz w:val="16"/>
          <w:szCs w:val="16"/>
          <w:color w:val="auto"/>
        </w:rPr>
      </w:pPr>
    </w:p>
    <w:p>
      <w:pPr>
        <w:jc w:val="both"/>
        <w:ind w:firstLine="1143"/>
        <w:spacing w:after="0" w:line="293" w:lineRule="auto"/>
        <w:tabs>
          <w:tab w:leader="none" w:pos="1368" w:val="left"/>
        </w:tabs>
        <w:numPr>
          <w:ilvl w:val="0"/>
          <w:numId w:val="143"/>
        </w:numPr>
        <w:rPr>
          <w:rFonts w:ascii="Arial" w:cs="Arial" w:eastAsia="Arial" w:hAnsi="Arial"/>
          <w:sz w:val="14"/>
          <w:szCs w:val="14"/>
          <w:color w:val="auto"/>
        </w:rPr>
      </w:pPr>
      <w:r>
        <w:rPr>
          <w:rFonts w:ascii="Arial" w:cs="Arial" w:eastAsia="Arial" w:hAnsi="Arial"/>
          <w:sz w:val="14"/>
          <w:szCs w:val="14"/>
          <w:color w:val="auto"/>
        </w:rPr>
        <w:t>Any Net Proceeds from Asset Sales that are not applied or invested as provided in Section 4.18(b) will constitute “Excess Proceeds.” When the aggregate amount of Excess Proceeds exceeds $5.0 million, the Company will, within 30 days thereof, make an offer (“</w:t>
      </w:r>
      <w:r>
        <w:rPr>
          <w:rFonts w:ascii="Arial" w:cs="Arial" w:eastAsia="Arial" w:hAnsi="Arial"/>
          <w:sz w:val="14"/>
          <w:szCs w:val="14"/>
          <w:b w:val="1"/>
          <w:bCs w:val="1"/>
          <w:color w:val="auto"/>
        </w:rPr>
        <w:t>Net Proceeds Offer</w:t>
      </w:r>
      <w:r>
        <w:rPr>
          <w:rFonts w:ascii="Arial" w:cs="Arial" w:eastAsia="Arial" w:hAnsi="Arial"/>
          <w:sz w:val="14"/>
          <w:szCs w:val="14"/>
          <w:color w:val="auto"/>
        </w:rPr>
        <w:t>”) to (a) (i) all holders of the Notes and (ii) all holders of pari passu indebtedness that contains provisions similar to those set forth in this Indenture with respect to offers to purchase or redeem with the proceeds of sales of assets to purchase the maximum principal amount of Notes and such other pari passu indebtedness that may be purchased out of the Excess Proceeds. The offer price in any offer will be equal to 100% of the principal amount of Notes purchased (or, in the event such pari passu indebtedness was issued with significant original issue discount, 100% of the accreted value thereof) plus accrued and unpaid interest, if any, to the date of purchase, and will be payable in cash. If any Excess Proceeds remain after consummation of a Net Proceeds Offer, the Company may use those Excess Proceeds for any purpose not otherwise prohibited by this Indenture. If the aggregate principal amount of Notes and such other pari passu indebtedness tendered in such offer exceeds the amount of Excess Proceeds, the Trustee shall select the Notes and the Company or such other agent will select such other pari passu indebtedness to be purchased on a pro rata basis. Upon completion of each offer, the amount of Excess Proceeds will be reset at zero.</w:t>
      </w:r>
    </w:p>
    <w:p>
      <w:pPr>
        <w:spacing w:after="0" w:line="143" w:lineRule="exact"/>
        <w:rPr>
          <w:rFonts w:ascii="Arial" w:cs="Arial" w:eastAsia="Arial" w:hAnsi="Arial"/>
          <w:sz w:val="14"/>
          <w:szCs w:val="14"/>
          <w:color w:val="auto"/>
        </w:rPr>
      </w:pPr>
    </w:p>
    <w:p>
      <w:pPr>
        <w:jc w:val="both"/>
        <w:ind w:firstLine="1143"/>
        <w:spacing w:after="0" w:line="258" w:lineRule="auto"/>
        <w:tabs>
          <w:tab w:leader="none" w:pos="137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this Section 4.18(e), the Company shall comply with the applicable securities laws and regulations and shall not be deemed to have breached its obligations under this Section 4.18(e) by virtue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w:t>
      </w:r>
      <w:r>
        <w:rPr>
          <w:rFonts w:ascii="Arial" w:cs="Arial" w:eastAsia="Arial" w:hAnsi="Arial"/>
          <w:sz w:val="10"/>
          <w:szCs w:val="10"/>
          <w:color w:val="auto"/>
        </w:rPr>
        <w:t>ISTS OF</w:t>
      </w:r>
      <w:r>
        <w:rPr>
          <w:rFonts w:ascii="Arial" w:cs="Arial" w:eastAsia="Arial" w:hAnsi="Arial"/>
          <w:sz w:val="16"/>
          <w:szCs w:val="16"/>
          <w:color w:val="auto"/>
        </w:rPr>
        <w:t xml:space="preserve"> H</w:t>
      </w:r>
      <w:r>
        <w:rPr>
          <w:rFonts w:ascii="Arial" w:cs="Arial" w:eastAsia="Arial" w:hAnsi="Arial"/>
          <w:sz w:val="10"/>
          <w:szCs w:val="10"/>
          <w:color w:val="auto"/>
        </w:rPr>
        <w:t>OLDERS AND</w:t>
      </w:r>
      <w:r>
        <w:rPr>
          <w:rFonts w:ascii="Arial" w:cs="Arial" w:eastAsia="Arial" w:hAnsi="Arial"/>
          <w:sz w:val="16"/>
          <w:szCs w:val="16"/>
          <w:color w:val="auto"/>
        </w:rPr>
        <w:t xml:space="preserve"> R</w:t>
      </w:r>
      <w:r>
        <w:rPr>
          <w:rFonts w:ascii="Arial" w:cs="Arial" w:eastAsia="Arial" w:hAnsi="Arial"/>
          <w:sz w:val="10"/>
          <w:szCs w:val="10"/>
          <w:color w:val="auto"/>
        </w:rPr>
        <w:t>EPORTS BY THE</w:t>
      </w:r>
      <w:r>
        <w:rPr>
          <w:rFonts w:ascii="Arial" w:cs="Arial" w:eastAsia="Arial" w:hAnsi="Arial"/>
          <w:sz w:val="16"/>
          <w:szCs w:val="16"/>
          <w:color w:val="auto"/>
        </w:rPr>
        <w:t xml:space="preserve"> C</w:t>
      </w:r>
      <w:r>
        <w:rPr>
          <w:rFonts w:ascii="Arial" w:cs="Arial" w:eastAsia="Arial" w:hAnsi="Arial"/>
          <w:sz w:val="10"/>
          <w:szCs w:val="10"/>
          <w:color w:val="auto"/>
        </w:rPr>
        <w:t>OMPANY AND THE</w:t>
      </w:r>
      <w:r>
        <w:rPr>
          <w:rFonts w:ascii="Arial" w:cs="Arial" w:eastAsia="Arial" w:hAnsi="Arial"/>
          <w:sz w:val="16"/>
          <w:szCs w:val="16"/>
          <w:color w:val="auto"/>
        </w:rPr>
        <w:t xml:space="preserve"> T</w:t>
      </w:r>
      <w:r>
        <w:rPr>
          <w:rFonts w:ascii="Arial" w:cs="Arial" w:eastAsia="Arial" w:hAnsi="Arial"/>
          <w:sz w:val="10"/>
          <w:szCs w:val="10"/>
          <w:color w:val="auto"/>
        </w:rPr>
        <w:t>RUSTEE</w:t>
      </w:r>
    </w:p>
    <w:p>
      <w:pPr>
        <w:spacing w:after="0" w:line="186"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Lists of Holders</w:t>
      </w:r>
      <w:r>
        <w:rPr>
          <w:rFonts w:ascii="Arial" w:cs="Arial" w:eastAsia="Arial" w:hAnsi="Arial"/>
          <w:sz w:val="16"/>
          <w:szCs w:val="16"/>
          <w:color w:val="auto"/>
        </w:rPr>
        <w:t>. The Company covenants and agrees that it will furnish or cause to be furnished to the Trustee not more than 15 days after each Regular Record Date beginning with the Regular Record Date on [●], 2022,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Preservation and Disclosure of Lists</w:t>
      </w:r>
      <w:r>
        <w:rPr>
          <w:rFonts w:ascii="Arial" w:cs="Arial" w:eastAsia="Arial" w:hAnsi="Arial"/>
          <w:sz w:val="16"/>
          <w:szCs w:val="16"/>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w:t>
      </w:r>
      <w:r>
        <w:rPr>
          <w:rFonts w:ascii="Arial" w:cs="Arial" w:eastAsia="Arial" w:hAnsi="Arial"/>
          <w:sz w:val="10"/>
          <w:szCs w:val="10"/>
          <w:color w:val="auto"/>
        </w:rPr>
        <w:t>EFAULTS AND</w:t>
      </w:r>
      <w:r>
        <w:rPr>
          <w:rFonts w:ascii="Arial" w:cs="Arial" w:eastAsia="Arial" w:hAnsi="Arial"/>
          <w:sz w:val="16"/>
          <w:szCs w:val="16"/>
          <w:color w:val="auto"/>
        </w:rPr>
        <w:t xml:space="preserve"> R</w:t>
      </w:r>
      <w:r>
        <w:rPr>
          <w:rFonts w:ascii="Arial" w:cs="Arial" w:eastAsia="Arial" w:hAnsi="Arial"/>
          <w:sz w:val="10"/>
          <w:szCs w:val="10"/>
          <w:color w:val="auto"/>
        </w:rPr>
        <w:t>EMEDIES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Events of Default</w:t>
      </w:r>
      <w:r>
        <w:rPr>
          <w:rFonts w:ascii="Arial" w:cs="Arial" w:eastAsia="Arial" w:hAnsi="Arial"/>
          <w:sz w:val="16"/>
          <w:szCs w:val="16"/>
          <w:color w:val="auto"/>
        </w:rPr>
        <w:t>. Each of the following events shall be an “</w:t>
      </w:r>
      <w:r>
        <w:rPr>
          <w:rFonts w:ascii="Arial" w:cs="Arial" w:eastAsia="Arial" w:hAnsi="Arial"/>
          <w:sz w:val="16"/>
          <w:szCs w:val="16"/>
          <w:b w:val="1"/>
          <w:bCs w:val="1"/>
          <w:color w:val="auto"/>
        </w:rPr>
        <w:t>Event of Default</w:t>
      </w:r>
      <w:r>
        <w:rPr>
          <w:rFonts w:ascii="Arial" w:cs="Arial" w:eastAsia="Arial" w:hAnsi="Arial"/>
          <w:sz w:val="16"/>
          <w:szCs w:val="16"/>
          <w:color w:val="auto"/>
        </w:rPr>
        <w:t>” with respect to the Notes:</w:t>
      </w:r>
    </w:p>
    <w:p>
      <w:pPr>
        <w:spacing w:after="0" w:line="202" w:lineRule="exact"/>
        <w:rPr>
          <w:sz w:val="20"/>
          <w:szCs w:val="20"/>
          <w:color w:val="auto"/>
        </w:rPr>
      </w:pPr>
    </w:p>
    <w:p>
      <w:pPr>
        <w:ind w:left="1360" w:hanging="217"/>
        <w:spacing w:after="0"/>
        <w:tabs>
          <w:tab w:leader="none" w:pos="13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default in any payment of interest on any Note when due and payable, and the default continues for a period of 30 consecutive days;</w:t>
      </w:r>
    </w:p>
    <w:p>
      <w:pPr>
        <w:spacing w:after="0" w:line="198" w:lineRule="exact"/>
        <w:rPr>
          <w:rFonts w:ascii="Arial" w:cs="Arial" w:eastAsia="Arial" w:hAnsi="Arial"/>
          <w:sz w:val="16"/>
          <w:szCs w:val="16"/>
          <w:color w:val="auto"/>
        </w:rPr>
      </w:pPr>
    </w:p>
    <w:p>
      <w:pPr>
        <w:ind w:right="20" w:firstLine="1143"/>
        <w:spacing w:after="0" w:line="275" w:lineRule="auto"/>
        <w:tabs>
          <w:tab w:leader="none" w:pos="13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default in the payment of principal or premium, if any, of any Note when due and payable on the Maturity Date, upon Optional Redemption, upon any required repurchase, upon declaration of acceleration or otherwise;</w:t>
      </w:r>
    </w:p>
    <w:p>
      <w:pPr>
        <w:spacing w:after="0" w:line="151" w:lineRule="exact"/>
        <w:rPr>
          <w:rFonts w:ascii="Arial" w:cs="Arial" w:eastAsia="Arial" w:hAnsi="Arial"/>
          <w:sz w:val="16"/>
          <w:szCs w:val="16"/>
          <w:color w:val="auto"/>
        </w:rPr>
      </w:pPr>
    </w:p>
    <w:p>
      <w:pPr>
        <w:ind w:right="20" w:firstLine="1143"/>
        <w:spacing w:after="0" w:line="275" w:lineRule="auto"/>
        <w:tabs>
          <w:tab w:leader="none" w:pos="136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failure by the Company to comply with its obligation to convert the Notes in accordance with this Indenture upon exercise of a Holder’s conversion right and such failure continues for three Business Days;</w:t>
      </w:r>
    </w:p>
    <w:p>
      <w:pPr>
        <w:spacing w:after="0" w:line="151" w:lineRule="exact"/>
        <w:rPr>
          <w:rFonts w:ascii="Arial" w:cs="Arial" w:eastAsia="Arial" w:hAnsi="Arial"/>
          <w:sz w:val="16"/>
          <w:szCs w:val="16"/>
          <w:color w:val="auto"/>
        </w:rPr>
      </w:pPr>
    </w:p>
    <w:p>
      <w:pPr>
        <w:ind w:firstLine="1143"/>
        <w:spacing w:after="0" w:line="275" w:lineRule="auto"/>
        <w:tabs>
          <w:tab w:leader="none" w:pos="139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failure by the Company to issue a Fundamental Change Company Notice in accordance with Section 15.02(c), notice of a Make-Whole Fundamental Change in accordance with Section 14.03(b), in each case when due and such failure continues for five Business Days;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7" w:name="page148"/>
    <w:bookmarkEnd w:id="147"/>
    <w:p>
      <w:pPr>
        <w:ind w:left="1360" w:hanging="217"/>
        <w:spacing w:after="0"/>
        <w:tabs>
          <w:tab w:leader="none" w:pos="13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failure by the Company to comply with its obligations under Article 11;</w:t>
      </w:r>
    </w:p>
    <w:p>
      <w:pPr>
        <w:spacing w:after="0" w:line="198" w:lineRule="exact"/>
        <w:rPr>
          <w:rFonts w:ascii="Arial" w:cs="Arial" w:eastAsia="Arial" w:hAnsi="Arial"/>
          <w:sz w:val="16"/>
          <w:szCs w:val="16"/>
          <w:color w:val="auto"/>
        </w:rPr>
      </w:pPr>
    </w:p>
    <w:p>
      <w:pPr>
        <w:ind w:right="20" w:firstLine="1143"/>
        <w:spacing w:after="0" w:line="275" w:lineRule="auto"/>
        <w:tabs>
          <w:tab w:leader="none" w:pos="135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51" w:lineRule="exact"/>
        <w:rPr>
          <w:rFonts w:ascii="Arial" w:cs="Arial" w:eastAsia="Arial" w:hAnsi="Arial"/>
          <w:sz w:val="16"/>
          <w:szCs w:val="16"/>
          <w:color w:val="auto"/>
        </w:rPr>
      </w:pPr>
    </w:p>
    <w:p>
      <w:pPr>
        <w:jc w:val="both"/>
        <w:ind w:firstLine="1143"/>
        <w:spacing w:after="0" w:line="272" w:lineRule="auto"/>
        <w:tabs>
          <w:tab w:leader="none" w:pos="1386"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$10,000,000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30 days after written notice to the Company by the Trustee or to the Company and the Trustee by Holders of at least 25% in aggregate principal amount of Notes then outstanding in accordance with this Indenture;</w:t>
      </w:r>
    </w:p>
    <w:p>
      <w:pPr>
        <w:spacing w:after="0" w:line="156" w:lineRule="exact"/>
        <w:rPr>
          <w:rFonts w:ascii="Arial" w:cs="Arial" w:eastAsia="Arial" w:hAnsi="Arial"/>
          <w:sz w:val="15"/>
          <w:szCs w:val="15"/>
          <w:color w:val="auto"/>
        </w:rPr>
      </w:pPr>
    </w:p>
    <w:p>
      <w:pPr>
        <w:jc w:val="both"/>
        <w:ind w:firstLine="1143"/>
        <w:spacing w:after="0" w:line="276" w:lineRule="auto"/>
        <w:tabs>
          <w:tab w:leader="none" w:pos="137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Company or any Significant Subsidiary shall commence a voluntary case or other proceeding seeking liquidation, reorganization or other similar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w:t>
      </w:r>
    </w:p>
    <w:p>
      <w:pPr>
        <w:spacing w:after="0" w:line="155" w:lineRule="exact"/>
        <w:rPr>
          <w:rFonts w:ascii="Arial" w:cs="Arial" w:eastAsia="Arial" w:hAnsi="Arial"/>
          <w:sz w:val="15"/>
          <w:szCs w:val="15"/>
          <w:color w:val="auto"/>
        </w:rPr>
      </w:pPr>
    </w:p>
    <w:p>
      <w:pPr>
        <w:jc w:val="both"/>
        <w:ind w:firstLine="1143"/>
        <w:spacing w:after="0" w:line="280" w:lineRule="auto"/>
        <w:tabs>
          <w:tab w:leader="none" w:pos="1354"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an involuntary case or other proceeding shall be commenced against the Company or any Significant Subsidiary seeking liquidation, reorganization or other similar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or</w:t>
      </w:r>
    </w:p>
    <w:p>
      <w:pPr>
        <w:spacing w:after="0" w:line="151" w:lineRule="exact"/>
        <w:rPr>
          <w:rFonts w:ascii="Arial" w:cs="Arial" w:eastAsia="Arial" w:hAnsi="Arial"/>
          <w:sz w:val="15"/>
          <w:szCs w:val="15"/>
          <w:color w:val="auto"/>
        </w:rPr>
      </w:pPr>
    </w:p>
    <w:p>
      <w:pPr>
        <w:jc w:val="both"/>
        <w:ind w:firstLine="1143"/>
        <w:spacing w:after="0" w:line="317" w:lineRule="auto"/>
        <w:tabs>
          <w:tab w:leader="none" w:pos="1338" w:val="left"/>
        </w:tabs>
        <w:numPr>
          <w:ilvl w:val="0"/>
          <w:numId w:val="145"/>
        </w:numPr>
        <w:rPr>
          <w:rFonts w:ascii="Arial" w:cs="Arial" w:eastAsia="Arial" w:hAnsi="Arial"/>
          <w:sz w:val="14"/>
          <w:szCs w:val="14"/>
          <w:color w:val="auto"/>
        </w:rPr>
      </w:pPr>
      <w:r>
        <w:rPr>
          <w:rFonts w:ascii="Arial" w:cs="Arial" w:eastAsia="Arial" w:hAnsi="Arial"/>
          <w:sz w:val="14"/>
          <w:szCs w:val="14"/>
          <w:color w:val="auto"/>
        </w:rPr>
        <w:t>a final judgment or judgments for the payment of $10,000,000 (or its foreign currency equivalent) or more (in each case excluding any amounts covered by insurance) in the aggregate rendered against the Company or any of its Significant Subsidiaries, which judgment is not discharged, bonded, paid, waived or stayed within 60 days after (i) the date on which the right to appeal thereof has expired if no such appeal has commenced, or (ii) the date on which all rights to appeal have been extinguished.</w:t>
      </w:r>
    </w:p>
    <w:p>
      <w:pPr>
        <w:spacing w:after="0" w:line="127"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6.02. </w:t>
      </w:r>
      <w:r>
        <w:rPr>
          <w:rFonts w:ascii="Arial" w:cs="Arial" w:eastAsia="Arial" w:hAnsi="Arial"/>
          <w:sz w:val="14"/>
          <w:szCs w:val="14"/>
          <w:i w:val="1"/>
          <w:iCs w:val="1"/>
          <w:color w:val="auto"/>
        </w:rPr>
        <w:t>Acceleration; Rescission and Annulment</w:t>
      </w:r>
      <w:r>
        <w:rPr>
          <w:rFonts w:ascii="Arial" w:cs="Arial" w:eastAsia="Arial" w:hAnsi="Arial"/>
          <w:sz w:val="14"/>
          <w:szCs w:val="14"/>
          <w:color w:val="auto"/>
        </w:rPr>
        <w:t>. If one or more Events of Default (other than an Event of Default specified in Section 6.01(h) or Section 6.01(i) with respect to the Company (and not with respect to a Significant Subsidiary))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(and not with respect to a Significant Subsidiary) occurs and is continuing, 100% of the principal of, and accrued and unpaid interest, if any, on, all Notes shall become and shall automatically be immediately due and payable.</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(including, without limitation, additional Notes and PIK Notes, if any),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8" w:name="page149"/>
    <w:bookmarkEnd w:id="148"/>
    <w:p>
      <w:pPr>
        <w:jc w:val="both"/>
        <w:ind w:firstLine="574"/>
        <w:spacing w:after="0" w:line="269"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i w:val="1"/>
          <w:iCs w:val="1"/>
          <w:color w:val="auto"/>
        </w:rPr>
        <w:t>Additional Interest</w:t>
      </w:r>
      <w:r>
        <w:rPr>
          <w:rFonts w:ascii="Arial" w:cs="Arial" w:eastAsia="Arial" w:hAnsi="Arial"/>
          <w:sz w:val="15"/>
          <w:szCs w:val="15"/>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365 days after the occurrence of such an Event of Default, consist exclusively of the right to receive Additional Interest on the Notes at a rate equal to (x) 0.25% per annum of the principal amount of the Notes outstanding for each day during the first 180 days during which such Event of Default is continuing beginning on, and including, the date on which such Event of Default occurs,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If the Company so elects, such Additional Interest shall be payable in cash in the same manner and on the same dates as the stated interest payable on the Notes. On the 366th day after such Event of Default (if the Event of Default relating to the Company’s failure to comply with its obligations as set forth in Section 4.06(b) is not cured or waived prior to such 366th day), the Notes shall be immediately subject to acceleration in accordance with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6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of the Notes, the Trustee and the Paying Agent in writing of such election prior to the beginning of such 365-day period. Upon the failure to timely give such notice, the Notes shall be immediately subject to acceleration as provided in Section 6.02.</w:t>
      </w:r>
    </w:p>
    <w:p>
      <w:pPr>
        <w:spacing w:after="0" w:line="165"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under the Exchange Act and other than reports on Form 8-K), pursuant to Section 4.06(d), accrue at a rate in excess of 0.50% per annum pursuant to this Indenture, regardless of the number of events or circumstances giving rise to the requirement to pay such Additional Interest. The Trustee shall have no duty to calculate or verify the calculation of Additional Interest.</w:t>
      </w:r>
    </w:p>
    <w:p>
      <w:pPr>
        <w:spacing w:after="0" w:line="13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i w:val="1"/>
          <w:iCs w:val="1"/>
          <w:color w:val="auto"/>
        </w:rPr>
        <w:t>Payments of Notes on Default; Suit Therefor</w:t>
      </w:r>
      <w:r>
        <w:rPr>
          <w:rFonts w:ascii="Arial" w:cs="Arial" w:eastAsia="Arial" w:hAnsi="Arial"/>
          <w:sz w:val="15"/>
          <w:szCs w:val="15"/>
          <w:color w:val="auto"/>
        </w:rPr>
        <w:t>.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56"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49" w:name="page150"/>
    <w:bookmarkEnd w:id="149"/>
    <w:p>
      <w:pPr>
        <w:jc w:val="both"/>
        <w:ind w:right="20" w:firstLine="574"/>
        <w:spacing w:after="0" w:line="258"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6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29"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3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Application of Monies Collected by Trustee</w:t>
      </w:r>
      <w:r>
        <w:rPr>
          <w:rFonts w:ascii="Arial" w:cs="Arial" w:eastAsia="Arial" w:hAnsi="Arial"/>
          <w:sz w:val="16"/>
          <w:szCs w:val="16"/>
          <w:color w:val="auto"/>
        </w:rPr>
        <w:t>.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to the payment of all amounts due the Trustee (in each of its capacities under this Indenture) hereunder;</w:t>
      </w:r>
    </w:p>
    <w:p>
      <w:pPr>
        <w:spacing w:after="0" w:line="198"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4"/>
          <w:szCs w:val="14"/>
          <w:b w:val="1"/>
          <w:bCs w:val="1"/>
          <w:color w:val="auto"/>
        </w:rPr>
        <w:t>Second</w:t>
      </w:r>
      <w:r>
        <w:rPr>
          <w:rFonts w:ascii="Arial" w:cs="Arial" w:eastAsia="Arial" w:hAnsi="Arial"/>
          <w:sz w:val="14"/>
          <w:szCs w:val="14"/>
          <w:color w:val="auto"/>
        </w:rPr>
        <w:t>, in case the principal of the outstanding Notes shall not have become due and be unpaid, to the payment of interest on, and any cash due upon conversion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21"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color w:val="auto"/>
        </w:rPr>
        <w:t>Third</w:t>
      </w:r>
      <w:r>
        <w:rPr>
          <w:rFonts w:ascii="Arial" w:cs="Arial" w:eastAsia="Arial" w:hAnsi="Arial"/>
          <w:sz w:val="15"/>
          <w:szCs w:val="15"/>
          <w:color w:val="auto"/>
        </w:rPr>
        <w:t>, in case the principal of the outstanding Notes shall have become due, by declaration or otherwise, and be unpaid to the payment of the whole amount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if applicable, the payment of the Redemption Price and the Fundamental Change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accrued and unpaid interest; and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to the payment of the remainder, if any, to the Company.</w:t>
      </w:r>
    </w:p>
    <w:p>
      <w:pPr>
        <w:spacing w:after="0" w:line="202"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6.06. </w:t>
      </w:r>
      <w:r>
        <w:rPr>
          <w:rFonts w:ascii="Arial" w:cs="Arial" w:eastAsia="Arial" w:hAnsi="Arial"/>
          <w:sz w:val="14"/>
          <w:szCs w:val="14"/>
          <w:i w:val="1"/>
          <w:iCs w:val="1"/>
          <w:color w:val="auto"/>
        </w:rPr>
        <w:t>Proceedings by Holders</w:t>
      </w:r>
      <w:r>
        <w:rPr>
          <w:rFonts w:ascii="Arial" w:cs="Arial" w:eastAsia="Arial" w:hAnsi="Arial"/>
          <w:sz w:val="14"/>
          <w:szCs w:val="14"/>
          <w:color w:val="auto"/>
        </w:rPr>
        <w:t>.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35" w:lineRule="exact"/>
        <w:rPr>
          <w:sz w:val="20"/>
          <w:szCs w:val="20"/>
          <w:color w:val="auto"/>
        </w:rPr>
      </w:pPr>
    </w:p>
    <w:p>
      <w:pPr>
        <w:ind w:left="1360" w:hanging="217"/>
        <w:spacing w:after="0"/>
        <w:tabs>
          <w:tab w:leader="none" w:pos="13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such Holder previously shall have given to the Trustee written notice of an Event of Default and of the continuance thereof, as herein provided;</w:t>
      </w:r>
    </w:p>
    <w:p>
      <w:pPr>
        <w:spacing w:after="0" w:line="20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Notes then outstanding shall have made written request upon the Trustee to institute such action, suit or proceeding in its own name as Trustee hereunder;</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such Holders shall have offered to the Trustee such security or indemnity reasonably satisfactory to it against any losses, liabilities, costs, or expenses;</w:t>
      </w:r>
    </w:p>
    <w:p>
      <w:pPr>
        <w:spacing w:after="0" w:line="221" w:lineRule="exact"/>
        <w:rPr>
          <w:rFonts w:ascii="Arial" w:cs="Arial" w:eastAsia="Arial" w:hAnsi="Arial"/>
          <w:sz w:val="14"/>
          <w:szCs w:val="14"/>
          <w:color w:val="auto"/>
        </w:rPr>
      </w:pPr>
    </w:p>
    <w:p>
      <w:pPr>
        <w:ind w:right="20" w:firstLine="1143"/>
        <w:spacing w:after="0" w:line="275" w:lineRule="auto"/>
        <w:tabs>
          <w:tab w:leader="none" w:pos="137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written notice, request and offer of such security or indemnity, shall have neglected or refused to institute any such action, suit or proceeding; and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0" w:name="page151"/>
    <w:bookmarkEnd w:id="150"/>
    <w:p>
      <w:pPr>
        <w:jc w:val="both"/>
        <w:ind w:firstLine="1143"/>
        <w:spacing w:after="0" w:line="253" w:lineRule="auto"/>
        <w:tabs>
          <w:tab w:leader="none" w:pos="137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69"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Notwithstanding any other provision of this Indenture and any provision of any Note, each Holder shall have the right to institute suit for the enforcement of its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spacing w:after="0" w:line="151"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i w:val="1"/>
          <w:iCs w:val="1"/>
          <w:color w:val="auto"/>
        </w:rPr>
        <w:t>Proceedings by Trustee</w:t>
      </w:r>
      <w:r>
        <w:rPr>
          <w:rFonts w:ascii="Arial" w:cs="Arial" w:eastAsia="Arial" w:hAnsi="Arial"/>
          <w:sz w:val="16"/>
          <w:szCs w:val="16"/>
          <w:color w:val="auto"/>
        </w:rPr>
        <w:t>.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i w:val="1"/>
          <w:iCs w:val="1"/>
          <w:color w:val="auto"/>
        </w:rPr>
        <w:t>Remedies Cumulative and Continuing</w:t>
      </w:r>
      <w:r>
        <w:rPr>
          <w:rFonts w:ascii="Arial" w:cs="Arial" w:eastAsia="Arial" w:hAnsi="Arial"/>
          <w:sz w:val="16"/>
          <w:szCs w:val="16"/>
          <w:color w:val="auto"/>
        </w:rPr>
        <w:t>.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7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6.09. </w:t>
      </w:r>
      <w:r>
        <w:rPr>
          <w:rFonts w:ascii="Arial" w:cs="Arial" w:eastAsia="Arial" w:hAnsi="Arial"/>
          <w:sz w:val="15"/>
          <w:szCs w:val="15"/>
          <w:i w:val="1"/>
          <w:iCs w:val="1"/>
          <w:color w:val="auto"/>
        </w:rPr>
        <w:t>Direction of Proceedings and Waiver of Defaults by Majority of Holders</w:t>
      </w:r>
      <w:r>
        <w:rPr>
          <w:rFonts w:ascii="Arial" w:cs="Arial" w:eastAsia="Arial" w:hAnsi="Arial"/>
          <w:sz w:val="15"/>
          <w:szCs w:val="15"/>
          <w:color w:val="auto"/>
        </w:rPr>
        <w:t xml:space="preserve">.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affirmative duty to ascertain whether or not such directions are unduly prejudicial to such Holder) or that would involve the Trustee in personal liability or that conflicts with applicable law or this Indenture.</w:t>
      </w:r>
    </w:p>
    <w:p>
      <w:pPr>
        <w:spacing w:after="0" w:line="156"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The Holders of a majority in aggregate principal amount of the Notes at the time outstanding (including, without limitation, additional Notes and PIK Notes, if any) determined in accordance with Section 8.04 may on behalf of the Holders of all of the Notes (x) waive any past Default or Event of Default hereunder and its consequences except any continuing defaults relating to (i) a default in the payment of accrued and unpaid interest, if any, on, or the principal (including any Redemption Price and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and (y) rescind any resulting acceleration of the Notes and its consequences if (i) such rescission would not conflict with any judgment or decree of a court of competent jurisdiction and (ii) all existing Events of Default (other than nonpayment of the principal of, and interest on, the Notes that have become due solely by such acceleration) have been cured or waived.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1" w:name="page152"/>
    <w:bookmarkEnd w:id="151"/>
    <w:p>
      <w:pPr>
        <w:jc w:val="both"/>
        <w:ind w:firstLine="574"/>
        <w:spacing w:after="0" w:line="276" w:lineRule="auto"/>
        <w:rPr>
          <w:sz w:val="20"/>
          <w:szCs w:val="20"/>
          <w:color w:val="auto"/>
        </w:rPr>
      </w:pPr>
      <w:r>
        <w:rPr>
          <w:rFonts w:ascii="Arial" w:cs="Arial" w:eastAsia="Arial" w:hAnsi="Arial"/>
          <w:sz w:val="15"/>
          <w:szCs w:val="15"/>
          <w:color w:val="auto"/>
        </w:rPr>
        <w:t xml:space="preserve">Section 6.10. </w:t>
      </w:r>
      <w:r>
        <w:rPr>
          <w:rFonts w:ascii="Arial" w:cs="Arial" w:eastAsia="Arial" w:hAnsi="Arial"/>
          <w:sz w:val="15"/>
          <w:szCs w:val="15"/>
          <w:i w:val="1"/>
          <w:iCs w:val="1"/>
          <w:color w:val="auto"/>
        </w:rPr>
        <w:t>Notice of Defaults</w:t>
      </w:r>
      <w:r>
        <w:rPr>
          <w:rFonts w:ascii="Arial" w:cs="Arial" w:eastAsia="Arial" w:hAnsi="Arial"/>
          <w:sz w:val="15"/>
          <w:szCs w:val="15"/>
          <w:color w:val="auto"/>
        </w:rPr>
        <w:t xml:space="preserve">. The Trustee shall, within 90 days after a Responsible Officer obtains actual knowledge of the occurrence and continuance of a Default, deliver to all Holders notice of all Defaults known to a Responsible Officer, unless such Defaults shall have been cured or waived before the giving of such notice;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except in the case of a Default in the payment of the principal of (including the Redemption Price and the Fundamental Change Repurchase Price, if applicable),</w:t>
      </w:r>
      <w:r>
        <w:rPr>
          <w:rFonts w:ascii="Arial" w:cs="Arial" w:eastAsia="Arial" w:hAnsi="Arial"/>
          <w:sz w:val="15"/>
          <w:szCs w:val="15"/>
          <w:i w:val="1"/>
          <w:iCs w:val="1"/>
          <w:color w:val="auto"/>
        </w:rPr>
        <w:t xml:space="preserve"> </w:t>
      </w:r>
      <w:r>
        <w:rPr>
          <w:rFonts w:ascii="Arial" w:cs="Arial" w:eastAsia="Arial" w:hAnsi="Arial"/>
          <w:sz w:val="15"/>
          <w:szCs w:val="15"/>
          <w:color w:val="auto"/>
        </w:rPr>
        <w:t>or accrued and unpaid interest on, any of the Notes or a Default in the payment or delivery of the consideration due upon conversion, the Trustee shall be protected in withholding such notice if and so long as a Responsible Officer determines in good faith that the withholding of such notice is in the interests of the Holders.</w:t>
      </w:r>
    </w:p>
    <w:p>
      <w:pPr>
        <w:spacing w:after="0" w:line="15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6.11. </w:t>
      </w:r>
      <w:r>
        <w:rPr>
          <w:rFonts w:ascii="Arial" w:cs="Arial" w:eastAsia="Arial" w:hAnsi="Arial"/>
          <w:sz w:val="14"/>
          <w:szCs w:val="14"/>
          <w:i w:val="1"/>
          <w:iCs w:val="1"/>
          <w:color w:val="auto"/>
        </w:rPr>
        <w:t>Undertaking to Pay Costs</w:t>
      </w:r>
      <w:r>
        <w:rPr>
          <w:rFonts w:ascii="Arial" w:cs="Arial" w:eastAsia="Arial" w:hAnsi="Arial"/>
          <w:sz w:val="14"/>
          <w:szCs w:val="14"/>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 THE</w:t>
      </w:r>
      <w:r>
        <w:rPr>
          <w:rFonts w:ascii="Arial" w:cs="Arial" w:eastAsia="Arial" w:hAnsi="Arial"/>
          <w:sz w:val="16"/>
          <w:szCs w:val="16"/>
          <w:color w:val="auto"/>
        </w:rPr>
        <w:t xml:space="preserve"> T</w:t>
      </w:r>
      <w:r>
        <w:rPr>
          <w:rFonts w:ascii="Arial" w:cs="Arial" w:eastAsia="Arial" w:hAnsi="Arial"/>
          <w:sz w:val="10"/>
          <w:szCs w:val="10"/>
          <w:color w:val="auto"/>
        </w:rPr>
        <w:t>RUSTEE</w:t>
      </w:r>
    </w:p>
    <w:p>
      <w:pPr>
        <w:spacing w:after="0" w:line="186"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the Trustee against any loss, liability, cost or expense that might be incurred by it in compliance with such request or direction.</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 provision of this Indenture shall be construed to relieve the Trustee from liability for its own gross negligence or its own willful misconduct, except that:</w:t>
      </w:r>
    </w:p>
    <w:p>
      <w:pPr>
        <w:spacing w:after="0" w:line="210" w:lineRule="exact"/>
        <w:rPr>
          <w:sz w:val="20"/>
          <w:szCs w:val="20"/>
          <w:color w:val="auto"/>
        </w:rPr>
      </w:pPr>
    </w:p>
    <w:p>
      <w:pPr>
        <w:ind w:right="20" w:firstLine="1143"/>
        <w:spacing w:after="0" w:line="275" w:lineRule="auto"/>
        <w:tabs>
          <w:tab w:leader="none" w:pos="138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prior to the occurrence of an Event of Default of which a Responsible Officer of the Trustee has written or actual knowledge and after the curing or waiving of all Events of Default that may have occurred:</w:t>
      </w:r>
    </w:p>
    <w:p>
      <w:pPr>
        <w:spacing w:after="0" w:line="151" w:lineRule="exact"/>
        <w:rPr>
          <w:rFonts w:ascii="Arial" w:cs="Arial" w:eastAsia="Arial" w:hAnsi="Arial"/>
          <w:sz w:val="16"/>
          <w:szCs w:val="16"/>
          <w:color w:val="auto"/>
        </w:rPr>
      </w:pPr>
    </w:p>
    <w:p>
      <w:pPr>
        <w:jc w:val="both"/>
        <w:ind w:firstLine="1716"/>
        <w:spacing w:after="0" w:line="262" w:lineRule="auto"/>
        <w:tabs>
          <w:tab w:leader="none" w:pos="191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2" w:lineRule="exact"/>
        <w:rPr>
          <w:rFonts w:ascii="Arial" w:cs="Arial" w:eastAsia="Arial" w:hAnsi="Arial"/>
          <w:sz w:val="16"/>
          <w:szCs w:val="16"/>
          <w:color w:val="auto"/>
        </w:rPr>
      </w:pPr>
    </w:p>
    <w:p>
      <w:pPr>
        <w:jc w:val="both"/>
        <w:ind w:firstLine="1716"/>
        <w:spacing w:after="0" w:line="273" w:lineRule="auto"/>
        <w:tabs>
          <w:tab w:leader="none" w:pos="197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provided, however, that the Trustee need not act or refrain from acting based on any certificate or opinion that it determines to be not in conformity with the requirements of this Indenture. If presented with a non-conforming certificate or opinion, the Trustee may request the delivering party to re-issue the certificate or opinion in the manner required by this Indenture before taking any action;</w:t>
      </w:r>
    </w:p>
    <w:p>
      <w:pPr>
        <w:spacing w:after="0" w:line="156" w:lineRule="exact"/>
        <w:rPr>
          <w:rFonts w:ascii="Arial" w:cs="Arial" w:eastAsia="Arial" w:hAnsi="Arial"/>
          <w:sz w:val="15"/>
          <w:szCs w:val="15"/>
          <w:color w:val="auto"/>
        </w:rPr>
      </w:pPr>
    </w:p>
    <w:p>
      <w:pPr>
        <w:ind w:right="20" w:firstLine="1143"/>
        <w:spacing w:after="0" w:line="309" w:lineRule="auto"/>
        <w:tabs>
          <w:tab w:leader="none" w:pos="137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the Trustee shall not be liable for any error of judgment made in good faith by a Responsible Officer or Officers of the Trustee, unless it shall be proved in a court of competent jurisdiction in a final and non-appealable decision that the Trustee was grossly negligent in ascertaining the pertinent facts;</w:t>
      </w:r>
    </w:p>
    <w:p>
      <w:pPr>
        <w:spacing w:after="0" w:line="129" w:lineRule="exact"/>
        <w:rPr>
          <w:rFonts w:ascii="Arial" w:cs="Arial" w:eastAsia="Arial" w:hAnsi="Arial"/>
          <w:sz w:val="15"/>
          <w:szCs w:val="15"/>
          <w:color w:val="auto"/>
        </w:rPr>
      </w:pPr>
    </w:p>
    <w:p>
      <w:pPr>
        <w:jc w:val="both"/>
        <w:ind w:firstLine="1143"/>
        <w:spacing w:after="0" w:line="317" w:lineRule="auto"/>
        <w:tabs>
          <w:tab w:leader="none" w:pos="137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Trustee shall not be liable with respect to any action taken or omitted to be taken by it in good faith in accordance with the written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2" w:name="page153"/>
    <w:bookmarkEnd w:id="152"/>
    <w:p>
      <w:pPr>
        <w:ind w:firstLine="1143"/>
        <w:spacing w:after="0" w:line="275" w:lineRule="auto"/>
        <w:tabs>
          <w:tab w:leader="none" w:pos="137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whether or not therein provided, every provision of this Indenture relating to the conduct or affecting the liability of, or affording protection to, the Trustee shall be subject to the provisions of this Section 7.01;</w:t>
      </w:r>
    </w:p>
    <w:p>
      <w:pPr>
        <w:spacing w:after="0" w:line="151" w:lineRule="exact"/>
        <w:rPr>
          <w:rFonts w:ascii="Arial" w:cs="Arial" w:eastAsia="Arial" w:hAnsi="Arial"/>
          <w:sz w:val="16"/>
          <w:szCs w:val="16"/>
          <w:color w:val="auto"/>
        </w:rPr>
      </w:pPr>
    </w:p>
    <w:p>
      <w:pPr>
        <w:ind w:firstLine="1143"/>
        <w:spacing w:after="0" w:line="275" w:lineRule="auto"/>
        <w:tabs>
          <w:tab w:leader="none" w:pos="137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53"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7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69" w:lineRule="exact"/>
        <w:rPr>
          <w:rFonts w:ascii="Arial" w:cs="Arial" w:eastAsia="Arial" w:hAnsi="Arial"/>
          <w:sz w:val="16"/>
          <w:szCs w:val="16"/>
          <w:color w:val="auto"/>
        </w:rPr>
      </w:pPr>
    </w:p>
    <w:p>
      <w:pPr>
        <w:ind w:left="1360" w:hanging="217"/>
        <w:spacing w:after="0"/>
        <w:tabs>
          <w:tab w:leader="none" w:pos="13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under no circumstances shall the Trustee be liable in its individual capacity for the obligations evidenced by the Notes; and</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4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event that the Trustee is also acting as Custodian, Note Registrar, Paying Agent, Conversion Agent, transfer agent, or any other agent hereunder, the rights and protections afforded to the Trustee pursuant to this Article 7 shall also be afforded to such Custodian, Note Registrar, Paying Agent, Conversion Agent, transfer agent, or any other agent hereunder.</w:t>
      </w:r>
    </w:p>
    <w:p>
      <w:pPr>
        <w:spacing w:after="0" w:line="16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None of the provisions contained in this Indenture shall require the Trustee to expend or risk its own funds or otherwise incur personal financial liability in the performance of any of its duties hereunder or in the exercise of any of its rights or powers.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Reliance on Documents, Opinions, Etc</w:t>
      </w:r>
      <w:r>
        <w:rPr>
          <w:rFonts w:ascii="Arial" w:cs="Arial" w:eastAsia="Arial" w:hAnsi="Arial"/>
          <w:sz w:val="16"/>
          <w:szCs w:val="16"/>
          <w:color w:val="auto"/>
        </w:rPr>
        <w:t>. Except as otherwise provided in Section 7.01:</w:t>
      </w:r>
    </w:p>
    <w:p>
      <w:pPr>
        <w:spacing w:after="0" w:line="198" w:lineRule="exact"/>
        <w:rPr>
          <w:sz w:val="20"/>
          <w:szCs w:val="20"/>
          <w:color w:val="auto"/>
        </w:rPr>
      </w:pPr>
    </w:p>
    <w:p>
      <w:pPr>
        <w:jc w:val="both"/>
        <w:ind w:firstLine="1143"/>
        <w:spacing w:after="0" w:line="262" w:lineRule="auto"/>
        <w:tabs>
          <w:tab w:leader="none" w:pos="137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consent, order, bond, debenture, note, coupon or other paper or document believed by it in good faith to be genuine and to have been signed or presented by the proper party or parties;</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spacing w:after="0" w:line="162" w:lineRule="exact"/>
        <w:rPr>
          <w:rFonts w:ascii="Arial" w:cs="Arial" w:eastAsia="Arial" w:hAnsi="Arial"/>
          <w:sz w:val="16"/>
          <w:szCs w:val="16"/>
          <w:color w:val="auto"/>
        </w:rPr>
      </w:pPr>
    </w:p>
    <w:p>
      <w:pPr>
        <w:jc w:val="both"/>
        <w:ind w:right="20" w:firstLine="1143"/>
        <w:spacing w:after="0" w:line="349" w:lineRule="auto"/>
        <w:tabs>
          <w:tab w:leader="none" w:pos="138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05" w:lineRule="exact"/>
        <w:rPr>
          <w:rFonts w:ascii="Arial" w:cs="Arial" w:eastAsia="Arial" w:hAnsi="Arial"/>
          <w:sz w:val="14"/>
          <w:szCs w:val="14"/>
          <w:color w:val="auto"/>
        </w:rPr>
      </w:pPr>
    </w:p>
    <w:p>
      <w:pPr>
        <w:jc w:val="both"/>
        <w:ind w:firstLine="1143"/>
        <w:spacing w:after="0" w:line="306" w:lineRule="auto"/>
        <w:tabs>
          <w:tab w:leader="none" w:pos="138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34" w:lineRule="exact"/>
        <w:rPr>
          <w:rFonts w:ascii="Arial" w:cs="Arial" w:eastAsia="Arial" w:hAnsi="Arial"/>
          <w:sz w:val="14"/>
          <w:szCs w:val="14"/>
          <w:color w:val="auto"/>
        </w:rPr>
      </w:pPr>
    </w:p>
    <w:p>
      <w:pPr>
        <w:jc w:val="both"/>
        <w:ind w:firstLine="1143"/>
        <w:spacing w:after="0" w:line="262" w:lineRule="auto"/>
        <w:tabs>
          <w:tab w:leader="none" w:pos="137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3" w:name="page154"/>
    <w:bookmarkEnd w:id="153"/>
    <w:p>
      <w:pPr>
        <w:ind w:left="1360" w:hanging="217"/>
        <w:spacing w:after="0"/>
        <w:tabs>
          <w:tab w:leader="none" w:pos="13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permissive rights of the Trustee enumerated herein shall not be construed as duties;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62" w:lineRule="exact"/>
        <w:rPr>
          <w:rFonts w:ascii="Arial" w:cs="Arial" w:eastAsia="Arial" w:hAnsi="Arial"/>
          <w:sz w:val="16"/>
          <w:szCs w:val="16"/>
          <w:color w:val="auto"/>
        </w:rPr>
      </w:pPr>
    </w:p>
    <w:p>
      <w:pPr>
        <w:ind w:left="1340" w:hanging="197"/>
        <w:spacing w:after="0"/>
        <w:tabs>
          <w:tab w:leader="none" w:pos="1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Trustee shall not be responsible or liable for any action it takes or omits to take in good faith which it reasonably believes to be authorized or within its</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rights or powers;</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its powers and duties hereunder; and</w:t>
      </w:r>
    </w:p>
    <w:p>
      <w:pPr>
        <w:spacing w:after="0" w:line="198" w:lineRule="exact"/>
        <w:rPr>
          <w:rFonts w:ascii="Arial" w:cs="Arial" w:eastAsia="Arial" w:hAnsi="Arial"/>
          <w:sz w:val="16"/>
          <w:szCs w:val="16"/>
          <w:color w:val="auto"/>
        </w:rPr>
      </w:pPr>
    </w:p>
    <w:p>
      <w:pPr>
        <w:jc w:val="both"/>
        <w:ind w:firstLine="1143"/>
        <w:spacing w:after="0" w:line="255" w:lineRule="auto"/>
        <w:tabs>
          <w:tab w:leader="none" w:pos="13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or omission in the information obtained from the Company or for any inaccuracy or omission in the records which may result from such information or any failure by the Trustee to perform its duties or set forth herein as a result of any inaccuracy or incompleteness.</w:t>
      </w:r>
    </w:p>
    <w:p>
      <w:pPr>
        <w:spacing w:after="0" w:line="170"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and actually received by a Responsible Officer at the Corporate Trust Office of the Trustee by the Company or by any Holder or any agent of any Holder, referencing this Indenture and/or of the Notes and stating that it is a “notice of default.”</w:t>
      </w:r>
    </w:p>
    <w:p>
      <w:pPr>
        <w:spacing w:after="0" w:line="13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enforceability or sufficiency of this Indenture or of the 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this Indenture. The Trustee shall have no responsibility or liability with respect to any information, statement or recital in any disclosure material prepared or distributed with respect to the issuance of the Notes.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Trustee, Paying Agents, Conversion Agents or Note Registrar May Own Notes</w:t>
      </w:r>
      <w:r>
        <w:rPr>
          <w:rFonts w:ascii="Arial" w:cs="Arial" w:eastAsia="Arial" w:hAnsi="Arial"/>
          <w:sz w:val="16"/>
          <w:szCs w:val="16"/>
          <w:color w:val="auto"/>
        </w:rPr>
        <w:t>. The Trustee, any Paying Agent, any Conversion Agent or Note Registrar, in its individual or any other capacity, may become the owner or pledgee of Notes with the same rights it would have if it were not the Trustee, Paying Agent, Conversion Agent or Note Registrar.</w:t>
      </w:r>
    </w:p>
    <w:p>
      <w:pPr>
        <w:spacing w:after="0" w:line="16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i w:val="1"/>
          <w:iCs w:val="1"/>
          <w:color w:val="auto"/>
        </w:rPr>
        <w:t>Monies and Shares of Common Stock to Be Held in Trust</w:t>
      </w:r>
      <w:r>
        <w:rPr>
          <w:rFonts w:ascii="Arial" w:cs="Arial" w:eastAsia="Arial" w:hAnsi="Arial"/>
          <w:sz w:val="15"/>
          <w:szCs w:val="15"/>
          <w:color w:val="auto"/>
        </w:rPr>
        <w:t>.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 The Trustee shall not be obligated to take possession of any Common Stock, whether on conversion or in connection with any discharge of this Indenture pursuant to Article 3 hereof, but shall satisfy its obligation as Conversion Agent by working through the stock transfer agent of the Company from time to time as directed by the Company.</w:t>
      </w:r>
    </w:p>
    <w:p>
      <w:pPr>
        <w:spacing w:after="0" w:line="157"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Section 7.06. </w:t>
      </w:r>
      <w:r>
        <w:rPr>
          <w:rFonts w:ascii="Arial" w:cs="Arial" w:eastAsia="Arial" w:hAnsi="Arial"/>
          <w:sz w:val="14"/>
          <w:szCs w:val="14"/>
          <w:i w:val="1"/>
          <w:iCs w:val="1"/>
          <w:color w:val="auto"/>
        </w:rPr>
        <w:t>Compensation and Expenses of Trustee</w:t>
      </w:r>
      <w:r>
        <w:rPr>
          <w:rFonts w:ascii="Arial" w:cs="Arial" w:eastAsia="Arial" w:hAnsi="Arial"/>
          <w:sz w:val="14"/>
          <w:szCs w:val="14"/>
          <w:color w:val="auto"/>
        </w:rPr>
        <w:t>. The Company covenants and agrees to pay to the Trustee, in any capacity under this Indenture, from time to time and the Trustee shall receive such compensation agreed in writing between the Company and the Trustee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and including reasonable attorneys’ fees in connection with its enforcement of its rights to indemnity herein) except any such expense, disbursement or advance as shall have been caused by its gross negligence or willful misconduct, as determined by a final, non-appealable decision of a court of competent jurisdiction. The Company also covenants to indemnify the Trustee or any predecessor Trustee in any capacity under this Indenture and any other document or transaction entered into in connection herewith and its officers, directors, attorneys, employees and agents and any authenticating agent for, and to hold them harmless against, any loss, claim (whether asserted by the Company, a Holder or any other Person), damage, liability or expense (including reasonable attorneys’ fees) incurred without gross negligence or willful misconduct on the part of the Trustee, its officers, directors, agents or employees, or such agent or authenticating agent, as the case may be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and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the payment of the Notes,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4" w:name="page155"/>
    <w:bookmarkEnd w:id="154"/>
    <w:p>
      <w:pPr>
        <w:jc w:val="both"/>
        <w:ind w:right="20" w:firstLine="574"/>
        <w:spacing w:after="0" w:line="262" w:lineRule="auto"/>
        <w:rPr>
          <w:sz w:val="20"/>
          <w:szCs w:val="20"/>
          <w:color w:val="auto"/>
        </w:rPr>
      </w:pPr>
      <w:r>
        <w:rPr>
          <w:rFonts w:ascii="Arial" w:cs="Arial" w:eastAsia="Arial" w:hAnsi="Arial"/>
          <w:sz w:val="16"/>
          <w:szCs w:val="16"/>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i w:val="1"/>
          <w:iCs w:val="1"/>
          <w:color w:val="auto"/>
        </w:rPr>
        <w:t>Officer’s Certificate and Opinion of Counsel as Evidence</w:t>
      </w:r>
      <w:r>
        <w:rPr>
          <w:rFonts w:ascii="Arial" w:cs="Arial" w:eastAsia="Arial" w:hAnsi="Arial"/>
          <w:sz w:val="16"/>
          <w:szCs w:val="16"/>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and Opinion of Counsel delivered to the Trustee, and such Officer’s Certificate and Opinion of Counsel, in the absence of gross negligence or willful misconduct on the part of the Trustee, shall be full warrant to the Trustee for any action taken or omitted by it under the provisions of this Indenture upon the faith thereof.</w:t>
      </w:r>
    </w:p>
    <w:p>
      <w:pPr>
        <w:spacing w:after="0" w:line="170"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i w:val="1"/>
          <w:iCs w:val="1"/>
          <w:color w:val="auto"/>
        </w:rPr>
        <w:t>Eligibility of Trustee</w:t>
      </w:r>
      <w:r>
        <w:rPr>
          <w:rFonts w:ascii="Arial" w:cs="Arial" w:eastAsia="Arial" w:hAnsi="Arial"/>
          <w:sz w:val="16"/>
          <w:szCs w:val="16"/>
          <w:color w:val="auto"/>
        </w:rPr>
        <w:t>. There shall at all times be a Trustee hereunder which shall be a Person that is eligible pursuant to the Trust Indenture Act (as if the Trust Indenture Act were applicable hereto) to act as such and has a combined capital and surplus of at least the minimum amount required by the Trust Indenture Act.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w:t>
      </w:r>
    </w:p>
    <w:p>
      <w:pPr>
        <w:spacing w:after="0" w:line="170"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7.09. </w:t>
      </w:r>
      <w:r>
        <w:rPr>
          <w:rFonts w:ascii="Arial" w:cs="Arial" w:eastAsia="Arial" w:hAnsi="Arial"/>
          <w:sz w:val="15"/>
          <w:szCs w:val="15"/>
          <w:i w:val="1"/>
          <w:iCs w:val="1"/>
          <w:color w:val="auto"/>
        </w:rPr>
        <w:t>Resignation or Removal of Trustee</w:t>
      </w:r>
      <w:r>
        <w:rPr>
          <w:rFonts w:ascii="Arial" w:cs="Arial" w:eastAsia="Arial" w:hAnsi="Arial"/>
          <w:sz w:val="15"/>
          <w:szCs w:val="15"/>
          <w:color w:val="auto"/>
        </w:rPr>
        <w:t>.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an Officer of the Company,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at the expense of the Company,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57" w:lineRule="exact"/>
        <w:rPr>
          <w:sz w:val="20"/>
          <w:szCs w:val="20"/>
          <w:color w:val="auto"/>
        </w:rPr>
      </w:pPr>
    </w:p>
    <w:p>
      <w:pPr>
        <w:ind w:left="1360" w:hanging="217"/>
        <w:spacing w:after="0"/>
        <w:tabs>
          <w:tab w:leader="none" w:pos="13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case at any time any of the following shall occur:</w:t>
      </w:r>
    </w:p>
    <w:p>
      <w:pPr>
        <w:spacing w:after="0" w:line="198" w:lineRule="exact"/>
        <w:rPr>
          <w:rFonts w:ascii="Arial" w:cs="Arial" w:eastAsia="Arial" w:hAnsi="Arial"/>
          <w:sz w:val="16"/>
          <w:szCs w:val="16"/>
          <w:color w:val="auto"/>
        </w:rPr>
      </w:pPr>
    </w:p>
    <w:p>
      <w:pPr>
        <w:ind w:right="20" w:firstLine="1716"/>
        <w:spacing w:after="0" w:line="275" w:lineRule="auto"/>
        <w:tabs>
          <w:tab w:leader="none" w:pos="191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Trustee shall cease to be eligible in accordance with the provisions of Section 7.08 and shall fail to resign after written request therefor by the Company or by any such Holder, or</w:t>
      </w:r>
    </w:p>
    <w:p>
      <w:pPr>
        <w:spacing w:after="0" w:line="151" w:lineRule="exact"/>
        <w:rPr>
          <w:rFonts w:ascii="Arial" w:cs="Arial" w:eastAsia="Arial" w:hAnsi="Arial"/>
          <w:sz w:val="16"/>
          <w:szCs w:val="16"/>
          <w:color w:val="auto"/>
        </w:rPr>
      </w:pPr>
    </w:p>
    <w:p>
      <w:pPr>
        <w:ind w:right="20" w:firstLine="1716"/>
        <w:spacing w:after="0" w:line="309" w:lineRule="auto"/>
        <w:tabs>
          <w:tab w:leader="none" w:pos="196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then, in either case, the Company may by an Officer’s Certificate remove the Trustee and appoint a successor trustee by written instrument, in duplicate, executed by an Officer’s Certificate,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55" w:lineRule="exact"/>
        <w:rPr>
          <w:sz w:val="20"/>
          <w:szCs w:val="20"/>
          <w:color w:val="auto"/>
        </w:rPr>
      </w:pPr>
    </w:p>
    <w:p>
      <w:pPr>
        <w:jc w:val="both"/>
        <w:ind w:firstLine="1143"/>
        <w:spacing w:after="0" w:line="306" w:lineRule="auto"/>
        <w:tabs>
          <w:tab w:leader="none" w:pos="1376"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Holders of a majority in aggregate principal amount of the Notes at the time outstanding (including, without limitation, additional Notes and PIK Notes, if any),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34" w:lineRule="exact"/>
        <w:rPr>
          <w:rFonts w:ascii="Arial" w:cs="Arial" w:eastAsia="Arial" w:hAnsi="Arial"/>
          <w:sz w:val="14"/>
          <w:szCs w:val="14"/>
          <w:color w:val="auto"/>
        </w:rPr>
      </w:pPr>
    </w:p>
    <w:p>
      <w:pPr>
        <w:ind w:right="20" w:firstLine="1143"/>
        <w:spacing w:after="0" w:line="275" w:lineRule="auto"/>
        <w:tabs>
          <w:tab w:leader="none" w:pos="138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5" w:name="page156"/>
    <w:bookmarkEnd w:id="155"/>
    <w:p>
      <w:pPr>
        <w:jc w:val="both"/>
        <w:ind w:firstLine="574"/>
        <w:spacing w:after="0" w:line="271"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i w:val="1"/>
          <w:iCs w:val="1"/>
          <w:color w:val="auto"/>
        </w:rPr>
        <w:t>Acceptance by Successor Trustee</w:t>
      </w:r>
      <w:r>
        <w:rPr>
          <w:rFonts w:ascii="Arial" w:cs="Arial" w:eastAsia="Arial" w:hAnsi="Arial"/>
          <w:sz w:val="15"/>
          <w:szCs w:val="15"/>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 successor trustee shall accept appointment as provided in this Section 7.10 unless at the time of such acceptance such successor trustee shall be eligible under the provisions of Section 7.08.</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resigning Trustee shall be responsible or liable for the actions or inactions of any successor Trustee.</w:t>
      </w:r>
    </w:p>
    <w:p>
      <w:pPr>
        <w:spacing w:after="0" w:line="198"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i w:val="1"/>
          <w:iCs w:val="1"/>
          <w:color w:val="auto"/>
        </w:rPr>
        <w:t>Succession by Merger, Etc</w:t>
      </w:r>
      <w:r>
        <w:rPr>
          <w:rFonts w:ascii="Arial" w:cs="Arial" w:eastAsia="Arial" w:hAnsi="Arial"/>
          <w:sz w:val="14"/>
          <w:szCs w:val="14"/>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38"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56"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i w:val="1"/>
          <w:iCs w:val="1"/>
          <w:color w:val="auto"/>
        </w:rPr>
        <w:t>Trustee’s Application for Instructions from the Company</w:t>
      </w:r>
      <w:r>
        <w:rPr>
          <w:rFonts w:ascii="Arial" w:cs="Arial" w:eastAsia="Arial" w:hAnsi="Arial"/>
          <w:sz w:val="14"/>
          <w:szCs w:val="14"/>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has been deemed given pursuant to Section 18.03,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ONCERNING</w:t>
      </w:r>
      <w:r>
        <w:rPr>
          <w:rFonts w:ascii="Arial" w:cs="Arial" w:eastAsia="Arial" w:hAnsi="Arial"/>
          <w:sz w:val="16"/>
          <w:szCs w:val="16"/>
          <w:color w:val="auto"/>
        </w:rPr>
        <w:t xml:space="preserve"> T</w:t>
      </w:r>
      <w:r>
        <w:rPr>
          <w:rFonts w:ascii="Arial" w:cs="Arial" w:eastAsia="Arial" w:hAnsi="Arial"/>
          <w:sz w:val="10"/>
          <w:szCs w:val="10"/>
          <w:color w:val="auto"/>
        </w:rPr>
        <w:t>HE</w:t>
      </w:r>
      <w:r>
        <w:rPr>
          <w:rFonts w:ascii="Arial" w:cs="Arial" w:eastAsia="Arial" w:hAnsi="Arial"/>
          <w:sz w:val="16"/>
          <w:szCs w:val="16"/>
          <w:color w:val="auto"/>
        </w:rPr>
        <w:t xml:space="preserve"> H</w:t>
      </w:r>
      <w:r>
        <w:rPr>
          <w:rFonts w:ascii="Arial" w:cs="Arial" w:eastAsia="Arial" w:hAnsi="Arial"/>
          <w:sz w:val="10"/>
          <w:szCs w:val="10"/>
          <w:color w:val="auto"/>
        </w:rPr>
        <w:t>OLDERS</w:t>
      </w:r>
    </w:p>
    <w:p>
      <w:pPr>
        <w:spacing w:after="0" w:line="186"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i w:val="1"/>
          <w:iCs w:val="1"/>
          <w:color w:val="auto"/>
        </w:rPr>
        <w:t>Action by Holders</w:t>
      </w:r>
      <w:r>
        <w:rPr>
          <w:rFonts w:ascii="Arial" w:cs="Arial" w:eastAsia="Arial" w:hAnsi="Arial"/>
          <w:sz w:val="15"/>
          <w:szCs w:val="15"/>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6" w:name="page157"/>
    <w:bookmarkEnd w:id="156"/>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Proof of Execution by Holders</w:t>
      </w:r>
      <w:r>
        <w:rPr>
          <w:rFonts w:ascii="Arial" w:cs="Arial" w:eastAsia="Arial" w:hAnsi="Arial"/>
          <w:sz w:val="16"/>
          <w:szCs w:val="16"/>
          <w:color w:val="auto"/>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6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i w:val="1"/>
          <w:iCs w:val="1"/>
          <w:color w:val="auto"/>
        </w:rPr>
        <w:t>Who Are Deemed Absolute Owners</w:t>
      </w:r>
      <w:r>
        <w:rPr>
          <w:rFonts w:ascii="Arial" w:cs="Arial" w:eastAsia="Arial" w:hAnsi="Arial"/>
          <w:sz w:val="15"/>
          <w:szCs w:val="15"/>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60"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i w:val="1"/>
          <w:iCs w:val="1"/>
          <w:color w:val="auto"/>
        </w:rPr>
        <w:t>Company-Owned Notes Disregarded</w:t>
      </w:r>
      <w:r>
        <w:rPr>
          <w:rFonts w:ascii="Arial" w:cs="Arial" w:eastAsia="Arial" w:hAnsi="Arial"/>
          <w:sz w:val="15"/>
          <w:szCs w:val="15"/>
          <w:color w:val="auto"/>
        </w:rPr>
        <w:t xml:space="preserve">. In determining whether the Holders of the requisite aggregate principal amount of Notes have concurred in any direction, consent, waiver or other action under this Indenture, Notes that are owned by the Company or by any Subsidiary thereof shall be disregarded and deemed not to be outstanding for the purpose of any such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63"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i w:val="1"/>
          <w:iCs w:val="1"/>
          <w:color w:val="auto"/>
        </w:rPr>
        <w:t>Revocation of Consents; Future Holders Bound</w:t>
      </w:r>
      <w:r>
        <w:rPr>
          <w:rFonts w:ascii="Arial" w:cs="Arial" w:eastAsia="Arial" w:hAnsi="Arial"/>
          <w:sz w:val="16"/>
          <w:szCs w:val="16"/>
          <w:color w:val="auto"/>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9</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w:t>
      </w:r>
      <w:r>
        <w:rPr>
          <w:rFonts w:ascii="Arial" w:cs="Arial" w:eastAsia="Arial" w:hAnsi="Arial"/>
          <w:sz w:val="10"/>
          <w:szCs w:val="10"/>
          <w:color w:val="auto"/>
        </w:rPr>
        <w:t>OLDERS</w:t>
      </w:r>
      <w:r>
        <w:rPr>
          <w:rFonts w:ascii="Arial" w:cs="Arial" w:eastAsia="Arial" w:hAnsi="Arial"/>
          <w:sz w:val="16"/>
          <w:szCs w:val="16"/>
          <w:color w:val="auto"/>
        </w:rPr>
        <w:t>’ M</w:t>
      </w:r>
      <w:r>
        <w:rPr>
          <w:rFonts w:ascii="Arial" w:cs="Arial" w:eastAsia="Arial" w:hAnsi="Arial"/>
          <w:sz w:val="10"/>
          <w:szCs w:val="10"/>
          <w:color w:val="auto"/>
        </w:rPr>
        <w:t>EETINGS</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i w:val="1"/>
          <w:iCs w:val="1"/>
          <w:color w:val="auto"/>
        </w:rPr>
        <w:t>Purpose of Meetings</w:t>
      </w:r>
      <w:r>
        <w:rPr>
          <w:rFonts w:ascii="Arial" w:cs="Arial" w:eastAsia="Arial" w:hAnsi="Arial"/>
          <w:sz w:val="16"/>
          <w:szCs w:val="16"/>
          <w:color w:val="auto"/>
        </w:rPr>
        <w:t>. A meeting of Holders may be called at any time and from time to time pursuant to the provisions of this Article 9 for any of the following purposes:</w:t>
      </w:r>
    </w:p>
    <w:p>
      <w:pPr>
        <w:spacing w:after="0" w:line="152" w:lineRule="exact"/>
        <w:rPr>
          <w:sz w:val="20"/>
          <w:szCs w:val="20"/>
          <w:color w:val="auto"/>
        </w:rPr>
      </w:pPr>
    </w:p>
    <w:p>
      <w:pPr>
        <w:jc w:val="both"/>
        <w:ind w:firstLine="1143"/>
        <w:spacing w:after="0" w:line="262" w:lineRule="auto"/>
        <w:tabs>
          <w:tab w:leader="none" w:pos="136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7" w:name="page158"/>
    <w:bookmarkEnd w:id="157"/>
    <w:p>
      <w:pPr>
        <w:ind w:left="1360" w:hanging="217"/>
        <w:spacing w:after="0"/>
        <w:tabs>
          <w:tab w:leader="none" w:pos="1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remove the Trustee and nominate a successor trustee pursuant to the provisions of Article 7;</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consent to the execution of an indenture or indentures supplemental hereto pursuant to the provisions of Section 10.02; or</w:t>
      </w:r>
    </w:p>
    <w:p>
      <w:pPr>
        <w:spacing w:after="0" w:line="198" w:lineRule="exact"/>
        <w:rPr>
          <w:rFonts w:ascii="Arial" w:cs="Arial" w:eastAsia="Arial" w:hAnsi="Arial"/>
          <w:sz w:val="16"/>
          <w:szCs w:val="16"/>
          <w:color w:val="auto"/>
        </w:rPr>
      </w:pPr>
    </w:p>
    <w:p>
      <w:pPr>
        <w:ind w:right="20" w:firstLine="1143"/>
        <w:spacing w:after="0" w:line="275" w:lineRule="auto"/>
        <w:tabs>
          <w:tab w:leader="none" w:pos="138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any specified aggregate principal amount of the Notes under any other provision of this Indenture or under applicable law.</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i w:val="1"/>
          <w:iCs w:val="1"/>
          <w:color w:val="auto"/>
        </w:rPr>
        <w:t>Call of Meetings by Trustee</w:t>
      </w:r>
      <w:r>
        <w:rPr>
          <w:rFonts w:ascii="Arial" w:cs="Arial" w:eastAsia="Arial" w:hAnsi="Arial"/>
          <w:sz w:val="15"/>
          <w:szCs w:val="15"/>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51"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9.03. </w:t>
      </w:r>
      <w:r>
        <w:rPr>
          <w:rFonts w:ascii="Arial" w:cs="Arial" w:eastAsia="Arial" w:hAnsi="Arial"/>
          <w:sz w:val="16"/>
          <w:szCs w:val="16"/>
          <w:i w:val="1"/>
          <w:iCs w:val="1"/>
          <w:color w:val="auto"/>
        </w:rPr>
        <w:t>Call of Meetings by Company or Holders</w:t>
      </w:r>
      <w:r>
        <w:rPr>
          <w:rFonts w:ascii="Arial" w:cs="Arial" w:eastAsia="Arial" w:hAnsi="Arial"/>
          <w:sz w:val="16"/>
          <w:szCs w:val="16"/>
          <w:color w:val="auto"/>
        </w:rPr>
        <w:t>.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0"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65"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9.05. </w:t>
      </w:r>
      <w:r>
        <w:rPr>
          <w:rFonts w:ascii="Arial" w:cs="Arial" w:eastAsia="Arial" w:hAnsi="Arial"/>
          <w:sz w:val="14"/>
          <w:szCs w:val="14"/>
          <w:i w:val="1"/>
          <w:iCs w:val="1"/>
          <w:color w:val="auto"/>
        </w:rPr>
        <w:t>Regulations</w:t>
      </w:r>
      <w:r>
        <w:rPr>
          <w:rFonts w:ascii="Arial" w:cs="Arial" w:eastAsia="Arial" w:hAnsi="Arial"/>
          <w:sz w:val="14"/>
          <w:szCs w:val="14"/>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2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(including, without limitation, additional Notes and PIK Notes, if any) represented at the meeting and entitled to vote at the meeting.</w:t>
      </w:r>
    </w:p>
    <w:p>
      <w:pPr>
        <w:spacing w:after="0" w:line="151"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70"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i w:val="1"/>
          <w:iCs w:val="1"/>
          <w:color w:val="auto"/>
        </w:rPr>
        <w:t>Voting</w:t>
      </w:r>
      <w:r>
        <w:rPr>
          <w:rFonts w:ascii="Arial" w:cs="Arial" w:eastAsia="Arial" w:hAnsi="Arial"/>
          <w:sz w:val="15"/>
          <w:szCs w:val="15"/>
          <w:color w:val="auto"/>
        </w:rPr>
        <w:t>.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8" w:name="page159"/>
    <w:bookmarkEnd w:id="158"/>
    <w:p>
      <w:pPr>
        <w:ind w:left="560"/>
        <w:spacing w:after="0"/>
        <w:rPr>
          <w:sz w:val="20"/>
          <w:szCs w:val="20"/>
          <w:color w:val="auto"/>
        </w:rPr>
      </w:pPr>
      <w:r>
        <w:rPr>
          <w:rFonts w:ascii="Arial" w:cs="Arial" w:eastAsia="Arial" w:hAnsi="Arial"/>
          <w:sz w:val="16"/>
          <w:szCs w:val="16"/>
          <w:color w:val="auto"/>
        </w:rPr>
        <w:t>Any record so signed and verified shall be conclusive evidence of the matters therein stated.</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i w:val="1"/>
          <w:iCs w:val="1"/>
          <w:color w:val="auto"/>
        </w:rPr>
        <w:t>No Delay of Rights by Meeting</w:t>
      </w:r>
      <w:r>
        <w:rPr>
          <w:rFonts w:ascii="Arial" w:cs="Arial" w:eastAsia="Arial" w:hAnsi="Arial"/>
          <w:sz w:val="16"/>
          <w:szCs w:val="16"/>
          <w:color w:val="auto"/>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UPPLEMENTAL</w:t>
      </w:r>
      <w:r>
        <w:rPr>
          <w:rFonts w:ascii="Arial" w:cs="Arial" w:eastAsia="Arial" w:hAnsi="Arial"/>
          <w:sz w:val="16"/>
          <w:szCs w:val="16"/>
          <w:color w:val="auto"/>
        </w:rPr>
        <w:t xml:space="preserve"> I</w:t>
      </w:r>
      <w:r>
        <w:rPr>
          <w:rFonts w:ascii="Arial" w:cs="Arial" w:eastAsia="Arial" w:hAnsi="Arial"/>
          <w:sz w:val="10"/>
          <w:szCs w:val="10"/>
          <w:color w:val="auto"/>
        </w:rPr>
        <w:t>NDENTURES</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Supplemental Indentures Without Consent of Holders</w:t>
      </w:r>
      <w:r>
        <w:rPr>
          <w:rFonts w:ascii="Arial" w:cs="Arial" w:eastAsia="Arial" w:hAnsi="Arial"/>
          <w:sz w:val="16"/>
          <w:szCs w:val="16"/>
          <w:color w:val="auto"/>
        </w:rPr>
        <w:t>. The Company and the Trustee, at the Company’s expense, may from time to time and at any time amend this Indenture or enter into an indenture or indentures supplemental hereto for one or more of the following purposes to:</w:t>
      </w:r>
    </w:p>
    <w:p>
      <w:pPr>
        <w:spacing w:after="0" w:line="152" w:lineRule="exact"/>
        <w:rPr>
          <w:sz w:val="20"/>
          <w:szCs w:val="20"/>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cure any ambiguity, omission, defect or inconsistency in this Indenture;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for the assumption by a Successor Company of the obligations of the Company under this Indenture pursuant to Article 11;</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add guarantees with respect to the Notes;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secure the Notes;</w:t>
      </w:r>
    </w:p>
    <w:p>
      <w:pPr>
        <w:spacing w:after="0" w:line="198" w:lineRule="exact"/>
        <w:rPr>
          <w:rFonts w:ascii="Arial" w:cs="Arial" w:eastAsia="Arial" w:hAnsi="Arial"/>
          <w:sz w:val="16"/>
          <w:szCs w:val="16"/>
          <w:color w:val="auto"/>
        </w:rPr>
      </w:pPr>
    </w:p>
    <w:p>
      <w:pPr>
        <w:ind w:left="1380" w:hanging="237"/>
        <w:spacing w:after="0"/>
        <w:tabs>
          <w:tab w:leader="none" w:pos="13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add to the covenants or Events of Default of the Company for the benefit of the Holders or surrender any right or power conferred upon the Company</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under this Indenture;</w:t>
      </w:r>
    </w:p>
    <w:p>
      <w:pPr>
        <w:spacing w:after="0" w:line="185" w:lineRule="exact"/>
        <w:rPr>
          <w:rFonts w:ascii="Arial" w:cs="Arial" w:eastAsia="Arial" w:hAnsi="Arial"/>
          <w:sz w:val="15"/>
          <w:szCs w:val="15"/>
          <w:color w:val="auto"/>
        </w:rPr>
      </w:pPr>
    </w:p>
    <w:p>
      <w:pPr>
        <w:ind w:left="1340" w:hanging="197"/>
        <w:spacing w:after="0"/>
        <w:tabs>
          <w:tab w:leader="none" w:pos="13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make any change that does not adversely affect the rights of any Holder in any material respect;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increase the Conversion Rate as provided herein;</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provide for the acceptance of appointment by a successor trustee or facilitate the administration of the trusts under this Indenture by more than one trustee;</w:t>
      </w:r>
    </w:p>
    <w:p>
      <w:pPr>
        <w:spacing w:after="0" w:line="221" w:lineRule="exact"/>
        <w:rPr>
          <w:rFonts w:ascii="Arial" w:cs="Arial" w:eastAsia="Arial" w:hAnsi="Arial"/>
          <w:sz w:val="14"/>
          <w:szCs w:val="14"/>
          <w:color w:val="auto"/>
        </w:rPr>
      </w:pPr>
    </w:p>
    <w:p>
      <w:pPr>
        <w:ind w:right="20" w:firstLine="1143"/>
        <w:spacing w:after="0" w:line="349" w:lineRule="auto"/>
        <w:tabs>
          <w:tab w:leader="none" w:pos="1338"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xml:space="preserve">irrevocably elect a Settlement Method or a Specified Dollar Amount, or eliminate the Company’s ability to select a Settlement Method;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such election or elimination will affect any Settlement Method theretofore elected (or deemed to be elected) with respect to any Note pursuant to Section 14.02;</w:t>
      </w:r>
    </w:p>
    <w:p>
      <w:pPr>
        <w:spacing w:after="0" w:line="105" w:lineRule="exact"/>
        <w:rPr>
          <w:rFonts w:ascii="Arial" w:cs="Arial" w:eastAsia="Arial" w:hAnsi="Arial"/>
          <w:sz w:val="14"/>
          <w:szCs w:val="14"/>
          <w:color w:val="auto"/>
        </w:rPr>
      </w:pPr>
    </w:p>
    <w:p>
      <w:pPr>
        <w:ind w:right="20" w:firstLine="1143"/>
        <w:spacing w:after="0" w:line="275" w:lineRule="auto"/>
        <w:tabs>
          <w:tab w:leader="none" w:pos="134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connection with any Merger Event, provide that the notes are convertible into Reference Property, subject to the provisions of Section 14.02, and make such related changes to the terms of the Notes to the extent expressly required by Section 14.07;</w:t>
      </w:r>
    </w:p>
    <w:p>
      <w:pPr>
        <w:spacing w:after="0" w:line="151" w:lineRule="exact"/>
        <w:rPr>
          <w:rFonts w:ascii="Arial" w:cs="Arial" w:eastAsia="Arial" w:hAnsi="Arial"/>
          <w:sz w:val="16"/>
          <w:szCs w:val="16"/>
          <w:color w:val="auto"/>
        </w:rPr>
      </w:pPr>
    </w:p>
    <w:p>
      <w:pPr>
        <w:ind w:firstLine="1143"/>
        <w:spacing w:after="0" w:line="275" w:lineRule="auto"/>
        <w:tabs>
          <w:tab w:leader="none" w:pos="139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comply with the rules of any applicable Depositary, including The Depository Trust Company, so long as such amendment does not materially and adversely affect the rights of any Holder;</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provide for the issuance of additional Notes in accordance with this Indenture; or</w:t>
      </w:r>
    </w:p>
    <w:p>
      <w:pPr>
        <w:spacing w:after="0" w:line="198" w:lineRule="exact"/>
        <w:rPr>
          <w:rFonts w:ascii="Arial" w:cs="Arial" w:eastAsia="Arial" w:hAnsi="Arial"/>
          <w:sz w:val="16"/>
          <w:szCs w:val="16"/>
          <w:color w:val="auto"/>
        </w:rPr>
      </w:pPr>
    </w:p>
    <w:p>
      <w:pPr>
        <w:ind w:firstLine="1143"/>
        <w:spacing w:after="0" w:line="275" w:lineRule="auto"/>
        <w:tabs>
          <w:tab w:leader="none" w:pos="142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comply with any requirement of the Commission in connection with the qualification of this Indenture under the Trust Indenture Act to the extent this Indenture is qualified thereunder.</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Upon the written request of the Company, the Trustee is hereby authorized to join with the Company in the execution of any such amendment or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59" w:name="page160"/>
    <w:bookmarkEnd w:id="159"/>
    <w:p>
      <w:pPr>
        <w:jc w:val="both"/>
        <w:ind w:right="20" w:firstLine="574"/>
        <w:spacing w:after="0" w:line="275" w:lineRule="auto"/>
        <w:rPr>
          <w:sz w:val="20"/>
          <w:szCs w:val="20"/>
          <w:color w:val="auto"/>
        </w:rPr>
      </w:pPr>
      <w:r>
        <w:rPr>
          <w:rFonts w:ascii="Arial" w:cs="Arial" w:eastAsia="Arial" w:hAnsi="Arial"/>
          <w:sz w:val="16"/>
          <w:szCs w:val="16"/>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Supplemental Indentures with Consent of Holders</w:t>
      </w:r>
      <w:r>
        <w:rPr>
          <w:rFonts w:ascii="Arial" w:cs="Arial" w:eastAsia="Arial" w:hAnsi="Arial"/>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without the consent of each Holder of an outstanding Note affected, no such supplemental indenture shall:</w:t>
      </w:r>
    </w:p>
    <w:p>
      <w:pPr>
        <w:spacing w:after="0" w:line="170" w:lineRule="exact"/>
        <w:rPr>
          <w:sz w:val="20"/>
          <w:szCs w:val="20"/>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principal amount of Notes whose Holders must consent to an amendment;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rate of or extend the stated time for payment of interest on any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principal of, reduce the premium payable upon conversion or redemption of a Note or extend the Maturity Date of any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change that adversely affects the conversion rights of any Notes;</w:t>
      </w:r>
    </w:p>
    <w:p>
      <w:pPr>
        <w:spacing w:after="0" w:line="198" w:lineRule="exact"/>
        <w:rPr>
          <w:rFonts w:ascii="Arial" w:cs="Arial" w:eastAsia="Arial" w:hAnsi="Arial"/>
          <w:sz w:val="16"/>
          <w:szCs w:val="16"/>
          <w:color w:val="auto"/>
        </w:rPr>
      </w:pPr>
    </w:p>
    <w:p>
      <w:pPr>
        <w:ind w:right="20" w:firstLine="1143"/>
        <w:spacing w:after="0" w:line="275" w:lineRule="auto"/>
        <w:tabs>
          <w:tab w:leader="none" w:pos="137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Note payable in a currency, or at a place of payment, other than that stated in the Note;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change the ranking of the Notes;</w:t>
      </w:r>
    </w:p>
    <w:p>
      <w:pPr>
        <w:spacing w:after="0" w:line="198" w:lineRule="exact"/>
        <w:rPr>
          <w:rFonts w:ascii="Arial" w:cs="Arial" w:eastAsia="Arial" w:hAnsi="Arial"/>
          <w:sz w:val="16"/>
          <w:szCs w:val="16"/>
          <w:color w:val="auto"/>
        </w:rPr>
      </w:pPr>
    </w:p>
    <w:p>
      <w:pPr>
        <w:ind w:right="20" w:firstLine="1143"/>
        <w:spacing w:after="0" w:line="275" w:lineRule="auto"/>
        <w:tabs>
          <w:tab w:leader="none" w:pos="137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impair the right of any Holder to receive payment of principal and interest on such Holder’s Note on or after the due dates therefor or to institute suit for the enforcement of any payment on or with respect to such Holder’s Notes; or</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make any change in this Article 10 that requires each Holder’s consent or in the waiver provisions in Section 6.02 or Section 6.09.</w:t>
      </w:r>
    </w:p>
    <w:p>
      <w:pPr>
        <w:spacing w:after="0" w:line="198"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Upon the written request of the Company, and upon the filing with the Trustee of evidence of the consent of requisite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2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(with a copy to the Trustee) briefly describing such supplemental indenture. However, the failure to give such notice to all the Holders (with a copy to the Trustee), or any defect in the notice, will not impair or affect the validity of the supplemental indenture.</w:t>
      </w:r>
    </w:p>
    <w:p>
      <w:pPr>
        <w:spacing w:after="0" w:line="16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10.03. </w:t>
      </w:r>
      <w:r>
        <w:rPr>
          <w:rFonts w:ascii="Arial" w:cs="Arial" w:eastAsia="Arial" w:hAnsi="Arial"/>
          <w:sz w:val="14"/>
          <w:szCs w:val="14"/>
          <w:i w:val="1"/>
          <w:iCs w:val="1"/>
          <w:color w:val="auto"/>
        </w:rPr>
        <w:t>Effect of Supplemental Indentures</w:t>
      </w:r>
      <w:r>
        <w:rPr>
          <w:rFonts w:ascii="Arial" w:cs="Arial" w:eastAsia="Arial" w:hAnsi="Arial"/>
          <w:sz w:val="14"/>
          <w:szCs w:val="14"/>
          <w:color w:val="auto"/>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Notation on Notes</w:t>
      </w:r>
      <w:r>
        <w:rPr>
          <w:rFonts w:ascii="Arial" w:cs="Arial" w:eastAsia="Arial" w:hAnsi="Arial"/>
          <w:sz w:val="15"/>
          <w:szCs w:val="15"/>
          <w:color w:val="auto"/>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18.10) and delivered in exchange for the Notes then outstanding, upon surrender of such Notes then outstanding.</w:t>
      </w:r>
    </w:p>
    <w:p>
      <w:pPr>
        <w:spacing w:after="0" w:line="15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i w:val="1"/>
          <w:iCs w:val="1"/>
          <w:color w:val="auto"/>
        </w:rPr>
        <w:t>Evidence of Compliance of Supplemental Indenture to Be Furnished Trustee</w:t>
      </w:r>
      <w:r>
        <w:rPr>
          <w:rFonts w:ascii="Arial" w:cs="Arial" w:eastAsia="Arial" w:hAnsi="Arial"/>
          <w:sz w:val="16"/>
          <w:szCs w:val="16"/>
          <w:color w:val="auto"/>
        </w:rPr>
        <w:t>. In addition to the documents required by Section 18.05,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shall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6"/>
          <w:szCs w:val="16"/>
          <w:color w:val="auto"/>
        </w:rPr>
        <w:t>ARTICLE 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ONSOLIDATION</w:t>
      </w:r>
      <w:r>
        <w:rPr>
          <w:rFonts w:ascii="Arial" w:cs="Arial" w:eastAsia="Arial" w:hAnsi="Arial"/>
          <w:sz w:val="16"/>
          <w:szCs w:val="16"/>
          <w:color w:val="auto"/>
        </w:rPr>
        <w:t>, M</w:t>
      </w:r>
      <w:r>
        <w:rPr>
          <w:rFonts w:ascii="Arial" w:cs="Arial" w:eastAsia="Arial" w:hAnsi="Arial"/>
          <w:sz w:val="10"/>
          <w:szCs w:val="10"/>
          <w:color w:val="auto"/>
        </w:rPr>
        <w:t>ERGER</w:t>
      </w:r>
      <w:r>
        <w:rPr>
          <w:rFonts w:ascii="Arial" w:cs="Arial" w:eastAsia="Arial" w:hAnsi="Arial"/>
          <w:sz w:val="16"/>
          <w:szCs w:val="16"/>
          <w:color w:val="auto"/>
        </w:rPr>
        <w:t>, S</w:t>
      </w:r>
      <w:r>
        <w:rPr>
          <w:rFonts w:ascii="Arial" w:cs="Arial" w:eastAsia="Arial" w:hAnsi="Arial"/>
          <w:sz w:val="10"/>
          <w:szCs w:val="10"/>
          <w:color w:val="auto"/>
        </w:rPr>
        <w:t>ALE</w:t>
      </w:r>
      <w:r>
        <w:rPr>
          <w:rFonts w:ascii="Arial" w:cs="Arial" w:eastAsia="Arial" w:hAnsi="Arial"/>
          <w:sz w:val="16"/>
          <w:szCs w:val="16"/>
          <w:color w:val="auto"/>
        </w:rPr>
        <w:t>, C</w:t>
      </w:r>
      <w:r>
        <w:rPr>
          <w:rFonts w:ascii="Arial" w:cs="Arial" w:eastAsia="Arial" w:hAnsi="Arial"/>
          <w:sz w:val="10"/>
          <w:szCs w:val="10"/>
          <w:color w:val="auto"/>
        </w:rPr>
        <w:t>ONVEYANCE AND</w:t>
      </w:r>
      <w:r>
        <w:rPr>
          <w:rFonts w:ascii="Arial" w:cs="Arial" w:eastAsia="Arial" w:hAnsi="Arial"/>
          <w:sz w:val="16"/>
          <w:szCs w:val="16"/>
          <w:color w:val="auto"/>
        </w:rPr>
        <w:t xml:space="preserve"> L</w:t>
      </w:r>
      <w:r>
        <w:rPr>
          <w:rFonts w:ascii="Arial" w:cs="Arial" w:eastAsia="Arial" w:hAnsi="Arial"/>
          <w:sz w:val="10"/>
          <w:szCs w:val="10"/>
          <w:color w:val="auto"/>
        </w:rPr>
        <w:t>EASE</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i w:val="1"/>
          <w:iCs w:val="1"/>
          <w:color w:val="auto"/>
        </w:rPr>
        <w:t>Company May Consolidate, Etc. on Certain Terms</w:t>
      </w:r>
      <w:r>
        <w:rPr>
          <w:rFonts w:ascii="Arial" w:cs="Arial" w:eastAsia="Arial" w:hAnsi="Arial"/>
          <w:sz w:val="16"/>
          <w:szCs w:val="16"/>
          <w:color w:val="auto"/>
        </w:rPr>
        <w:t>. Subject to the provisions of Section 11.02, the Company shall not consolidate with, merge with or into, or sell, convey, transfer or lease all or substantially all of the consolidated assets of the Company and its consolidated subsidiaries, taken as a whole, to another Person unless:</w:t>
      </w:r>
    </w:p>
    <w:p>
      <w:pPr>
        <w:spacing w:after="0" w:line="158" w:lineRule="exact"/>
        <w:rPr>
          <w:sz w:val="20"/>
          <w:szCs w:val="20"/>
          <w:color w:val="auto"/>
        </w:rPr>
      </w:pPr>
    </w:p>
    <w:p>
      <w:pPr>
        <w:jc w:val="both"/>
        <w:ind w:firstLine="1143"/>
        <w:spacing w:after="0" w:line="265" w:lineRule="auto"/>
        <w:tabs>
          <w:tab w:leader="none" w:pos="136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resulting, surviving or transferee Person (the “</w:t>
      </w:r>
      <w:r>
        <w:rPr>
          <w:rFonts w:ascii="Arial" w:cs="Arial" w:eastAsia="Arial" w:hAnsi="Arial"/>
          <w:sz w:val="16"/>
          <w:szCs w:val="16"/>
          <w:b w:val="1"/>
          <w:bCs w:val="1"/>
          <w:color w:val="auto"/>
        </w:rPr>
        <w:t>Successor Company</w:t>
      </w:r>
      <w:r>
        <w:rPr>
          <w:rFonts w:ascii="Arial" w:cs="Arial" w:eastAsia="Arial" w:hAnsi="Arial"/>
          <w:sz w:val="16"/>
          <w:szCs w:val="16"/>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spacing w:after="0" w:line="159" w:lineRule="exact"/>
        <w:rPr>
          <w:rFonts w:ascii="Arial" w:cs="Arial" w:eastAsia="Arial" w:hAnsi="Arial"/>
          <w:sz w:val="16"/>
          <w:szCs w:val="16"/>
          <w:color w:val="auto"/>
        </w:rPr>
      </w:pPr>
    </w:p>
    <w:p>
      <w:pPr>
        <w:ind w:left="1360" w:hanging="217"/>
        <w:spacing w:after="0"/>
        <w:tabs>
          <w:tab w:leader="none" w:pos="13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immediately after giving effect to such transaction, no Default or Event of Default shall have occurred and be continuing under this Indenture;</w:t>
      </w:r>
    </w:p>
    <w:p>
      <w:pPr>
        <w:spacing w:after="0" w:line="209" w:lineRule="exact"/>
        <w:rPr>
          <w:rFonts w:ascii="Arial" w:cs="Arial" w:eastAsia="Arial" w:hAnsi="Arial"/>
          <w:sz w:val="15"/>
          <w:szCs w:val="15"/>
          <w:color w:val="auto"/>
        </w:rPr>
      </w:pPr>
    </w:p>
    <w:p>
      <w:pPr>
        <w:jc w:val="both"/>
        <w:ind w:firstLine="1143"/>
        <w:spacing w:after="0" w:line="258" w:lineRule="auto"/>
        <w:tabs>
          <w:tab w:leader="none" w:pos="138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upon the occurrence of any such transaction, (x) the Notes would become convertible into securities issued by an issuer other than the resulting, surviving, transferee or successor corporation, and (y) such resulting, surviving, transferee or successor corporation is a Wholly Owned Subsidiary of the issuer of such securities into which the Notes have become convertible, such other issuer shall fully and unconditionally guarantee on a senior basis the resulting, surviving, transferee or successor corporation’s obligations under the Notes; and</w:t>
      </w:r>
    </w:p>
    <w:p>
      <w:pPr>
        <w:spacing w:after="0" w:line="164" w:lineRule="exact"/>
        <w:rPr>
          <w:rFonts w:ascii="Arial" w:cs="Arial" w:eastAsia="Arial" w:hAnsi="Arial"/>
          <w:sz w:val="16"/>
          <w:szCs w:val="16"/>
          <w:color w:val="auto"/>
        </w:rPr>
      </w:pPr>
    </w:p>
    <w:p>
      <w:pPr>
        <w:ind w:right="20" w:firstLine="1143"/>
        <w:spacing w:after="0" w:line="309" w:lineRule="auto"/>
        <w:tabs>
          <w:tab w:leader="none" w:pos="1376" w:val="left"/>
        </w:tabs>
        <w:numPr>
          <w:ilvl w:val="0"/>
          <w:numId w:val="158"/>
        </w:numPr>
        <w:rPr>
          <w:rFonts w:ascii="Arial" w:cs="Arial" w:eastAsia="Arial" w:hAnsi="Arial"/>
          <w:sz w:val="15"/>
          <w:szCs w:val="15"/>
          <w:color w:val="auto"/>
        </w:rPr>
      </w:pPr>
      <w:r>
        <w:rPr>
          <w:rFonts w:ascii="Arial" w:cs="Arial" w:eastAsia="Arial" w:hAnsi="Arial"/>
          <w:sz w:val="15"/>
          <w:szCs w:val="15"/>
          <w:color w:val="auto"/>
        </w:rPr>
        <w:t>each Guarantor, unless such Guarantor is the Person with which the Company has entered into a transaction under this Section 11.01, will have confirmed in writing that its Guarantee will continue to apply to the Obligations of the Company or the surviving entity in accordance with the Notes and this Indenture.</w:t>
      </w:r>
    </w:p>
    <w:p>
      <w:pPr>
        <w:spacing w:after="0" w:line="129"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Notwithstanding the foregoing, this Article 11 shall not apply to any sale, conveyance, transfer or lease of assets between or among the Company and its direct or indirect Wholly Owned Subsidiaries and, in such an event, the Company shall not be discharged from its obligations under the Notes and this Indenture.</w:t>
      </w:r>
    </w:p>
    <w:p>
      <w:pPr>
        <w:spacing w:after="0" w:line="13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Section 11.02. </w:t>
      </w:r>
      <w:r>
        <w:rPr>
          <w:rFonts w:ascii="Arial" w:cs="Arial" w:eastAsia="Arial" w:hAnsi="Arial"/>
          <w:sz w:val="15"/>
          <w:szCs w:val="15"/>
          <w:i w:val="1"/>
          <w:iCs w:val="1"/>
          <w:color w:val="auto"/>
        </w:rPr>
        <w:t>Successor Corporation to Be Substituted</w:t>
      </w:r>
      <w:r>
        <w:rPr>
          <w:rFonts w:ascii="Arial" w:cs="Arial" w:eastAsia="Arial" w:hAnsi="Arial"/>
          <w:sz w:val="15"/>
          <w:szCs w:val="15"/>
          <w:color w:val="auto"/>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6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case of any such consolidation, merger, sale, conveyance, transfer or lease, such changes in phraseology and form (but not in substance) may be made in the Notes thereafter to be issued as may be appropriate.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6"/>
          <w:szCs w:val="16"/>
          <w:color w:val="auto"/>
        </w:rPr>
        <w:t>ARTICLE 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MMUNITY OF</w:t>
      </w:r>
      <w:r>
        <w:rPr>
          <w:rFonts w:ascii="Arial" w:cs="Arial" w:eastAsia="Arial" w:hAnsi="Arial"/>
          <w:sz w:val="16"/>
          <w:szCs w:val="16"/>
          <w:color w:val="auto"/>
        </w:rPr>
        <w:t xml:space="preserve"> I</w:t>
      </w:r>
      <w:r>
        <w:rPr>
          <w:rFonts w:ascii="Arial" w:cs="Arial" w:eastAsia="Arial" w:hAnsi="Arial"/>
          <w:sz w:val="10"/>
          <w:szCs w:val="10"/>
          <w:color w:val="auto"/>
        </w:rPr>
        <w:t>NCORPORATORS</w:t>
      </w:r>
      <w:r>
        <w:rPr>
          <w:rFonts w:ascii="Arial" w:cs="Arial" w:eastAsia="Arial" w:hAnsi="Arial"/>
          <w:sz w:val="16"/>
          <w:szCs w:val="16"/>
          <w:color w:val="auto"/>
        </w:rPr>
        <w:t>, S</w:t>
      </w:r>
      <w:r>
        <w:rPr>
          <w:rFonts w:ascii="Arial" w:cs="Arial" w:eastAsia="Arial" w:hAnsi="Arial"/>
          <w:sz w:val="10"/>
          <w:szCs w:val="10"/>
          <w:color w:val="auto"/>
        </w:rPr>
        <w:t>TOCKHOLDERS</w:t>
      </w:r>
      <w:r>
        <w:rPr>
          <w:rFonts w:ascii="Arial" w:cs="Arial" w:eastAsia="Arial" w:hAnsi="Arial"/>
          <w:sz w:val="16"/>
          <w:szCs w:val="16"/>
          <w:color w:val="auto"/>
        </w:rPr>
        <w:t>, O</w:t>
      </w:r>
      <w:r>
        <w:rPr>
          <w:rFonts w:ascii="Arial" w:cs="Arial" w:eastAsia="Arial" w:hAnsi="Arial"/>
          <w:sz w:val="10"/>
          <w:szCs w:val="10"/>
          <w:color w:val="auto"/>
        </w:rPr>
        <w:t>FFICERS AND</w:t>
      </w:r>
      <w:r>
        <w:rPr>
          <w:rFonts w:ascii="Arial" w:cs="Arial" w:eastAsia="Arial" w:hAnsi="Arial"/>
          <w:sz w:val="16"/>
          <w:szCs w:val="16"/>
          <w:color w:val="auto"/>
        </w:rPr>
        <w:t xml:space="preserve"> D</w:t>
      </w:r>
      <w:r>
        <w:rPr>
          <w:rFonts w:ascii="Arial" w:cs="Arial" w:eastAsia="Arial" w:hAnsi="Arial"/>
          <w:sz w:val="10"/>
          <w:szCs w:val="10"/>
          <w:color w:val="auto"/>
        </w:rPr>
        <w:t>IRECTORS</w:t>
      </w:r>
    </w:p>
    <w:p>
      <w:pPr>
        <w:spacing w:after="0" w:line="186"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Indenture and Notes Solely Corporate Obligations</w:t>
      </w:r>
      <w:r>
        <w:rPr>
          <w:rFonts w:ascii="Arial" w:cs="Arial" w:eastAsia="Arial" w:hAnsi="Arial"/>
          <w:sz w:val="14"/>
          <w:szCs w:val="14"/>
          <w:color w:val="auto"/>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ESERVED</w:t>
      </w:r>
      <w:r>
        <w:rPr>
          <w:rFonts w:ascii="Arial" w:cs="Arial" w:eastAsia="Arial" w:hAnsi="Arial"/>
          <w:sz w:val="16"/>
          <w:szCs w:val="16"/>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w:t>
      </w:r>
      <w:r>
        <w:rPr>
          <w:rFonts w:ascii="Arial" w:cs="Arial" w:eastAsia="Arial" w:hAnsi="Arial"/>
          <w:sz w:val="10"/>
          <w:szCs w:val="10"/>
          <w:color w:val="auto"/>
        </w:rPr>
        <w:t>ONVERSION OF</w:t>
      </w:r>
      <w:r>
        <w:rPr>
          <w:rFonts w:ascii="Arial" w:cs="Arial" w:eastAsia="Arial" w:hAnsi="Arial"/>
          <w:sz w:val="16"/>
          <w:szCs w:val="16"/>
          <w:color w:val="auto"/>
        </w:rPr>
        <w:t xml:space="preserve"> N</w:t>
      </w:r>
      <w:r>
        <w:rPr>
          <w:rFonts w:ascii="Arial" w:cs="Arial" w:eastAsia="Arial" w:hAnsi="Arial"/>
          <w:sz w:val="10"/>
          <w:szCs w:val="10"/>
          <w:color w:val="auto"/>
        </w:rPr>
        <w:t>OTES</w:t>
      </w:r>
    </w:p>
    <w:p>
      <w:pPr>
        <w:spacing w:after="0" w:line="186"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Section 14.01. </w:t>
      </w:r>
      <w:r>
        <w:rPr>
          <w:rFonts w:ascii="Arial" w:cs="Arial" w:eastAsia="Arial" w:hAnsi="Arial"/>
          <w:sz w:val="14"/>
          <w:szCs w:val="14"/>
          <w:i w:val="1"/>
          <w:iCs w:val="1"/>
          <w:color w:val="auto"/>
        </w:rPr>
        <w:t>Conversion Privilege</w:t>
      </w:r>
      <w:r>
        <w:rPr>
          <w:rFonts w:ascii="Arial" w:cs="Arial" w:eastAsia="Arial" w:hAnsi="Arial"/>
          <w:sz w:val="14"/>
          <w:szCs w:val="14"/>
          <w:color w:val="auto"/>
        </w:rPr>
        <w:t>. Subject to and upon compliance with the provisions of this Article 14, each Holder of a Note shall have the right, at such Holder’s option, to convert all or any portion (if the portion to be converted is $1,000 principal amount or an integral multiple of $1.00 in excess thereof) of such Note at any</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time prior to the close of business on the second Scheduled Trading Day immediately preceding the Maturity Date at an initial conversion rate of [●]</w:t>
      </w:r>
      <w:r>
        <w:rPr>
          <w:rFonts w:ascii="Arial" w:cs="Arial" w:eastAsia="Arial" w:hAnsi="Arial"/>
          <w:sz w:val="25"/>
          <w:szCs w:val="25"/>
          <w:color w:val="auto"/>
          <w:vertAlign w:val="superscript"/>
        </w:rPr>
        <w:t>14</w:t>
      </w:r>
      <w:r>
        <w:rPr>
          <w:rFonts w:ascii="Arial" w:cs="Arial" w:eastAsia="Arial" w:hAnsi="Arial"/>
          <w:sz w:val="15"/>
          <w:szCs w:val="15"/>
          <w:color w:val="auto"/>
        </w:rPr>
        <w:t xml:space="preserve"> shares of Common Stock (subject to adjustment as provided in this Article 14, the “</w:t>
      </w:r>
      <w:r>
        <w:rPr>
          <w:rFonts w:ascii="Arial" w:cs="Arial" w:eastAsia="Arial" w:hAnsi="Arial"/>
          <w:sz w:val="15"/>
          <w:szCs w:val="15"/>
          <w:b w:val="1"/>
          <w:bCs w:val="1"/>
          <w:color w:val="auto"/>
        </w:rPr>
        <w:t>Conversion Rate</w:t>
      </w:r>
      <w:r>
        <w:rPr>
          <w:rFonts w:ascii="Arial" w:cs="Arial" w:eastAsia="Arial" w:hAnsi="Arial"/>
          <w:sz w:val="15"/>
          <w:szCs w:val="15"/>
          <w:color w:val="auto"/>
        </w:rPr>
        <w:t>”) per $1,000 principal amount of Notes (subject to, and in accordance with, the settlement provisions of Section 14.02, the “</w:t>
      </w:r>
      <w:r>
        <w:rPr>
          <w:rFonts w:ascii="Arial" w:cs="Arial" w:eastAsia="Arial" w:hAnsi="Arial"/>
          <w:sz w:val="15"/>
          <w:szCs w:val="15"/>
          <w:b w:val="1"/>
          <w:bCs w:val="1"/>
          <w:color w:val="auto"/>
        </w:rPr>
        <w:t>Conversion Obligation</w:t>
      </w:r>
      <w:r>
        <w:rPr>
          <w:rFonts w:ascii="Arial" w:cs="Arial" w:eastAsia="Arial" w:hAnsi="Arial"/>
          <w:sz w:val="15"/>
          <w:szCs w:val="15"/>
          <w:color w:val="auto"/>
        </w:rPr>
        <w:t>”). Any conversion of Notes and any calculation or adjustment in connection with any conversion (including, for the avoidance of doubt, any Specified Dollar Amount), in excess of $1,000 will be calculated and converted on a proportional basis.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14.02. </w:t>
      </w:r>
      <w:r>
        <w:rPr>
          <w:rFonts w:ascii="Arial" w:cs="Arial" w:eastAsia="Arial" w:hAnsi="Arial"/>
          <w:sz w:val="16"/>
          <w:szCs w:val="16"/>
          <w:i w:val="1"/>
          <w:iCs w:val="1"/>
          <w:color w:val="auto"/>
        </w:rPr>
        <w:t>Conversion Procedure; Settlement Upon Conversion</w:t>
      </w:r>
      <w:r>
        <w:rPr>
          <w:rFonts w:ascii="Arial" w:cs="Arial" w:eastAsia="Arial" w:hAnsi="Arial"/>
          <w:sz w:val="16"/>
          <w:szCs w:val="16"/>
          <w:color w:val="auto"/>
        </w:rPr>
        <w:t>. (a)</w:t>
      </w:r>
    </w:p>
    <w:p>
      <w:pPr>
        <w:spacing w:after="0" w:line="198" w:lineRule="exact"/>
        <w:rPr>
          <w:sz w:val="20"/>
          <w:szCs w:val="20"/>
          <w:color w:val="auto"/>
        </w:rPr>
      </w:pPr>
    </w:p>
    <w:p>
      <w:pPr>
        <w:jc w:val="both"/>
        <w:ind w:firstLine="1716"/>
        <w:spacing w:after="0" w:line="253" w:lineRule="auto"/>
        <w:tabs>
          <w:tab w:leader="none" w:pos="192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w:t>
      </w:r>
      <w:r>
        <w:rPr>
          <w:rFonts w:ascii="Arial" w:cs="Arial" w:eastAsia="Arial" w:hAnsi="Arial"/>
          <w:sz w:val="16"/>
          <w:szCs w:val="16"/>
          <w:color w:val="auto"/>
        </w:rPr>
        <w:t>”), shares of Common Stock, together with cash, if applicable, in lieu of delivering any fractional share of Common Stock in accordance with subsection (j)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14.02 (“</w:t>
      </w:r>
      <w:r>
        <w:rPr>
          <w:rFonts w:ascii="Arial" w:cs="Arial" w:eastAsia="Arial" w:hAnsi="Arial"/>
          <w:sz w:val="16"/>
          <w:szCs w:val="16"/>
          <w:b w:val="1"/>
          <w:bCs w:val="1"/>
          <w:color w:val="auto"/>
        </w:rPr>
        <w:t>Physical Settlement</w:t>
      </w:r>
      <w:r>
        <w:rPr>
          <w:rFonts w:ascii="Arial" w:cs="Arial" w:eastAsia="Arial" w:hAnsi="Arial"/>
          <w:sz w:val="16"/>
          <w:szCs w:val="16"/>
          <w:color w:val="auto"/>
        </w:rPr>
        <w:t xml:space="preserve">”) or a combination of cash and shares of Common Stock, together with cash, if applicable, in lieu of delivering any fractional share of Common Stock in accordance with subsection (j) of this </w:t>
      </w:r>
      <w:r>
        <w:rPr>
          <w:rFonts w:ascii="Arial" w:cs="Arial" w:eastAsia="Arial" w:hAnsi="Arial"/>
          <w:sz w:val="16"/>
          <w:szCs w:val="16"/>
          <w:u w:val="single" w:color="auto"/>
          <w:color w:val="auto"/>
        </w:rPr>
        <w:t>Section 14.02</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 Settlement</w:t>
      </w:r>
      <w:r>
        <w:rPr>
          <w:rFonts w:ascii="Arial" w:cs="Arial" w:eastAsia="Arial" w:hAnsi="Arial"/>
          <w:sz w:val="16"/>
          <w:szCs w:val="16"/>
          <w:color w:val="auto"/>
        </w:rPr>
        <w:t>”), at the Company’s election, as set forth in this Section 14.02. All conversions for which the relevant Conversion Date occurs during a Redemption Period, and all conversions for which the relevant Conversion Date occurs on or after [to be the 32nd day prior to Maturity] prior to the Maturity Date, shall be settled using the same Settlement Method and in the same proportions of cash and/or shares of Common Stock during the respective periods.</w:t>
      </w:r>
    </w:p>
    <w:p>
      <w:pPr>
        <w:spacing w:after="0" w:line="169" w:lineRule="exact"/>
        <w:rPr>
          <w:rFonts w:ascii="Arial" w:cs="Arial" w:eastAsia="Arial" w:hAnsi="Arial"/>
          <w:sz w:val="16"/>
          <w:szCs w:val="16"/>
          <w:color w:val="auto"/>
        </w:rPr>
      </w:pPr>
    </w:p>
    <w:p>
      <w:pPr>
        <w:jc w:val="both"/>
        <w:ind w:right="20" w:firstLine="1716"/>
        <w:spacing w:after="0" w:line="287" w:lineRule="auto"/>
        <w:tabs>
          <w:tab w:leader="none" w:pos="1983" w:val="left"/>
        </w:tabs>
        <w:numPr>
          <w:ilvl w:val="0"/>
          <w:numId w:val="159"/>
        </w:numPr>
        <w:rPr>
          <w:rFonts w:ascii="Arial" w:cs="Arial" w:eastAsia="Arial" w:hAnsi="Arial"/>
          <w:sz w:val="15"/>
          <w:szCs w:val="15"/>
          <w:color w:val="auto"/>
        </w:rPr>
      </w:pPr>
      <w:r>
        <w:rPr>
          <w:rFonts w:ascii="Arial" w:cs="Arial" w:eastAsia="Arial" w:hAnsi="Arial"/>
          <w:sz w:val="15"/>
          <w:szCs w:val="15"/>
          <w:color w:val="auto"/>
        </w:rPr>
        <w:t>Except for any conversions for which the relevant Conversion Date occurs during a Redemption Period, the Company shall use the same Settlement Method for all conversions with the same Conversion Date and in the same proportions of cash and/or shares of Common Stock during the respective periods, but the Company shall not have any obligation to use the same Settlement Method with respect to conversions with different Conversion Dates.</w:t>
      </w:r>
    </w:p>
    <w:p>
      <w:pPr>
        <w:spacing w:after="0" w:line="146" w:lineRule="exact"/>
        <w:rPr>
          <w:rFonts w:ascii="Arial" w:cs="Arial" w:eastAsia="Arial" w:hAnsi="Arial"/>
          <w:sz w:val="15"/>
          <w:szCs w:val="15"/>
          <w:color w:val="auto"/>
        </w:rPr>
      </w:pPr>
    </w:p>
    <w:p>
      <w:pPr>
        <w:jc w:val="both"/>
        <w:ind w:firstLine="1716"/>
        <w:spacing w:after="0" w:line="291" w:lineRule="auto"/>
        <w:tabs>
          <w:tab w:leader="none" w:pos="2019" w:val="left"/>
        </w:tabs>
        <w:numPr>
          <w:ilvl w:val="0"/>
          <w:numId w:val="159"/>
        </w:numPr>
        <w:rPr>
          <w:rFonts w:ascii="Arial" w:cs="Arial" w:eastAsia="Arial" w:hAnsi="Arial"/>
          <w:sz w:val="14"/>
          <w:szCs w:val="14"/>
          <w:color w:val="auto"/>
        </w:rPr>
      </w:pPr>
      <w:r>
        <w:rPr>
          <w:rFonts w:ascii="Arial" w:cs="Arial" w:eastAsia="Arial" w:hAnsi="Arial"/>
          <w:sz w:val="14"/>
          <w:szCs w:val="14"/>
          <w:color w:val="auto"/>
        </w:rPr>
        <w:t>If, in respect of any Conversion Date (or any conversions for which the relevant Conversion Date occurs during a Redemption Period), the Company elects to deliver a notice (the “</w:t>
      </w:r>
      <w:r>
        <w:rPr>
          <w:rFonts w:ascii="Arial" w:cs="Arial" w:eastAsia="Arial" w:hAnsi="Arial"/>
          <w:sz w:val="14"/>
          <w:szCs w:val="14"/>
          <w:b w:val="1"/>
          <w:bCs w:val="1"/>
          <w:color w:val="auto"/>
        </w:rPr>
        <w:t>Settlement Notice</w:t>
      </w:r>
      <w:r>
        <w:rPr>
          <w:rFonts w:ascii="Arial" w:cs="Arial" w:eastAsia="Arial" w:hAnsi="Arial"/>
          <w:sz w:val="14"/>
          <w:szCs w:val="14"/>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for which the relevant Conversion Date occurs during a Redemption Period, in the applicable Notice of Redemption) (the “</w:t>
      </w:r>
      <w:r>
        <w:rPr>
          <w:rFonts w:ascii="Arial" w:cs="Arial" w:eastAsia="Arial" w:hAnsi="Arial"/>
          <w:sz w:val="14"/>
          <w:szCs w:val="14"/>
          <w:b w:val="1"/>
          <w:bCs w:val="1"/>
          <w:color w:val="auto"/>
        </w:rPr>
        <w:t>Settlement Method Election Date</w:t>
      </w:r>
      <w:r>
        <w:rPr>
          <w:rFonts w:ascii="Arial" w:cs="Arial" w:eastAsia="Arial" w:hAnsi="Arial"/>
          <w:sz w:val="14"/>
          <w:szCs w:val="14"/>
          <w:color w:val="auto"/>
        </w:rPr>
        <w:t>”). If the Company does not elect a Settlement Method as set forth in the immediately preceding sentence, the Company shall be deemed to have elected the Default Settlement Method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timely delivers a Settlement Notice electing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the applicable Specified Dollar Amount will not constitute a Default or Event of Default under this Indenture.</w:t>
      </w:r>
    </w:p>
    <w:p>
      <w:pPr>
        <w:spacing w:after="0" w:line="143" w:lineRule="exact"/>
        <w:rPr>
          <w:rFonts w:ascii="Arial" w:cs="Arial" w:eastAsia="Arial" w:hAnsi="Arial"/>
          <w:sz w:val="14"/>
          <w:szCs w:val="14"/>
          <w:color w:val="auto"/>
        </w:rPr>
      </w:pPr>
    </w:p>
    <w:p>
      <w:pPr>
        <w:ind w:firstLine="1716"/>
        <w:spacing w:after="0" w:line="280" w:lineRule="auto"/>
        <w:tabs>
          <w:tab w:leader="none" w:pos="199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cash, shares of Common Stock or combination of cash and shares of Common Stock in respect of any conversion of Notes (the “</w:t>
      </w:r>
      <w:r>
        <w:rPr>
          <w:rFonts w:ascii="Arial" w:cs="Arial" w:eastAsia="Arial" w:hAnsi="Arial"/>
          <w:sz w:val="16"/>
          <w:szCs w:val="16"/>
          <w:b w:val="1"/>
          <w:bCs w:val="1"/>
          <w:color w:val="auto"/>
        </w:rPr>
        <w:t>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shall be computed as follows:</w:t>
      </w:r>
    </w:p>
    <w:p>
      <w:pPr>
        <w:spacing w:after="0" w:line="148" w:lineRule="exact"/>
        <w:rPr>
          <w:sz w:val="20"/>
          <w:szCs w:val="20"/>
          <w:color w:val="auto"/>
        </w:rPr>
      </w:pPr>
    </w:p>
    <w:p>
      <w:pPr>
        <w:jc w:val="both"/>
        <w:ind w:firstLine="1716"/>
        <w:spacing w:after="0" w:line="262" w:lineRule="auto"/>
        <w:tabs>
          <w:tab w:leader="none" w:pos="199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21" w:lineRule="exact"/>
        <w:rPr>
          <w:sz w:val="20"/>
          <w:szCs w:val="20"/>
          <w:color w:val="auto"/>
        </w:rPr>
      </w:pPr>
    </w:p>
    <w:p>
      <w:pPr>
        <w:ind w:left="580" w:hanging="580"/>
        <w:spacing w:after="0" w:line="407" w:lineRule="auto"/>
        <w:tabs>
          <w:tab w:leader="none" w:pos="165" w:val="left"/>
        </w:tabs>
        <w:numPr>
          <w:ilvl w:val="0"/>
          <w:numId w:val="161"/>
        </w:numPr>
        <w:rPr>
          <w:rFonts w:ascii="Arial" w:cs="Arial" w:eastAsia="Arial" w:hAnsi="Arial"/>
          <w:sz w:val="22"/>
          <w:szCs w:val="22"/>
          <w:color w:val="auto"/>
          <w:vertAlign w:val="superscript"/>
        </w:rPr>
      </w:pPr>
      <w:r>
        <w:rPr>
          <w:rFonts w:ascii="Arial" w:cs="Arial" w:eastAsia="Arial" w:hAnsi="Arial"/>
          <w:sz w:val="26"/>
          <w:szCs w:val="26"/>
          <w:color w:val="auto"/>
          <w:vertAlign w:val="subscript"/>
        </w:rPr>
        <w:t>NTD:</w:t>
      </w:r>
      <w:r>
        <w:rPr>
          <w:rFonts w:ascii="Arial" w:cs="Arial" w:eastAsia="Arial" w:hAnsi="Arial"/>
          <w:sz w:val="14"/>
          <w:szCs w:val="14"/>
          <w:color w:val="auto"/>
        </w:rPr>
        <w:t xml:space="preserve"> The initial conversion price will be the lesser of (i) $13.00 and (ii) a 30% premium to the lowest per share price at which any equity of the Company is issued within 15 days prior to the Closing Date. The rate inserted reflects subparagraph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179070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2" w:name="page163"/>
    <w:bookmarkEnd w:id="162"/>
    <w:p>
      <w:pPr>
        <w:jc w:val="both"/>
        <w:ind w:firstLine="1716"/>
        <w:spacing w:after="0" w:line="262" w:lineRule="auto"/>
        <w:tabs>
          <w:tab w:leader="none" w:pos="199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Company elects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30 consecutive Trading Days during the related Observation Period; and</w:t>
      </w:r>
    </w:p>
    <w:p>
      <w:pPr>
        <w:spacing w:after="0" w:line="162" w:lineRule="exact"/>
        <w:rPr>
          <w:rFonts w:ascii="Arial" w:cs="Arial" w:eastAsia="Arial" w:hAnsi="Arial"/>
          <w:sz w:val="16"/>
          <w:szCs w:val="16"/>
          <w:color w:val="auto"/>
        </w:rPr>
      </w:pPr>
    </w:p>
    <w:p>
      <w:pPr>
        <w:jc w:val="both"/>
        <w:ind w:right="20" w:firstLine="1716"/>
        <w:spacing w:after="0" w:line="287" w:lineRule="auto"/>
        <w:tabs>
          <w:tab w:leader="none" w:pos="2003" w:val="left"/>
        </w:tabs>
        <w:numPr>
          <w:ilvl w:val="0"/>
          <w:numId w:val="162"/>
        </w:numPr>
        <w:rPr>
          <w:rFonts w:ascii="Arial" w:cs="Arial" w:eastAsia="Arial" w:hAnsi="Arial"/>
          <w:sz w:val="15"/>
          <w:szCs w:val="15"/>
          <w:color w:val="auto"/>
        </w:rPr>
      </w:pPr>
      <w:r>
        <w:rPr>
          <w:rFonts w:ascii="Arial" w:cs="Arial" w:eastAsia="Arial" w:hAnsi="Arial"/>
          <w:sz w:val="15"/>
          <w:szCs w:val="15"/>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30 consecutive Trading Days during the related Observation Period.</w:t>
      </w:r>
    </w:p>
    <w:p>
      <w:pPr>
        <w:spacing w:after="0" w:line="146" w:lineRule="exact"/>
        <w:rPr>
          <w:sz w:val="20"/>
          <w:szCs w:val="20"/>
          <w:color w:val="auto"/>
        </w:rPr>
      </w:pPr>
    </w:p>
    <w:p>
      <w:pPr>
        <w:jc w:val="both"/>
        <w:ind w:firstLine="1716"/>
        <w:spacing w:after="0" w:line="276" w:lineRule="auto"/>
        <w:tabs>
          <w:tab w:leader="none" w:pos="1959"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55" w:lineRule="exact"/>
        <w:rPr>
          <w:rFonts w:ascii="Arial" w:cs="Arial" w:eastAsia="Arial" w:hAnsi="Arial"/>
          <w:sz w:val="15"/>
          <w:szCs w:val="15"/>
          <w:color w:val="auto"/>
        </w:rPr>
      </w:pPr>
    </w:p>
    <w:p>
      <w:pPr>
        <w:jc w:val="both"/>
        <w:ind w:firstLine="1143"/>
        <w:spacing w:after="0" w:line="269" w:lineRule="auto"/>
        <w:tabs>
          <w:tab w:leader="none" w:pos="1375"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Arial" w:cs="Arial" w:eastAsia="Arial" w:hAnsi="Arial"/>
          <w:sz w:val="15"/>
          <w:szCs w:val="15"/>
          <w:b w:val="1"/>
          <w:bCs w:val="1"/>
          <w:color w:val="auto"/>
        </w:rPr>
        <w:t>Notice of Conversion</w:t>
      </w:r>
      <w:r>
        <w:rPr>
          <w:rFonts w:ascii="Arial" w:cs="Arial" w:eastAsia="Arial" w:hAnsi="Arial"/>
          <w:sz w:val="15"/>
          <w:szCs w:val="15"/>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in a form reasonably satisfactory to the Conversion Agent), at the office of the Conversion Agent, (3) if required, furnish appropriate endorsements and transfer documents in a form reasonably satisfactory to the Conversion Agent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64"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48" w:lineRule="exact"/>
        <w:rPr>
          <w:sz w:val="20"/>
          <w:szCs w:val="20"/>
          <w:color w:val="auto"/>
        </w:rPr>
      </w:pPr>
    </w:p>
    <w:p>
      <w:pPr>
        <w:jc w:val="both"/>
        <w:ind w:firstLine="1143"/>
        <w:spacing w:after="0" w:line="295" w:lineRule="auto"/>
        <w:tabs>
          <w:tab w:leader="none" w:pos="137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 Note shall be deemed to have been converted immediately prior to the close of business on the date (the “</w:t>
      </w:r>
      <w:r>
        <w:rPr>
          <w:rFonts w:ascii="Arial" w:cs="Arial" w:eastAsia="Arial" w:hAnsi="Arial"/>
          <w:sz w:val="14"/>
          <w:szCs w:val="14"/>
          <w:b w:val="1"/>
          <w:bCs w:val="1"/>
          <w:color w:val="auto"/>
        </w:rPr>
        <w:t>Conversion Date</w:t>
      </w:r>
      <w:r>
        <w:rPr>
          <w:rFonts w:ascii="Arial" w:cs="Arial" w:eastAsia="Arial" w:hAnsi="Arial"/>
          <w:sz w:val="14"/>
          <w:szCs w:val="14"/>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to satisfy its Conversion Obligation through Physical Settlement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 respect to any Conversion Date following the Regular Record Date immediately preceding the Maturity Date where Physical Settlement applies to the related conversion, the Company will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the converting Holder, or such Holder’s nominee or nominees, the full number of shares of Common Stock to which such Holder shall be entitled, in book-entry format through the Depositary, in satisfaction of the Company’s Conversion Obligation.</w:t>
      </w:r>
    </w:p>
    <w:p>
      <w:pPr>
        <w:spacing w:after="0" w:line="141" w:lineRule="exact"/>
        <w:rPr>
          <w:rFonts w:ascii="Arial" w:cs="Arial" w:eastAsia="Arial" w:hAnsi="Arial"/>
          <w:sz w:val="14"/>
          <w:szCs w:val="14"/>
          <w:color w:val="auto"/>
        </w:rPr>
      </w:pPr>
    </w:p>
    <w:p>
      <w:pPr>
        <w:jc w:val="both"/>
        <w:ind w:firstLine="1143"/>
        <w:spacing w:after="0" w:line="301" w:lineRule="auto"/>
        <w:tabs>
          <w:tab w:leader="none" w:pos="139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37" w:lineRule="exact"/>
        <w:rPr>
          <w:rFonts w:ascii="Arial" w:cs="Arial" w:eastAsia="Arial" w:hAnsi="Arial"/>
          <w:sz w:val="14"/>
          <w:szCs w:val="14"/>
          <w:color w:val="auto"/>
        </w:rPr>
      </w:pPr>
    </w:p>
    <w:p>
      <w:pPr>
        <w:jc w:val="both"/>
        <w:ind w:right="20" w:firstLine="1143"/>
        <w:spacing w:after="0" w:line="280" w:lineRule="auto"/>
        <w:tabs>
          <w:tab w:leader="none" w:pos="136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3" w:name="page164"/>
    <w:bookmarkEnd w:id="163"/>
    <w:p>
      <w:pPr>
        <w:ind w:left="4" w:firstLine="1143"/>
        <w:spacing w:after="0" w:line="275" w:lineRule="auto"/>
        <w:tabs>
          <w:tab w:leader="none" w:pos="135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Except as provided in Section 14.04, no adjustment shall be made for dividends on any shares of Common Stock issued upon the conversion of any Note as provided in this Article 14.</w:t>
      </w:r>
    </w:p>
    <w:p>
      <w:pPr>
        <w:spacing w:after="0" w:line="151" w:lineRule="exact"/>
        <w:rPr>
          <w:rFonts w:ascii="Arial" w:cs="Arial" w:eastAsia="Arial" w:hAnsi="Arial"/>
          <w:sz w:val="16"/>
          <w:szCs w:val="16"/>
          <w:color w:val="auto"/>
        </w:rPr>
      </w:pPr>
    </w:p>
    <w:p>
      <w:pPr>
        <w:jc w:val="both"/>
        <w:ind w:left="4" w:right="20" w:firstLine="1143"/>
        <w:spacing w:after="0" w:line="262" w:lineRule="auto"/>
        <w:tabs>
          <w:tab w:leader="none" w:pos="138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62" w:lineRule="exact"/>
        <w:rPr>
          <w:rFonts w:ascii="Arial" w:cs="Arial" w:eastAsia="Arial" w:hAnsi="Arial"/>
          <w:sz w:val="16"/>
          <w:szCs w:val="16"/>
          <w:color w:val="auto"/>
        </w:rPr>
      </w:pPr>
    </w:p>
    <w:p>
      <w:pPr>
        <w:jc w:val="both"/>
        <w:ind w:left="4" w:firstLine="1143"/>
        <w:spacing w:after="0" w:line="288" w:lineRule="auto"/>
        <w:tabs>
          <w:tab w:leader="none" w:pos="13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 xml:space="preserve">Upon conversion, a Holder shall not receive any separate cash payment for accrued and unpaid interest, if any, except as set forth in this Section 14.02(h), and the Company will not adjust the Conversion Rate for any accrued and unpaid interest on any converted Notes. The Company’s settlement of the full Conversion Obligation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(to, but not including the corresponding Interest Payment Date)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on the corresponding Interest Payment Date (regardless of whether the converting Holder was the Holder of record on such Regular Record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payment shall be required (1) for conversions following the Regular Record Date immediately preceding the Maturity Date; (2) if the Company has specified a Redemption Date that is after a Regular Record Date and on or prior to the Scheduled Trading Day immediately following the corresponding Interest Payment Date; (3) if the Company has specified a Fundamental Change Repurchase Date or a Mandatory Conversion Date that is after a Regular Record Date and on or prior to the Business Day immediately following the corresponding Interest Payment Date; or (4) to the extent of any Defaulted Amounts, if any Defaulted Amounts exist at the time of conversion with respect to such Note. Therefore, for the avoidance of doubt, all Holders of record at the close of business on the Regular Record Date immediately preceding the Maturity Date, any Redemption Date described in clause (2) of the immediately preceding sentence and any Fundamental Change Repurchase Date described in clause (3) of the immediately preceding sentence shall receive and retain the full interest payment due on the Maturity Date or other applicable Interest Payment Date in cash regardless of whether their Notes have been converted following such Regular Record Date.</w:t>
      </w:r>
    </w:p>
    <w:p>
      <w:pPr>
        <w:spacing w:after="0" w:line="155" w:lineRule="exact"/>
        <w:rPr>
          <w:rFonts w:ascii="Arial" w:cs="Arial" w:eastAsia="Arial" w:hAnsi="Arial"/>
          <w:sz w:val="14"/>
          <w:szCs w:val="14"/>
          <w:color w:val="auto"/>
        </w:rPr>
      </w:pPr>
    </w:p>
    <w:p>
      <w:pPr>
        <w:jc w:val="both"/>
        <w:ind w:left="4" w:firstLine="1143"/>
        <w:spacing w:after="0" w:line="255" w:lineRule="auto"/>
        <w:tabs>
          <w:tab w:leader="none" w:pos="135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Prior to conversion of a Holder’s Note, such Holder (in such capacity) shall not have any rights as a stockholder of the Company.</w:t>
      </w:r>
    </w:p>
    <w:p>
      <w:pPr>
        <w:spacing w:after="0" w:line="169" w:lineRule="exact"/>
        <w:rPr>
          <w:rFonts w:ascii="Arial" w:cs="Arial" w:eastAsia="Arial" w:hAnsi="Arial"/>
          <w:sz w:val="16"/>
          <w:szCs w:val="16"/>
          <w:color w:val="auto"/>
        </w:rPr>
      </w:pPr>
    </w:p>
    <w:p>
      <w:pPr>
        <w:jc w:val="both"/>
        <w:ind w:left="4" w:firstLine="1143"/>
        <w:spacing w:after="0" w:line="254" w:lineRule="auto"/>
        <w:tabs>
          <w:tab w:leader="none" w:pos="135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shall not issue any fractional share of Common Stock upon conversion of the Notes and shall instead pay cash in lieu of delivering any fractional share of Common Stock issuable upon conversion based on the Daily VWAP for the relevant Conversion Date (or, if such Conversion Date is not a Trading Day, the immediately preceding Trading Day),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7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Company’s Mandatory Conversion Option</w:t>
      </w:r>
      <w:r>
        <w:rPr>
          <w:rFonts w:ascii="Arial" w:cs="Arial" w:eastAsia="Arial" w:hAnsi="Arial"/>
          <w:sz w:val="16"/>
          <w:szCs w:val="16"/>
          <w:color w:val="auto"/>
        </w:rPr>
        <w:t>.</w:t>
      </w:r>
    </w:p>
    <w:p>
      <w:pPr>
        <w:spacing w:after="0" w:line="202" w:lineRule="exact"/>
        <w:rPr>
          <w:sz w:val="20"/>
          <w:szCs w:val="20"/>
          <w:color w:val="auto"/>
        </w:rPr>
      </w:pPr>
    </w:p>
    <w:p>
      <w:pPr>
        <w:jc w:val="both"/>
        <w:ind w:left="4" w:firstLine="1143"/>
        <w:spacing w:after="0" w:line="246" w:lineRule="auto"/>
        <w:tabs>
          <w:tab w:leader="none" w:pos="1372"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On or after [●], 2023</w:t>
      </w:r>
      <w:r>
        <w:rPr>
          <w:rFonts w:ascii="Arial" w:cs="Arial" w:eastAsia="Arial" w:hAnsi="Arial"/>
          <w:sz w:val="25"/>
          <w:szCs w:val="25"/>
          <w:color w:val="auto"/>
          <w:vertAlign w:val="superscript"/>
        </w:rPr>
        <w:t>15</w:t>
      </w:r>
      <w:r>
        <w:rPr>
          <w:rFonts w:ascii="Arial" w:cs="Arial" w:eastAsia="Arial" w:hAnsi="Arial"/>
          <w:sz w:val="15"/>
          <w:szCs w:val="15"/>
          <w:color w:val="auto"/>
        </w:rPr>
        <w:t xml:space="preserve"> and prior to the close of business on [●], 2026</w:t>
      </w:r>
      <w:r>
        <w:rPr>
          <w:rFonts w:ascii="Arial" w:cs="Arial" w:eastAsia="Arial" w:hAnsi="Arial"/>
          <w:sz w:val="25"/>
          <w:szCs w:val="25"/>
          <w:color w:val="auto"/>
          <w:vertAlign w:val="superscript"/>
        </w:rPr>
        <w:t>16</w:t>
      </w:r>
      <w:r>
        <w:rPr>
          <w:rFonts w:ascii="Arial" w:cs="Arial" w:eastAsia="Arial" w:hAnsi="Arial"/>
          <w:sz w:val="15"/>
          <w:szCs w:val="15"/>
          <w:color w:val="auto"/>
        </w:rPr>
        <w:t>, the Company may, at its option, elect to convert the original principal amount of the Notes in whole but not in part (a “</w:t>
      </w:r>
      <w:r>
        <w:rPr>
          <w:rFonts w:ascii="Arial" w:cs="Arial" w:eastAsia="Arial" w:hAnsi="Arial"/>
          <w:sz w:val="15"/>
          <w:szCs w:val="15"/>
          <w:b w:val="1"/>
          <w:bCs w:val="1"/>
          <w:color w:val="auto"/>
        </w:rPr>
        <w:t>Mandatory Conversion</w:t>
      </w:r>
      <w:r>
        <w:rPr>
          <w:rFonts w:ascii="Arial" w:cs="Arial" w:eastAsia="Arial" w:hAnsi="Arial"/>
          <w:sz w:val="15"/>
          <w:szCs w:val="15"/>
          <w:color w:val="auto"/>
        </w:rPr>
        <w:t>”) if (x) the Last Reported Sale Price of the Common Stock for at least 20 Trading Days (whether or not consecutive) during the period of 30 consecutive Trading Days ending on, and including, the last Trading Day of the immediately preceding calendar quarter (the “</w:t>
      </w:r>
      <w:r>
        <w:rPr>
          <w:rFonts w:ascii="Arial" w:cs="Arial" w:eastAsia="Arial" w:hAnsi="Arial"/>
          <w:sz w:val="15"/>
          <w:szCs w:val="15"/>
          <w:b w:val="1"/>
          <w:bCs w:val="1"/>
          <w:color w:val="auto"/>
        </w:rPr>
        <w:t>Mandatory</w:t>
      </w:r>
      <w:r>
        <w:rPr>
          <w:rFonts w:ascii="Arial" w:cs="Arial" w:eastAsia="Arial" w:hAnsi="Arial"/>
          <w:sz w:val="15"/>
          <w:szCs w:val="15"/>
          <w:color w:val="auto"/>
        </w:rPr>
        <w:t xml:space="preserve"> </w:t>
      </w:r>
      <w:r>
        <w:rPr>
          <w:rFonts w:ascii="Arial" w:cs="Arial" w:eastAsia="Arial" w:hAnsi="Arial"/>
          <w:sz w:val="15"/>
          <w:szCs w:val="15"/>
          <w:b w:val="1"/>
          <w:bCs w:val="1"/>
          <w:color w:val="auto"/>
        </w:rPr>
        <w:t>Conversion Determination Date</w:t>
      </w:r>
      <w:r>
        <w:rPr>
          <w:rFonts w:ascii="Arial" w:cs="Arial" w:eastAsia="Arial" w:hAnsi="Arial"/>
          <w:sz w:val="15"/>
          <w:szCs w:val="15"/>
          <w:color w:val="auto"/>
        </w:rPr>
        <w:t>”) is greater than or equal to 130% of the Conversion Price on each applicable Trading Day and (y) the 30-Day ADTV ending on, and</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the Mandatory Conversion Determination Date is greater than or equal to $2,000,000 (the “</w:t>
      </w:r>
      <w:r>
        <w:rPr>
          <w:rFonts w:ascii="Arial" w:cs="Arial" w:eastAsia="Arial" w:hAnsi="Arial"/>
          <w:sz w:val="15"/>
          <w:szCs w:val="15"/>
          <w:b w:val="1"/>
          <w:bCs w:val="1"/>
          <w:color w:val="auto"/>
        </w:rPr>
        <w:t>Mandatory Conversion Condition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179070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80" w:lineRule="exact"/>
        <w:rPr>
          <w:sz w:val="20"/>
          <w:szCs w:val="20"/>
          <w:color w:val="auto"/>
        </w:rPr>
      </w:pPr>
    </w:p>
    <w:p>
      <w:pPr>
        <w:ind w:left="164" w:hanging="164"/>
        <w:spacing w:after="0"/>
        <w:tabs>
          <w:tab w:leader="none" w:pos="164" w:val="left"/>
        </w:tabs>
        <w:numPr>
          <w:ilvl w:val="0"/>
          <w:numId w:val="168"/>
        </w:numPr>
        <w:rPr>
          <w:rFonts w:ascii="Arial" w:cs="Arial" w:eastAsia="Arial" w:hAnsi="Arial"/>
          <w:sz w:val="22"/>
          <w:szCs w:val="22"/>
          <w:color w:val="auto"/>
          <w:vertAlign w:val="superscript"/>
        </w:rPr>
      </w:pPr>
      <w:r>
        <w:rPr>
          <w:rFonts w:ascii="Arial" w:cs="Arial" w:eastAsia="Arial" w:hAnsi="Arial"/>
          <w:sz w:val="14"/>
          <w:szCs w:val="14"/>
          <w:color w:val="auto"/>
        </w:rPr>
        <w:t>NTD: To be the date that is one day after the first anniversary of the issuance date.</w:t>
      </w:r>
    </w:p>
    <w:p>
      <w:pPr>
        <w:spacing w:after="0" w:line="37" w:lineRule="exact"/>
        <w:rPr>
          <w:rFonts w:ascii="Arial" w:cs="Arial" w:eastAsia="Arial" w:hAnsi="Arial"/>
          <w:sz w:val="22"/>
          <w:szCs w:val="22"/>
          <w:color w:val="auto"/>
          <w:vertAlign w:val="superscript"/>
        </w:rPr>
      </w:pPr>
    </w:p>
    <w:p>
      <w:pPr>
        <w:ind w:left="164" w:hanging="164"/>
        <w:spacing w:after="0" w:line="180" w:lineRule="auto"/>
        <w:tabs>
          <w:tab w:leader="none" w:pos="164" w:val="left"/>
        </w:tabs>
        <w:numPr>
          <w:ilvl w:val="0"/>
          <w:numId w:val="168"/>
        </w:numPr>
        <w:rPr>
          <w:rFonts w:ascii="Arial" w:cs="Arial" w:eastAsia="Arial" w:hAnsi="Arial"/>
          <w:sz w:val="22"/>
          <w:szCs w:val="22"/>
          <w:color w:val="auto"/>
          <w:vertAlign w:val="superscript"/>
        </w:rPr>
      </w:pPr>
      <w:r>
        <w:rPr>
          <w:rFonts w:ascii="Arial" w:cs="Arial" w:eastAsia="Arial" w:hAnsi="Arial"/>
          <w:sz w:val="14"/>
          <w:szCs w:val="14"/>
          <w:color w:val="auto"/>
        </w:rPr>
        <w:t>NTD: To be the two Business Days before the Maturity Date.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4" w:name="page165"/>
    <w:bookmarkEnd w:id="164"/>
    <w:p>
      <w:pPr>
        <w:ind w:right="20" w:firstLine="1143"/>
        <w:spacing w:after="0" w:line="280" w:lineRule="auto"/>
        <w:tabs>
          <w:tab w:leader="none" w:pos="139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To exercise its right to a Mandatory Conversion, the Company will send notice of the Company’s election (a “</w:t>
      </w:r>
      <w:r>
        <w:rPr>
          <w:rFonts w:ascii="Arial" w:cs="Arial" w:eastAsia="Arial" w:hAnsi="Arial"/>
          <w:sz w:val="16"/>
          <w:szCs w:val="16"/>
          <w:b w:val="1"/>
          <w:bCs w:val="1"/>
          <w:color w:val="auto"/>
        </w:rPr>
        <w:t>Mandatory Conversion Notice</w:t>
      </w:r>
      <w:r>
        <w:rPr>
          <w:rFonts w:ascii="Arial" w:cs="Arial" w:eastAsia="Arial" w:hAnsi="Arial"/>
          <w:sz w:val="16"/>
          <w:szCs w:val="16"/>
          <w:color w:val="auto"/>
        </w:rPr>
        <w:t>”) to Holders, the Trustee and the Conversion Agent no later than the fifth Business Day following the Mandatory Conversion Determination Date.</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Such Mandatory Conversion Notice must state:</w:t>
      </w:r>
    </w:p>
    <w:p>
      <w:pPr>
        <w:spacing w:after="0" w:line="198" w:lineRule="exact"/>
        <w:rPr>
          <w:sz w:val="20"/>
          <w:szCs w:val="20"/>
          <w:color w:val="auto"/>
        </w:rPr>
      </w:pPr>
    </w:p>
    <w:p>
      <w:pPr>
        <w:ind w:left="1900" w:hanging="184"/>
        <w:spacing w:after="0"/>
        <w:tabs>
          <w:tab w:leader="none" w:pos="19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that the Notes have been called for Mandatory Conversion, briefly describing the Mandatory Conversion under this Indenture;</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Mandatory Conversion Date;</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current Conversion Rate;</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name and address of the Paying Agent and the Conversion Agent;</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Settlement Method, which shall apply in the same proportions of cash and/or shares of Common Stock to all Holders; and</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CUSIP and ISIN numbers, if any, of the Notes.</w:t>
      </w:r>
    </w:p>
    <w:p>
      <w:pPr>
        <w:spacing w:after="0" w:line="198" w:lineRule="exact"/>
        <w:rPr>
          <w:rFonts w:ascii="Arial" w:cs="Arial" w:eastAsia="Arial" w:hAnsi="Arial"/>
          <w:sz w:val="16"/>
          <w:szCs w:val="16"/>
          <w:color w:val="auto"/>
        </w:rPr>
      </w:pPr>
    </w:p>
    <w:p>
      <w:pPr>
        <w:jc w:val="both"/>
        <w:ind w:right="20" w:firstLine="1143"/>
        <w:spacing w:after="0" w:line="274" w:lineRule="auto"/>
        <w:tabs>
          <w:tab w:leader="none" w:pos="1366"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 the Company exercises its right to effect a Mandatory Conversion in accordance with this Section 14.03, then a Conversion Date will automatically, and without the need for any action on the part of any Holder, the Trustee or the Conversion Agent, be deemed to occur, with respect to each Note then outstanding, on the Mandatory Conversion Date. The Mandatory Conversion Date will be a Business Day of the Company’s choosing that is no more than 30, nor less than 10, Business Days after the Company sends the Mandatory Conversion Notice; provided that the Mandatory Conversion Date shall be no later than the second Scheduled Trading Day prior to the Maturity Date. The Company shall pay or deliver, as the case may be, the consideration due in respect of the Conversion Obligation on the second Business Day immediately following the Mandatory Conversion Date or the related Observation Period.</w:t>
      </w:r>
    </w:p>
    <w:p>
      <w:pPr>
        <w:spacing w:after="0" w:line="156" w:lineRule="exact"/>
        <w:rPr>
          <w:rFonts w:ascii="Arial" w:cs="Arial" w:eastAsia="Arial" w:hAnsi="Arial"/>
          <w:sz w:val="15"/>
          <w:szCs w:val="15"/>
          <w:color w:val="auto"/>
        </w:rPr>
      </w:pPr>
    </w:p>
    <w:p>
      <w:pPr>
        <w:ind w:right="20" w:firstLine="1143"/>
        <w:spacing w:after="0" w:line="275" w:lineRule="auto"/>
        <w:tabs>
          <w:tab w:leader="none" w:pos="138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Conversion Rate in connection with a Mandatory Conversion shall be increased by a number of Additional Shares per $1,000 principal amount of Notes assuming the Notes had been converted pursuant to Section 14.04.</w:t>
      </w:r>
    </w:p>
    <w:p>
      <w:pPr>
        <w:spacing w:after="0" w:line="151" w:lineRule="exact"/>
        <w:rPr>
          <w:rFonts w:ascii="Arial" w:cs="Arial" w:eastAsia="Arial" w:hAnsi="Arial"/>
          <w:sz w:val="16"/>
          <w:szCs w:val="16"/>
          <w:color w:val="auto"/>
        </w:rPr>
      </w:pPr>
    </w:p>
    <w:p>
      <w:pPr>
        <w:jc w:val="both"/>
        <w:ind w:right="20" w:firstLine="1143"/>
        <w:spacing w:after="0" w:line="276" w:lineRule="auto"/>
        <w:tabs>
          <w:tab w:leader="none" w:pos="137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Each share of Common Stock delivered upon a Mandatory Conversion of any Note will be a newly issued or treasury share and will be duly and validly issued, fully paid, non-assessable, free from preemptive rights and free of any lien or adverse claim. If the Common Stock is then listed on any securities exchange and has been registered on an effective registration statement with the Commission, then the Company will cause each share of Common Stock, when delivered upon a Mandatory Conversion of any Note, to be admitted for listing on such exchange. Notwithstanding anything herein to the contrary, the Company shall not be permitted to effect any Mandatory Conversion hereunder unless as of such Mandatory Conversion Date no Equity Conditions Failure then exists.</w:t>
      </w:r>
    </w:p>
    <w:p>
      <w:pPr>
        <w:spacing w:after="0" w:line="155"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Section 14.04. </w:t>
      </w:r>
      <w:r>
        <w:rPr>
          <w:rFonts w:ascii="Arial" w:cs="Arial" w:eastAsia="Arial" w:hAnsi="Arial"/>
          <w:sz w:val="14"/>
          <w:szCs w:val="14"/>
          <w:i w:val="1"/>
          <w:iCs w:val="1"/>
          <w:color w:val="auto"/>
        </w:rPr>
        <w:t>Increased Conversion Rate Applicable to Certain Notes Surrendered in Connection with Make-Whole Fundamental Changes or during a Redemption</w:t>
      </w:r>
      <w:r>
        <w:rPr>
          <w:rFonts w:ascii="Arial" w:cs="Arial" w:eastAsia="Arial" w:hAnsi="Arial"/>
          <w:sz w:val="14"/>
          <w:szCs w:val="14"/>
          <w:color w:val="auto"/>
        </w:rPr>
        <w:t xml:space="preserve"> </w:t>
      </w:r>
      <w:r>
        <w:rPr>
          <w:rFonts w:ascii="Arial" w:cs="Arial" w:eastAsia="Arial" w:hAnsi="Arial"/>
          <w:sz w:val="14"/>
          <w:szCs w:val="14"/>
          <w:i w:val="1"/>
          <w:iCs w:val="1"/>
          <w:color w:val="auto"/>
        </w:rPr>
        <w:t>Period</w:t>
      </w:r>
      <w:r>
        <w:rPr>
          <w:rFonts w:ascii="Arial" w:cs="Arial" w:eastAsia="Arial" w:hAnsi="Arial"/>
          <w:sz w:val="14"/>
          <w:szCs w:val="14"/>
          <w:color w:val="auto"/>
        </w:rPr>
        <w:t>. (a) If (i) the Effective Date of a Make-Whole Fundamental Change occurs prior to the Maturity Date and a Holder elects to convert its Notes in connection with such</w:t>
      </w:r>
      <w:r>
        <w:rPr>
          <w:rFonts w:ascii="Arial" w:cs="Arial" w:eastAsia="Arial" w:hAnsi="Arial"/>
          <w:sz w:val="14"/>
          <w:szCs w:val="14"/>
          <w:i w:val="1"/>
          <w:iCs w:val="1"/>
          <w:color w:val="auto"/>
        </w:rPr>
        <w:t xml:space="preserve"> </w:t>
      </w:r>
      <w:r>
        <w:rPr>
          <w:rFonts w:ascii="Arial" w:cs="Arial" w:eastAsia="Arial" w:hAnsi="Arial"/>
          <w:sz w:val="14"/>
          <w:szCs w:val="14"/>
          <w:color w:val="auto"/>
        </w:rPr>
        <w:t>Make-Whole Fundamental Change or (ii) the Company issues a Notice of Redemption as provided under Section 16.02 and a Holder elects to convert such Notes with a Conversion Date during the related Redemption Period, the Company shall, in each case, under the circumstances described below, increase the Conversion Rate for the Notes so surrendered for conversion by a number of additional shares of Common Stock (the “</w:t>
      </w:r>
      <w:r>
        <w:rPr>
          <w:rFonts w:ascii="Arial" w:cs="Arial" w:eastAsia="Arial" w:hAnsi="Arial"/>
          <w:sz w:val="14"/>
          <w:szCs w:val="14"/>
          <w:b w:val="1"/>
          <w:bCs w:val="1"/>
          <w:color w:val="auto"/>
        </w:rPr>
        <w:t>Additional Shares</w:t>
      </w:r>
      <w:r>
        <w:rPr>
          <w:rFonts w:ascii="Arial" w:cs="Arial" w:eastAsia="Arial" w:hAnsi="Arial"/>
          <w:sz w:val="14"/>
          <w:szCs w:val="14"/>
          <w:color w:val="auto"/>
        </w:rPr>
        <w:t>”),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close of business on the Business Day immediately prior to the related Fundamental Change Repurchase Date (or, in the case of a Make-Whole Fundamental Change that would have been a Fundamental Change but for the proviso in clause (b) of the definition thereof, the 35th Trading Day immediately following the Effective Date of such Make-Whole Fundamental Change) (such period, the “</w:t>
      </w:r>
      <w:r>
        <w:rPr>
          <w:rFonts w:ascii="Arial" w:cs="Arial" w:eastAsia="Arial" w:hAnsi="Arial"/>
          <w:sz w:val="14"/>
          <w:szCs w:val="14"/>
          <w:b w:val="1"/>
          <w:bCs w:val="1"/>
          <w:color w:val="auto"/>
        </w:rPr>
        <w:t>Make-Whole Fundamental Change Period</w:t>
      </w:r>
      <w:r>
        <w:rPr>
          <w:rFonts w:ascii="Arial" w:cs="Arial" w:eastAsia="Arial" w:hAnsi="Arial"/>
          <w:sz w:val="14"/>
          <w:szCs w:val="14"/>
          <w:color w:val="auto"/>
        </w:rPr>
        <w:t>”). For the avoidance of doubt, the Company shall not increase the Conversion Rate pursuant to the provisions of this Section 14.03 on account of an anticipated Fundamental Change that does not occur. If the Company issues a Notice of Redemption as set forth under Section 16.02 the Company shall increase the Conversion Rate during the related Redemption Period only with respect to conversions of Notes called for redemption (or deemed called for redemption as contemplated by the penultimate sentence of Section 16.02(d)), and not for Notes not called for redemption. Accordingly, if the Company elects to redeem fewer than all of the outstanding Notes as described under Section 16.05. Holders of the Notes not called for redemption will not be entitled to convert such Notes on account of the Notice of Redemption and will not be entitled to an increased Conversion Rate for conversions of such Notes on account of the Notice of Redemption during the related Redemption Period if such Notes are otherwise convertible, except in the limited circumstances set forth in the penultimate sentence of Section 16.02(d).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65" w:name="page166"/>
    <w:bookmarkEnd w:id="165"/>
    <w:p>
      <w:pPr>
        <w:jc w:val="both"/>
        <w:ind w:left="4" w:firstLine="1143"/>
        <w:spacing w:after="0" w:line="252" w:lineRule="auto"/>
        <w:tabs>
          <w:tab w:leader="none" w:pos="137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Upon surrender of Notes for conversion in connection with a Make-Whole Fundamental Change or of Notes called for redemption with a Conversion Date occurring during the related Redemption Period, the Company shall, at its option, satisfy the related Conversion Obligation by Physical Settlement, Cash Settlement or Combination Settlement based on the Conversion Rate as increased to reflect the additional shares pursuant to the table set forth below, in accordance with Section 14.02;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at the effective time of a Make-Whole Fundamental Change described in clause (b) of the definition of Fundamental Change, the Reference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such Stock Price. In such event, the Conversion Obligation shall be determined and paid to Holders in cash on the second Business Day following the Conversion Date. The Company shall notify the Holders, the Trustee and the Conversion Agent (if other than the Trustee) of the Effective Date of any Make-Whole Fundamental Change in writing no later than five Business Days after such Effective Date.</w:t>
      </w:r>
    </w:p>
    <w:p>
      <w:pPr>
        <w:spacing w:after="0" w:line="171" w:lineRule="exact"/>
        <w:rPr>
          <w:rFonts w:ascii="Arial" w:cs="Arial" w:eastAsia="Arial" w:hAnsi="Arial"/>
          <w:sz w:val="16"/>
          <w:szCs w:val="16"/>
          <w:color w:val="auto"/>
        </w:rPr>
      </w:pPr>
    </w:p>
    <w:p>
      <w:pPr>
        <w:jc w:val="both"/>
        <w:ind w:left="4" w:firstLine="1143"/>
        <w:spacing w:after="0" w:line="292" w:lineRule="auto"/>
        <w:tabs>
          <w:tab w:leader="none" w:pos="136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(in each case, the “</w:t>
      </w:r>
      <w:r>
        <w:rPr>
          <w:rFonts w:ascii="Arial" w:cs="Arial" w:eastAsia="Arial" w:hAnsi="Arial"/>
          <w:sz w:val="14"/>
          <w:szCs w:val="14"/>
          <w:b w:val="1"/>
          <w:bCs w:val="1"/>
          <w:color w:val="auto"/>
        </w:rPr>
        <w:t>Effective Date</w:t>
      </w:r>
      <w:r>
        <w:rPr>
          <w:rFonts w:ascii="Arial" w:cs="Arial" w:eastAsia="Arial" w:hAnsi="Arial"/>
          <w:sz w:val="14"/>
          <w:szCs w:val="14"/>
          <w:color w:val="auto"/>
        </w:rPr>
        <w:t>”) or the Redemption Notice Date, as applicable, and the price (the “</w:t>
      </w:r>
      <w:r>
        <w:rPr>
          <w:rFonts w:ascii="Arial" w:cs="Arial" w:eastAsia="Arial" w:hAnsi="Arial"/>
          <w:sz w:val="14"/>
          <w:szCs w:val="14"/>
          <w:b w:val="1"/>
          <w:bCs w:val="1"/>
          <w:color w:val="auto"/>
        </w:rPr>
        <w:t>Stock Price</w:t>
      </w:r>
      <w:r>
        <w:rPr>
          <w:rFonts w:ascii="Arial" w:cs="Arial" w:eastAsia="Arial" w:hAnsi="Arial"/>
          <w:sz w:val="14"/>
          <w:szCs w:val="14"/>
          <w:color w:val="auto"/>
        </w:rPr>
        <w:t>”) paid (or deemed to be paid) per share of the Common Stock in the Make-Whole Fundamental Change or on the Redemption Notice Date, as applicable.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ten consecutive Trading Day period ending on, and including, the Trading Day immediately preceding the applicable Effective Date of the Make-Whole Fundamental Change or the Redemption Notice Date, as the case may be. In the event that a conversion during a Redemption Period would also be deemed to be in connection with a Make-Whole Fundamental Change, a Holder of the Notes to be converted will be entitled to a single increase to the Conversion Rate with respect to the first to occur of the applicable Redemption Notice Date or the Effective Date of the applicable Make-Whole Fundamental Change, and the later event will be deemed not to have occurred for purposes of this Section 14.03.</w:t>
      </w:r>
    </w:p>
    <w:p>
      <w:pPr>
        <w:spacing w:after="0" w:line="144" w:lineRule="exact"/>
        <w:rPr>
          <w:rFonts w:ascii="Arial" w:cs="Arial" w:eastAsia="Arial" w:hAnsi="Arial"/>
          <w:sz w:val="14"/>
          <w:szCs w:val="14"/>
          <w:color w:val="auto"/>
        </w:rPr>
      </w:pPr>
    </w:p>
    <w:p>
      <w:pPr>
        <w:jc w:val="both"/>
        <w:ind w:left="4" w:firstLine="1143"/>
        <w:spacing w:after="0" w:line="306" w:lineRule="auto"/>
        <w:tabs>
          <w:tab w:leader="none" w:pos="139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34" w:lineRule="exact"/>
        <w:rPr>
          <w:rFonts w:ascii="Arial" w:cs="Arial" w:eastAsia="Arial" w:hAnsi="Arial"/>
          <w:sz w:val="14"/>
          <w:szCs w:val="14"/>
          <w:color w:val="auto"/>
        </w:rPr>
      </w:pPr>
    </w:p>
    <w:p>
      <w:pPr>
        <w:ind w:left="4" w:firstLine="1143"/>
        <w:spacing w:after="0" w:line="286" w:lineRule="auto"/>
        <w:tabs>
          <w:tab w:leader="none" w:pos="137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following table sets forth the number of Additional Shares by which the Conversion Rate shall be increased per $1,000 principal amount of Notes pursuant to this Section 14.03 for each Stock Price and Effective Date or Redemption Notice Date, as applicable, set forth below:</w:t>
      </w:r>
      <w:r>
        <w:rPr>
          <w:rFonts w:ascii="Arial" w:cs="Arial" w:eastAsia="Arial" w:hAnsi="Arial"/>
          <w:sz w:val="26"/>
          <w:szCs w:val="26"/>
          <w:color w:val="auto"/>
          <w:vertAlign w:val="superscript"/>
        </w:rPr>
        <w:t>17</w:t>
      </w:r>
    </w:p>
    <w:tbl>
      <w:tblPr>
        <w:tblLayout w:type="fixed"/>
        <w:tblInd w:w="4" w:type="dxa"/>
        <w:tblCellMar>
          <w:top w:w="0" w:type="dxa"/>
          <w:left w:w="0" w:type="dxa"/>
          <w:bottom w:w="0" w:type="dxa"/>
          <w:right w:w="0" w:type="dxa"/>
        </w:tblCellMar>
      </w:tblPr>
      <w:tr>
        <w:trPr>
          <w:trHeight w:val="277"/>
        </w:trPr>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00"/>
              <w:spacing w:after="0" w:line="273" w:lineRule="exact"/>
              <w:rPr>
                <w:sz w:val="20"/>
                <w:szCs w:val="20"/>
                <w:color w:val="auto"/>
              </w:rPr>
            </w:pPr>
            <w:r>
              <w:rPr>
                <w:rFonts w:ascii="Arial" w:cs="Arial" w:eastAsia="Arial" w:hAnsi="Arial"/>
                <w:sz w:val="16"/>
                <w:szCs w:val="16"/>
                <w:b w:val="1"/>
                <w:bCs w:val="1"/>
                <w:color w:val="auto"/>
              </w:rPr>
              <w:t>Stock Price</w:t>
            </w:r>
            <w:r>
              <w:rPr>
                <w:rFonts w:ascii="Arial" w:cs="Arial" w:eastAsia="Arial" w:hAnsi="Arial"/>
                <w:sz w:val="26"/>
                <w:szCs w:val="26"/>
                <w:b w:val="1"/>
                <w:bCs w:val="1"/>
                <w:color w:val="auto"/>
                <w:vertAlign w:val="superscript"/>
              </w:rPr>
              <w:t>18</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207"/>
        </w:trPr>
        <w:tc>
          <w:tcPr>
            <w:tcW w:w="4780" w:type="dxa"/>
            <w:vAlign w:val="bottom"/>
            <w:gridSpan w:val="2"/>
          </w:tcPr>
          <w:p>
            <w:pPr>
              <w:spacing w:after="0"/>
              <w:rPr>
                <w:sz w:val="20"/>
                <w:szCs w:val="20"/>
                <w:color w:val="auto"/>
              </w:rPr>
            </w:pPr>
            <w:r>
              <w:rPr>
                <w:rFonts w:ascii="Arial" w:cs="Arial" w:eastAsia="Arial" w:hAnsi="Arial"/>
                <w:sz w:val="16"/>
                <w:szCs w:val="16"/>
                <w:b w:val="1"/>
                <w:bCs w:val="1"/>
                <w:color w:val="auto"/>
              </w:rPr>
              <w:t>Effective Date/Redemption Notice Date</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9"/>
              </w:rPr>
              <w:t>$10.00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$12.00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$14.00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$16.00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$18.00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$25.00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30.00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$40.00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$50.00</w:t>
            </w:r>
          </w:p>
        </w:tc>
      </w:tr>
      <w:tr>
        <w:trPr>
          <w:trHeight w:val="191"/>
        </w:trPr>
        <w:tc>
          <w:tcPr>
            <w:tcW w:w="4680" w:type="dxa"/>
            <w:vAlign w:val="bottom"/>
            <w:tcBorders>
              <w:top w:val="single" w:sz="8" w:color="auto"/>
            </w:tcBorders>
            <w:shd w:val="clear" w:color="auto" w:fill="C5E7F7"/>
          </w:tcPr>
          <w:p>
            <w:pPr>
              <w:spacing w:after="0"/>
              <w:rPr>
                <w:sz w:val="20"/>
                <w:szCs w:val="20"/>
                <w:color w:val="auto"/>
              </w:rPr>
            </w:pPr>
            <w:r>
              <w:rPr>
                <w:rFonts w:ascii="Arial" w:cs="Arial" w:eastAsia="Arial" w:hAnsi="Arial"/>
                <w:sz w:val="16"/>
                <w:szCs w:val="16"/>
                <w:color w:val="auto"/>
              </w:rPr>
              <w:t>[●], 2022</w:t>
            </w: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440" w:type="dxa"/>
            <w:vAlign w:val="bottom"/>
            <w:tcBorders>
              <w:top w:val="single" w:sz="8" w:color="auto"/>
            </w:tcBorders>
            <w:shd w:val="clear" w:color="auto" w:fill="C5E7F7"/>
          </w:tcPr>
          <w:p>
            <w:pPr>
              <w:spacing w:after="0"/>
              <w:rPr>
                <w:sz w:val="16"/>
                <w:szCs w:val="16"/>
                <w:color w:val="auto"/>
              </w:rPr>
            </w:pPr>
          </w:p>
        </w:tc>
        <w:tc>
          <w:tcPr>
            <w:tcW w:w="10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c>
          <w:tcPr>
            <w:tcW w:w="120" w:type="dxa"/>
            <w:vAlign w:val="bottom"/>
            <w:tcBorders>
              <w:top w:val="single" w:sz="8" w:color="C5E7F7"/>
            </w:tcBorders>
            <w:shd w:val="clear" w:color="auto" w:fill="C5E7F7"/>
          </w:tcPr>
          <w:p>
            <w:pPr>
              <w:spacing w:after="0"/>
              <w:rPr>
                <w:sz w:val="16"/>
                <w:szCs w:val="16"/>
                <w:color w:val="auto"/>
              </w:rPr>
            </w:pPr>
          </w:p>
        </w:tc>
        <w:tc>
          <w:tcPr>
            <w:tcW w:w="560" w:type="dxa"/>
            <w:vAlign w:val="bottom"/>
            <w:tcBorders>
              <w:top w:val="single" w:sz="8" w:color="auto"/>
            </w:tcBorders>
            <w:shd w:val="clear" w:color="auto" w:fill="C5E7F7"/>
          </w:tcPr>
          <w:p>
            <w:pPr>
              <w:spacing w:after="0"/>
              <w:rPr>
                <w:sz w:val="16"/>
                <w:szCs w:val="16"/>
                <w:color w:val="auto"/>
              </w:rPr>
            </w:pPr>
          </w:p>
        </w:tc>
      </w:tr>
      <w:tr>
        <w:trPr>
          <w:trHeight w:val="191"/>
        </w:trPr>
        <w:tc>
          <w:tcPr>
            <w:tcW w:w="4780" w:type="dxa"/>
            <w:vAlign w:val="bottom"/>
            <w:gridSpan w:val="2"/>
          </w:tcPr>
          <w:p>
            <w:pPr>
              <w:spacing w:after="0"/>
              <w:rPr>
                <w:sz w:val="20"/>
                <w:szCs w:val="20"/>
                <w:color w:val="auto"/>
              </w:rPr>
            </w:pPr>
            <w:r>
              <w:rPr>
                <w:rFonts w:ascii="Arial" w:cs="Arial" w:eastAsia="Arial" w:hAnsi="Arial"/>
                <w:sz w:val="16"/>
                <w:szCs w:val="16"/>
                <w:color w:val="auto"/>
              </w:rPr>
              <w:t>[●], 2023</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4780" w:type="dxa"/>
            <w:vAlign w:val="bottom"/>
            <w:gridSpan w:val="2"/>
            <w:shd w:val="clear" w:color="auto" w:fill="C5E7F7"/>
          </w:tcPr>
          <w:p>
            <w:pPr>
              <w:spacing w:after="0"/>
              <w:rPr>
                <w:sz w:val="20"/>
                <w:szCs w:val="20"/>
                <w:color w:val="auto"/>
              </w:rPr>
            </w:pPr>
            <w:r>
              <w:rPr>
                <w:rFonts w:ascii="Arial" w:cs="Arial" w:eastAsia="Arial" w:hAnsi="Arial"/>
                <w:sz w:val="16"/>
                <w:szCs w:val="16"/>
                <w:color w:val="auto"/>
              </w:rPr>
              <w:t>[●], 2024</w:t>
            </w:r>
          </w:p>
        </w:tc>
        <w:tc>
          <w:tcPr>
            <w:tcW w:w="560" w:type="dxa"/>
            <w:vAlign w:val="bottom"/>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44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r>
      <w:tr>
        <w:trPr>
          <w:trHeight w:val="191"/>
        </w:trPr>
        <w:tc>
          <w:tcPr>
            <w:tcW w:w="4780" w:type="dxa"/>
            <w:vAlign w:val="bottom"/>
            <w:gridSpan w:val="2"/>
          </w:tcPr>
          <w:p>
            <w:pPr>
              <w:spacing w:after="0"/>
              <w:rPr>
                <w:sz w:val="20"/>
                <w:szCs w:val="20"/>
                <w:color w:val="auto"/>
              </w:rPr>
            </w:pPr>
            <w:r>
              <w:rPr>
                <w:rFonts w:ascii="Arial" w:cs="Arial" w:eastAsia="Arial" w:hAnsi="Arial"/>
                <w:sz w:val="16"/>
                <w:szCs w:val="16"/>
                <w:color w:val="auto"/>
              </w:rPr>
              <w:t>[●], 2025</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1"/>
        </w:trPr>
        <w:tc>
          <w:tcPr>
            <w:tcW w:w="4780" w:type="dxa"/>
            <w:vAlign w:val="bottom"/>
            <w:gridSpan w:val="2"/>
            <w:shd w:val="clear" w:color="auto" w:fill="C5E7F7"/>
          </w:tcPr>
          <w:p>
            <w:pPr>
              <w:spacing w:after="0"/>
              <w:rPr>
                <w:sz w:val="20"/>
                <w:szCs w:val="20"/>
                <w:color w:val="auto"/>
              </w:rPr>
            </w:pPr>
            <w:r>
              <w:rPr>
                <w:rFonts w:ascii="Arial" w:cs="Arial" w:eastAsia="Arial" w:hAnsi="Arial"/>
                <w:sz w:val="16"/>
                <w:szCs w:val="16"/>
                <w:color w:val="auto"/>
              </w:rPr>
              <w:t>[●], 2026</w:t>
            </w:r>
          </w:p>
        </w:tc>
        <w:tc>
          <w:tcPr>
            <w:tcW w:w="560" w:type="dxa"/>
            <w:vAlign w:val="bottom"/>
            <w:shd w:val="clear" w:color="auto" w:fill="C5E7F7"/>
          </w:tcPr>
          <w:p>
            <w:pPr>
              <w:jc w:val="center"/>
              <w:spacing w:after="0"/>
              <w:rPr>
                <w:sz w:val="20"/>
                <w:szCs w:val="20"/>
                <w:color w:val="auto"/>
              </w:rPr>
            </w:pPr>
            <w:r>
              <w:rPr>
                <w:rFonts w:ascii="Arial" w:cs="Arial" w:eastAsia="Arial" w:hAnsi="Arial"/>
                <w:sz w:val="16"/>
                <w:szCs w:val="16"/>
                <w:color w:val="auto"/>
                <w:w w:val="89"/>
              </w:rPr>
              <w:t>13.0430</w:t>
            </w: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440" w:type="dxa"/>
            <w:vAlign w:val="bottom"/>
            <w:shd w:val="clear" w:color="auto" w:fill="C5E7F7"/>
          </w:tcPr>
          <w:p>
            <w:pPr>
              <w:spacing w:after="0"/>
              <w:rPr>
                <w:sz w:val="16"/>
                <w:szCs w:val="16"/>
                <w:color w:val="auto"/>
              </w:rPr>
            </w:pPr>
          </w:p>
        </w:tc>
        <w:tc>
          <w:tcPr>
            <w:tcW w:w="10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c>
          <w:tcPr>
            <w:tcW w:w="120" w:type="dxa"/>
            <w:vAlign w:val="bottom"/>
            <w:shd w:val="clear" w:color="auto" w:fill="C5E7F7"/>
          </w:tcPr>
          <w:p>
            <w:pPr>
              <w:spacing w:after="0"/>
              <w:rPr>
                <w:sz w:val="16"/>
                <w:szCs w:val="16"/>
                <w:color w:val="auto"/>
              </w:rPr>
            </w:pPr>
          </w:p>
        </w:tc>
        <w:tc>
          <w:tcPr>
            <w:tcW w:w="560" w:type="dxa"/>
            <w:vAlign w:val="bottom"/>
            <w:shd w:val="clear" w:color="auto" w:fill="C5E7F7"/>
          </w:tcPr>
          <w:p>
            <w:pPr>
              <w:spacing w:after="0"/>
              <w:rPr>
                <w:sz w:val="16"/>
                <w:szCs w:val="16"/>
                <w:color w:val="auto"/>
              </w:rPr>
            </w:pPr>
          </w:p>
        </w:tc>
      </w:tr>
    </w:tbl>
    <w:p>
      <w:pPr>
        <w:spacing w:after="0" w:line="17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exact Stock Prices and Effective Dates or Redemption Notice Dates may not be set forth in the table above, in which case:</w:t>
      </w:r>
    </w:p>
    <w:p>
      <w:pPr>
        <w:spacing w:after="0" w:line="198" w:lineRule="exact"/>
        <w:rPr>
          <w:sz w:val="20"/>
          <w:szCs w:val="20"/>
          <w:color w:val="auto"/>
        </w:rPr>
      </w:pPr>
    </w:p>
    <w:p>
      <w:pPr>
        <w:jc w:val="both"/>
        <w:ind w:left="4" w:firstLine="1716"/>
        <w:spacing w:after="0" w:line="258" w:lineRule="auto"/>
        <w:tabs>
          <w:tab w:leader="none" w:pos="192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or Redemption Notice Date, as applicable, is between two Effective Dates or Redemption Notice Dates, as applicable, in the table, the number of Additional Shares by which the Conversion Rate shall be increased shall be determined by a straight-line interpolation between the number of Additional Shares set forth for the higher and lower Stock Prices and the earlier and later Effective Dates or Redemption Notice Dates, as applicable, based on a 365- or 366-day year, as applicable;</w:t>
      </w:r>
    </w:p>
    <w:p>
      <w:pPr>
        <w:spacing w:after="0" w:line="164" w:lineRule="exact"/>
        <w:rPr>
          <w:rFonts w:ascii="Arial" w:cs="Arial" w:eastAsia="Arial" w:hAnsi="Arial"/>
          <w:sz w:val="16"/>
          <w:szCs w:val="16"/>
          <w:color w:val="auto"/>
        </w:rPr>
      </w:pPr>
    </w:p>
    <w:p>
      <w:pPr>
        <w:ind w:left="4" w:right="20" w:firstLine="1716"/>
        <w:spacing w:after="0" w:line="275" w:lineRule="auto"/>
        <w:tabs>
          <w:tab w:leader="none" w:pos="196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the Stock Price is greater than $50.00 per share (subject to adjustment in the same manner as the Stock Prices set forth in the column headings of the table above pursuant to subsection (d) above), no Additional Shares shall be added to the Conversion Rate;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79070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8" w:lineRule="exact"/>
        <w:rPr>
          <w:sz w:val="20"/>
          <w:szCs w:val="20"/>
          <w:color w:val="auto"/>
        </w:rPr>
      </w:pPr>
    </w:p>
    <w:p>
      <w:pPr>
        <w:ind w:left="584" w:hanging="584"/>
        <w:spacing w:after="0" w:line="229" w:lineRule="auto"/>
        <w:tabs>
          <w:tab w:leader="none" w:pos="166" w:val="left"/>
        </w:tabs>
        <w:numPr>
          <w:ilvl w:val="0"/>
          <w:numId w:val="174"/>
        </w:numPr>
        <w:rPr>
          <w:rFonts w:ascii="Arial" w:cs="Arial" w:eastAsia="Arial" w:hAnsi="Arial"/>
          <w:sz w:val="22"/>
          <w:szCs w:val="22"/>
          <w:color w:val="auto"/>
          <w:vertAlign w:val="superscript"/>
        </w:rPr>
      </w:pPr>
      <w:r>
        <w:rPr>
          <w:rFonts w:ascii="Arial" w:cs="Arial" w:eastAsia="Arial" w:hAnsi="Arial"/>
          <w:sz w:val="14"/>
          <w:szCs w:val="14"/>
          <w:color w:val="auto"/>
        </w:rPr>
        <w:t>NTD: Table to be completed prior to issuance using customary methodology with the assistance of a nationally recognized investment bank that has experience with convertible notes of this type.</w:t>
      </w:r>
    </w:p>
    <w:p>
      <w:pPr>
        <w:ind w:left="164" w:hanging="164"/>
        <w:spacing w:after="0" w:line="181" w:lineRule="auto"/>
        <w:tabs>
          <w:tab w:leader="none" w:pos="164" w:val="left"/>
        </w:tabs>
        <w:numPr>
          <w:ilvl w:val="0"/>
          <w:numId w:val="174"/>
        </w:numPr>
        <w:rPr>
          <w:rFonts w:ascii="Arial" w:cs="Arial" w:eastAsia="Arial" w:hAnsi="Arial"/>
          <w:sz w:val="22"/>
          <w:szCs w:val="22"/>
          <w:color w:val="auto"/>
          <w:vertAlign w:val="superscript"/>
        </w:rPr>
      </w:pPr>
      <w:r>
        <w:rPr>
          <w:rFonts w:ascii="Arial" w:cs="Arial" w:eastAsia="Arial" w:hAnsi="Arial"/>
          <w:sz w:val="14"/>
          <w:szCs w:val="14"/>
          <w:color w:val="auto"/>
        </w:rPr>
        <w:t>NTD: Bankers to confirm.</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6" w:name="page167"/>
    <w:bookmarkEnd w:id="166"/>
    <w:p>
      <w:pPr>
        <w:ind w:left="4" w:right="20" w:firstLine="1716"/>
        <w:spacing w:after="0" w:line="275" w:lineRule="auto"/>
        <w:tabs>
          <w:tab w:leader="none" w:pos="200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the Stock Price is less than $10.00 per share (subject to adjustment in the same manner as the Stock Prices set forth in the column headings of the table above pursuant to subsection (d) above), no Additional Shares shall be added to the Conversion Rate.</w:t>
      </w:r>
    </w:p>
    <w:p>
      <w:pPr>
        <w:spacing w:after="0" w:line="152"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Notwithstanding the foregoing, in no event shall the Conversion Rate per $1,000 principal amount of Notes exceed [●] shares of Common Stock, subject to adjustment in the same manner as the Conversion Rate pursuant to Section 14.04.</w:t>
      </w:r>
    </w:p>
    <w:p>
      <w:pPr>
        <w:spacing w:after="0" w:line="152" w:lineRule="exact"/>
        <w:rPr>
          <w:sz w:val="20"/>
          <w:szCs w:val="20"/>
          <w:color w:val="auto"/>
        </w:rPr>
      </w:pPr>
    </w:p>
    <w:p>
      <w:pPr>
        <w:ind w:left="4" w:right="20" w:firstLine="1143"/>
        <w:spacing w:after="0" w:line="275" w:lineRule="auto"/>
        <w:tabs>
          <w:tab w:leader="none" w:pos="135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Nothing in this Section 14.04 shall prevent an adjustment to the Conversion Rate that would otherwise be required pursuant to Section 14.04 in respect of a Make-Whole Fundamental Change.</w:t>
      </w:r>
    </w:p>
    <w:p>
      <w:pPr>
        <w:spacing w:after="0" w:line="152" w:lineRule="exact"/>
        <w:rPr>
          <w:sz w:val="20"/>
          <w:szCs w:val="20"/>
          <w:color w:val="auto"/>
        </w:rPr>
      </w:pPr>
    </w:p>
    <w:p>
      <w:pPr>
        <w:ind w:left="4" w:firstLine="574"/>
        <w:spacing w:after="0" w:line="294" w:lineRule="auto"/>
        <w:rPr>
          <w:sz w:val="20"/>
          <w:szCs w:val="20"/>
          <w:color w:val="auto"/>
        </w:rPr>
      </w:pPr>
      <w:r>
        <w:rPr>
          <w:rFonts w:ascii="Arial" w:cs="Arial" w:eastAsia="Arial" w:hAnsi="Arial"/>
          <w:sz w:val="14"/>
          <w:szCs w:val="14"/>
          <w:color w:val="auto"/>
        </w:rPr>
        <w:t xml:space="preserve">Section 14.05. </w:t>
      </w:r>
      <w:r>
        <w:rPr>
          <w:rFonts w:ascii="Arial" w:cs="Arial" w:eastAsia="Arial" w:hAnsi="Arial"/>
          <w:sz w:val="14"/>
          <w:szCs w:val="14"/>
          <w:i w:val="1"/>
          <w:iCs w:val="1"/>
          <w:color w:val="auto"/>
        </w:rPr>
        <w:t>Adjustment of Conversion Rate</w:t>
      </w:r>
      <w:r>
        <w:rPr>
          <w:rFonts w:ascii="Arial" w:cs="Arial" w:eastAsia="Arial" w:hAnsi="Arial"/>
          <w:sz w:val="14"/>
          <w:szCs w:val="14"/>
          <w:color w:val="auto"/>
        </w:rPr>
        <w:t>.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w:t>
      </w:r>
    </w:p>
    <w:p>
      <w:pPr>
        <w:spacing w:after="0" w:line="1" w:lineRule="exact"/>
        <w:rPr>
          <w:sz w:val="20"/>
          <w:szCs w:val="20"/>
          <w:color w:val="auto"/>
        </w:rPr>
      </w:pPr>
    </w:p>
    <w:p>
      <w:pPr>
        <w:jc w:val="both"/>
        <w:ind w:left="4" w:right="20" w:hanging="4"/>
        <w:spacing w:after="0" w:line="272" w:lineRule="auto"/>
        <w:tabs>
          <w:tab w:leader="none" w:pos="231"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principal amount (expressed in thousands) of Notes held by such Holder. Neither the Trustee nor the Conversion Agent shall have any responsibility to verify the accuracy of any adjustment to the Conversion Rate. The Company shall notify the Holders, the Trustee and the Conversion Agent promptly in writing of any adjustments to the Conversion Rate, which adjustments shall be conclusive and binding on holders, absent manifest error.</w:t>
      </w:r>
    </w:p>
    <w:p>
      <w:pPr>
        <w:spacing w:after="0" w:line="157" w:lineRule="exact"/>
        <w:rPr>
          <w:rFonts w:ascii="Arial" w:cs="Arial" w:eastAsia="Arial" w:hAnsi="Arial"/>
          <w:sz w:val="15"/>
          <w:szCs w:val="15"/>
          <w:color w:val="auto"/>
        </w:rPr>
      </w:pPr>
    </w:p>
    <w:p>
      <w:pPr>
        <w:ind w:left="4" w:right="20" w:firstLine="1143"/>
        <w:spacing w:after="0" w:line="309" w:lineRule="auto"/>
        <w:tabs>
          <w:tab w:leader="none" w:pos="1370" w:val="left"/>
        </w:tabs>
        <w:numPr>
          <w:ilvl w:val="1"/>
          <w:numId w:val="177"/>
        </w:numPr>
        <w:rPr>
          <w:rFonts w:ascii="Arial" w:cs="Arial" w:eastAsia="Arial" w:hAnsi="Arial"/>
          <w:sz w:val="15"/>
          <w:szCs w:val="15"/>
          <w:color w:val="auto"/>
        </w:rPr>
      </w:pPr>
      <w:r>
        <w:rPr>
          <w:rFonts w:ascii="Arial" w:cs="Arial" w:eastAsia="Arial" w:hAnsi="Arial"/>
          <w:sz w:val="15"/>
          <w:szCs w:val="15"/>
          <w:color w:val="auto"/>
        </w:rPr>
        <w:t>If the Company exclusively issues shares of Common Stock as a dividend or distribution on shares of the Common Stock to all or substantially all holders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90170</wp:posOffset>
            </wp:positionV>
            <wp:extent cx="880110" cy="341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011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64"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10120" w:type="dxa"/>
            <w:vAlign w:val="bottom"/>
          </w:tcPr>
          <w:p>
            <w:pPr>
              <w:spacing w:after="0"/>
              <w:rPr>
                <w:sz w:val="17"/>
                <w:szCs w:val="17"/>
                <w:color w:val="auto"/>
              </w:rPr>
            </w:pP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60"/>
              <w:spacing w:after="0"/>
              <w:rPr>
                <w:sz w:val="20"/>
                <w:szCs w:val="20"/>
                <w:color w:val="auto"/>
              </w:rPr>
            </w:pPr>
            <w:r>
              <w:rPr>
                <w:rFonts w:ascii="Arial" w:cs="Arial" w:eastAsia="Arial" w:hAnsi="Arial"/>
                <w:sz w:val="16"/>
                <w:szCs w:val="16"/>
                <w:color w:val="auto"/>
                <w:w w:val="91"/>
              </w:rPr>
              <w:t>the Conversion Rate in effect immediately prior to the open of business on the Ex-Dividend Date of such dividend or distribution, or immediately prior to the</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60"/>
              <w:spacing w:after="0"/>
              <w:rPr>
                <w:sz w:val="20"/>
                <w:szCs w:val="20"/>
                <w:color w:val="auto"/>
              </w:rPr>
            </w:pPr>
            <w:r>
              <w:rPr>
                <w:rFonts w:ascii="Arial" w:cs="Arial" w:eastAsia="Arial" w:hAnsi="Arial"/>
                <w:sz w:val="16"/>
                <w:szCs w:val="16"/>
                <w:color w:val="auto"/>
              </w:rPr>
              <w:t>open of business on the Effective Date of such share split or share combination, as applicable;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 or Effective Date, as applicable;</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OS0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2"/>
              </w:rPr>
              <w:t>the number of shares of Common Stock outstanding immediately prior to the open of business on such Ex-Dividend Date or Effective Date, as applicable;</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and</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OS’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5"/>
              </w:rPr>
              <w:t>the number of shares of Common Stock outstanding immediately after giving effect to such dividend, distribution, share split or share combination, as</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applicable.</w:t>
            </w:r>
          </w:p>
        </w:tc>
      </w:tr>
    </w:tbl>
    <w:p>
      <w:pPr>
        <w:spacing w:after="0" w:line="178"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Company determines in good faith not to pay such dividend or distribution, to the Conversion Rate that would then be in effect if such dividend or distribution had not been declared.</w:t>
      </w:r>
    </w:p>
    <w:p>
      <w:pPr>
        <w:spacing w:after="0" w:line="32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67" w:name="page168"/>
    <w:bookmarkEnd w:id="167"/>
    <w:p>
      <w:pPr>
        <w:jc w:val="both"/>
        <w:ind w:firstLine="1143"/>
        <w:spacing w:after="0" w:line="306" w:lineRule="auto"/>
        <w:tabs>
          <w:tab w:leader="none" w:pos="1377"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93980</wp:posOffset>
            </wp:positionV>
            <wp:extent cx="1100455" cy="3263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0455" cy="32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7840" w:type="dxa"/>
            <w:vAlign w:val="bottom"/>
          </w:tcPr>
          <w:p>
            <w:pPr>
              <w:spacing w:after="0"/>
              <w:rPr>
                <w:sz w:val="17"/>
                <w:szCs w:val="17"/>
                <w:color w:val="auto"/>
              </w:rPr>
            </w:pP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60"/>
              <w:spacing w:after="0"/>
              <w:rPr>
                <w:sz w:val="20"/>
                <w:szCs w:val="20"/>
                <w:color w:val="auto"/>
              </w:rPr>
            </w:pPr>
            <w:r>
              <w:rPr>
                <w:rFonts w:ascii="Arial" w:cs="Arial" w:eastAsia="Arial" w:hAnsi="Arial"/>
                <w:sz w:val="16"/>
                <w:szCs w:val="16"/>
                <w:color w:val="auto"/>
                <w:w w:val="95"/>
              </w:rPr>
              <w:t>the Conversion Rate in effect immediately prior to the open of business on the Ex-Dividend Date for such issuance;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OS0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40" w:type="dxa"/>
            <w:vAlign w:val="bottom"/>
          </w:tcPr>
          <w:p>
            <w:pPr>
              <w:ind w:left="40"/>
              <w:spacing w:after="0"/>
              <w:rPr>
                <w:sz w:val="20"/>
                <w:szCs w:val="20"/>
                <w:color w:val="auto"/>
              </w:rPr>
            </w:pPr>
            <w:r>
              <w:rPr>
                <w:rFonts w:ascii="Arial" w:cs="Arial" w:eastAsia="Arial" w:hAnsi="Arial"/>
                <w:sz w:val="16"/>
                <w:szCs w:val="16"/>
                <w:color w:val="auto"/>
                <w:w w:val="90"/>
              </w:rPr>
              <w:t>the number of shares of Common Stock outstanding immediately prior to the open of business on such Ex-Dividend Date;</w:t>
            </w:r>
          </w:p>
        </w:tc>
      </w:tr>
    </w:tbl>
    <w:p>
      <w:pPr>
        <w:spacing w:after="0" w:line="178" w:lineRule="exact"/>
        <w:rPr>
          <w:sz w:val="20"/>
          <w:szCs w:val="20"/>
          <w:color w:val="auto"/>
        </w:rPr>
      </w:pPr>
    </w:p>
    <w:p>
      <w:pPr>
        <w:ind w:left="960" w:hanging="391"/>
        <w:spacing w:after="0"/>
        <w:tabs>
          <w:tab w:leader="none" w:pos="96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the total number of shares of Common Stock issuable pursuant to such rights, options or warrants; and</w:t>
      </w:r>
    </w:p>
    <w:p>
      <w:pPr>
        <w:spacing w:after="0" w:line="198" w:lineRule="exact"/>
        <w:rPr>
          <w:sz w:val="20"/>
          <w:szCs w:val="20"/>
          <w:color w:val="auto"/>
        </w:rPr>
      </w:pPr>
    </w:p>
    <w:p>
      <w:pPr>
        <w:ind w:left="1160" w:right="20" w:hanging="591"/>
        <w:spacing w:after="0" w:line="262" w:lineRule="auto"/>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the number of shares of Common Stock equal to the aggregate price payable to exercise such rights, options or warrants, divided by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16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Any increase made under this Section 14.04(a)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or if no such rights, options or warrants are exercised prior to their expiration, the Conversion Rate shall be decreased to the Conversion Rate that would then be in effect if such Ex-Dividend Date for such issuance had not occurred.</w:t>
      </w:r>
    </w:p>
    <w:p>
      <w:pPr>
        <w:spacing w:after="0" w:line="170"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For purposes of this Section 14.04(a) and for the purpose of Section 14.01(b)(ii)(A), in determining whether any rights, options or warrants entitle the holders of the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spacing w:after="0" w:line="155" w:lineRule="exact"/>
        <w:rPr>
          <w:sz w:val="20"/>
          <w:szCs w:val="20"/>
          <w:color w:val="auto"/>
        </w:rPr>
      </w:pPr>
    </w:p>
    <w:p>
      <w:pPr>
        <w:jc w:val="both"/>
        <w:ind w:right="20" w:firstLine="1143"/>
        <w:spacing w:after="0" w:line="273" w:lineRule="auto"/>
        <w:tabs>
          <w:tab w:leader="none" w:pos="1365" w:val="left"/>
        </w:tabs>
        <w:numPr>
          <w:ilvl w:val="0"/>
          <w:numId w:val="181"/>
        </w:numPr>
        <w:rPr>
          <w:rFonts w:ascii="Arial" w:cs="Arial" w:eastAsia="Arial" w:hAnsi="Arial"/>
          <w:sz w:val="15"/>
          <w:szCs w:val="15"/>
          <w:color w:val="auto"/>
        </w:rPr>
      </w:pPr>
      <w:r>
        <w:rPr>
          <w:rFonts w:ascii="Arial" w:cs="Arial" w:eastAsia="Arial" w:hAnsi="Arial"/>
          <w:sz w:val="15"/>
          <w:szCs w:val="15"/>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(or would be effected, disregarding the 1% Provision) pursuant to Section 14.04(a) or Section 14.04(b), (ii) rights issued under a stockholders rights plan (except as provided in Section 14.11), (iii) dividends or distributions paid exclusively in cash as to which the provisions set forth in Section 14.04(d) shall apply, (iv) distributions of Reference Property in exchange for, or upon conversion of, Common Stock in a Merger Event and (v) Spin-Offs as to which the provisions set forth in this Section 14.04(c) shall apply (any of such shares of Capital Stock, evidences of indebtedness, other assets or property or rights, options or warrants to acquire Capital Stock or other securities, the “</w:t>
      </w:r>
      <w:r>
        <w:rPr>
          <w:rFonts w:ascii="Arial" w:cs="Arial" w:eastAsia="Arial" w:hAnsi="Arial"/>
          <w:sz w:val="15"/>
          <w:szCs w:val="15"/>
          <w:b w:val="1"/>
          <w:bCs w:val="1"/>
          <w:color w:val="auto"/>
        </w:rPr>
        <w:t>Distributed Property</w:t>
      </w:r>
      <w:r>
        <w:rPr>
          <w:rFonts w:ascii="Arial" w:cs="Arial" w:eastAsia="Arial" w:hAnsi="Arial"/>
          <w:sz w:val="15"/>
          <w:szCs w:val="15"/>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107315</wp:posOffset>
            </wp:positionV>
            <wp:extent cx="1244600" cy="3340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446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68" w:name="page169"/>
    <w:bookmarkEnd w:id="168"/>
    <w:tbl>
      <w:tblPr>
        <w:tblLayout w:type="fixed"/>
        <w:tblInd w:w="564" w:type="dxa"/>
        <w:tblCellMar>
          <w:top w:w="0" w:type="dxa"/>
          <w:left w:w="0" w:type="dxa"/>
          <w:bottom w:w="0" w:type="dxa"/>
          <w:right w:w="0" w:type="dxa"/>
        </w:tblCellMar>
      </w:tblPr>
      <w:tr>
        <w:trPr>
          <w:trHeight w:val="204"/>
        </w:trPr>
        <w:tc>
          <w:tcPr>
            <w:tcW w:w="560" w:type="dxa"/>
            <w:vAlign w:val="bottom"/>
            <w:gridSpan w:val="2"/>
          </w:tcPr>
          <w:p>
            <w:pPr>
              <w:spacing w:after="0"/>
              <w:rPr>
                <w:sz w:val="20"/>
                <w:szCs w:val="20"/>
                <w:color w:val="auto"/>
              </w:rPr>
            </w:pPr>
            <w:r>
              <w:rPr>
                <w:rFonts w:ascii="Arial" w:cs="Arial" w:eastAsia="Arial" w:hAnsi="Arial"/>
                <w:sz w:val="16"/>
                <w:szCs w:val="16"/>
                <w:color w:val="auto"/>
              </w:rPr>
              <w:t>where,</w:t>
            </w:r>
          </w:p>
        </w:tc>
        <w:tc>
          <w:tcPr>
            <w:tcW w:w="10120" w:type="dxa"/>
            <w:vAlign w:val="bottom"/>
          </w:tcPr>
          <w:p>
            <w:pPr>
              <w:spacing w:after="0"/>
              <w:rPr>
                <w:sz w:val="17"/>
                <w:szCs w:val="17"/>
                <w:color w:val="auto"/>
              </w:rPr>
            </w:pP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60"/>
              <w:spacing w:after="0"/>
              <w:rPr>
                <w:sz w:val="20"/>
                <w:szCs w:val="20"/>
                <w:color w:val="auto"/>
              </w:rPr>
            </w:pPr>
            <w:r>
              <w:rPr>
                <w:rFonts w:ascii="Arial" w:cs="Arial" w:eastAsia="Arial" w:hAnsi="Arial"/>
                <w:sz w:val="16"/>
                <w:szCs w:val="16"/>
                <w:color w:val="auto"/>
              </w:rPr>
              <w:t>the Conversion Rate in effect immediately prior to the open of business on the Ex-Dividend Date for such distribution;</w:t>
            </w:r>
          </w:p>
        </w:tc>
      </w:tr>
      <w:tr>
        <w:trPr>
          <w:trHeight w:val="382"/>
        </w:trPr>
        <w:tc>
          <w:tcPr>
            <w:tcW w:w="360" w:type="dxa"/>
            <w:vAlign w:val="bottom"/>
          </w:tcPr>
          <w:p>
            <w:pPr>
              <w:spacing w:after="0"/>
              <w:rPr>
                <w:sz w:val="20"/>
                <w:szCs w:val="20"/>
                <w:color w:val="auto"/>
              </w:rPr>
            </w:pPr>
            <w:r>
              <w:rPr>
                <w:rFonts w:ascii="Arial" w:cs="Arial" w:eastAsia="Arial" w:hAnsi="Arial"/>
                <w:sz w:val="16"/>
                <w:szCs w:val="16"/>
                <w:color w:val="auto"/>
              </w:rPr>
              <w:t>CR’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tc>
      </w:tr>
      <w:tr>
        <w:trPr>
          <w:trHeight w:val="370"/>
        </w:trPr>
        <w:tc>
          <w:tcPr>
            <w:tcW w:w="360" w:type="dxa"/>
            <w:vAlign w:val="bottom"/>
          </w:tcPr>
          <w:p>
            <w:pPr>
              <w:spacing w:after="0"/>
              <w:rPr>
                <w:sz w:val="20"/>
                <w:szCs w:val="20"/>
                <w:color w:val="auto"/>
              </w:rPr>
            </w:pPr>
            <w:r>
              <w:rPr>
                <w:rFonts w:ascii="Arial" w:cs="Arial" w:eastAsia="Arial" w:hAnsi="Arial"/>
                <w:sz w:val="16"/>
                <w:szCs w:val="16"/>
                <w:color w:val="auto"/>
              </w:rPr>
              <w:t>SP0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120" w:type="dxa"/>
            <w:vAlign w:val="bottom"/>
          </w:tcPr>
          <w:p>
            <w:pPr>
              <w:ind w:left="40"/>
              <w:spacing w:after="0"/>
              <w:rPr>
                <w:sz w:val="20"/>
                <w:szCs w:val="20"/>
                <w:color w:val="auto"/>
              </w:rPr>
            </w:pPr>
            <w:r>
              <w:rPr>
                <w:rFonts w:ascii="Arial" w:cs="Arial" w:eastAsia="Arial" w:hAnsi="Arial"/>
                <w:sz w:val="16"/>
                <w:szCs w:val="16"/>
                <w:color w:val="auto"/>
                <w:w w:val="92"/>
              </w:rPr>
              <w:t>the average of the Last Reported Sale Prices of the Common Stock over the 10 consecutive Trading Day period ending on, and including, the Trading Day</w:t>
            </w:r>
          </w:p>
        </w:tc>
      </w:tr>
      <w:tr>
        <w:trPr>
          <w:trHeight w:val="204"/>
        </w:trPr>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tcPr>
          <w:p>
            <w:pPr>
              <w:ind w:left="40"/>
              <w:spacing w:after="0"/>
              <w:rPr>
                <w:sz w:val="20"/>
                <w:szCs w:val="20"/>
                <w:color w:val="auto"/>
              </w:rPr>
            </w:pPr>
            <w:r>
              <w:rPr>
                <w:rFonts w:ascii="Arial" w:cs="Arial" w:eastAsia="Arial" w:hAnsi="Arial"/>
                <w:sz w:val="16"/>
                <w:szCs w:val="16"/>
                <w:color w:val="auto"/>
              </w:rPr>
              <w:t>immediately preceding the Ex-Dividend Date for such distribution; and</w:t>
            </w:r>
          </w:p>
        </w:tc>
      </w:tr>
    </w:tbl>
    <w:p>
      <w:pPr>
        <w:spacing w:after="0" w:line="178" w:lineRule="exact"/>
        <w:rPr>
          <w:sz w:val="20"/>
          <w:szCs w:val="20"/>
          <w:color w:val="auto"/>
        </w:rPr>
      </w:pPr>
    </w:p>
    <w:p>
      <w:pPr>
        <w:jc w:val="both"/>
        <w:ind w:left="1204" w:hanging="632"/>
        <w:spacing w:after="0" w:line="275" w:lineRule="auto"/>
        <w:rPr>
          <w:sz w:val="20"/>
          <w:szCs w:val="20"/>
          <w:color w:val="auto"/>
        </w:rPr>
      </w:pPr>
      <w:r>
        <w:rPr>
          <w:rFonts w:ascii="Arial" w:cs="Arial" w:eastAsia="Arial" w:hAnsi="Arial"/>
          <w:sz w:val="16"/>
          <w:szCs w:val="16"/>
          <w:color w:val="auto"/>
        </w:rPr>
        <w:t>FMV = the fair market value (as determined by the Company in good faith) of the Distributed Property with respect to each outstanding share of the Common Stock on the Ex-Dividend Date for such distribution.</w:t>
      </w:r>
    </w:p>
    <w:p>
      <w:pPr>
        <w:spacing w:after="0" w:line="152"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In the case of any distribution of rights, options or warrants, to the extent such rights, options or warrants expire unexercised, the Conversion Rate shall be immediately readjusted to the Conversion Rate that would then be in effect had such unexercised rights, options or warrants not been distributed.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69"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With respect to an adjustment pursuant to this Section 14.04(c) where there has been a payment of a dividend or other distribution on the Common Stock of shares of Capital Stock of any class or series, or similar equity interest, of or relating to a Subsidiary, other business unit or Affiliate of the Company, that are, or, when issued, will be, listed or admitted for trading on a U.S. national securities exchange (a “</w:t>
      </w:r>
      <w:r>
        <w:rPr>
          <w:rFonts w:ascii="Arial" w:cs="Arial" w:eastAsia="Arial" w:hAnsi="Arial"/>
          <w:sz w:val="14"/>
          <w:szCs w:val="14"/>
          <w:b w:val="1"/>
          <w:bCs w:val="1"/>
          <w:color w:val="auto"/>
        </w:rPr>
        <w:t>Spin-Off</w:t>
      </w:r>
      <w:r>
        <w:rPr>
          <w:rFonts w:ascii="Arial" w:cs="Arial" w:eastAsia="Arial" w:hAnsi="Arial"/>
          <w:sz w:val="14"/>
          <w:szCs w:val="14"/>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88265</wp:posOffset>
            </wp:positionV>
            <wp:extent cx="1244600" cy="3340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4460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4"/>
          </w:cols>
          <w:pgMar w:left="316" w:top="318" w:right="319" w:bottom="1440" w:gutter="0" w:footer="0" w:header="0"/>
        </w:sectPr>
      </w:pPr>
    </w:p>
    <w:p>
      <w:pPr>
        <w:spacing w:after="0" w:line="198" w:lineRule="exact"/>
        <w:rPr>
          <w:sz w:val="20"/>
          <w:szCs w:val="20"/>
          <w:color w:val="auto"/>
        </w:rPr>
      </w:pPr>
    </w:p>
    <w:p>
      <w:pPr>
        <w:ind w:left="564"/>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prior to the end of the Valuation Period;</w:t>
      </w:r>
    </w:p>
    <w:p>
      <w:pPr>
        <w:spacing w:after="0" w:line="211" w:lineRule="exact"/>
        <w:rPr>
          <w:sz w:val="20"/>
          <w:szCs w:val="20"/>
          <w:color w:val="auto"/>
        </w:rPr>
      </w:pPr>
    </w:p>
    <w:p>
      <w:pPr>
        <w:sectPr>
          <w:pgSz w:w="11900" w:h="16838" w:orient="portrait"/>
          <w:cols w:equalWidth="0" w:num="2">
            <w:col w:w="864" w:space="180"/>
            <w:col w:w="10220"/>
          </w:cols>
          <w:pgMar w:left="316" w:top="318" w:right="319" w:bottom="1440" w:gutter="0" w:footer="0" w:header="0"/>
          <w:type w:val="continuous"/>
        </w:sectPr>
      </w:pPr>
    </w:p>
    <w:p>
      <w:pPr>
        <w:spacing w:after="0" w:line="1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the Conversion Rate in effect immediately after the end of the Valuation Period;</w:t>
      </w:r>
    </w:p>
    <w:p>
      <w:pPr>
        <w:spacing w:after="0" w:line="220" w:lineRule="exact"/>
        <w:rPr>
          <w:sz w:val="20"/>
          <w:szCs w:val="20"/>
          <w:color w:val="auto"/>
        </w:rPr>
      </w:pPr>
    </w:p>
    <w:p>
      <w:pPr>
        <w:sectPr>
          <w:pgSz w:w="11900" w:h="16838" w:orient="portrait"/>
          <w:cols w:equalWidth="0" w:num="2">
            <w:col w:w="844" w:space="200"/>
            <w:col w:w="10220"/>
          </w:cols>
          <w:pgMar w:left="316" w:top="318" w:right="319" w:bottom="1440" w:gutter="0" w:footer="0" w:header="0"/>
          <w:type w:val="continuous"/>
        </w:sectPr>
      </w:pPr>
    </w:p>
    <w:p>
      <w:pPr>
        <w:jc w:val="both"/>
        <w:ind w:left="1224" w:hanging="644"/>
        <w:spacing w:after="0" w:line="258" w:lineRule="auto"/>
        <w:rPr>
          <w:sz w:val="20"/>
          <w:szCs w:val="20"/>
          <w:color w:val="auto"/>
        </w:rPr>
      </w:pPr>
      <w:r>
        <w:rPr>
          <w:rFonts w:ascii="Arial" w:cs="Arial" w:eastAsia="Arial" w:hAnsi="Arial"/>
          <w:sz w:val="16"/>
          <w:szCs w:val="16"/>
          <w:color w:val="auto"/>
        </w:rPr>
        <w:t>FMV0 = 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and</w:t>
      </w:r>
    </w:p>
    <w:p>
      <w:pPr>
        <w:spacing w:after="0" w:line="165" w:lineRule="exact"/>
        <w:rPr>
          <w:sz w:val="20"/>
          <w:szCs w:val="20"/>
          <w:color w:val="auto"/>
        </w:rPr>
      </w:pPr>
    </w:p>
    <w:p>
      <w:pPr>
        <w:ind w:left="564"/>
        <w:spacing w:after="0"/>
        <w:tabs>
          <w:tab w:leader="none" w:pos="1024" w:val="left"/>
        </w:tabs>
        <w:rPr>
          <w:sz w:val="20"/>
          <w:szCs w:val="20"/>
          <w:color w:val="auto"/>
        </w:rPr>
      </w:pPr>
      <w:r>
        <w:rPr>
          <w:rFonts w:ascii="Arial" w:cs="Arial" w:eastAsia="Arial" w:hAnsi="Arial"/>
          <w:sz w:val="16"/>
          <w:szCs w:val="16"/>
          <w:color w:val="auto"/>
        </w:rPr>
        <w:t>MP0</w:t>
      </w:r>
      <w:r>
        <w:rPr>
          <w:sz w:val="20"/>
          <w:szCs w:val="20"/>
          <w:color w:val="auto"/>
        </w:rPr>
        <w:tab/>
      </w:r>
      <w:r>
        <w:rPr>
          <w:rFonts w:ascii="Arial" w:cs="Arial" w:eastAsia="Arial" w:hAnsi="Arial"/>
          <w:sz w:val="14"/>
          <w:szCs w:val="14"/>
          <w:color w:val="auto"/>
        </w:rPr>
        <w:t>= the average of the Last Reported Sale Prices of the Common Stock over the Valuation Period.</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 xml:space="preserve">The increase to the Conversion Rate under the preceding paragraph shall occur at the close of business on the last Trading Day of the Valuation Period;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43" w:lineRule="exact"/>
        <w:rPr>
          <w:sz w:val="20"/>
          <w:szCs w:val="20"/>
          <w:color w:val="auto"/>
        </w:rPr>
      </w:pPr>
    </w:p>
    <w:p>
      <w:pPr>
        <w:jc w:val="both"/>
        <w:ind w:left="4" w:right="20" w:hanging="4"/>
        <w:spacing w:after="0" w:line="251" w:lineRule="auto"/>
        <w:tabs>
          <w:tab w:leader="none" w:pos="23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between the Ex-Dividend Date of such Spin-Off and such Trading Day in determining the Conversion Rate as of such Trading Day.</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type w:val="continuous"/>
        </w:sectPr>
      </w:pPr>
    </w:p>
    <w:bookmarkStart w:id="169" w:name="page170"/>
    <w:bookmarkEnd w:id="169"/>
    <w:p>
      <w:pPr>
        <w:jc w:val="both"/>
        <w:ind w:left="4" w:right="20" w:firstLine="574"/>
        <w:spacing w:after="0" w:line="262" w:lineRule="auto"/>
        <w:rPr>
          <w:sz w:val="20"/>
          <w:szCs w:val="20"/>
          <w:color w:val="auto"/>
        </w:rPr>
      </w:pPr>
      <w:r>
        <w:rPr>
          <w:rFonts w:ascii="Arial" w:cs="Arial" w:eastAsia="Arial" w:hAnsi="Arial"/>
          <w:sz w:val="16"/>
          <w:szCs w:val="16"/>
          <w:color w:val="auto"/>
        </w:rPr>
        <w:t>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4"/>
          <w:szCs w:val="14"/>
          <w:b w:val="1"/>
          <w:bCs w:val="1"/>
          <w:color w:val="auto"/>
        </w:rPr>
        <w:t>Trigger Event</w:t>
      </w:r>
      <w:r>
        <w:rPr>
          <w:rFonts w:ascii="Arial" w:cs="Arial" w:eastAsia="Arial" w:hAnsi="Arial"/>
          <w:sz w:val="14"/>
          <w:szCs w:val="14"/>
          <w:color w:val="auto"/>
        </w:rPr>
        <w:t>”): (i) are deemed to be transferred with such shares of the Common Stock;</w:t>
      </w:r>
    </w:p>
    <w:p>
      <w:pPr>
        <w:spacing w:after="0" w:line="1" w:lineRule="exact"/>
        <w:rPr>
          <w:sz w:val="20"/>
          <w:szCs w:val="20"/>
          <w:color w:val="auto"/>
        </w:rPr>
      </w:pPr>
    </w:p>
    <w:p>
      <w:pPr>
        <w:jc w:val="both"/>
        <w:ind w:left="4" w:hanging="4"/>
        <w:spacing w:after="0" w:line="285" w:lineRule="auto"/>
        <w:tabs>
          <w:tab w:leader="none" w:pos="24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w:t>
      </w:r>
    </w:p>
    <w:p>
      <w:pPr>
        <w:jc w:val="both"/>
        <w:ind w:left="4"/>
        <w:spacing w:after="0" w:line="294" w:lineRule="auto"/>
        <w:rPr>
          <w:rFonts w:ascii="Arial" w:cs="Arial" w:eastAsia="Arial" w:hAnsi="Arial"/>
          <w:sz w:val="14"/>
          <w:szCs w:val="14"/>
          <w:color w:val="auto"/>
        </w:rPr>
      </w:pPr>
      <w:r>
        <w:rPr>
          <w:rFonts w:ascii="Arial" w:cs="Arial" w:eastAsia="Arial" w:hAnsi="Arial"/>
          <w:sz w:val="14"/>
          <w:szCs w:val="14"/>
          <w:color w:val="auto"/>
        </w:rPr>
        <w:t>(1)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42"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For purposes of Section 14.04(a), Section 14.04(b) and this Section 14.04(c), if any dividend or distribution to which this Section 14.04(c) is applicable also includes one or both of:</w:t>
      </w:r>
    </w:p>
    <w:p>
      <w:pPr>
        <w:spacing w:after="0" w:line="148"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(A) a dividend or distribution of shares of Common Stock to which Section 14.04(a) is applicable (the “</w:t>
      </w:r>
      <w:r>
        <w:rPr>
          <w:rFonts w:ascii="Arial" w:cs="Arial" w:eastAsia="Arial" w:hAnsi="Arial"/>
          <w:sz w:val="16"/>
          <w:szCs w:val="16"/>
          <w:b w:val="1"/>
          <w:bCs w:val="1"/>
          <w:color w:val="auto"/>
        </w:rPr>
        <w:t>Clause A Distribution</w:t>
      </w:r>
      <w:r>
        <w:rPr>
          <w:rFonts w:ascii="Arial" w:cs="Arial" w:eastAsia="Arial" w:hAnsi="Arial"/>
          <w:sz w:val="16"/>
          <w:szCs w:val="16"/>
          <w:color w:val="auto"/>
        </w:rPr>
        <w:t>”); or</w:t>
      </w: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70" w:name="page171"/>
    <w:bookmarkEnd w:id="170"/>
    <w:p>
      <w:pPr>
        <w:ind w:left="1720"/>
        <w:spacing w:after="0"/>
        <w:rPr>
          <w:sz w:val="20"/>
          <w:szCs w:val="20"/>
          <w:color w:val="auto"/>
        </w:rPr>
      </w:pPr>
      <w:r>
        <w:rPr>
          <w:rFonts w:ascii="Arial" w:cs="Arial" w:eastAsia="Arial" w:hAnsi="Arial"/>
          <w:sz w:val="16"/>
          <w:szCs w:val="16"/>
          <w:color w:val="auto"/>
        </w:rPr>
        <w:t>(B) a dividend or distribution of rights, options or warrants to which Section 14.04(b) is applicable (the “</w:t>
      </w:r>
      <w:r>
        <w:rPr>
          <w:rFonts w:ascii="Arial" w:cs="Arial" w:eastAsia="Arial" w:hAnsi="Arial"/>
          <w:sz w:val="16"/>
          <w:szCs w:val="16"/>
          <w:b w:val="1"/>
          <w:bCs w:val="1"/>
          <w:color w:val="auto"/>
        </w:rPr>
        <w:t>Clause B Distribution</w:t>
      </w:r>
      <w:r>
        <w:rPr>
          <w:rFonts w:ascii="Arial" w:cs="Arial" w:eastAsia="Arial" w:hAnsi="Arial"/>
          <w:sz w:val="16"/>
          <w:szCs w:val="16"/>
          <w:color w:val="auto"/>
        </w:rPr>
        <w: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then, in either case, (1) such dividend or distribution, other than the Clause A Distribution and the Clause B Distribution, shall be deemed to be a dividend or distribution to which this Section 14.04(c)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69" w:lineRule="exact"/>
        <w:rPr>
          <w:sz w:val="20"/>
          <w:szCs w:val="20"/>
          <w:color w:val="auto"/>
        </w:rPr>
      </w:pPr>
    </w:p>
    <w:p>
      <w:pPr>
        <w:ind w:left="1380" w:hanging="237"/>
        <w:spacing w:after="0"/>
        <w:tabs>
          <w:tab w:leader="none" w:pos="138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If any cash dividend or distribution is made to all or substantially all holders of the Common Stock, the Conversion Rate shall be increased based on the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125730</wp:posOffset>
            </wp:positionV>
            <wp:extent cx="1085215" cy="3340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8521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0"/>
          </w:cols>
          <w:pgMar w:left="320" w:top="505" w:right="319" w:bottom="1440" w:gutter="0" w:footer="0" w:header="0"/>
        </w:sectPr>
      </w:pP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prior to the open of business on the Ex-Dividend Date for such dividend or distribution;</w:t>
      </w:r>
    </w:p>
    <w:p>
      <w:pPr>
        <w:spacing w:after="0" w:line="211" w:lineRule="exact"/>
        <w:rPr>
          <w:sz w:val="20"/>
          <w:szCs w:val="20"/>
          <w:color w:val="auto"/>
        </w:rPr>
      </w:pPr>
    </w:p>
    <w:p>
      <w:pPr>
        <w:sectPr>
          <w:pgSz w:w="11900" w:h="16838" w:orient="portrait"/>
          <w:cols w:equalWidth="0" w:num="2">
            <w:col w:w="860" w:space="640"/>
            <w:col w:w="9760"/>
          </w:cols>
          <w:pgMar w:left="320" w:top="505" w:right="319" w:bottom="1440" w:gutter="0" w:footer="0" w:header="0"/>
          <w:type w:val="continuous"/>
        </w:sectPr>
      </w:pPr>
    </w:p>
    <w:p>
      <w:pPr>
        <w:spacing w:after="0" w:line="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 the Conversion Rate in effect immediately after the open of business on the Ex-Dividend Date for such dividend or distribution;</w:t>
      </w:r>
    </w:p>
    <w:p>
      <w:pPr>
        <w:spacing w:after="0" w:line="222" w:lineRule="exact"/>
        <w:rPr>
          <w:sz w:val="20"/>
          <w:szCs w:val="20"/>
          <w:color w:val="auto"/>
        </w:rPr>
      </w:pPr>
    </w:p>
    <w:p>
      <w:pPr>
        <w:sectPr>
          <w:pgSz w:w="11900" w:h="16838" w:orient="portrait"/>
          <w:cols w:equalWidth="0" w:num="2">
            <w:col w:w="840" w:space="660"/>
            <w:col w:w="9760"/>
          </w:cols>
          <w:pgMar w:left="320" w:top="505" w:right="319" w:bottom="1440" w:gutter="0" w:footer="0" w:header="0"/>
          <w:type w:val="continuous"/>
        </w:sectPr>
      </w:pPr>
    </w:p>
    <w:p>
      <w:pPr>
        <w:spacing w:after="0" w:line="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SP0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the Last Reported Sale Price of the Common Stock on the Trading Day immediately preceding the Ex-Dividend Date for such dividend or distribution; and</w:t>
      </w:r>
    </w:p>
    <w:p>
      <w:pPr>
        <w:spacing w:after="0" w:line="152" w:lineRule="exact"/>
        <w:rPr>
          <w:sz w:val="20"/>
          <w:szCs w:val="20"/>
          <w:color w:val="auto"/>
        </w:rPr>
      </w:pPr>
    </w:p>
    <w:p>
      <w:pPr>
        <w:sectPr>
          <w:pgSz w:w="11900" w:h="16838" w:orient="portrait"/>
          <w:cols w:equalWidth="0" w:num="2">
            <w:col w:w="820" w:space="680"/>
            <w:col w:w="9760"/>
          </w:cols>
          <w:pgMar w:left="320" w:top="505" w:right="319" w:bottom="1440" w:gutter="0" w:footer="0" w:header="0"/>
          <w:type w:val="continuous"/>
        </w:sectPr>
      </w:pPr>
    </w:p>
    <w:p>
      <w:pPr>
        <w:ind w:left="1500" w:hanging="931"/>
        <w:spacing w:after="0"/>
        <w:tabs>
          <w:tab w:leader="none" w:pos="15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the amount in cash per share the Company distributes to all or substantially all holders of the Common Stock.</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Any increase pursuant to this Section 14.04(d) shall become effective immediately after the open of business on the Ex-Dividend Date for such dividend or distribution. If such dividend or distribution is not so paid, the Conversion Rate shall be decreased, effective as of the date the Company determines in good faith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05" w:right="319" w:bottom="1440" w:gutter="0" w:footer="0" w:header="0"/>
          <w:type w:val="continuous"/>
        </w:sectPr>
      </w:pPr>
    </w:p>
    <w:bookmarkStart w:id="171" w:name="page172"/>
    <w:bookmarkEnd w:id="171"/>
    <w:p>
      <w:pPr>
        <w:jc w:val="both"/>
        <w:ind w:firstLine="1143"/>
        <w:spacing w:after="0" w:line="255" w:lineRule="auto"/>
        <w:tabs>
          <w:tab w:leader="none" w:pos="138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115570</wp:posOffset>
            </wp:positionV>
            <wp:extent cx="1555750" cy="341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5575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60"/>
          </w:cols>
          <w:pgMar w:left="320" w:top="318" w:right="319" w:bottom="1440" w:gutter="0" w:footer="0" w:header="0"/>
        </w:sectPr>
      </w:pP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CR0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the Conversion Rate in effect immediately prior to the close of business on the 10th Trading Day immediately following,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60" w:space="64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CR’</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6"/>
          <w:szCs w:val="16"/>
          <w:color w:val="auto"/>
        </w:rPr>
        <w:t>= the Conversion Rate in effect immediately after the close of business on the 10th Trading Day immediately following,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40" w:space="66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aggregate value of all cash and any other consideration (as determined by the Company in good faith) paid or payable for shares of Common Stock purchased in such tender or exchange offer;</w:t>
      </w:r>
    </w:p>
    <w:p>
      <w:pPr>
        <w:spacing w:after="0" w:line="152" w:lineRule="exact"/>
        <w:rPr>
          <w:sz w:val="20"/>
          <w:szCs w:val="20"/>
          <w:color w:val="auto"/>
        </w:rPr>
      </w:pPr>
    </w:p>
    <w:p>
      <w:pPr>
        <w:sectPr>
          <w:pgSz w:w="11900" w:h="16838" w:orient="portrait"/>
          <w:cols w:equalWidth="0" w:num="2">
            <w:col w:w="800" w:space="70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4"/>
          <w:szCs w:val="14"/>
          <w:color w:val="auto"/>
        </w:rPr>
        <w:t>OS0</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52" w:lineRule="exact"/>
        <w:rPr>
          <w:sz w:val="20"/>
          <w:szCs w:val="20"/>
          <w:color w:val="auto"/>
        </w:rPr>
      </w:pPr>
    </w:p>
    <w:p>
      <w:pPr>
        <w:sectPr>
          <w:pgSz w:w="11900" w:h="16838" w:orient="portrait"/>
          <w:cols w:equalWidth="0" w:num="2">
            <w:col w:w="860" w:space="64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OS’</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52" w:lineRule="exact"/>
        <w:rPr>
          <w:sz w:val="20"/>
          <w:szCs w:val="20"/>
          <w:color w:val="auto"/>
        </w:rPr>
      </w:pPr>
    </w:p>
    <w:p>
      <w:pPr>
        <w:sectPr>
          <w:pgSz w:w="11900" w:h="16838" w:orient="portrait"/>
          <w:cols w:equalWidth="0" w:num="2">
            <w:col w:w="820" w:space="680"/>
            <w:col w:w="9760"/>
          </w:cols>
          <w:pgMar w:left="320" w:top="318" w:right="31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SP’</w:t>
      </w:r>
    </w:p>
    <w:p>
      <w:pPr>
        <w:spacing w:after="0" w:line="20" w:lineRule="exact"/>
        <w:rPr>
          <w:sz w:val="20"/>
          <w:szCs w:val="20"/>
          <w:color w:val="auto"/>
        </w:rPr>
      </w:pPr>
      <w:r>
        <w:rPr>
          <w:sz w:val="20"/>
          <w:szCs w:val="20"/>
          <w:color w:val="auto"/>
        </w:rPr>
        <w:br w:type="column"/>
      </w:r>
    </w:p>
    <w:p>
      <w:pPr>
        <w:ind w:right="20"/>
        <w:spacing w:after="0" w:line="275" w:lineRule="auto"/>
        <w:rPr>
          <w:sz w:val="20"/>
          <w:szCs w:val="20"/>
          <w:color w:val="auto"/>
        </w:rPr>
      </w:pPr>
      <w:r>
        <w:rPr>
          <w:rFonts w:ascii="Arial" w:cs="Arial" w:eastAsia="Arial" w:hAnsi="Arial"/>
          <w:sz w:val="16"/>
          <w:szCs w:val="16"/>
          <w:color w:val="auto"/>
        </w:rPr>
        <w:t>= the average of the Last Reported Sale Prices of the Common Stock over the 10 consecutive Trading Day period commencing on, and including, the Trading Day next succeeding the date such tender or exchange offer expires.</w:t>
      </w:r>
    </w:p>
    <w:p>
      <w:pPr>
        <w:spacing w:after="0" w:line="152" w:lineRule="exact"/>
        <w:rPr>
          <w:sz w:val="20"/>
          <w:szCs w:val="20"/>
          <w:color w:val="auto"/>
        </w:rPr>
      </w:pPr>
    </w:p>
    <w:p>
      <w:pPr>
        <w:sectPr>
          <w:pgSz w:w="11900" w:h="16838" w:orient="portrait"/>
          <w:cols w:equalWidth="0" w:num="2">
            <w:col w:w="800" w:space="700"/>
            <w:col w:w="9760"/>
          </w:cols>
          <w:pgMar w:left="320" w:top="318" w:right="319" w:bottom="1440" w:gutter="0" w:footer="0" w:header="0"/>
          <w:type w:val="continuous"/>
        </w:sectPr>
      </w:pPr>
    </w:p>
    <w:p>
      <w:pPr>
        <w:jc w:val="both"/>
        <w:ind w:firstLine="574"/>
        <w:spacing w:after="0" w:line="293" w:lineRule="auto"/>
        <w:rPr>
          <w:sz w:val="20"/>
          <w:szCs w:val="20"/>
          <w:color w:val="auto"/>
        </w:rPr>
      </w:pPr>
      <w:r>
        <w:rPr>
          <w:rFonts w:ascii="Arial" w:cs="Arial" w:eastAsia="Arial" w:hAnsi="Arial"/>
          <w:sz w:val="14"/>
          <w:szCs w:val="14"/>
          <w:color w:val="auto"/>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type w:val="continuous"/>
        </w:sectPr>
      </w:pPr>
    </w:p>
    <w:bookmarkStart w:id="172" w:name="page173"/>
    <w:bookmarkEnd w:id="172"/>
    <w:p>
      <w:pPr>
        <w:jc w:val="both"/>
        <w:ind w:right="20" w:firstLine="574"/>
        <w:spacing w:after="0" w:line="258" w:lineRule="auto"/>
        <w:rPr>
          <w:sz w:val="20"/>
          <w:szCs w:val="20"/>
          <w:color w:val="auto"/>
        </w:rPr>
      </w:pPr>
      <w:r>
        <w:rPr>
          <w:rFonts w:ascii="Arial" w:cs="Arial" w:eastAsia="Arial" w:hAnsi="Arial"/>
          <w:sz w:val="16"/>
          <w:szCs w:val="16"/>
          <w:color w:val="auto"/>
        </w:rPr>
        <w:t>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spacing w:after="0" w:line="165" w:lineRule="exact"/>
        <w:rPr>
          <w:sz w:val="20"/>
          <w:szCs w:val="20"/>
          <w:color w:val="auto"/>
        </w:rPr>
      </w:pPr>
    </w:p>
    <w:p>
      <w:pPr>
        <w:jc w:val="both"/>
        <w:ind w:firstLine="1143"/>
        <w:spacing w:after="0" w:line="273" w:lineRule="auto"/>
        <w:tabs>
          <w:tab w:leader="none" w:pos="1473" w:val="left"/>
        </w:tabs>
        <w:numPr>
          <w:ilvl w:val="0"/>
          <w:numId w:val="187"/>
        </w:numPr>
        <w:rPr>
          <w:rFonts w:ascii="Arial" w:cs="Arial" w:eastAsia="Arial" w:hAnsi="Arial"/>
          <w:sz w:val="15"/>
          <w:szCs w:val="15"/>
          <w:color w:val="auto"/>
        </w:rPr>
      </w:pPr>
      <w:r>
        <w:rPr>
          <w:rFonts w:ascii="Arial" w:cs="Arial" w:eastAsia="Arial" w:hAnsi="Arial"/>
          <w:sz w:val="15"/>
          <w:szCs w:val="15"/>
          <w:color w:val="auto"/>
        </w:rPr>
        <w:t>Notwithstanding this Section 14.04 or any other provision of this Indenture or the Notes, if: (i) a Conversion Rate adjustment for any dividend or distribution becomes effective on any Ex-Dividend Date as described in this Section 14.04; (ii) a Note is to be converted for which the conversion consideration includes shares of Common Stock; (iii) any Trading Day in the Observation Period for such conversion occurs on or after such Ex-Dividend Date and on or before the related Record Date; (iv) the consideration due upon such conversion includes any whole shares of Common Stock based on a Conversion Rate that is adjusted for such dividend or distribution; and (v) the Holder would be entitled to participate in such dividend or distribution on account of such shares, then, notwithstanding anything to the contrary: the Conversion Rate adjustment relating to such Ex-Dividend Date shall be made for such conversion in respect of such Trading Day, but the shares of Common Stock issuable with respect to such Trading Day based on such adjusted conversion rate shall not be entitled to participate in such dividend or distribution.</w:t>
      </w:r>
    </w:p>
    <w:p>
      <w:pPr>
        <w:spacing w:after="0" w:line="156" w:lineRule="exact"/>
        <w:rPr>
          <w:rFonts w:ascii="Arial" w:cs="Arial" w:eastAsia="Arial" w:hAnsi="Arial"/>
          <w:sz w:val="15"/>
          <w:szCs w:val="15"/>
          <w:color w:val="auto"/>
        </w:rPr>
      </w:pPr>
    </w:p>
    <w:p>
      <w:pPr>
        <w:jc w:val="both"/>
        <w:ind w:firstLine="1143"/>
        <w:spacing w:after="0" w:line="255" w:lineRule="auto"/>
        <w:tabs>
          <w:tab w:leader="none" w:pos="13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 Holder has converted its Notes on or after such Ex-Dividend Date and on or prior to the related Record Date would become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69" w:lineRule="exact"/>
        <w:rPr>
          <w:rFonts w:ascii="Arial" w:cs="Arial" w:eastAsia="Arial" w:hAnsi="Arial"/>
          <w:sz w:val="16"/>
          <w:szCs w:val="16"/>
          <w:color w:val="auto"/>
        </w:rPr>
      </w:pPr>
    </w:p>
    <w:p>
      <w:pPr>
        <w:ind w:right="20" w:firstLine="1143"/>
        <w:spacing w:after="0" w:line="309" w:lineRule="auto"/>
        <w:tabs>
          <w:tab w:leader="none" w:pos="1381" w:val="left"/>
        </w:tabs>
        <w:numPr>
          <w:ilvl w:val="0"/>
          <w:numId w:val="187"/>
        </w:numPr>
        <w:rPr>
          <w:rFonts w:ascii="Arial" w:cs="Arial" w:eastAsia="Arial" w:hAnsi="Arial"/>
          <w:sz w:val="15"/>
          <w:szCs w:val="15"/>
          <w:color w:val="auto"/>
        </w:rPr>
      </w:pPr>
      <w:r>
        <w:rPr>
          <w:rFonts w:ascii="Arial" w:cs="Arial" w:eastAsia="Arial" w:hAnsi="Arial"/>
          <w:sz w:val="15"/>
          <w:szCs w:val="15"/>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29" w:lineRule="exact"/>
        <w:rPr>
          <w:rFonts w:ascii="Arial" w:cs="Arial" w:eastAsia="Arial" w:hAnsi="Arial"/>
          <w:sz w:val="15"/>
          <w:szCs w:val="15"/>
          <w:color w:val="auto"/>
        </w:rPr>
      </w:pPr>
    </w:p>
    <w:p>
      <w:pPr>
        <w:jc w:val="both"/>
        <w:ind w:firstLine="1143"/>
        <w:spacing w:after="0" w:line="274" w:lineRule="auto"/>
        <w:tabs>
          <w:tab w:leader="none" w:pos="1453" w:val="left"/>
        </w:tabs>
        <w:numPr>
          <w:ilvl w:val="0"/>
          <w:numId w:val="187"/>
        </w:numPr>
        <w:rPr>
          <w:rFonts w:ascii="Arial" w:cs="Arial" w:eastAsia="Arial" w:hAnsi="Arial"/>
          <w:sz w:val="15"/>
          <w:szCs w:val="15"/>
          <w:color w:val="auto"/>
        </w:rPr>
      </w:pPr>
      <w:r>
        <w:rPr>
          <w:rFonts w:ascii="Arial" w:cs="Arial" w:eastAsia="Arial" w:hAnsi="Arial"/>
          <w:sz w:val="15"/>
          <w:szCs w:val="15"/>
          <w:color w:val="auto"/>
        </w:rPr>
        <w:t>In addition to those adjustments required by clauses (a), (b), (c), (d) and (e) of this Section 14.04, and to the extent permitted by applicable law and subject to the applicable rules of any exchange on which any of the Company’s securities are then-listed, the Company from time to time may increase the Conversion Rate by any amount for a period of at least 20 Business Days if the Company determines, in good faith, that such increase would be in the Company’s best interest. In addition, to the extent permitted by applicable law and subject to the applicable rules of any exchange on which the Company’s securities are then listed,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spacing w:after="0" w:line="156" w:lineRule="exact"/>
        <w:rPr>
          <w:rFonts w:ascii="Arial" w:cs="Arial" w:eastAsia="Arial" w:hAnsi="Arial"/>
          <w:sz w:val="15"/>
          <w:szCs w:val="15"/>
          <w:color w:val="auto"/>
        </w:rPr>
      </w:pPr>
    </w:p>
    <w:p>
      <w:pPr>
        <w:ind w:left="1420" w:hanging="277"/>
        <w:spacing w:after="0"/>
        <w:tabs>
          <w:tab w:leader="none" w:pos="142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14, the Conversion Rate shall not be adjusted:</w:t>
      </w:r>
    </w:p>
    <w:p>
      <w:pPr>
        <w:spacing w:after="0" w:line="198" w:lineRule="exact"/>
        <w:rPr>
          <w:rFonts w:ascii="Arial" w:cs="Arial" w:eastAsia="Arial" w:hAnsi="Arial"/>
          <w:sz w:val="16"/>
          <w:szCs w:val="16"/>
          <w:color w:val="auto"/>
        </w:rPr>
      </w:pPr>
    </w:p>
    <w:p>
      <w:pPr>
        <w:ind w:right="20" w:firstLine="1716"/>
        <w:spacing w:after="0" w:line="275" w:lineRule="auto"/>
        <w:tabs>
          <w:tab w:leader="none" w:pos="200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upon the issuance of any shares of Common Stock (other than any such issuance described in clause (a), (b) or (c) of this Section 14.04) at a price below the Conversion Price for the Notes;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3" w:name="page174"/>
    <w:bookmarkEnd w:id="173"/>
    <w:p>
      <w:pPr>
        <w:ind w:left="4" w:right="20" w:firstLine="1716"/>
        <w:spacing w:after="0" w:line="275" w:lineRule="auto"/>
        <w:tabs>
          <w:tab w:leader="none" w:pos="203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51" w:lineRule="exact"/>
        <w:rPr>
          <w:rFonts w:ascii="Arial" w:cs="Arial" w:eastAsia="Arial" w:hAnsi="Arial"/>
          <w:sz w:val="16"/>
          <w:szCs w:val="16"/>
          <w:color w:val="auto"/>
        </w:rPr>
      </w:pPr>
    </w:p>
    <w:p>
      <w:pPr>
        <w:ind w:left="4" w:firstLine="1716"/>
        <w:spacing w:after="0" w:line="309" w:lineRule="auto"/>
        <w:tabs>
          <w:tab w:leader="none" w:pos="20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upon the issuance of any shares of Common Stock or options or rights to purchase those shares pursuant to any present or future employee, director or consultant benefit plan or program of or assumed by the Company or any of the Company’s Subsidiaries (other than any stockholder rights plan);</w:t>
      </w:r>
    </w:p>
    <w:p>
      <w:pPr>
        <w:spacing w:after="0" w:line="129" w:lineRule="exact"/>
        <w:rPr>
          <w:rFonts w:ascii="Arial" w:cs="Arial" w:eastAsia="Arial" w:hAnsi="Arial"/>
          <w:sz w:val="15"/>
          <w:szCs w:val="15"/>
          <w:color w:val="auto"/>
        </w:rPr>
      </w:pPr>
    </w:p>
    <w:p>
      <w:pPr>
        <w:ind w:left="4" w:firstLine="1716"/>
        <w:spacing w:after="0" w:line="275" w:lineRule="auto"/>
        <w:tabs>
          <w:tab w:leader="none" w:pos="1997"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51" w:lineRule="exact"/>
        <w:rPr>
          <w:rFonts w:ascii="Arial" w:cs="Arial" w:eastAsia="Arial" w:hAnsi="Arial"/>
          <w:sz w:val="16"/>
          <w:szCs w:val="16"/>
          <w:color w:val="auto"/>
        </w:rPr>
      </w:pPr>
    </w:p>
    <w:p>
      <w:pPr>
        <w:ind w:left="1944" w:hanging="224"/>
        <w:spacing w:after="0"/>
        <w:tabs>
          <w:tab w:leader="none" w:pos="1944" w:val="left"/>
        </w:tabs>
        <w:numPr>
          <w:ilvl w:val="1"/>
          <w:numId w:val="188"/>
        </w:numPr>
        <w:rPr>
          <w:rFonts w:ascii="Arial" w:cs="Arial" w:eastAsia="Arial" w:hAnsi="Arial"/>
          <w:sz w:val="14"/>
          <w:szCs w:val="14"/>
          <w:color w:val="auto"/>
        </w:rPr>
      </w:pPr>
      <w:r>
        <w:rPr>
          <w:rFonts w:ascii="Arial" w:cs="Arial" w:eastAsia="Arial" w:hAnsi="Arial"/>
          <w:sz w:val="14"/>
          <w:szCs w:val="14"/>
          <w:color w:val="auto"/>
        </w:rPr>
        <w:t>for a third-party tender offer by any party other than a tender offer by one or more of the Company’s Subsidiaries described in clause (e) of this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Section 14.04;</w:t>
      </w:r>
    </w:p>
    <w:p>
      <w:pPr>
        <w:spacing w:after="0" w:line="185" w:lineRule="exact"/>
        <w:rPr>
          <w:rFonts w:ascii="Arial" w:cs="Arial" w:eastAsia="Arial" w:hAnsi="Arial"/>
          <w:sz w:val="14"/>
          <w:szCs w:val="14"/>
          <w:color w:val="auto"/>
        </w:rPr>
      </w:pPr>
    </w:p>
    <w:p>
      <w:pPr>
        <w:jc w:val="both"/>
        <w:ind w:left="4" w:firstLine="1716"/>
        <w:spacing w:after="0" w:line="262" w:lineRule="auto"/>
        <w:tabs>
          <w:tab w:leader="none" w:pos="200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the repurchase of any shares of Common Stock that is not a tender offer or exchange offer of the nature described under clause (e) of this Section 14.04 including (structured or derivative transactions and open market repurchases of shares of Common Stock, or transactions pursuant to a stock repurchase program approved by the Board of Directors or otherwise);</w:t>
      </w:r>
    </w:p>
    <w:p>
      <w:pPr>
        <w:spacing w:after="0" w:line="162" w:lineRule="exact"/>
        <w:rPr>
          <w:rFonts w:ascii="Arial" w:cs="Arial" w:eastAsia="Arial" w:hAnsi="Arial"/>
          <w:sz w:val="16"/>
          <w:szCs w:val="16"/>
          <w:color w:val="auto"/>
        </w:rPr>
      </w:pPr>
    </w:p>
    <w:p>
      <w:pPr>
        <w:ind w:left="2104" w:hanging="384"/>
        <w:spacing w:after="0"/>
        <w:tabs>
          <w:tab w:leader="none" w:pos="210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for any issuance of PIK Notes;</w:t>
      </w:r>
    </w:p>
    <w:p>
      <w:pPr>
        <w:spacing w:after="0" w:line="198" w:lineRule="exact"/>
        <w:rPr>
          <w:rFonts w:ascii="Arial" w:cs="Arial" w:eastAsia="Arial" w:hAnsi="Arial"/>
          <w:sz w:val="16"/>
          <w:szCs w:val="16"/>
          <w:color w:val="auto"/>
        </w:rPr>
      </w:pPr>
    </w:p>
    <w:p>
      <w:pPr>
        <w:ind w:left="2084" w:hanging="364"/>
        <w:spacing w:after="0"/>
        <w:tabs>
          <w:tab w:leader="none" w:pos="208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solely for a change in the par value of the Common Stock; or</w:t>
      </w:r>
    </w:p>
    <w:p>
      <w:pPr>
        <w:spacing w:after="0" w:line="198" w:lineRule="exact"/>
        <w:rPr>
          <w:rFonts w:ascii="Arial" w:cs="Arial" w:eastAsia="Arial" w:hAnsi="Arial"/>
          <w:sz w:val="16"/>
          <w:szCs w:val="16"/>
          <w:color w:val="auto"/>
        </w:rPr>
      </w:pPr>
    </w:p>
    <w:p>
      <w:pPr>
        <w:ind w:left="1984" w:hanging="264"/>
        <w:spacing w:after="0"/>
        <w:tabs>
          <w:tab w:leader="none" w:pos="1984" w:val="left"/>
        </w:tabs>
        <w:numPr>
          <w:ilvl w:val="1"/>
          <w:numId w:val="188"/>
        </w:numPr>
        <w:rPr>
          <w:rFonts w:ascii="Arial" w:cs="Arial" w:eastAsia="Arial" w:hAnsi="Arial"/>
          <w:sz w:val="16"/>
          <w:szCs w:val="16"/>
          <w:color w:val="auto"/>
        </w:rPr>
      </w:pPr>
      <w:r>
        <w:rPr>
          <w:rFonts w:ascii="Arial" w:cs="Arial" w:eastAsia="Arial" w:hAnsi="Arial"/>
          <w:sz w:val="16"/>
          <w:szCs w:val="16"/>
          <w:color w:val="auto"/>
        </w:rPr>
        <w:t>for accrued and unpaid interest, if any.</w:t>
      </w:r>
    </w:p>
    <w:p>
      <w:pPr>
        <w:spacing w:after="0" w:line="198" w:lineRule="exact"/>
        <w:rPr>
          <w:rFonts w:ascii="Arial" w:cs="Arial" w:eastAsia="Arial" w:hAnsi="Arial"/>
          <w:sz w:val="16"/>
          <w:szCs w:val="16"/>
          <w:color w:val="auto"/>
        </w:rPr>
      </w:pPr>
    </w:p>
    <w:p>
      <w:pPr>
        <w:ind w:left="4" w:firstLine="1143"/>
        <w:spacing w:after="0" w:line="275" w:lineRule="auto"/>
        <w:tabs>
          <w:tab w:leader="none" w:pos="139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All calculations and other determinations under this Article 14 shall be made by the Company and shall be made to the nearest one-ten thousandth (1/10,000th) of a share.</w:t>
      </w:r>
    </w:p>
    <w:p>
      <w:pPr>
        <w:spacing w:after="0" w:line="151" w:lineRule="exact"/>
        <w:rPr>
          <w:rFonts w:ascii="Arial" w:cs="Arial" w:eastAsia="Arial" w:hAnsi="Arial"/>
          <w:sz w:val="16"/>
          <w:szCs w:val="16"/>
          <w:color w:val="auto"/>
        </w:rPr>
      </w:pPr>
    </w:p>
    <w:p>
      <w:pPr>
        <w:jc w:val="both"/>
        <w:ind w:left="4" w:right="20" w:firstLine="1143"/>
        <w:spacing w:after="0" w:line="289" w:lineRule="auto"/>
        <w:tabs>
          <w:tab w:leader="none" w:pos="1433"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the Conversion Date for any Notes (in the case of Physical Settlement); (iii) on each Trading Day of an Observation Period for any Note; (iii) the effective date of a</w:t>
      </w:r>
    </w:p>
    <w:p>
      <w:pPr>
        <w:spacing w:after="0" w:line="2" w:lineRule="exact"/>
        <w:rPr>
          <w:sz w:val="20"/>
          <w:szCs w:val="20"/>
          <w:color w:val="auto"/>
        </w:rPr>
      </w:pPr>
    </w:p>
    <w:p>
      <w:pPr>
        <w:ind w:left="4" w:right="20"/>
        <w:spacing w:after="0" w:line="218" w:lineRule="auto"/>
        <w:rPr>
          <w:sz w:val="20"/>
          <w:szCs w:val="20"/>
          <w:color w:val="auto"/>
        </w:rPr>
      </w:pPr>
      <w:r>
        <w:rPr>
          <w:rFonts w:ascii="Arial" w:cs="Arial" w:eastAsia="Arial" w:hAnsi="Arial"/>
          <w:sz w:val="15"/>
          <w:szCs w:val="15"/>
          <w:color w:val="auto"/>
        </w:rPr>
        <w:t>Fundamental Change and/or Make-Whole Fundamental Change; (iv) if the Company calls any Notes for redemption; or (v) [●], 2026</w:t>
      </w:r>
      <w:r>
        <w:rPr>
          <w:rFonts w:ascii="Arial" w:cs="Arial" w:eastAsia="Arial" w:hAnsi="Arial"/>
          <w:sz w:val="25"/>
          <w:szCs w:val="25"/>
          <w:color w:val="auto"/>
          <w:vertAlign w:val="superscript"/>
        </w:rPr>
        <w:t>19</w:t>
      </w:r>
      <w:r>
        <w:rPr>
          <w:rFonts w:ascii="Arial" w:cs="Arial" w:eastAsia="Arial" w:hAnsi="Arial"/>
          <w:sz w:val="15"/>
          <w:szCs w:val="15"/>
          <w:color w:val="auto"/>
        </w:rPr>
        <w:t>, in each case, unless the adjustment has already been made. The provision described in the immediately preceding sentence of this Section 14.04(l) is referred to herein as the “</w:t>
      </w:r>
      <w:r>
        <w:rPr>
          <w:rFonts w:ascii="Arial" w:cs="Arial" w:eastAsia="Arial" w:hAnsi="Arial"/>
          <w:sz w:val="15"/>
          <w:szCs w:val="15"/>
          <w:b w:val="1"/>
          <w:bCs w:val="1"/>
          <w:color w:val="auto"/>
        </w:rPr>
        <w:t>1% Provision</w:t>
      </w:r>
      <w:r>
        <w:rPr>
          <w:rFonts w:ascii="Arial" w:cs="Arial" w:eastAsia="Arial" w:hAnsi="Arial"/>
          <w:sz w:val="15"/>
          <w:szCs w:val="15"/>
          <w:color w:val="auto"/>
        </w:rPr>
        <w:t>.”</w:t>
      </w:r>
    </w:p>
    <w:p>
      <w:pPr>
        <w:spacing w:after="0" w:line="179" w:lineRule="exact"/>
        <w:rPr>
          <w:sz w:val="20"/>
          <w:szCs w:val="20"/>
          <w:color w:val="auto"/>
        </w:rPr>
      </w:pPr>
    </w:p>
    <w:p>
      <w:pPr>
        <w:jc w:val="both"/>
        <w:ind w:left="4" w:right="20" w:firstLine="1143"/>
        <w:spacing w:after="0" w:line="297" w:lineRule="auto"/>
        <w:tabs>
          <w:tab w:leader="none" w:pos="1431" w:val="left"/>
        </w:tabs>
        <w:numPr>
          <w:ilvl w:val="0"/>
          <w:numId w:val="190"/>
        </w:numPr>
        <w:rPr>
          <w:rFonts w:ascii="Arial" w:cs="Arial" w:eastAsia="Arial" w:hAnsi="Arial"/>
          <w:sz w:val="14"/>
          <w:szCs w:val="14"/>
          <w:color w:val="auto"/>
        </w:rPr>
      </w:pPr>
      <w:r>
        <w:rPr>
          <w:rFonts w:ascii="Arial" w:cs="Arial" w:eastAsia="Arial" w:hAnsi="Arial"/>
          <w:sz w:val="14"/>
          <w:szCs w:val="14"/>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79070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52" w:lineRule="exact"/>
        <w:rPr>
          <w:sz w:val="20"/>
          <w:szCs w:val="20"/>
          <w:color w:val="auto"/>
        </w:rPr>
      </w:pPr>
    </w:p>
    <w:p>
      <w:pPr>
        <w:ind w:left="284" w:hanging="284"/>
        <w:spacing w:after="0"/>
        <w:tabs>
          <w:tab w:leader="none" w:pos="284" w:val="left"/>
        </w:tabs>
        <w:numPr>
          <w:ilvl w:val="0"/>
          <w:numId w:val="191"/>
        </w:numPr>
        <w:rPr>
          <w:rFonts w:ascii="Arial" w:cs="Arial" w:eastAsia="Arial" w:hAnsi="Arial"/>
          <w:sz w:val="27"/>
          <w:szCs w:val="27"/>
          <w:color w:val="auto"/>
          <w:vertAlign w:val="superscript"/>
        </w:rPr>
      </w:pPr>
      <w:r>
        <w:rPr>
          <w:rFonts w:ascii="Arial" w:cs="Arial" w:eastAsia="Arial" w:hAnsi="Arial"/>
          <w:sz w:val="16"/>
          <w:szCs w:val="16"/>
          <w:color w:val="auto"/>
        </w:rPr>
        <w:t>NTD: This shall be the date that is 6 months before maturity.</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74" w:name="page175"/>
    <w:bookmarkEnd w:id="174"/>
    <w:p>
      <w:pPr>
        <w:jc w:val="both"/>
        <w:ind w:right="20" w:firstLine="1143"/>
        <w:spacing w:after="0" w:line="287" w:lineRule="auto"/>
        <w:tabs>
          <w:tab w:leader="none" w:pos="1376" w:val="left"/>
        </w:tabs>
        <w:numPr>
          <w:ilvl w:val="0"/>
          <w:numId w:val="192"/>
        </w:numPr>
        <w:rPr>
          <w:rFonts w:ascii="Arial" w:cs="Arial" w:eastAsia="Arial" w:hAnsi="Arial"/>
          <w:sz w:val="15"/>
          <w:szCs w:val="15"/>
          <w:color w:val="auto"/>
        </w:rPr>
      </w:pPr>
      <w:r>
        <w:rPr>
          <w:rFonts w:ascii="Arial" w:cs="Arial" w:eastAsia="Arial" w:hAnsi="Arial"/>
          <w:sz w:val="15"/>
          <w:szCs w:val="15"/>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46"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14.06. </w:t>
      </w:r>
      <w:r>
        <w:rPr>
          <w:rFonts w:ascii="Arial" w:cs="Arial" w:eastAsia="Arial" w:hAnsi="Arial"/>
          <w:sz w:val="16"/>
          <w:szCs w:val="16"/>
          <w:i w:val="1"/>
          <w:iCs w:val="1"/>
          <w:color w:val="auto"/>
        </w:rPr>
        <w:t>Adjustments of Prices</w:t>
      </w:r>
      <w:r>
        <w:rPr>
          <w:rFonts w:ascii="Arial" w:cs="Arial" w:eastAsia="Arial" w:hAnsi="Arial"/>
          <w:sz w:val="16"/>
          <w:szCs w:val="16"/>
          <w:color w:val="auto"/>
        </w:rPr>
        <w:t>. Whenever any provision of this Indenture requires the Company to calculate the Last Reported Sale Prices, the Daily VWAPs, the Daily Conversion Values or the Daily Settlement Amounts over a span of multiple days (including an Observation Period and the Stock Price for purposes of a Make-Whole Fundamental Change or for purposes of determining whether the Company may issue a Notice of Redemption), the Company shall make appropriate adjustments in good faith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w:t>
      </w:r>
    </w:p>
    <w:p>
      <w:pPr>
        <w:spacing w:after="0" w:line="170"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14.07. </w:t>
      </w:r>
      <w:r>
        <w:rPr>
          <w:rFonts w:ascii="Arial" w:cs="Arial" w:eastAsia="Arial" w:hAnsi="Arial"/>
          <w:sz w:val="16"/>
          <w:szCs w:val="16"/>
          <w:i w:val="1"/>
          <w:iCs w:val="1"/>
          <w:color w:val="auto"/>
        </w:rPr>
        <w:t>Shares to Be Fully Paid</w:t>
      </w:r>
      <w:r>
        <w:rPr>
          <w:rFonts w:ascii="Arial" w:cs="Arial" w:eastAsia="Arial" w:hAnsi="Arial"/>
          <w:sz w:val="16"/>
          <w:szCs w:val="16"/>
          <w:color w:val="auto"/>
        </w:rPr>
        <w:t>. The Company shall maintain, free from preemptive rights, out of its authorized but unissued shares or shares held in treasury, sufficient shares of Common Stock to provide for the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were applicable.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14.08. </w:t>
      </w:r>
      <w:r>
        <w:rPr>
          <w:rFonts w:ascii="Arial" w:cs="Arial" w:eastAsia="Arial" w:hAnsi="Arial"/>
          <w:sz w:val="16"/>
          <w:szCs w:val="16"/>
          <w:i w:val="1"/>
          <w:iCs w:val="1"/>
          <w:color w:val="auto"/>
        </w:rPr>
        <w:t>Effect of Recapitalizations, Reclassifications and Changes of the Common Stock</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 the case of:</w:t>
      </w:r>
    </w:p>
    <w:p>
      <w:pPr>
        <w:spacing w:after="0" w:line="198" w:lineRule="exact"/>
        <w:rPr>
          <w:rFonts w:ascii="Arial" w:cs="Arial" w:eastAsia="Arial" w:hAnsi="Arial"/>
          <w:sz w:val="16"/>
          <w:szCs w:val="16"/>
          <w:color w:val="auto"/>
        </w:rPr>
      </w:pPr>
    </w:p>
    <w:p>
      <w:pPr>
        <w:ind w:right="20" w:firstLine="1716"/>
        <w:spacing w:after="0" w:line="275" w:lineRule="auto"/>
        <w:tabs>
          <w:tab w:leader="none" w:pos="2026"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recapitalization, reclassification or change of the Common Stock (other than changes in par value or from par value to no par value, or changes resulting from a subdivision or combination),</w:t>
      </w:r>
    </w:p>
    <w:p>
      <w:pPr>
        <w:spacing w:after="0" w:line="151" w:lineRule="exact"/>
        <w:rPr>
          <w:rFonts w:ascii="Arial" w:cs="Arial" w:eastAsia="Arial" w:hAnsi="Arial"/>
          <w:sz w:val="16"/>
          <w:szCs w:val="16"/>
          <w:color w:val="auto"/>
        </w:rPr>
      </w:pPr>
    </w:p>
    <w:p>
      <w:pPr>
        <w:ind w:left="2040" w:hanging="324"/>
        <w:spacing w:after="0"/>
        <w:tabs>
          <w:tab w:leader="none" w:pos="20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consolidation, merger, combination or similar transaction involving the Company,</w:t>
      </w:r>
    </w:p>
    <w:p>
      <w:pPr>
        <w:spacing w:after="0" w:line="198" w:lineRule="exact"/>
        <w:rPr>
          <w:rFonts w:ascii="Arial" w:cs="Arial" w:eastAsia="Arial" w:hAnsi="Arial"/>
          <w:sz w:val="16"/>
          <w:szCs w:val="16"/>
          <w:color w:val="auto"/>
        </w:rPr>
      </w:pPr>
    </w:p>
    <w:p>
      <w:pPr>
        <w:ind w:left="2020" w:hanging="304"/>
        <w:spacing w:after="0"/>
        <w:tabs>
          <w:tab w:leader="none" w:pos="2020" w:val="left"/>
        </w:tabs>
        <w:numPr>
          <w:ilvl w:val="1"/>
          <w:numId w:val="193"/>
        </w:numPr>
        <w:rPr>
          <w:rFonts w:ascii="Arial" w:cs="Arial" w:eastAsia="Arial" w:hAnsi="Arial"/>
          <w:sz w:val="15"/>
          <w:szCs w:val="15"/>
          <w:color w:val="auto"/>
        </w:rPr>
      </w:pPr>
      <w:r>
        <w:rPr>
          <w:rFonts w:ascii="Arial" w:cs="Arial" w:eastAsia="Arial" w:hAnsi="Arial"/>
          <w:sz w:val="15"/>
          <w:szCs w:val="15"/>
          <w:color w:val="auto"/>
        </w:rPr>
        <w:t>any sale, lease or other transfer to a third party of all or substantially all of the consolidated assets of the Company and the Company’s</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Subsidiaries or</w:t>
      </w:r>
    </w:p>
    <w:p>
      <w:pPr>
        <w:spacing w:after="0" w:line="185" w:lineRule="exact"/>
        <w:rPr>
          <w:rFonts w:ascii="Arial" w:cs="Arial" w:eastAsia="Arial" w:hAnsi="Arial"/>
          <w:sz w:val="15"/>
          <w:szCs w:val="15"/>
          <w:color w:val="auto"/>
        </w:rPr>
      </w:pPr>
    </w:p>
    <w:p>
      <w:pPr>
        <w:ind w:left="1980" w:hanging="264"/>
        <w:spacing w:after="0"/>
        <w:tabs>
          <w:tab w:leader="none" w:pos="198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statutory share exchange,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5"/>
          <w:szCs w:val="15"/>
          <w:b w:val="1"/>
          <w:bCs w:val="1"/>
          <w:color w:val="auto"/>
        </w:rPr>
        <w:t>Merger Event</w:t>
      </w:r>
      <w:r>
        <w:rPr>
          <w:rFonts w:ascii="Arial" w:cs="Arial" w:eastAsia="Arial" w:hAnsi="Arial"/>
          <w:sz w:val="15"/>
          <w:szCs w:val="15"/>
          <w:color w:val="auto"/>
        </w:rPr>
        <w:t>”), then, at the effective time of the Merger Event, the Company or the successor or acquiring person, as the case may be, shall execute with the Trustee a supplemental indenture, without the consent of the Holders, providing that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5"/>
          <w:szCs w:val="15"/>
          <w:b w:val="1"/>
          <w:bCs w:val="1"/>
          <w:color w:val="auto"/>
        </w:rPr>
        <w:t>Reference Property</w:t>
      </w:r>
      <w:r>
        <w:rPr>
          <w:rFonts w:ascii="Arial" w:cs="Arial" w:eastAsia="Arial" w:hAnsi="Arial"/>
          <w:sz w:val="15"/>
          <w:szCs w:val="15"/>
          <w:color w:val="auto"/>
        </w:rPr>
        <w:t>,” with each “</w:t>
      </w:r>
      <w:r>
        <w:rPr>
          <w:rFonts w:ascii="Arial" w:cs="Arial" w:eastAsia="Arial" w:hAnsi="Arial"/>
          <w:sz w:val="15"/>
          <w:szCs w:val="15"/>
          <w:b w:val="1"/>
          <w:bCs w:val="1"/>
          <w:color w:val="auto"/>
        </w:rPr>
        <w:t>unit of Reference Property</w:t>
      </w:r>
      <w:r>
        <w:rPr>
          <w:rFonts w:ascii="Arial" w:cs="Arial" w:eastAsia="Arial" w:hAnsi="Arial"/>
          <w:sz w:val="15"/>
          <w:szCs w:val="15"/>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execute with the Trustee a supplemental indenture permitted under Section 10.01(j) providing for such change in the right to convert each $1,000 principal amount of Notes;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at and after the effective time of the Merger Event (A) the Company or the successor or acquiring company, as the case may be, shall continue to have the right to elect to determine the form of consideration to be paid or delivered, as the case may be, in respect of the remainder, if any, of the Conversion Obligation in excess of the principal amount of the Notes being converted, in accordance with Section 14.02, (B) any amount payable in cash upon conversion of the Notes in accordance with Section 14.02 shall continue to be payable in cash, (C)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(D) the Daily VWAP shall be calculated based on the value of a unit of Reference Property.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5" w:name="page176"/>
    <w:bookmarkEnd w:id="175"/>
    <w:p>
      <w:pPr>
        <w:jc w:val="both"/>
        <w:ind w:firstLine="574"/>
        <w:spacing w:after="0" w:line="293" w:lineRule="auto"/>
        <w:rPr>
          <w:sz w:val="20"/>
          <w:szCs w:val="20"/>
          <w:color w:val="auto"/>
        </w:rPr>
      </w:pPr>
      <w:r>
        <w:rPr>
          <w:rFonts w:ascii="Arial" w:cs="Arial" w:eastAsia="Arial" w:hAnsi="Arial"/>
          <w:sz w:val="14"/>
          <w:szCs w:val="14"/>
          <w:color w:val="auto"/>
        </w:rPr>
        <w:t xml:space="preserve">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w:t>
      </w:r>
    </w:p>
    <w:p>
      <w:pPr>
        <w:spacing w:after="0" w:line="143"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If the Reference Property in respect of any Merger Event includes, in whole or in part, shares of Common Equity or securities convertible into or exchangeable for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consisting of such Common Equity or securities convertible into or exchangeable for shares of Common Equity. If the Reference Property in respect of any such Merger Event includes shares of stock, securities or other property or assets, other than cash and/or cash equivalents, of a Person other than the Company or the successor or purchasing corporation, as the case may be, in such Merger Event and such other company, if an affiliate of the Company (or, if the Company does not survive the Merger Event, an affiliate of the successor or purchasing company) is party to the transaction, such other company shall also execute such supplemental indenture, and such supplemental indenture shall contain such additional provisions to protect the interests of the Holders as the Company shall in good faith reasonably consider necessary by reason of the foregoing, including the provisions providing for the purchase rights set forth in Article 15.</w:t>
      </w:r>
    </w:p>
    <w:p>
      <w:pPr>
        <w:spacing w:after="0" w:line="159" w:lineRule="exact"/>
        <w:rPr>
          <w:sz w:val="20"/>
          <w:szCs w:val="20"/>
          <w:color w:val="auto"/>
        </w:rPr>
      </w:pPr>
    </w:p>
    <w:p>
      <w:pPr>
        <w:jc w:val="both"/>
        <w:ind w:right="20" w:firstLine="1143"/>
        <w:spacing w:after="0" w:line="276" w:lineRule="auto"/>
        <w:tabs>
          <w:tab w:leader="none" w:pos="137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6" w:name="page177"/>
    <w:bookmarkEnd w:id="176"/>
    <w:p>
      <w:pPr>
        <w:jc w:val="both"/>
        <w:ind w:firstLine="1143"/>
        <w:spacing w:after="0" w:line="287" w:lineRule="auto"/>
        <w:tabs>
          <w:tab w:leader="none" w:pos="137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Company shall not become a party to any Merger Event unless its terms are reasonably consistent with this Section 14.07 and in compliance with Section 14.10.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46" w:lineRule="exact"/>
        <w:rPr>
          <w:rFonts w:ascii="Arial" w:cs="Arial" w:eastAsia="Arial" w:hAnsi="Arial"/>
          <w:sz w:val="15"/>
          <w:szCs w:val="15"/>
          <w:color w:val="auto"/>
        </w:rPr>
      </w:pPr>
    </w:p>
    <w:p>
      <w:pPr>
        <w:ind w:left="1360" w:hanging="217"/>
        <w:spacing w:after="0"/>
        <w:tabs>
          <w:tab w:leader="none" w:pos="13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above provisions of this Section shall similarly apply to successive Merger Events.</w:t>
      </w:r>
    </w:p>
    <w:p>
      <w:pPr>
        <w:spacing w:after="0" w:line="198"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Section 14.09. </w:t>
      </w:r>
      <w:r>
        <w:rPr>
          <w:rFonts w:ascii="Arial" w:cs="Arial" w:eastAsia="Arial" w:hAnsi="Arial"/>
          <w:sz w:val="16"/>
          <w:szCs w:val="16"/>
          <w:i w:val="1"/>
          <w:iCs w:val="1"/>
          <w:color w:val="auto"/>
        </w:rPr>
        <w:t>Certain Covenants</w:t>
      </w:r>
      <w:r>
        <w:rPr>
          <w:rFonts w:ascii="Arial" w:cs="Arial" w:eastAsia="Arial" w:hAnsi="Arial"/>
          <w:sz w:val="16"/>
          <w:szCs w:val="16"/>
          <w:color w:val="auto"/>
        </w:rPr>
        <w:t>. (a) The Company covenants that all shares of Common Stock issued upon conversion of Notes will be fully paid and non-assessable by the Company and free from all taxes, liens and charges with respect to the issue thereof.</w:t>
      </w:r>
    </w:p>
    <w:p>
      <w:pPr>
        <w:spacing w:after="0" w:line="152" w:lineRule="exact"/>
        <w:rPr>
          <w:sz w:val="20"/>
          <w:szCs w:val="20"/>
          <w:color w:val="auto"/>
        </w:rPr>
      </w:pPr>
    </w:p>
    <w:p>
      <w:pPr>
        <w:jc w:val="both"/>
        <w:ind w:right="20" w:firstLine="1143"/>
        <w:spacing w:after="0" w:line="262" w:lineRule="auto"/>
        <w:tabs>
          <w:tab w:leader="none" w:pos="137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62"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Section 14.10. </w:t>
      </w:r>
      <w:r>
        <w:rPr>
          <w:rFonts w:ascii="Arial" w:cs="Arial" w:eastAsia="Arial" w:hAnsi="Arial"/>
          <w:sz w:val="14"/>
          <w:szCs w:val="14"/>
          <w:i w:val="1"/>
          <w:iCs w:val="1"/>
          <w:color w:val="auto"/>
        </w:rPr>
        <w:t>Responsibility of Trustee</w:t>
      </w:r>
      <w:r>
        <w:rPr>
          <w:rFonts w:ascii="Arial" w:cs="Arial" w:eastAsia="Arial" w:hAnsi="Arial"/>
          <w:sz w:val="14"/>
          <w:szCs w:val="14"/>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7" w:name="page178"/>
    <w:bookmarkEnd w:id="177"/>
    <w:p>
      <w:pPr>
        <w:ind w:left="560"/>
        <w:spacing w:after="0"/>
        <w:rPr>
          <w:sz w:val="20"/>
          <w:szCs w:val="20"/>
          <w:color w:val="auto"/>
        </w:rPr>
      </w:pPr>
      <w:r>
        <w:rPr>
          <w:rFonts w:ascii="Arial" w:cs="Arial" w:eastAsia="Arial" w:hAnsi="Arial"/>
          <w:sz w:val="16"/>
          <w:szCs w:val="16"/>
          <w:color w:val="auto"/>
        </w:rPr>
        <w:t xml:space="preserve">Section 14.11. </w:t>
      </w:r>
      <w:r>
        <w:rPr>
          <w:rFonts w:ascii="Arial" w:cs="Arial" w:eastAsia="Arial" w:hAnsi="Arial"/>
          <w:sz w:val="16"/>
          <w:szCs w:val="16"/>
          <w:i w:val="1"/>
          <w:iCs w:val="1"/>
          <w:color w:val="auto"/>
        </w:rPr>
        <w:t>Notice to Holders Prior to Certain Actions</w:t>
      </w:r>
      <w:r>
        <w:rPr>
          <w:rFonts w:ascii="Arial" w:cs="Arial" w:eastAsia="Arial" w:hAnsi="Arial"/>
          <w:sz w:val="16"/>
          <w:szCs w:val="16"/>
          <w:color w:val="auto"/>
        </w:rPr>
        <w:t>. In case of any:</w:t>
      </w:r>
    </w:p>
    <w:p>
      <w:pPr>
        <w:spacing w:after="0" w:line="198" w:lineRule="exact"/>
        <w:rPr>
          <w:sz w:val="20"/>
          <w:szCs w:val="20"/>
          <w:color w:val="auto"/>
        </w:rPr>
      </w:pPr>
    </w:p>
    <w:p>
      <w:pPr>
        <w:ind w:left="1360" w:hanging="217"/>
        <w:spacing w:after="0"/>
        <w:tabs>
          <w:tab w:leader="none" w:pos="136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action by the Company or one of its Subsidiaries that would require an adjustment in the Conversion Rate pursuant to Section 14.04 or Section 14.11; or</w:t>
      </w:r>
    </w:p>
    <w:p>
      <w:pPr>
        <w:spacing w:after="0" w:line="221" w:lineRule="exact"/>
        <w:rPr>
          <w:rFonts w:ascii="Arial" w:cs="Arial" w:eastAsia="Arial" w:hAnsi="Arial"/>
          <w:sz w:val="14"/>
          <w:szCs w:val="14"/>
          <w:color w:val="auto"/>
        </w:rPr>
      </w:pPr>
    </w:p>
    <w:p>
      <w:pPr>
        <w:ind w:left="1360" w:hanging="217"/>
        <w:spacing w:after="0"/>
        <w:tabs>
          <w:tab w:leader="none" w:pos="13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voluntary or involuntary dissolution, liquidation or winding-up of the Company;</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15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14.12. </w:t>
      </w:r>
      <w:r>
        <w:rPr>
          <w:rFonts w:ascii="Arial" w:cs="Arial" w:eastAsia="Arial" w:hAnsi="Arial"/>
          <w:sz w:val="15"/>
          <w:szCs w:val="15"/>
          <w:i w:val="1"/>
          <w:iCs w:val="1"/>
          <w:color w:val="auto"/>
        </w:rPr>
        <w:t>Stockholder Rights Plans</w:t>
      </w:r>
      <w:r>
        <w:rPr>
          <w:rFonts w:ascii="Arial" w:cs="Arial" w:eastAsia="Arial" w:hAnsi="Arial"/>
          <w:sz w:val="15"/>
          <w:szCs w:val="15"/>
          <w:color w:val="auto"/>
        </w:rPr>
        <w:t>.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14.13. </w:t>
      </w:r>
      <w:r>
        <w:rPr>
          <w:rFonts w:ascii="Arial" w:cs="Arial" w:eastAsia="Arial" w:hAnsi="Arial"/>
          <w:sz w:val="16"/>
          <w:szCs w:val="16"/>
          <w:i w:val="1"/>
          <w:iCs w:val="1"/>
          <w:color w:val="auto"/>
        </w:rPr>
        <w:t>Exchange in Lieu of Conversion</w:t>
      </w:r>
      <w:r>
        <w:rPr>
          <w:rFonts w:ascii="Arial" w:cs="Arial" w:eastAsia="Arial" w:hAnsi="Arial"/>
          <w:sz w:val="16"/>
          <w:szCs w:val="16"/>
          <w:color w:val="auto"/>
        </w:rPr>
        <w:t>.</w:t>
      </w:r>
    </w:p>
    <w:p>
      <w:pPr>
        <w:spacing w:after="0" w:line="194" w:lineRule="exact"/>
        <w:rPr>
          <w:sz w:val="20"/>
          <w:szCs w:val="20"/>
          <w:color w:val="auto"/>
        </w:rPr>
      </w:pPr>
    </w:p>
    <w:p>
      <w:pPr>
        <w:jc w:val="both"/>
        <w:ind w:firstLine="1143"/>
        <w:spacing w:after="0" w:line="293" w:lineRule="auto"/>
        <w:tabs>
          <w:tab w:leader="none" w:pos="1362" w:val="left"/>
        </w:tabs>
        <w:numPr>
          <w:ilvl w:val="0"/>
          <w:numId w:val="198"/>
        </w:numPr>
        <w:rPr>
          <w:rFonts w:ascii="Arial" w:cs="Arial" w:eastAsia="Arial" w:hAnsi="Arial"/>
          <w:sz w:val="14"/>
          <w:szCs w:val="14"/>
          <w:color w:val="auto"/>
        </w:rPr>
      </w:pPr>
      <w:r>
        <w:rPr>
          <w:rFonts w:ascii="Arial" w:cs="Arial" w:eastAsia="Arial" w:hAnsi="Arial"/>
          <w:sz w:val="14"/>
          <w:szCs w:val="14"/>
          <w:color w:val="auto"/>
        </w:rPr>
        <w:t>When a Holder surrenders its Notes for conversion, the Company may, at its election (an “</w:t>
      </w:r>
      <w:r>
        <w:rPr>
          <w:rFonts w:ascii="Arial" w:cs="Arial" w:eastAsia="Arial" w:hAnsi="Arial"/>
          <w:sz w:val="14"/>
          <w:szCs w:val="14"/>
          <w:b w:val="1"/>
          <w:bCs w:val="1"/>
          <w:color w:val="auto"/>
        </w:rPr>
        <w:t>Exchange Election</w:t>
      </w:r>
      <w:r>
        <w:rPr>
          <w:rFonts w:ascii="Arial" w:cs="Arial" w:eastAsia="Arial" w:hAnsi="Arial"/>
          <w:sz w:val="14"/>
          <w:szCs w:val="14"/>
          <w:color w:val="auto"/>
        </w:rPr>
        <w:t>”), direct the Conversion Agent in writing to deliver, on or prior to the Trading Day immediately following the Conversion Date, such Notes to one or more financial institutions designated by the Company (each, a “</w:t>
      </w:r>
      <w:r>
        <w:rPr>
          <w:rFonts w:ascii="Arial" w:cs="Arial" w:eastAsia="Arial" w:hAnsi="Arial"/>
          <w:sz w:val="14"/>
          <w:szCs w:val="14"/>
          <w:b w:val="1"/>
          <w:bCs w:val="1"/>
          <w:color w:val="auto"/>
        </w:rPr>
        <w:t>Designated Financial Institution</w:t>
      </w:r>
      <w:r>
        <w:rPr>
          <w:rFonts w:ascii="Arial" w:cs="Arial" w:eastAsia="Arial" w:hAnsi="Arial"/>
          <w:sz w:val="14"/>
          <w:szCs w:val="14"/>
          <w:color w:val="auto"/>
        </w:rPr>
        <w:t>”) for exchange in lieu of conversion. In order to accept any Notes surrendered for conversion, the Designated Financial Institution(s) must agree to timely pay and/or deliver, as the case may be, in exchange for such Notes, cash up to the aggregate principal amount of the Notes to be converted and pay or deliver, as the case may be, cash, shares of Common Stock or combination thereof at the election of the Company due upon conversion pursuant to Section 14.02 or such other amount agreed to by the Holder and the Designated Financial Institution(s) (the “</w:t>
      </w:r>
      <w:r>
        <w:rPr>
          <w:rFonts w:ascii="Arial" w:cs="Arial" w:eastAsia="Arial" w:hAnsi="Arial"/>
          <w:sz w:val="14"/>
          <w:szCs w:val="14"/>
          <w:b w:val="1"/>
          <w:bCs w:val="1"/>
          <w:color w:val="auto"/>
        </w:rPr>
        <w:t>Conversion Consideration</w:t>
      </w:r>
      <w:r>
        <w:rPr>
          <w:rFonts w:ascii="Arial" w:cs="Arial" w:eastAsia="Arial" w:hAnsi="Arial"/>
          <w:sz w:val="14"/>
          <w:szCs w:val="14"/>
          <w:color w:val="auto"/>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notify the Designated Financial Institution(s) of the relevant deadline for delivery of the Conversion Consideration and the type of Conversion Consideration to be paid and/or delivered, as the case may be.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8" w:name="page179"/>
    <w:bookmarkEnd w:id="178"/>
    <w:p>
      <w:pPr>
        <w:jc w:val="both"/>
        <w:ind w:right="20" w:firstLine="1143"/>
        <w:spacing w:after="0" w:line="254" w:lineRule="auto"/>
        <w:tabs>
          <w:tab w:leader="none" w:pos="136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Notes delivered to the Designated Financial Institution(s) shall remain outstanding and the Designated Financial Institution(s) shall be the holder(s) of the Notes,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notify the Trustee, the Conversion Agent and the Holder surrendering its Notes for conversion and pay and/or deliver, as the case may be, the relevant Conversion Consideration, as, and at the time, required pursuant to this Indenture as if the Company had not made the Exchange Election and the Notes will be cancelled in accordance with the provisions of this Indenture.</w:t>
      </w:r>
    </w:p>
    <w:p>
      <w:pPr>
        <w:spacing w:after="0" w:line="170" w:lineRule="exact"/>
        <w:rPr>
          <w:rFonts w:ascii="Arial" w:cs="Arial" w:eastAsia="Arial" w:hAnsi="Arial"/>
          <w:sz w:val="16"/>
          <w:szCs w:val="16"/>
          <w:color w:val="auto"/>
        </w:rPr>
      </w:pPr>
    </w:p>
    <w:p>
      <w:pPr>
        <w:ind w:right="20" w:firstLine="1143"/>
        <w:spacing w:after="0" w:line="275" w:lineRule="auto"/>
        <w:tabs>
          <w:tab w:leader="none" w:pos="139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Company’s designation of any Designated Financial Institution(s) to which the Notes may be submitted for exchange does not require such Designated Financial Institution(s) to accept any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EPURCHASE OF</w:t>
      </w:r>
      <w:r>
        <w:rPr>
          <w:rFonts w:ascii="Arial" w:cs="Arial" w:eastAsia="Arial" w:hAnsi="Arial"/>
          <w:sz w:val="16"/>
          <w:szCs w:val="16"/>
          <w:color w:val="auto"/>
        </w:rPr>
        <w:t xml:space="preserve"> N</w:t>
      </w:r>
      <w:r>
        <w:rPr>
          <w:rFonts w:ascii="Arial" w:cs="Arial" w:eastAsia="Arial" w:hAnsi="Arial"/>
          <w:sz w:val="10"/>
          <w:szCs w:val="10"/>
          <w:color w:val="auto"/>
        </w:rPr>
        <w:t>OTES AT</w:t>
      </w:r>
      <w:r>
        <w:rPr>
          <w:rFonts w:ascii="Arial" w:cs="Arial" w:eastAsia="Arial" w:hAnsi="Arial"/>
          <w:sz w:val="16"/>
          <w:szCs w:val="16"/>
          <w:color w:val="auto"/>
        </w:rPr>
        <w:t xml:space="preserve"> O</w:t>
      </w:r>
      <w:r>
        <w:rPr>
          <w:rFonts w:ascii="Arial" w:cs="Arial" w:eastAsia="Arial" w:hAnsi="Arial"/>
          <w:sz w:val="10"/>
          <w:szCs w:val="10"/>
          <w:color w:val="auto"/>
        </w:rPr>
        <w:t>PTION OF</w:t>
      </w:r>
      <w:r>
        <w:rPr>
          <w:rFonts w:ascii="Arial" w:cs="Arial" w:eastAsia="Arial" w:hAnsi="Arial"/>
          <w:sz w:val="16"/>
          <w:szCs w:val="16"/>
          <w:color w:val="auto"/>
        </w:rPr>
        <w:t xml:space="preserve"> H</w:t>
      </w:r>
      <w:r>
        <w:rPr>
          <w:rFonts w:ascii="Arial" w:cs="Arial" w:eastAsia="Arial" w:hAnsi="Arial"/>
          <w:sz w:val="10"/>
          <w:szCs w:val="10"/>
          <w:color w:val="auto"/>
        </w:rPr>
        <w:t>OLDERS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15.01. </w:t>
      </w:r>
      <w:r>
        <w:rPr>
          <w:rFonts w:ascii="Arial" w:cs="Arial" w:eastAsia="Arial" w:hAnsi="Arial"/>
          <w:sz w:val="16"/>
          <w:szCs w:val="16"/>
          <w:i w:val="1"/>
          <w:iCs w:val="1"/>
          <w:color w:val="auto"/>
        </w:rPr>
        <w:t>[Intentionally Omitted]</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15.02. </w:t>
      </w:r>
      <w:r>
        <w:rPr>
          <w:rFonts w:ascii="Arial" w:cs="Arial" w:eastAsia="Arial" w:hAnsi="Arial"/>
          <w:sz w:val="15"/>
          <w:szCs w:val="15"/>
          <w:i w:val="1"/>
          <w:iCs w:val="1"/>
          <w:color w:val="auto"/>
        </w:rPr>
        <w:t>Repurchase at Option of Holders Upon a Fundamental Change</w:t>
      </w:r>
      <w:r>
        <w:rPr>
          <w:rFonts w:ascii="Arial" w:cs="Arial" w:eastAsia="Arial" w:hAnsi="Arial"/>
          <w:sz w:val="15"/>
          <w:szCs w:val="15"/>
          <w:color w:val="auto"/>
        </w:rPr>
        <w:t>. (a) If a Fundamental Change occurs at any time prior to the Maturity Date,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Arial" w:cs="Arial" w:eastAsia="Arial" w:hAnsi="Arial"/>
          <w:sz w:val="15"/>
          <w:szCs w:val="15"/>
          <w:b w:val="1"/>
          <w:bCs w:val="1"/>
          <w:color w:val="auto"/>
        </w:rPr>
        <w:t>Fundamental Change Repurchase</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specified by the Company that is not less than 20 Business Days or more than 35 Business Days following the date of the Fundamental Change Company Notice at a</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repurchase price equal to 100% of the principal amount thereof,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thereon to, but excluding, the Fundamental Change Repurchase Date (the “</w:t>
      </w:r>
      <w:r>
        <w:rPr>
          <w:rFonts w:ascii="Arial" w:cs="Arial" w:eastAsia="Arial" w:hAnsi="Arial"/>
          <w:sz w:val="15"/>
          <w:szCs w:val="15"/>
          <w:b w:val="1"/>
          <w:bCs w:val="1"/>
          <w:color w:val="auto"/>
        </w:rPr>
        <w:t>Fundamental Change Repurchase Price</w:t>
      </w:r>
      <w:r>
        <w:rPr>
          <w:rFonts w:ascii="Arial" w:cs="Arial" w:eastAsia="Arial" w:hAnsi="Arial"/>
          <w:sz w:val="15"/>
          <w:szCs w:val="15"/>
          <w:color w:val="auto"/>
        </w:rPr>
        <w:t>”), unless the Fundamental Change Repurchase Date falls after a Regular Record Date but on or prior to the Interest Payment Date to which such Regular Record Date relates, in which case the Company shall instead pay, on or, at the Company’s election, before such Interest Payment Date,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59" w:lineRule="exact"/>
        <w:rPr>
          <w:sz w:val="20"/>
          <w:szCs w:val="20"/>
          <w:color w:val="auto"/>
        </w:rPr>
      </w:pPr>
    </w:p>
    <w:p>
      <w:pPr>
        <w:ind w:left="1360" w:hanging="217"/>
        <w:spacing w:after="0"/>
        <w:tabs>
          <w:tab w:leader="none" w:pos="13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Repurchases of Notes under this Section 15.02 shall be made, at the option of the Holder thereof, upon:</w:t>
      </w:r>
    </w:p>
    <w:p>
      <w:pPr>
        <w:spacing w:after="0" w:line="194" w:lineRule="exact"/>
        <w:rPr>
          <w:rFonts w:ascii="Arial" w:cs="Arial" w:eastAsia="Arial" w:hAnsi="Arial"/>
          <w:sz w:val="16"/>
          <w:szCs w:val="16"/>
          <w:color w:val="auto"/>
        </w:rPr>
      </w:pPr>
    </w:p>
    <w:p>
      <w:pPr>
        <w:jc w:val="both"/>
        <w:ind w:right="20" w:firstLine="1716"/>
        <w:spacing w:after="0" w:line="259" w:lineRule="auto"/>
        <w:tabs>
          <w:tab w:leader="none" w:pos="199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delivery to the Paying Agent by a Holder of a duly completed notice (the “</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65" w:lineRule="exact"/>
        <w:rPr>
          <w:rFonts w:ascii="Arial" w:cs="Arial" w:eastAsia="Arial" w:hAnsi="Arial"/>
          <w:sz w:val="16"/>
          <w:szCs w:val="16"/>
          <w:color w:val="auto"/>
        </w:rPr>
      </w:pPr>
    </w:p>
    <w:p>
      <w:pPr>
        <w:jc w:val="both"/>
        <w:ind w:right="20" w:firstLine="1716"/>
        <w:spacing w:after="0" w:line="258" w:lineRule="auto"/>
        <w:tabs>
          <w:tab w:leader="none" w:pos="204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Fundamental Change Repurchase Notice in respect of any Physical Notes to be repurchased shall state:</w:t>
      </w:r>
    </w:p>
    <w:p>
      <w:pPr>
        <w:spacing w:after="0" w:line="198" w:lineRule="exact"/>
        <w:rPr>
          <w:sz w:val="20"/>
          <w:szCs w:val="20"/>
          <w:color w:val="auto"/>
        </w:rPr>
      </w:pPr>
    </w:p>
    <w:p>
      <w:pPr>
        <w:ind w:left="800" w:hanging="231"/>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Physical Notes have been issued the certificate numbers of the Notes to be delivered for repurchase;</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must be $1,000 or an integral multiple thereof;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79" w:name="page180"/>
    <w:bookmarkEnd w:id="179"/>
    <w:p>
      <w:pPr>
        <w:ind w:left="560"/>
        <w:spacing w:after="0"/>
        <w:rPr>
          <w:sz w:val="20"/>
          <w:szCs w:val="20"/>
          <w:color w:val="auto"/>
        </w:rPr>
      </w:pPr>
      <w:r>
        <w:rPr>
          <w:rFonts w:ascii="Arial" w:cs="Arial" w:eastAsia="Arial" w:hAnsi="Arial"/>
          <w:sz w:val="16"/>
          <w:szCs w:val="16"/>
          <w:color w:val="auto"/>
        </w:rPr>
        <w:t>(3) that the Notes are to be repurchased by the Company pursuant to the applicable provisions of the Notes and this Indenture.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the Notes are Global Notes, to exercise the Fundamental Change repurchase right, Holders must surrender their Notes in accordance with applicable Depositary procedures.</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Paying Agent shall promptly notify the Company of the receipt by it of any Fundamental Change Repurchase Notice or written notice of withdrawal thereof.</w:t>
      </w:r>
    </w:p>
    <w:p>
      <w:pPr>
        <w:spacing w:after="0" w:line="210" w:lineRule="exact"/>
        <w:rPr>
          <w:sz w:val="20"/>
          <w:szCs w:val="20"/>
          <w:color w:val="auto"/>
        </w:rPr>
      </w:pPr>
    </w:p>
    <w:p>
      <w:pPr>
        <w:jc w:val="both"/>
        <w:ind w:firstLine="1143"/>
        <w:spacing w:after="0" w:line="274" w:lineRule="auto"/>
        <w:tabs>
          <w:tab w:leader="none" w:pos="1368" w:val="left"/>
        </w:tabs>
        <w:numPr>
          <w:ilvl w:val="0"/>
          <w:numId w:val="202"/>
        </w:numPr>
        <w:rPr>
          <w:rFonts w:ascii="Arial" w:cs="Arial" w:eastAsia="Arial" w:hAnsi="Arial"/>
          <w:sz w:val="15"/>
          <w:szCs w:val="15"/>
          <w:color w:val="auto"/>
        </w:rPr>
      </w:pPr>
      <w:r>
        <w:rPr>
          <w:rFonts w:ascii="Arial" w:cs="Arial" w:eastAsia="Arial" w:hAnsi="Arial"/>
          <w:sz w:val="15"/>
          <w:szCs w:val="15"/>
          <w:color w:val="auto"/>
        </w:rPr>
        <w:t>On or before the 15th Business Day after the occurrence of the effective date of a Fundamental Change, the Company shall provide to all Holders and the Trustee, the Conversion Agent (if other than the Trustee) and the Paying Agent (if other than the Trustee) a written notice (the “</w:t>
      </w:r>
      <w:r>
        <w:rPr>
          <w:rFonts w:ascii="Arial" w:cs="Arial" w:eastAsia="Arial" w:hAnsi="Arial"/>
          <w:sz w:val="15"/>
          <w:szCs w:val="15"/>
          <w:b w:val="1"/>
          <w:bCs w:val="1"/>
          <w:color w:val="auto"/>
        </w:rPr>
        <w:t>Fundamental Change Company Notice</w:t>
      </w:r>
      <w:r>
        <w:rPr>
          <w:rFonts w:ascii="Arial" w:cs="Arial" w:eastAsia="Arial" w:hAnsi="Arial"/>
          <w:sz w:val="15"/>
          <w:szCs w:val="15"/>
          <w:color w:val="auto"/>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including through the filing of a Form 8-K with the Commission. Each Fundamental Change Company Notice shall specify:</w:t>
      </w:r>
    </w:p>
    <w:p>
      <w:pPr>
        <w:spacing w:after="0" w:line="156" w:lineRule="exact"/>
        <w:rPr>
          <w:rFonts w:ascii="Arial" w:cs="Arial" w:eastAsia="Arial" w:hAnsi="Arial"/>
          <w:sz w:val="15"/>
          <w:szCs w:val="15"/>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events causing the Fundamental Change;</w:t>
      </w:r>
    </w:p>
    <w:p>
      <w:pPr>
        <w:spacing w:after="0" w:line="198" w:lineRule="exact"/>
        <w:rPr>
          <w:rFonts w:ascii="Arial" w:cs="Arial" w:eastAsia="Arial" w:hAnsi="Arial"/>
          <w:sz w:val="16"/>
          <w:szCs w:val="16"/>
          <w:color w:val="auto"/>
        </w:rPr>
      </w:pPr>
    </w:p>
    <w:p>
      <w:pPr>
        <w:ind w:left="2040" w:hanging="324"/>
        <w:spacing w:after="0"/>
        <w:tabs>
          <w:tab w:leader="none" w:pos="204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effective date of the Fundamental Change;</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last date on which a Holder may exercise the repurchase right pursuant to this Article 15;</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Fundamental Change Repurchase Price;</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Fundamental Change Repurchase Date;</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name and address of the Paying Agent and the Conversion Agent, if applicable;</w:t>
      </w:r>
    </w:p>
    <w:p>
      <w:pPr>
        <w:spacing w:after="0" w:line="198" w:lineRule="exact"/>
        <w:rPr>
          <w:rFonts w:ascii="Arial" w:cs="Arial" w:eastAsia="Arial" w:hAnsi="Arial"/>
          <w:sz w:val="16"/>
          <w:szCs w:val="16"/>
          <w:color w:val="auto"/>
        </w:rPr>
      </w:pPr>
    </w:p>
    <w:p>
      <w:pPr>
        <w:ind w:left="2120" w:hanging="404"/>
        <w:spacing w:after="0"/>
        <w:tabs>
          <w:tab w:leader="none" w:pos="2120"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applicable, the Conversion Rate and any adjustments to the Conversion Rate as a result of a Fundamental Change (or related Make-Whole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Fundamental Change);</w:t>
      </w:r>
    </w:p>
    <w:p>
      <w:pPr>
        <w:spacing w:after="0" w:line="185" w:lineRule="exact"/>
        <w:rPr>
          <w:rFonts w:ascii="Arial" w:cs="Arial" w:eastAsia="Arial" w:hAnsi="Arial"/>
          <w:sz w:val="14"/>
          <w:szCs w:val="14"/>
          <w:color w:val="auto"/>
        </w:rPr>
      </w:pPr>
    </w:p>
    <w:p>
      <w:pPr>
        <w:ind w:right="20" w:firstLine="1716"/>
        <w:spacing w:after="0" w:line="275" w:lineRule="auto"/>
        <w:tabs>
          <w:tab w:leader="none" w:pos="2089"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that the Notes with respect to which a Fundamental Change Repurchase Notice has been delivered by a Holder may be converted only if the Holder validly withdraws the Fundamental Change Repurchase Notice in accordance with the terms of this Indenture; and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procedures that Holders must follow to require the Company to repurchase their Notes.</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0" w:name="page181"/>
    <w:bookmarkEnd w:id="180"/>
    <w:p>
      <w:pPr>
        <w:jc w:val="both"/>
        <w:ind w:right="20" w:firstLine="574"/>
        <w:spacing w:after="0" w:line="262" w:lineRule="auto"/>
        <w:rPr>
          <w:sz w:val="20"/>
          <w:szCs w:val="20"/>
          <w:color w:val="auto"/>
        </w:rPr>
      </w:pPr>
      <w:r>
        <w:rPr>
          <w:rFonts w:ascii="Arial" w:cs="Arial" w:eastAsia="Arial" w:hAnsi="Arial"/>
          <w:sz w:val="16"/>
          <w:szCs w:val="16"/>
          <w:color w:val="auto"/>
        </w:rPr>
        <w:t xml:space="preserve">At the Company’s written request, the Trustee shall give such notice in the Company’s name and at the Company’s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all cases, the text of such Fundamental Change Company Notice shall be prepared by the Company and delivered to the Trustee at least three Business Days prior (or such shorter period as shall be acceptable to the Trustee).</w:t>
      </w:r>
    </w:p>
    <w:p>
      <w:pPr>
        <w:spacing w:after="0" w:line="162" w:lineRule="exact"/>
        <w:rPr>
          <w:sz w:val="20"/>
          <w:szCs w:val="20"/>
          <w:color w:val="auto"/>
        </w:rPr>
      </w:pPr>
    </w:p>
    <w:p>
      <w:pPr>
        <w:jc w:val="both"/>
        <w:ind w:right="20" w:firstLine="1143"/>
        <w:spacing w:after="0" w:line="280" w:lineRule="auto"/>
        <w:tabs>
          <w:tab w:leader="none" w:pos="1376"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w:t>
      </w:r>
    </w:p>
    <w:p>
      <w:pPr>
        <w:spacing w:after="0" w:line="151" w:lineRule="exact"/>
        <w:rPr>
          <w:rFonts w:ascii="Arial" w:cs="Arial" w:eastAsia="Arial" w:hAnsi="Arial"/>
          <w:sz w:val="15"/>
          <w:szCs w:val="15"/>
          <w:color w:val="auto"/>
        </w:rPr>
      </w:pPr>
    </w:p>
    <w:p>
      <w:pPr>
        <w:jc w:val="both"/>
        <w:ind w:firstLine="1143"/>
        <w:spacing w:after="0" w:line="273" w:lineRule="auto"/>
        <w:tabs>
          <w:tab w:leader="none" w:pos="1367"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56"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15.03. </w:t>
      </w:r>
      <w:r>
        <w:rPr>
          <w:rFonts w:ascii="Arial" w:cs="Arial" w:eastAsia="Arial" w:hAnsi="Arial"/>
          <w:sz w:val="15"/>
          <w:szCs w:val="15"/>
          <w:i w:val="1"/>
          <w:iCs w:val="1"/>
          <w:color w:val="auto"/>
        </w:rPr>
        <w:t>Withdrawal of Fundamental Change Repurchase Notice</w:t>
      </w:r>
      <w:r>
        <w:rPr>
          <w:rFonts w:ascii="Arial" w:cs="Arial" w:eastAsia="Arial" w:hAnsi="Arial"/>
          <w:sz w:val="15"/>
          <w:szCs w:val="15"/>
          <w:color w:val="auto"/>
        </w:rPr>
        <w:t>. (a) A Fundamental Change Repurchase Notice may be withdrawn (in whole or in part) in respect of Physical Notes by means of a written notice of withdrawal received by the Corporate Trust Office of the Paying Agent in accordance with this Section 15.03 at any time prior to the close of business on the Business Day immediately preceding the Fundamental Change Repurchase Date, specifying:</w:t>
      </w:r>
    </w:p>
    <w:p>
      <w:pPr>
        <w:spacing w:after="0" w:line="146" w:lineRule="exact"/>
        <w:rPr>
          <w:sz w:val="20"/>
          <w:szCs w:val="20"/>
          <w:color w:val="auto"/>
        </w:rPr>
      </w:pPr>
    </w:p>
    <w:p>
      <w:pPr>
        <w:ind w:left="1720"/>
        <w:spacing w:after="0"/>
        <w:tabs>
          <w:tab w:leader="none" w:pos="20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the principal amount of the Notes with respect to which such notice of withdrawal is being submitted, which must be $1,000 or an integral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multiple thereof,</w:t>
      </w:r>
    </w:p>
    <w:p>
      <w:pPr>
        <w:spacing w:after="0" w:line="186" w:lineRule="exact"/>
        <w:rPr>
          <w:sz w:val="20"/>
          <w:szCs w:val="20"/>
          <w:color w:val="auto"/>
        </w:rPr>
      </w:pPr>
    </w:p>
    <w:p>
      <w:pPr>
        <w:ind w:left="2040" w:hanging="324"/>
        <w:spacing w:after="0"/>
        <w:tabs>
          <w:tab w:leader="none" w:pos="20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certificate number of the Note in respect of which such notice of withdrawal is being submitted,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the principal amount, if any, of such Note that remains subject to the original Fundamental Change Repurchase Notice, which must be $1,000 or</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 integral multiple thereof;</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Notes are Global Notes, such notice of withdrawal must comply with applicable procedures of the Depositary.</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15.04. </w:t>
      </w:r>
      <w:r>
        <w:rPr>
          <w:rFonts w:ascii="Arial" w:cs="Arial" w:eastAsia="Arial" w:hAnsi="Arial"/>
          <w:sz w:val="15"/>
          <w:szCs w:val="15"/>
          <w:i w:val="1"/>
          <w:iCs w:val="1"/>
          <w:color w:val="auto"/>
        </w:rPr>
        <w:t>Deposit of Fundamental Change Repurchase Price</w:t>
      </w:r>
      <w:r>
        <w:rPr>
          <w:rFonts w:ascii="Arial" w:cs="Arial" w:eastAsia="Arial" w:hAnsi="Arial"/>
          <w:sz w:val="15"/>
          <w:szCs w:val="15"/>
          <w:color w:val="auto"/>
        </w:rPr>
        <w:t>.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1" w:name="page182"/>
    <w:bookmarkEnd w:id="181"/>
    <w:p>
      <w:pPr>
        <w:jc w:val="both"/>
        <w:ind w:firstLine="1143"/>
        <w:spacing w:after="0" w:line="253" w:lineRule="auto"/>
        <w:tabs>
          <w:tab w:leader="none" w:pos="137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spacing w:after="0" w:line="171" w:lineRule="exact"/>
        <w:rPr>
          <w:rFonts w:ascii="Arial" w:cs="Arial" w:eastAsia="Arial" w:hAnsi="Arial"/>
          <w:sz w:val="16"/>
          <w:szCs w:val="16"/>
          <w:color w:val="auto"/>
        </w:rPr>
      </w:pPr>
    </w:p>
    <w:p>
      <w:pPr>
        <w:ind w:right="20" w:firstLine="1143"/>
        <w:spacing w:after="0" w:line="309" w:lineRule="auto"/>
        <w:tabs>
          <w:tab w:leader="none" w:pos="1374" w:val="left"/>
        </w:tabs>
        <w:numPr>
          <w:ilvl w:val="0"/>
          <w:numId w:val="205"/>
        </w:numPr>
        <w:rPr>
          <w:rFonts w:ascii="Arial" w:cs="Arial" w:eastAsia="Arial" w:hAnsi="Arial"/>
          <w:sz w:val="15"/>
          <w:szCs w:val="15"/>
          <w:color w:val="auto"/>
        </w:rPr>
      </w:pPr>
      <w:r>
        <w:rPr>
          <w:rFonts w:ascii="Arial" w:cs="Arial" w:eastAsia="Arial" w:hAnsi="Arial"/>
          <w:sz w:val="15"/>
          <w:szCs w:val="15"/>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29"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Section 15.05. </w:t>
      </w:r>
      <w:r>
        <w:rPr>
          <w:rFonts w:ascii="Arial" w:cs="Arial" w:eastAsia="Arial" w:hAnsi="Arial"/>
          <w:sz w:val="16"/>
          <w:szCs w:val="16"/>
          <w:i w:val="1"/>
          <w:iCs w:val="1"/>
          <w:color w:val="auto"/>
        </w:rPr>
        <w:t>Covenant to Comply with Applicable Laws Upon Repurchase of Notes</w:t>
      </w:r>
      <w:r>
        <w:rPr>
          <w:rFonts w:ascii="Arial" w:cs="Arial" w:eastAsia="Arial" w:hAnsi="Arial"/>
          <w:sz w:val="16"/>
          <w:szCs w:val="16"/>
          <w:color w:val="auto"/>
        </w:rPr>
        <w:t>. In connection with any repurchase offer upon a Fundamental Change pursuant to this Article 15, the Company will, if required:</w:t>
      </w:r>
    </w:p>
    <w:p>
      <w:pPr>
        <w:spacing w:after="0" w:line="152" w:lineRule="exact"/>
        <w:rPr>
          <w:sz w:val="20"/>
          <w:szCs w:val="20"/>
          <w:color w:val="auto"/>
        </w:rPr>
      </w:pPr>
    </w:p>
    <w:p>
      <w:pPr>
        <w:ind w:left="1360" w:hanging="217"/>
        <w:spacing w:after="0"/>
        <w:tabs>
          <w:tab w:leader="none" w:pos="13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 applicable;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file a Schedule TO or any other required schedule under the Exchange Act; and</w:t>
      </w:r>
    </w:p>
    <w:p>
      <w:pPr>
        <w:spacing w:after="0" w:line="198" w:lineRule="exact"/>
        <w:rPr>
          <w:rFonts w:ascii="Arial" w:cs="Arial" w:eastAsia="Arial" w:hAnsi="Arial"/>
          <w:sz w:val="16"/>
          <w:szCs w:val="16"/>
          <w:color w:val="auto"/>
        </w:rPr>
      </w:pPr>
    </w:p>
    <w:p>
      <w:pPr>
        <w:ind w:right="200" w:firstLine="1143"/>
        <w:spacing w:after="0" w:line="532" w:lineRule="auto"/>
        <w:tabs>
          <w:tab w:leader="none" w:pos="136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w:t>
      </w:r>
    </w:p>
    <w:p>
      <w:pPr>
        <w:jc w:val="both"/>
        <w:ind w:right="20" w:firstLine="574"/>
        <w:spacing w:after="0" w:line="262" w:lineRule="auto"/>
        <w:rPr>
          <w:sz w:val="20"/>
          <w:szCs w:val="20"/>
          <w:color w:val="auto"/>
        </w:rPr>
      </w:pPr>
      <w:r>
        <w:rPr>
          <w:rFonts w:ascii="Arial" w:cs="Arial" w:eastAsia="Arial" w:hAnsi="Arial"/>
          <w:sz w:val="16"/>
          <w:szCs w:val="16"/>
          <w:color w:val="auto"/>
        </w:rPr>
        <w:t>However, to the extent that the obligations of the Company to offer to repurchase and to repurchase Notes pursuant to the provisions described above conflict with any law or regulation adopted after the date of this Indenture and that is applicable to the Company, the Company’s compliance with such law or regulation shall not be considered to be a Default of those obligations.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0"/>
          <w:szCs w:val="10"/>
          <w:color w:val="auto"/>
        </w:rPr>
        <w:t>PTIONAL</w:t>
      </w:r>
      <w:r>
        <w:rPr>
          <w:rFonts w:ascii="Arial" w:cs="Arial" w:eastAsia="Arial" w:hAnsi="Arial"/>
          <w:sz w:val="16"/>
          <w:szCs w:val="16"/>
          <w:color w:val="auto"/>
        </w:rPr>
        <w:t xml:space="preserve"> R</w:t>
      </w:r>
      <w:r>
        <w:rPr>
          <w:rFonts w:ascii="Arial" w:cs="Arial" w:eastAsia="Arial" w:hAnsi="Arial"/>
          <w:sz w:val="10"/>
          <w:szCs w:val="10"/>
          <w:color w:val="auto"/>
        </w:rPr>
        <w:t>EDEMPTION</w:t>
      </w:r>
    </w:p>
    <w:p>
      <w:pPr>
        <w:spacing w:after="0" w:line="189" w:lineRule="exact"/>
        <w:rPr>
          <w:sz w:val="20"/>
          <w:szCs w:val="20"/>
          <w:color w:val="auto"/>
        </w:rPr>
      </w:pPr>
    </w:p>
    <w:p>
      <w:pPr>
        <w:jc w:val="both"/>
        <w:ind w:right="20" w:firstLine="574"/>
        <w:spacing w:after="0" w:line="228" w:lineRule="auto"/>
        <w:rPr>
          <w:sz w:val="20"/>
          <w:szCs w:val="20"/>
          <w:color w:val="auto"/>
        </w:rPr>
      </w:pPr>
      <w:r>
        <w:rPr>
          <w:rFonts w:ascii="Arial" w:cs="Arial" w:eastAsia="Arial" w:hAnsi="Arial"/>
          <w:sz w:val="16"/>
          <w:szCs w:val="16"/>
          <w:color w:val="auto"/>
        </w:rPr>
        <w:t xml:space="preserve">Section 16.01. </w:t>
      </w:r>
      <w:r>
        <w:rPr>
          <w:rFonts w:ascii="Arial" w:cs="Arial" w:eastAsia="Arial" w:hAnsi="Arial"/>
          <w:sz w:val="16"/>
          <w:szCs w:val="16"/>
          <w:i w:val="1"/>
          <w:iCs w:val="1"/>
          <w:color w:val="auto"/>
        </w:rPr>
        <w:t>Optional Redemption</w:t>
      </w:r>
      <w:r>
        <w:rPr>
          <w:rFonts w:ascii="Arial" w:cs="Arial" w:eastAsia="Arial" w:hAnsi="Arial"/>
          <w:sz w:val="16"/>
          <w:szCs w:val="16"/>
          <w:color w:val="auto"/>
        </w:rPr>
        <w:t>. No sinking fund is provided for the Notes. On a Redemption Date occurring before the 21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Scheduled Trading Day before the Maturity Date, the Company may redeem (an “</w:t>
      </w:r>
      <w:r>
        <w:rPr>
          <w:rFonts w:ascii="Arial" w:cs="Arial" w:eastAsia="Arial" w:hAnsi="Arial"/>
          <w:sz w:val="16"/>
          <w:szCs w:val="16"/>
          <w:b w:val="1"/>
          <w:bCs w:val="1"/>
          <w:color w:val="auto"/>
        </w:rPr>
        <w:t>Optional Redemption</w:t>
      </w:r>
      <w:r>
        <w:rPr>
          <w:rFonts w:ascii="Arial" w:cs="Arial" w:eastAsia="Arial" w:hAnsi="Arial"/>
          <w:sz w:val="16"/>
          <w:szCs w:val="16"/>
          <w:color w:val="auto"/>
        </w:rPr>
        <w:t>”) for cash all or any part of the Notes, at a redemption price equal to 100% of the principal amount of the Notes plus the Applicable Premium as of, and accrued and unpaid interest to, the Redemption Date (subject to the right of Holders on the relevant Regular Record Date to receive interest due on the relevant Interest Payment Date).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2" w:name="page183"/>
    <w:bookmarkEnd w:id="182"/>
    <w:p>
      <w:pPr>
        <w:jc w:val="both"/>
        <w:ind w:firstLine="574"/>
        <w:spacing w:after="0" w:line="294" w:lineRule="auto"/>
        <w:rPr>
          <w:sz w:val="20"/>
          <w:szCs w:val="20"/>
          <w:color w:val="auto"/>
        </w:rPr>
      </w:pPr>
      <w:r>
        <w:rPr>
          <w:rFonts w:ascii="Arial" w:cs="Arial" w:eastAsia="Arial" w:hAnsi="Arial"/>
          <w:sz w:val="14"/>
          <w:szCs w:val="14"/>
          <w:color w:val="auto"/>
        </w:rPr>
        <w:t xml:space="preserve">Section 16.02. </w:t>
      </w:r>
      <w:r>
        <w:rPr>
          <w:rFonts w:ascii="Arial" w:cs="Arial" w:eastAsia="Arial" w:hAnsi="Arial"/>
          <w:sz w:val="14"/>
          <w:szCs w:val="14"/>
          <w:i w:val="1"/>
          <w:iCs w:val="1"/>
          <w:color w:val="auto"/>
        </w:rPr>
        <w:t>Notice of Optional Redemption; Selection of Notes</w:t>
      </w:r>
      <w:r>
        <w:rPr>
          <w:rFonts w:ascii="Arial" w:cs="Arial" w:eastAsia="Arial" w:hAnsi="Arial"/>
          <w:sz w:val="14"/>
          <w:szCs w:val="14"/>
          <w:color w:val="auto"/>
        </w:rPr>
        <w:t>. (a) In case the Company exercises its Optional Redemption right to redeem all or, as the case may be, any part of the Notes pursuant to Section 16.01, it shall fix a date for redemption (each, a “</w:t>
      </w:r>
      <w:r>
        <w:rPr>
          <w:rFonts w:ascii="Arial" w:cs="Arial" w:eastAsia="Arial" w:hAnsi="Arial"/>
          <w:sz w:val="14"/>
          <w:szCs w:val="14"/>
          <w:b w:val="1"/>
          <w:bCs w:val="1"/>
          <w:color w:val="auto"/>
        </w:rPr>
        <w:t>Redemption Date</w:t>
      </w:r>
      <w:r>
        <w:rPr>
          <w:rFonts w:ascii="Arial" w:cs="Arial" w:eastAsia="Arial" w:hAnsi="Arial"/>
          <w:sz w:val="14"/>
          <w:szCs w:val="14"/>
          <w:color w:val="auto"/>
        </w:rPr>
        <w:t>”) and it or, at its written request received by the Trustee not less than five Business Days prior to the Redemption Notice Date (or such shorter period of time as may be acceptable to the Trustee), the Trustee, in the name of and at the expense of the Company, shall deliver or cause to be delivered a written notice of such Optional Redemption (a “</w:t>
      </w:r>
      <w:r>
        <w:rPr>
          <w:rFonts w:ascii="Arial" w:cs="Arial" w:eastAsia="Arial" w:hAnsi="Arial"/>
          <w:sz w:val="14"/>
          <w:szCs w:val="14"/>
          <w:b w:val="1"/>
          <w:bCs w:val="1"/>
          <w:color w:val="auto"/>
        </w:rPr>
        <w:t>Notice of Redemption</w:t>
      </w:r>
      <w:r>
        <w:rPr>
          <w:rFonts w:ascii="Arial" w:cs="Arial" w:eastAsia="Arial" w:hAnsi="Arial"/>
          <w:sz w:val="14"/>
          <w:szCs w:val="14"/>
          <w:color w:val="auto"/>
        </w:rPr>
        <w:t xml:space="preserve">”) (in all cases, the text of such Notice of Redemption shall be prepared by the Company) not less than 35 nor more than 65 Scheduled Trading Days prior to the Redemption Date to each Holder of Notes so to be redeemed in whole or in part;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the Company shall give such notice, it shall also give written notice of the Redemption Date to the Trustee, the Conversion Agent and the Paying Agent. In the case of any Optional Redemption in part, Holders of Notes not called for Optional Redemption will not be entitled to an increased Conversion Rate for such Notes in accordance with Section 14.03 and Section 16.02(c). The Redemption Date must be a Business Day.</w:t>
      </w:r>
    </w:p>
    <w:p>
      <w:pPr>
        <w:spacing w:after="0" w:line="143" w:lineRule="exact"/>
        <w:rPr>
          <w:sz w:val="20"/>
          <w:szCs w:val="20"/>
          <w:color w:val="auto"/>
        </w:rPr>
      </w:pPr>
    </w:p>
    <w:p>
      <w:pPr>
        <w:jc w:val="both"/>
        <w:ind w:right="20" w:firstLine="1143"/>
        <w:spacing w:after="0" w:line="262" w:lineRule="auto"/>
        <w:tabs>
          <w:tab w:leader="none" w:pos="137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Notice of Redemption shall specify:</w:t>
      </w:r>
    </w:p>
    <w:p>
      <w:pPr>
        <w:spacing w:after="0" w:line="198" w:lineRule="exact"/>
        <w:rPr>
          <w:rFonts w:ascii="Arial" w:cs="Arial" w:eastAsia="Arial" w:hAnsi="Arial"/>
          <w:sz w:val="16"/>
          <w:szCs w:val="16"/>
          <w:color w:val="auto"/>
        </w:rPr>
      </w:pPr>
    </w:p>
    <w:p>
      <w:pPr>
        <w:ind w:left="1900" w:hanging="184"/>
        <w:spacing w:after="0"/>
        <w:tabs>
          <w:tab w:leader="none" w:pos="19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Redemption Date (which must be a Business Day);</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Redemption Price;</w:t>
      </w:r>
    </w:p>
    <w:p>
      <w:pPr>
        <w:spacing w:after="0" w:line="198" w:lineRule="exact"/>
        <w:rPr>
          <w:rFonts w:ascii="Arial" w:cs="Arial" w:eastAsia="Arial" w:hAnsi="Arial"/>
          <w:sz w:val="16"/>
          <w:szCs w:val="16"/>
          <w:color w:val="auto"/>
        </w:rPr>
      </w:pPr>
    </w:p>
    <w:p>
      <w:pPr>
        <w:ind w:right="20" w:firstLine="1716"/>
        <w:spacing w:after="0" w:line="275" w:lineRule="auto"/>
        <w:tabs>
          <w:tab w:leader="none" w:pos="200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that on the Redemption Date, the Redemption Price will become due and payable upon each Note to be redeemed, and that interest thereon, if any, shall cease to accrue on and after the Redemption Date;</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place or places where such Notes are to be surrendered for payment of the Redemption Price;</w:t>
      </w:r>
    </w:p>
    <w:p>
      <w:pPr>
        <w:spacing w:after="0" w:line="198" w:lineRule="exact"/>
        <w:rPr>
          <w:rFonts w:ascii="Arial" w:cs="Arial" w:eastAsia="Arial" w:hAnsi="Arial"/>
          <w:sz w:val="16"/>
          <w:szCs w:val="16"/>
          <w:color w:val="auto"/>
        </w:rPr>
      </w:pPr>
    </w:p>
    <w:p>
      <w:pPr>
        <w:ind w:firstLine="1716"/>
        <w:spacing w:after="0" w:line="275" w:lineRule="auto"/>
        <w:tabs>
          <w:tab w:leader="none" w:pos="198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that Holders may surrender their Notes for conversion at any time prior to the close of business on the second Scheduled Trading Day immediately preceding the Redemption Date;</w:t>
      </w:r>
    </w:p>
    <w:p>
      <w:pPr>
        <w:spacing w:after="0" w:line="151" w:lineRule="exact"/>
        <w:rPr>
          <w:rFonts w:ascii="Arial" w:cs="Arial" w:eastAsia="Arial" w:hAnsi="Arial"/>
          <w:sz w:val="16"/>
          <w:szCs w:val="16"/>
          <w:color w:val="auto"/>
        </w:rPr>
      </w:pPr>
    </w:p>
    <w:p>
      <w:pPr>
        <w:ind w:left="2000" w:hanging="284"/>
        <w:spacing w:after="0"/>
        <w:tabs>
          <w:tab w:leader="none" w:pos="2000" w:val="left"/>
        </w:tabs>
        <w:numPr>
          <w:ilvl w:val="1"/>
          <w:numId w:val="207"/>
        </w:numPr>
        <w:rPr>
          <w:rFonts w:ascii="Arial" w:cs="Arial" w:eastAsia="Arial" w:hAnsi="Arial"/>
          <w:sz w:val="14"/>
          <w:szCs w:val="14"/>
          <w:color w:val="auto"/>
        </w:rPr>
      </w:pPr>
      <w:r>
        <w:rPr>
          <w:rFonts w:ascii="Arial" w:cs="Arial" w:eastAsia="Arial" w:hAnsi="Arial"/>
          <w:sz w:val="14"/>
          <w:szCs w:val="14"/>
          <w:color w:val="auto"/>
        </w:rPr>
        <w:t>the procedures a converting Holder must follow to convert its Notes and the forms and amounts of consideration payable by the Company upon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conversion;</w:t>
      </w:r>
    </w:p>
    <w:p>
      <w:pPr>
        <w:spacing w:after="0" w:line="185" w:lineRule="exact"/>
        <w:rPr>
          <w:rFonts w:ascii="Arial" w:cs="Arial" w:eastAsia="Arial" w:hAnsi="Arial"/>
          <w:sz w:val="14"/>
          <w:szCs w:val="14"/>
          <w:color w:val="auto"/>
        </w:rPr>
      </w:pPr>
    </w:p>
    <w:p>
      <w:pPr>
        <w:ind w:left="2040" w:hanging="324"/>
        <w:spacing w:after="0"/>
        <w:tabs>
          <w:tab w:leader="none" w:pos="204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Conversion Rate and, if applicable, the number of Additional Shares added to the Conversion Rate in accordance with Section 14.03;</w:t>
      </w:r>
    </w:p>
    <w:p>
      <w:pPr>
        <w:spacing w:after="0" w:line="209" w:lineRule="exact"/>
        <w:rPr>
          <w:rFonts w:ascii="Arial" w:cs="Arial" w:eastAsia="Arial" w:hAnsi="Arial"/>
          <w:sz w:val="15"/>
          <w:szCs w:val="15"/>
          <w:color w:val="auto"/>
        </w:rPr>
      </w:pPr>
    </w:p>
    <w:p>
      <w:pPr>
        <w:ind w:left="2080" w:hanging="364"/>
        <w:spacing w:after="0"/>
        <w:tabs>
          <w:tab w:leader="none" w:pos="20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CUSIP, ISIN or other similar numbers, if any, assigned to such Notes; and</w:t>
      </w:r>
    </w:p>
    <w:p>
      <w:pPr>
        <w:spacing w:after="0" w:line="198" w:lineRule="exact"/>
        <w:rPr>
          <w:rFonts w:ascii="Arial" w:cs="Arial" w:eastAsia="Arial" w:hAnsi="Arial"/>
          <w:sz w:val="16"/>
          <w:szCs w:val="16"/>
          <w:color w:val="auto"/>
        </w:rPr>
      </w:pPr>
    </w:p>
    <w:p>
      <w:pPr>
        <w:jc w:val="both"/>
        <w:ind w:right="20" w:firstLine="1716"/>
        <w:spacing w:after="0" w:line="287" w:lineRule="auto"/>
        <w:tabs>
          <w:tab w:leader="none" w:pos="2003" w:val="left"/>
        </w:tabs>
        <w:numPr>
          <w:ilvl w:val="1"/>
          <w:numId w:val="207"/>
        </w:numPr>
        <w:rPr>
          <w:rFonts w:ascii="Arial" w:cs="Arial" w:eastAsia="Arial" w:hAnsi="Arial"/>
          <w:sz w:val="15"/>
          <w:szCs w:val="15"/>
          <w:color w:val="auto"/>
        </w:rPr>
      </w:pPr>
      <w:r>
        <w:rPr>
          <w:rFonts w:ascii="Arial" w:cs="Arial" w:eastAsia="Arial" w:hAnsi="Arial"/>
          <w:sz w:val="15"/>
          <w:szCs w:val="15"/>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 multiple thereof (or if a PIK Payment has been made, in a principal amount of $1.00 or an integral multiple of $1.00 in excess of $1.00).</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 Notice of Redemption shall be irrevocable.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3" w:name="page184"/>
    <w:bookmarkEnd w:id="183"/>
    <w:p>
      <w:pPr>
        <w:jc w:val="both"/>
        <w:ind w:firstLine="1143"/>
        <w:spacing w:after="0" w:line="290" w:lineRule="auto"/>
        <w:tabs>
          <w:tab w:leader="none" w:pos="1379" w:val="left"/>
        </w:tabs>
        <w:numPr>
          <w:ilvl w:val="0"/>
          <w:numId w:val="208"/>
        </w:numPr>
        <w:rPr>
          <w:rFonts w:ascii="Arial" w:cs="Arial" w:eastAsia="Arial" w:hAnsi="Arial"/>
          <w:sz w:val="14"/>
          <w:szCs w:val="14"/>
          <w:color w:val="auto"/>
        </w:rPr>
      </w:pPr>
      <w:r>
        <w:rPr>
          <w:rFonts w:ascii="Arial" w:cs="Arial" w:eastAsia="Arial" w:hAnsi="Arial"/>
          <w:sz w:val="14"/>
          <w:szCs w:val="14"/>
          <w:color w:val="auto"/>
        </w:rPr>
        <w:t xml:space="preserve">If fewer than all of the outstanding Notes are to be redeemed and the Notes to be redeemed are Global Notes, the Notes to be redeemed shall be selected by the Depositary in accordance with the applicable rules and procedures of the Depositary. If fewer than all of the outstanding Notes are to be redeemed and the Notes to be redeemed are not Global Notes, the Trustee shall select the Notes or portions thereof to be redeemed (in principal amounts of $1,000 or multiples thereof) by lot,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or by another method the Trustee considers to be fair and appropriate. If any Note selected for partial redemption is submitted for conversion in part after such selection, the portion of the Note submitted for conversion shall be deemed (so far as may be possible) to be the portion selected for redemption, subject, in the case of Notes represented by a Global Note, to the Depositary’s applicable procedures. If fewer than all of the outstanding Notes are to be redeemed and the Holder of any Note (or any owner of a beneficial interest in any Global Note) is reasonably not able to determine, before the close of business on the 45th scheduled Trading Day immediately before the relevant Redemption Date, whether such Note or beneficial interest, as applicable, is to be redeemed pursuant to such redemption, then such Holder or owner, as applicable, will be entitled to convert such Note or beneficial interest, as applicable, at any time before the close of business on the second Scheduled Trading Day prior to such Redemption Date, unless the Company defaults in the payment of the Redemption Price pursuant to Section 14.01(b)(v), in which case such Holder or owner, as applicable, will be entitled to convert such Note or beneficial interest, as applicable, until the Redemption Price has been paid or duly provided for, and each such conversion will be deemed to be of a Note called for redemption. The Trustee shall not be obligated to make any determination in connection with the foregoing.</w:t>
      </w:r>
    </w:p>
    <w:p>
      <w:pPr>
        <w:spacing w:after="0" w:line="151"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Section 16.03. </w:t>
      </w:r>
      <w:r>
        <w:rPr>
          <w:rFonts w:ascii="Arial" w:cs="Arial" w:eastAsia="Arial" w:hAnsi="Arial"/>
          <w:sz w:val="14"/>
          <w:szCs w:val="14"/>
          <w:i w:val="1"/>
          <w:iCs w:val="1"/>
          <w:color w:val="auto"/>
        </w:rPr>
        <w:t>Payment of Notes Called for Redemption</w:t>
      </w:r>
      <w:r>
        <w:rPr>
          <w:rFonts w:ascii="Arial" w:cs="Arial" w:eastAsia="Arial" w:hAnsi="Arial"/>
          <w:sz w:val="14"/>
          <w:szCs w:val="14"/>
          <w:color w:val="auto"/>
        </w:rPr>
        <w:t>. (a) If any Notice of Redemption has been given in respect of the Notes in accordance with Section 16.02, the Notes shall become due and payable on the Redemption Date at the place or places stated in the Notice of Redemption and at the applicable Redemption Price. On presentation and surrender of the Notes at the place or places stated in the Notice of Redemption, the Notes shall be paid and redeemed by the Company at the applicable Redemption Price.</w:t>
      </w:r>
    </w:p>
    <w:p>
      <w:pPr>
        <w:spacing w:after="0" w:line="127" w:lineRule="exact"/>
        <w:rPr>
          <w:sz w:val="20"/>
          <w:szCs w:val="20"/>
          <w:color w:val="auto"/>
        </w:rPr>
      </w:pPr>
    </w:p>
    <w:p>
      <w:pPr>
        <w:jc w:val="both"/>
        <w:ind w:firstLine="1143"/>
        <w:spacing w:after="0" w:line="255" w:lineRule="auto"/>
        <w:tabs>
          <w:tab w:leader="none" w:pos="1377"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16.04. </w:t>
      </w:r>
      <w:r>
        <w:rPr>
          <w:rFonts w:ascii="Arial" w:cs="Arial" w:eastAsia="Arial" w:hAnsi="Arial"/>
          <w:sz w:val="16"/>
          <w:szCs w:val="16"/>
          <w:i w:val="1"/>
          <w:iCs w:val="1"/>
          <w:color w:val="auto"/>
        </w:rPr>
        <w:t>Restrictions on Redemption</w:t>
      </w:r>
      <w:r>
        <w:rPr>
          <w:rFonts w:ascii="Arial" w:cs="Arial" w:eastAsia="Arial" w:hAnsi="Arial"/>
          <w:sz w:val="16"/>
          <w:szCs w:val="16"/>
          <w:color w:val="auto"/>
        </w:rPr>
        <w:t>. No Notes may be redeemed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w:t>
      </w:r>
      <w:r>
        <w:rPr>
          <w:rFonts w:ascii="Arial" w:cs="Arial" w:eastAsia="Arial" w:hAnsi="Arial"/>
          <w:sz w:val="10"/>
          <w:szCs w:val="10"/>
          <w:color w:val="auto"/>
        </w:rPr>
        <w:t>UARANTEE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17.01. </w:t>
      </w:r>
      <w:r>
        <w:rPr>
          <w:rFonts w:ascii="Arial" w:cs="Arial" w:eastAsia="Arial" w:hAnsi="Arial"/>
          <w:sz w:val="16"/>
          <w:szCs w:val="16"/>
          <w:i w:val="1"/>
          <w:iCs w:val="1"/>
          <w:color w:val="auto"/>
        </w:rPr>
        <w:t>Guarantee</w:t>
      </w:r>
      <w:r>
        <w:rPr>
          <w:rFonts w:ascii="Arial" w:cs="Arial" w:eastAsia="Arial" w:hAnsi="Arial"/>
          <w:sz w:val="16"/>
          <w:szCs w:val="16"/>
          <w:color w:val="auto"/>
        </w:rPr>
        <w:t>.</w:t>
      </w:r>
    </w:p>
    <w:p>
      <w:pPr>
        <w:spacing w:after="0" w:line="186"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Subject to this Article 17, each of the Guarantors hereby, jointly and severally, unconditionally guarantees to each Holder of a Note authenticated and delivered by the Trustee and to the Trustee and its successors and assigns the Notes or the obligations of the Company hereunder or thereunder, that: (a) the principal of, premium (if any) and interest on the Notes will be promptly paid in full when due, whether at the Maturity Date, by acceleration, or otherwise, and interest on the overdue principal of and interest on the Notes, if any, if lawful, and all other obligations of the Company to the Holders or the Trustee hereunder or thereunder will be promptly paid in full or performed, all in accordance with the terms hereof and thereof; and (b) in case of any extension of time of payment or renewal of any Notes or any of such other obligations, that same will be promptly paid in full when due or performed in accordance with the terms of the extension or renewal, whether at the Maturity Date,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4" w:name="page185"/>
    <w:bookmarkEnd w:id="184"/>
    <w:p>
      <w:pPr>
        <w:jc w:val="both"/>
        <w:ind w:firstLine="574"/>
        <w:spacing w:after="0" w:line="274" w:lineRule="auto"/>
        <w:rPr>
          <w:sz w:val="20"/>
          <w:szCs w:val="20"/>
          <w:color w:val="auto"/>
        </w:rPr>
      </w:pPr>
      <w:r>
        <w:rPr>
          <w:rFonts w:ascii="Arial" w:cs="Arial" w:eastAsia="Arial" w:hAnsi="Arial"/>
          <w:sz w:val="15"/>
          <w:szCs w:val="15"/>
          <w:color w:val="auto"/>
        </w:rPr>
        <w:t>The Guarantors hereby agree that their obligations hereunder shall be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extent permitted by applicable law, diligence, presentment, demand of payment, filing of claims with a court in the event of insolvency or bankruptcy of the Company, any right to require a proceeding first against the Company, protest, notice and all demands whatsoever and covenant that this Guarantee shall not be discharged except by complete performance of the obligations contained in the Notes and this Indenture.</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Article Six hereof for the purposes of this Guarantee, notwithstanding any stay, injunction or other prohibition preventing such acceleration in respect of the obligations guaranteed hereby, and (y) in the event of any declaration of acceleration of such obligations as provided in Article Six hereof, such obligations (whether or not due and payable) shall forthwith become due and payable by the Guarantors for the purpose of this Guarantee.</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If an Officer of a Guarantor whose signature is on this Indenture no longer holds that office at the time the Trustee authenticates any Note hereunder, this Guarantee shall be valid nevertheless.</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delivery of any Note by the Trustee, after the authentication thereof hereunder, shall constitute due delivery of the Guarantee set forth in this Indenture on behalf of the Guarantors.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17.02. </w:t>
      </w:r>
      <w:r>
        <w:rPr>
          <w:rFonts w:ascii="Arial" w:cs="Arial" w:eastAsia="Arial" w:hAnsi="Arial"/>
          <w:sz w:val="16"/>
          <w:szCs w:val="16"/>
          <w:i w:val="1"/>
          <w:iCs w:val="1"/>
          <w:color w:val="auto"/>
        </w:rPr>
        <w:t>Limitation on Guarantor Liability</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Ten, result in the obligations of such Guarantor under its Guarantee not constituting a fraudulent transfer or conveyance.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5" w:name="page186"/>
    <w:bookmarkEnd w:id="185"/>
    <w:p>
      <w:pPr>
        <w:ind w:left="4" w:right="20"/>
        <w:spacing w:after="0" w:line="275" w:lineRule="auto"/>
        <w:rPr>
          <w:sz w:val="20"/>
          <w:szCs w:val="20"/>
          <w:color w:val="auto"/>
        </w:rPr>
      </w:pPr>
      <w:r>
        <w:rPr>
          <w:rFonts w:ascii="Arial" w:cs="Arial" w:eastAsia="Arial" w:hAnsi="Arial"/>
          <w:sz w:val="16"/>
          <w:szCs w:val="16"/>
          <w:color w:val="auto"/>
        </w:rPr>
        <w:t>Each Guarantor that makes a payment for distribution under its Guarantee is entitled to a contribution from each other Guarantor in a pro rata amount based on the adjusted net assets of each Guarantor.</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17.03. </w:t>
      </w:r>
      <w:r>
        <w:rPr>
          <w:rFonts w:ascii="Arial" w:cs="Arial" w:eastAsia="Arial" w:hAnsi="Arial"/>
          <w:sz w:val="16"/>
          <w:szCs w:val="16"/>
          <w:i w:val="1"/>
          <w:iCs w:val="1"/>
          <w:color w:val="auto"/>
        </w:rPr>
        <w:t>Release of Guarantees</w:t>
      </w:r>
      <w:r>
        <w:rPr>
          <w:rFonts w:ascii="Arial" w:cs="Arial" w:eastAsia="Arial" w:hAnsi="Arial"/>
          <w:sz w:val="16"/>
          <w:szCs w:val="16"/>
          <w:color w:val="auto"/>
        </w:rPr>
        <w:t>.</w:t>
      </w:r>
    </w:p>
    <w:p>
      <w:pPr>
        <w:spacing w:after="0" w:line="19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Any Guarantee by a Subsidiary of the Notes shall provide by its terms that it (and all Liens securing such Guarantee) shall be automatically and unconditionally released and discharged, without any further action required on the part of the Trustee or any Holder, upon:</w:t>
      </w:r>
    </w:p>
    <w:p>
      <w:pPr>
        <w:spacing w:after="0" w:line="152" w:lineRule="exact"/>
        <w:rPr>
          <w:sz w:val="20"/>
          <w:szCs w:val="20"/>
          <w:color w:val="auto"/>
        </w:rPr>
      </w:pPr>
    </w:p>
    <w:p>
      <w:pPr>
        <w:ind w:left="1364" w:hanging="217"/>
        <w:spacing w:after="0"/>
        <w:tabs>
          <w:tab w:leader="none" w:pos="136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Company’s obligations under this Indenture being discharged in accordance with the terms of this Indenture; or</w:t>
      </w:r>
    </w:p>
    <w:p>
      <w:pPr>
        <w:spacing w:after="0" w:line="198" w:lineRule="exact"/>
        <w:rPr>
          <w:rFonts w:ascii="Arial" w:cs="Arial" w:eastAsia="Arial" w:hAnsi="Arial"/>
          <w:sz w:val="16"/>
          <w:szCs w:val="16"/>
          <w:color w:val="auto"/>
        </w:rPr>
      </w:pPr>
    </w:p>
    <w:p>
      <w:pPr>
        <w:jc w:val="both"/>
        <w:ind w:left="564" w:firstLine="583"/>
        <w:spacing w:after="0" w:line="262" w:lineRule="auto"/>
        <w:tabs>
          <w:tab w:leader="none" w:pos="136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any sale, issuance or other disposition (by merger or otherwise) to any Person which is not a Subsidiary of the Company of (i) all or substantially all of the assets of such Subsidiary or (ii) Capital Stock of a Subsidiary such that such Subsidiary ceases to be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disposition of such Capital Stock is otherwise permitted by the terms of this Indenture.</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ARTICLE 18</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M</w:t>
      </w:r>
      <w:r>
        <w:rPr>
          <w:rFonts w:ascii="Arial" w:cs="Arial" w:eastAsia="Arial" w:hAnsi="Arial"/>
          <w:sz w:val="10"/>
          <w:szCs w:val="10"/>
          <w:color w:val="auto"/>
        </w:rPr>
        <w:t>ISCELLANEOUS</w:t>
      </w:r>
      <w:r>
        <w:rPr>
          <w:rFonts w:ascii="Arial" w:cs="Arial" w:eastAsia="Arial" w:hAnsi="Arial"/>
          <w:sz w:val="16"/>
          <w:szCs w:val="16"/>
          <w:color w:val="auto"/>
        </w:rPr>
        <w:t xml:space="preserve"> P</w:t>
      </w:r>
      <w:r>
        <w:rPr>
          <w:rFonts w:ascii="Arial" w:cs="Arial" w:eastAsia="Arial" w:hAnsi="Arial"/>
          <w:sz w:val="10"/>
          <w:szCs w:val="10"/>
          <w:color w:val="auto"/>
        </w:rPr>
        <w:t>ROVISIONS</w:t>
      </w:r>
    </w:p>
    <w:p>
      <w:pPr>
        <w:spacing w:after="0" w:line="186"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 xml:space="preserve">Section 18.01. </w:t>
      </w:r>
      <w:r>
        <w:rPr>
          <w:rFonts w:ascii="Arial" w:cs="Arial" w:eastAsia="Arial" w:hAnsi="Arial"/>
          <w:sz w:val="16"/>
          <w:szCs w:val="16"/>
          <w:i w:val="1"/>
          <w:iCs w:val="1"/>
          <w:color w:val="auto"/>
        </w:rPr>
        <w:t>Provisions Binding on Company’s Successors</w:t>
      </w:r>
      <w:r>
        <w:rPr>
          <w:rFonts w:ascii="Arial" w:cs="Arial" w:eastAsia="Arial" w:hAnsi="Arial"/>
          <w:sz w:val="16"/>
          <w:szCs w:val="16"/>
          <w:color w:val="auto"/>
        </w:rPr>
        <w:t>. All the covenants, stipulations, promises and agreements of the Company contained in this Indenture shall bind its successors and assigns whether so expressed or not.</w:t>
      </w:r>
    </w:p>
    <w:p>
      <w:pPr>
        <w:spacing w:after="0" w:line="15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 xml:space="preserve">Section 18.02. </w:t>
      </w:r>
      <w:r>
        <w:rPr>
          <w:rFonts w:ascii="Arial" w:cs="Arial" w:eastAsia="Arial" w:hAnsi="Arial"/>
          <w:sz w:val="16"/>
          <w:szCs w:val="16"/>
          <w:i w:val="1"/>
          <w:iCs w:val="1"/>
          <w:color w:val="auto"/>
        </w:rPr>
        <w:t>Official Acts by Successor Corporation</w:t>
      </w:r>
      <w:r>
        <w:rPr>
          <w:rFonts w:ascii="Arial" w:cs="Arial" w:eastAsia="Arial" w:hAnsi="Arial"/>
          <w:sz w:val="16"/>
          <w:szCs w:val="16"/>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62" w:lineRule="exact"/>
        <w:rPr>
          <w:sz w:val="20"/>
          <w:szCs w:val="20"/>
          <w:color w:val="auto"/>
        </w:rPr>
      </w:pPr>
    </w:p>
    <w:p>
      <w:pPr>
        <w:jc w:val="both"/>
        <w:ind w:left="4" w:right="20" w:firstLine="574"/>
        <w:spacing w:after="0" w:line="294" w:lineRule="auto"/>
        <w:rPr>
          <w:sz w:val="20"/>
          <w:szCs w:val="20"/>
          <w:color w:val="auto"/>
        </w:rPr>
      </w:pPr>
      <w:r>
        <w:rPr>
          <w:rFonts w:ascii="Arial" w:cs="Arial" w:eastAsia="Arial" w:hAnsi="Arial"/>
          <w:sz w:val="14"/>
          <w:szCs w:val="14"/>
          <w:color w:val="auto"/>
        </w:rPr>
        <w:t xml:space="preserve">Section 18.03. </w:t>
      </w:r>
      <w:r>
        <w:rPr>
          <w:rFonts w:ascii="Arial" w:cs="Arial" w:eastAsia="Arial" w:hAnsi="Arial"/>
          <w:sz w:val="14"/>
          <w:szCs w:val="14"/>
          <w:i w:val="1"/>
          <w:iCs w:val="1"/>
          <w:color w:val="auto"/>
        </w:rPr>
        <w:t>Addresses for Notices, Etc</w:t>
      </w:r>
      <w:r>
        <w:rPr>
          <w:rFonts w:ascii="Arial" w:cs="Arial" w:eastAsia="Arial" w:hAnsi="Arial"/>
          <w:sz w:val="14"/>
          <w:szCs w:val="14"/>
          <w:color w:val="auto"/>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w:t>
      </w:r>
    </w:p>
    <w:p>
      <w:pPr>
        <w:spacing w:after="0" w:line="1" w:lineRule="exact"/>
        <w:rPr>
          <w:sz w:val="20"/>
          <w:szCs w:val="20"/>
          <w:color w:val="auto"/>
        </w:rPr>
      </w:pPr>
    </w:p>
    <w:p>
      <w:pPr>
        <w:jc w:val="both"/>
        <w:ind w:left="4" w:right="20"/>
        <w:spacing w:after="0" w:line="230" w:lineRule="auto"/>
        <w:rPr>
          <w:sz w:val="20"/>
          <w:szCs w:val="20"/>
          <w:color w:val="auto"/>
        </w:rPr>
      </w:pPr>
      <w:r>
        <w:rPr>
          <w:rFonts w:ascii="Arial" w:cs="Arial" w:eastAsia="Arial" w:hAnsi="Arial"/>
          <w:sz w:val="16"/>
          <w:szCs w:val="16"/>
          <w:color w:val="auto"/>
        </w:rPr>
        <w:t>prepaid by registered or certified mail in a post office letter box addressed (until another address is filed by the Company with the Trustee) to [●]</w:t>
      </w:r>
      <w:r>
        <w:rPr>
          <w:rFonts w:ascii="Arial" w:cs="Arial" w:eastAsia="Arial" w:hAnsi="Arial"/>
          <w:sz w:val="26"/>
          <w:szCs w:val="26"/>
          <w:color w:val="auto"/>
          <w:vertAlign w:val="superscript"/>
        </w:rPr>
        <w:t>20</w:t>
      </w:r>
      <w:r>
        <w:rPr>
          <w:rFonts w:ascii="Arial" w:cs="Arial" w:eastAsia="Arial" w:hAnsi="Arial"/>
          <w:sz w:val="16"/>
          <w:szCs w:val="16"/>
          <w:color w:val="auto"/>
        </w:rPr>
        <w:t>, Attention: [●], Email: [●], with a copy to Colin Diamond, White &amp; Case LLP, 1221 Avenue of the Americas, New York, NY 10020 and Laura Katherine Mann, White &amp; Case LLP, 609 Main Street, Houston, TX, 77002.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whether by mail or electronically, upon actual receipt by the Trustee.</w:t>
      </w:r>
    </w:p>
    <w:p>
      <w:pPr>
        <w:spacing w:after="0" w:line="17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The Trustee, by notice to the Company, may designate additional or different addresses for subsequent notices or communications.</w:t>
      </w:r>
    </w:p>
    <w:p>
      <w:pPr>
        <w:spacing w:after="0" w:line="198" w:lineRule="exact"/>
        <w:rPr>
          <w:sz w:val="20"/>
          <w:szCs w:val="20"/>
          <w:color w:val="auto"/>
        </w:rPr>
      </w:pPr>
    </w:p>
    <w:p>
      <w:pPr>
        <w:jc w:val="both"/>
        <w:ind w:left="4" w:firstLine="574"/>
        <w:spacing w:after="0" w:line="297" w:lineRule="auto"/>
        <w:rPr>
          <w:sz w:val="20"/>
          <w:szCs w:val="20"/>
          <w:color w:val="auto"/>
        </w:rPr>
      </w:pPr>
      <w:r>
        <w:rPr>
          <w:rFonts w:ascii="Arial" w:cs="Arial" w:eastAsia="Arial" w:hAnsi="Arial"/>
          <w:sz w:val="14"/>
          <w:szCs w:val="14"/>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179070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46" w:lineRule="exact"/>
        <w:rPr>
          <w:sz w:val="20"/>
          <w:szCs w:val="20"/>
          <w:color w:val="auto"/>
        </w:rPr>
      </w:pPr>
    </w:p>
    <w:p>
      <w:pPr>
        <w:ind w:left="164" w:hanging="164"/>
        <w:spacing w:after="0"/>
        <w:tabs>
          <w:tab w:leader="none" w:pos="164" w:val="left"/>
        </w:tabs>
        <w:numPr>
          <w:ilvl w:val="0"/>
          <w:numId w:val="211"/>
        </w:numPr>
        <w:rPr>
          <w:rFonts w:ascii="Arial" w:cs="Arial" w:eastAsia="Arial" w:hAnsi="Arial"/>
          <w:sz w:val="22"/>
          <w:szCs w:val="22"/>
          <w:color w:val="auto"/>
          <w:vertAlign w:val="superscript"/>
        </w:rPr>
      </w:pPr>
      <w:r>
        <w:rPr>
          <w:rFonts w:ascii="Arial" w:cs="Arial" w:eastAsia="Arial" w:hAnsi="Arial"/>
          <w:sz w:val="14"/>
          <w:szCs w:val="14"/>
          <w:color w:val="auto"/>
        </w:rPr>
        <w:t>Note to Draft: Company to provide.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86" w:name="page187"/>
    <w:bookmarkEnd w:id="186"/>
    <w:p>
      <w:pPr>
        <w:jc w:val="both"/>
        <w:ind w:right="20" w:firstLine="574"/>
        <w:spacing w:after="0" w:line="275" w:lineRule="auto"/>
        <w:rPr>
          <w:sz w:val="20"/>
          <w:szCs w:val="20"/>
          <w:color w:val="auto"/>
        </w:rPr>
      </w:pPr>
      <w:r>
        <w:rPr>
          <w:rFonts w:ascii="Arial" w:cs="Arial" w:eastAsia="Arial" w:hAnsi="Arial"/>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18.04. </w:t>
      </w:r>
      <w:r>
        <w:rPr>
          <w:rFonts w:ascii="Arial" w:cs="Arial" w:eastAsia="Arial" w:hAnsi="Arial"/>
          <w:sz w:val="16"/>
          <w:szCs w:val="16"/>
          <w:i w:val="1"/>
          <w:iCs w:val="1"/>
          <w:color w:val="auto"/>
        </w:rPr>
        <w:t>Governing Law; Jurisdiction</w:t>
      </w:r>
      <w:r>
        <w:rPr>
          <w:rFonts w:ascii="Arial" w:cs="Arial" w:eastAsia="Arial" w:hAnsi="Arial"/>
          <w:sz w:val="16"/>
          <w:szCs w:val="16"/>
          <w:color w:val="auto"/>
        </w:rPr>
        <w:t>. THIS INDENTURE AND EACH NOTE, AND ANY CLAIM, CONTROVERSY OR DISPUTE ARISING UNDER OR RELATED TO THIS INDENTURE AND EACH NOTE, SHALL BE GOVERNED BY, AND CONSTRUED IN ACCORDANCE WITH, THE LAWS OF THE STATE OF NEW YORK.</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6"/>
          <w:szCs w:val="16"/>
          <w:i w:val="1"/>
          <w:iCs w:val="1"/>
          <w:color w:val="auto"/>
        </w:rPr>
        <w:t>in personam</w:t>
      </w:r>
      <w:r>
        <w:rPr>
          <w:rFonts w:ascii="Arial" w:cs="Arial" w:eastAsia="Arial" w:hAnsi="Arial"/>
          <w:sz w:val="16"/>
          <w:szCs w:val="16"/>
          <w:color w:val="auto"/>
        </w:rPr>
        <w:t>, generally and unconditionally with respect to any action, suit or proceeding for itself in respect of its properties, assets and revenues.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18.05. </w:t>
      </w:r>
      <w:r>
        <w:rPr>
          <w:rFonts w:ascii="Arial" w:cs="Arial" w:eastAsia="Arial" w:hAnsi="Arial"/>
          <w:sz w:val="16"/>
          <w:szCs w:val="16"/>
          <w:i w:val="1"/>
          <w:iCs w:val="1"/>
          <w:color w:val="auto"/>
        </w:rPr>
        <w:t>Evidence of Compliance with Conditions Precedent; Certificates and Opinions of Counsel to Trustee</w:t>
      </w:r>
      <w:r>
        <w:rPr>
          <w:rFonts w:ascii="Arial" w:cs="Arial" w:eastAsia="Arial" w:hAnsi="Arial"/>
          <w:sz w:val="16"/>
          <w:szCs w:val="16"/>
          <w:color w:val="auto"/>
        </w:rPr>
        <w:t>. Upon any application or demand by the Company to the Trustee to take any action under any of the provisions of this Indenture, the Company shall furnish to the Trustee an Officer’s Certificate and an Opinion of Counsel stating that such action is permitted by the terms of this Indenture.</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and the removal of the restrictive legends in connection therewith unless a new Note is to be authenticated,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7" w:name="page188"/>
    <w:bookmarkEnd w:id="187"/>
    <w:p>
      <w:pPr>
        <w:jc w:val="both"/>
        <w:ind w:right="20" w:firstLine="574"/>
        <w:spacing w:after="0" w:line="309" w:lineRule="auto"/>
        <w:rPr>
          <w:sz w:val="20"/>
          <w:szCs w:val="20"/>
          <w:color w:val="auto"/>
        </w:rPr>
      </w:pPr>
      <w:r>
        <w:rPr>
          <w:rFonts w:ascii="Arial" w:cs="Arial" w:eastAsia="Arial" w:hAnsi="Arial"/>
          <w:sz w:val="15"/>
          <w:szCs w:val="15"/>
          <w:color w:val="auto"/>
        </w:rPr>
        <w:t>Notwithstanding anything to the contrary in this Section 18.05, if any provision in this Indenture specifically provides that the Trustee shall or may receive an Opinion of Counsel in connection with any action to be taken by the Trustee or the Company hereunder, the Trustee shall be entitled to such Opinion of Counsel.</w:t>
      </w:r>
    </w:p>
    <w:p>
      <w:pPr>
        <w:spacing w:after="0" w:line="129"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18.06. </w:t>
      </w:r>
      <w:r>
        <w:rPr>
          <w:rFonts w:ascii="Arial" w:cs="Arial" w:eastAsia="Arial" w:hAnsi="Arial"/>
          <w:sz w:val="16"/>
          <w:szCs w:val="16"/>
          <w:i w:val="1"/>
          <w:iCs w:val="1"/>
          <w:color w:val="auto"/>
        </w:rPr>
        <w:t>Legal Holidays</w:t>
      </w:r>
      <w:r>
        <w:rPr>
          <w:rFonts w:ascii="Arial" w:cs="Arial" w:eastAsia="Arial" w:hAnsi="Arial"/>
          <w:sz w:val="16"/>
          <w:szCs w:val="16"/>
          <w:color w:val="auto"/>
        </w:rPr>
        <w:t>. In any case where any Interest Payment Date, any Fundamental Change Repurchase Date, any Redemption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18.07. </w:t>
      </w:r>
      <w:r>
        <w:rPr>
          <w:rFonts w:ascii="Arial" w:cs="Arial" w:eastAsia="Arial" w:hAnsi="Arial"/>
          <w:sz w:val="16"/>
          <w:szCs w:val="16"/>
          <w:i w:val="1"/>
          <w:iCs w:val="1"/>
          <w:color w:val="auto"/>
        </w:rPr>
        <w:t>No Security Interest Created</w:t>
      </w:r>
      <w:r>
        <w:rPr>
          <w:rFonts w:ascii="Arial" w:cs="Arial" w:eastAsia="Arial" w:hAnsi="Arial"/>
          <w:sz w:val="16"/>
          <w:szCs w:val="16"/>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18.08. </w:t>
      </w:r>
      <w:r>
        <w:rPr>
          <w:rFonts w:ascii="Arial" w:cs="Arial" w:eastAsia="Arial" w:hAnsi="Arial"/>
          <w:sz w:val="16"/>
          <w:szCs w:val="16"/>
          <w:i w:val="1"/>
          <w:iCs w:val="1"/>
          <w:color w:val="auto"/>
        </w:rPr>
        <w:t>Benefits of Indenture</w:t>
      </w:r>
      <w:r>
        <w:rPr>
          <w:rFonts w:ascii="Arial" w:cs="Arial" w:eastAsia="Arial" w:hAnsi="Arial"/>
          <w:sz w:val="16"/>
          <w:szCs w:val="16"/>
          <w:color w:val="auto"/>
        </w:rPr>
        <w:t>. Nothing in this Indenture or in the Notes, expressed or implied, shall give to any Person, other than the Holders, the parties hereto, any Paying Agent, any Conversion Agent, any Custodian, any authenticating agent, any Note Registrar and their successors hereunder, any benefit or any legal or equitable right, remedy or claim under this Indenture.</w:t>
      </w:r>
    </w:p>
    <w:p>
      <w:pPr>
        <w:spacing w:after="0" w:line="16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18.09. </w:t>
      </w:r>
      <w:r>
        <w:rPr>
          <w:rFonts w:ascii="Arial" w:cs="Arial" w:eastAsia="Arial" w:hAnsi="Arial"/>
          <w:sz w:val="15"/>
          <w:szCs w:val="15"/>
          <w:i w:val="1"/>
          <w:iCs w:val="1"/>
          <w:color w:val="auto"/>
        </w:rPr>
        <w:t>Table of Contents, Headings, Etc</w:t>
      </w:r>
      <w:r>
        <w:rPr>
          <w:rFonts w:ascii="Arial" w:cs="Arial" w:eastAsia="Arial" w:hAnsi="Arial"/>
          <w:sz w:val="15"/>
          <w:szCs w:val="15"/>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18.10. </w:t>
      </w:r>
      <w:r>
        <w:rPr>
          <w:rFonts w:ascii="Arial" w:cs="Arial" w:eastAsia="Arial" w:hAnsi="Arial"/>
          <w:sz w:val="15"/>
          <w:szCs w:val="15"/>
          <w:i w:val="1"/>
          <w:iCs w:val="1"/>
          <w:color w:val="auto"/>
        </w:rPr>
        <w:t>Authenticating Agent</w:t>
      </w:r>
      <w:r>
        <w:rPr>
          <w:rFonts w:ascii="Arial" w:cs="Arial" w:eastAsia="Arial" w:hAnsi="Arial"/>
          <w:sz w:val="15"/>
          <w:szCs w:val="15"/>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18.10, without the execution or filing of any paper or any further act on the part of the parties hereto or the authenticating agent or such successor corporation or other entity.</w:t>
      </w:r>
    </w:p>
    <w:p>
      <w:pPr>
        <w:spacing w:after="0" w:line="170"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8" w:name="page189"/>
    <w:bookmarkEnd w:id="188"/>
    <w:p>
      <w:pPr>
        <w:jc w:val="both"/>
        <w:ind w:firstLine="574"/>
        <w:spacing w:after="0" w:line="275" w:lineRule="auto"/>
        <w:rPr>
          <w:sz w:val="20"/>
          <w:szCs w:val="20"/>
          <w:color w:val="auto"/>
        </w:rPr>
      </w:pPr>
      <w:r>
        <w:rPr>
          <w:rFonts w:ascii="Arial" w:cs="Arial" w:eastAsia="Arial" w:hAnsi="Arial"/>
          <w:sz w:val="16"/>
          <w:szCs w:val="16"/>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provisions of Section 7.02, Section 7.03, Section 7.04, Section 8.03 and this Section 18.10 shall be applicable to any authenticating agent.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an authenticating agent is appointed pursuant to this Section 18.10, the Notes may have endorsed thereon, in addition to the Trustee’s certificate of authentication, an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alternative certificate of authentication in the following form: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as Authenticating Agent, certifies that this is one of the Notes described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 the within-named Indenture.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Section 18.11. </w:t>
      </w:r>
      <w:r>
        <w:rPr>
          <w:rFonts w:ascii="Arial" w:cs="Arial" w:eastAsia="Arial" w:hAnsi="Arial"/>
          <w:sz w:val="16"/>
          <w:szCs w:val="16"/>
          <w:i w:val="1"/>
          <w:iCs w:val="1"/>
          <w:color w:val="auto"/>
        </w:rPr>
        <w:t>Execution in Counterparts</w:t>
      </w:r>
      <w:r>
        <w:rPr>
          <w:rFonts w:ascii="Arial" w:cs="Arial" w:eastAsia="Arial" w:hAnsi="Arial"/>
          <w:sz w:val="16"/>
          <w:szCs w:val="16"/>
          <w:color w:val="auto"/>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70"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All notices, approvals, consents, requests and any communications hereunder must be in writing (provided that any communication sent to Trustee hereunder that is required to be signed must be in the form of a document that is signed manually or by way of a digital signature provided by DocuSign (or such other digital signature provider as specified in writing to Trustee by the Company)), in English. The Company agrees to assume all risks arising out of the use of digital signatures and electronic methods to submit communications to Trustee, including, without limitation, the risk of the Trustee acting on unauthorized instructions, and the risk of interception and misuse by third parties.</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18.12.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18.13. </w:t>
      </w:r>
      <w:r>
        <w:rPr>
          <w:rFonts w:ascii="Arial" w:cs="Arial" w:eastAsia="Arial" w:hAnsi="Arial"/>
          <w:sz w:val="16"/>
          <w:szCs w:val="16"/>
          <w:i w:val="1"/>
          <w:iCs w:val="1"/>
          <w:color w:val="auto"/>
        </w:rPr>
        <w:t>Waiver of Jury Trial</w:t>
      </w:r>
      <w:r>
        <w:rPr>
          <w:rFonts w:ascii="Arial" w:cs="Arial" w:eastAsia="Arial" w:hAnsi="Arial"/>
          <w:sz w:val="16"/>
          <w:szCs w:val="16"/>
          <w:color w:val="auto"/>
        </w:rPr>
        <w:t>.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18.14. </w:t>
      </w:r>
      <w:r>
        <w:rPr>
          <w:rFonts w:ascii="Arial" w:cs="Arial" w:eastAsia="Arial" w:hAnsi="Arial"/>
          <w:sz w:val="16"/>
          <w:szCs w:val="16"/>
          <w:i w:val="1"/>
          <w:iCs w:val="1"/>
          <w:color w:val="auto"/>
        </w:rPr>
        <w:t>Force Majeure</w:t>
      </w:r>
      <w:r>
        <w:rPr>
          <w:rFonts w:ascii="Arial" w:cs="Arial" w:eastAsia="Arial" w:hAnsi="Arial"/>
          <w:sz w:val="16"/>
          <w:szCs w:val="16"/>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epidemics, pandemics,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89" w:name="page190"/>
    <w:bookmarkEnd w:id="189"/>
    <w:p>
      <w:pPr>
        <w:jc w:val="both"/>
        <w:ind w:firstLine="574"/>
        <w:spacing w:after="0" w:line="295" w:lineRule="auto"/>
        <w:rPr>
          <w:sz w:val="20"/>
          <w:szCs w:val="20"/>
          <w:color w:val="auto"/>
        </w:rPr>
      </w:pPr>
      <w:r>
        <w:rPr>
          <w:rFonts w:ascii="Arial" w:cs="Arial" w:eastAsia="Arial" w:hAnsi="Arial"/>
          <w:sz w:val="14"/>
          <w:szCs w:val="14"/>
          <w:color w:val="auto"/>
        </w:rPr>
        <w:t xml:space="preserve">Section 18.15. </w:t>
      </w:r>
      <w:r>
        <w:rPr>
          <w:rFonts w:ascii="Arial" w:cs="Arial" w:eastAsia="Arial" w:hAnsi="Arial"/>
          <w:sz w:val="14"/>
          <w:szCs w:val="14"/>
          <w:i w:val="1"/>
          <w:iCs w:val="1"/>
          <w:color w:val="auto"/>
        </w:rPr>
        <w:t>Calculations</w:t>
      </w:r>
      <w:r>
        <w:rPr>
          <w:rFonts w:ascii="Arial" w:cs="Arial" w:eastAsia="Arial" w:hAnsi="Arial"/>
          <w:sz w:val="14"/>
          <w:szCs w:val="14"/>
          <w:color w:val="auto"/>
        </w:rPr>
        <w:t>. Except as otherwise provided herein, the Company shall be responsible for making all calculations called for under the Notes. These calculations include, but are not limited to, determinations of the Redemption Price, Last Reported Sale Prices of the Common Stock, the Daily VWAPs, the Daily Conversion Values, the Daily Settlement Amounts, accrued interest payable on the Notes, any Additional Interest payable on the Notes, the Conversion Rate of the Notes, and the Trading Price of the Notes for purposes of determining whether the Notes are convertible as described in this Indenture. The Company shall make all of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Company will forward its calculations to any Holder of Notes upon the written request of that Holder.</w:t>
      </w:r>
    </w:p>
    <w:p>
      <w:pPr>
        <w:spacing w:after="0" w:line="144"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18.16. </w:t>
      </w:r>
      <w:r>
        <w:rPr>
          <w:rFonts w:ascii="Arial" w:cs="Arial" w:eastAsia="Arial" w:hAnsi="Arial"/>
          <w:sz w:val="16"/>
          <w:szCs w:val="16"/>
          <w:i w:val="1"/>
          <w:iCs w:val="1"/>
          <w:color w:val="auto"/>
        </w:rPr>
        <w:t>USA PATRIOT Act</w:t>
      </w:r>
      <w:r>
        <w:rPr>
          <w:rFonts w:ascii="Arial" w:cs="Arial" w:eastAsia="Arial" w:hAnsi="Arial"/>
          <w:sz w:val="16"/>
          <w:szCs w:val="16"/>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t>IN WITNESS WHEREOF, the parties hereto have caused this Indenture to be duly executed as of the date first written above.</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[Rajat Suri]</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5"/>
          <w:szCs w:val="15"/>
          <w:color w:val="auto"/>
        </w:rPr>
        <w:t>Title:</w:t>
        <w:tab/>
        <w:t>[Chief Executive Officer]</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U.S. Bank National Association, as</w:t>
      </w:r>
    </w:p>
    <w:p>
      <w:pPr>
        <w:spacing w:after="0" w:line="2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Trustee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384175</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318" w:right="1440" w:bottom="1440" w:gutter="0" w:footer="0" w:header="0"/>
        </w:sectPr>
      </w:pPr>
    </w:p>
    <w:bookmarkStart w:id="191" w:name="page192"/>
    <w:bookmarkEnd w:id="191"/>
    <w:p>
      <w:pPr>
        <w:ind w:left="10424"/>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FACE OF NOTE]</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[INCLUDE FOLLOWING LEGEND IF A GLOBAL NOTE]</w:t>
      </w:r>
    </w:p>
    <w:p>
      <w:pPr>
        <w:spacing w:after="0" w:line="198"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[INCLUDE FOLLOWING LEGEND IF A RESTRICTED SECURITY]</w:t>
      </w:r>
    </w:p>
    <w:p>
      <w:pPr>
        <w:spacing w:after="0" w:line="19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46" w:lineRule="exact"/>
        <w:rPr>
          <w:sz w:val="20"/>
          <w:szCs w:val="20"/>
          <w:color w:val="auto"/>
        </w:rPr>
      </w:pPr>
    </w:p>
    <w:p>
      <w:pPr>
        <w:jc w:val="both"/>
        <w:ind w:left="564" w:right="20"/>
        <w:spacing w:after="0" w:line="258" w:lineRule="auto"/>
        <w:rPr>
          <w:sz w:val="20"/>
          <w:szCs w:val="20"/>
          <w:color w:val="auto"/>
        </w:rPr>
      </w:pPr>
      <w:r>
        <w:rPr>
          <w:rFonts w:ascii="Arial" w:cs="Arial" w:eastAsia="Arial" w:hAnsi="Arial"/>
          <w:sz w:val="16"/>
          <w:szCs w:val="16"/>
          <w:color w:val="auto"/>
        </w:rPr>
        <w:t>AGREES FOR THE BENEFIT OF [●]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65" w:lineRule="exact"/>
        <w:rPr>
          <w:sz w:val="20"/>
          <w:szCs w:val="20"/>
          <w:color w:val="auto"/>
        </w:rPr>
      </w:pPr>
    </w:p>
    <w:p>
      <w:pPr>
        <w:ind w:left="1144" w:hanging="571"/>
        <w:spacing w:after="0"/>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222" w:lineRule="exact"/>
        <w:rPr>
          <w:rFonts w:ascii="Arial" w:cs="Arial" w:eastAsia="Arial" w:hAnsi="Arial"/>
          <w:sz w:val="16"/>
          <w:szCs w:val="16"/>
          <w:color w:val="auto"/>
        </w:rPr>
      </w:pPr>
    </w:p>
    <w:p>
      <w:pPr>
        <w:ind w:left="1144" w:right="20"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75" w:lineRule="exact"/>
        <w:rPr>
          <w:rFonts w:ascii="Arial" w:cs="Arial" w:eastAsia="Arial" w:hAnsi="Arial"/>
          <w:sz w:val="16"/>
          <w:szCs w:val="16"/>
          <w:color w:val="auto"/>
        </w:rPr>
      </w:pPr>
    </w:p>
    <w:p>
      <w:pPr>
        <w:ind w:left="1144"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TO A PERSON REASONABLY BELIEVED TO BE A QUALIFIED INSTITUTIONAL BUYER IN COMPLIANCE WITH RULE 144A UNDER THE SECURITIES ACT, OR</w:t>
      </w:r>
    </w:p>
    <w:p>
      <w:pPr>
        <w:spacing w:after="0" w:line="175" w:lineRule="exact"/>
        <w:rPr>
          <w:rFonts w:ascii="Arial" w:cs="Arial" w:eastAsia="Arial" w:hAnsi="Arial"/>
          <w:sz w:val="16"/>
          <w:szCs w:val="16"/>
          <w:color w:val="auto"/>
        </w:rPr>
      </w:pPr>
    </w:p>
    <w:p>
      <w:pPr>
        <w:ind w:left="1144" w:right="20" w:hanging="571"/>
        <w:spacing w:after="0" w:line="275" w:lineRule="auto"/>
        <w:tabs>
          <w:tab w:leader="none" w:pos="114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 NO AFFILIATE (AS DEFINED IN RULE 144 UNDER THE SECURITIES ACT) OF [●] OR PERSON THAT HAS BEEN AN AFFILIATE (AS DEFINED IN RULE 144 UNDER THE SECURITIES ACT) OF [ ● ] DURING THE PRECEDING THREE MONTHS MAY PURCHASE, OTHERWISE ACQUIRE OR HOLD THIS SECURITY OR A BENEFICIAL INTEREST HEREIN.]</w:t>
      </w:r>
      <w:r>
        <w:rPr>
          <w:rFonts w:ascii="Arial" w:cs="Arial" w:eastAsia="Arial" w:hAnsi="Arial"/>
          <w:sz w:val="26"/>
          <w:szCs w:val="26"/>
          <w:color w:val="auto"/>
          <w:vertAlign w:val="superscript"/>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179070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3" w:lineRule="exact"/>
        <w:rPr>
          <w:sz w:val="20"/>
          <w:szCs w:val="20"/>
          <w:color w:val="auto"/>
        </w:rPr>
      </w:pPr>
    </w:p>
    <w:p>
      <w:pPr>
        <w:ind w:left="284" w:hanging="284"/>
        <w:spacing w:after="0" w:line="191" w:lineRule="auto"/>
        <w:tabs>
          <w:tab w:leader="none" w:pos="284" w:val="left"/>
        </w:tabs>
        <w:numPr>
          <w:ilvl w:val="0"/>
          <w:numId w:val="213"/>
        </w:numPr>
        <w:rPr>
          <w:rFonts w:ascii="Arial" w:cs="Arial" w:eastAsia="Arial" w:hAnsi="Arial"/>
          <w:sz w:val="27"/>
          <w:szCs w:val="27"/>
          <w:color w:val="auto"/>
          <w:vertAlign w:val="superscript"/>
        </w:rPr>
      </w:pPr>
      <w:r>
        <w:rPr>
          <w:rFonts w:ascii="Arial" w:cs="Arial" w:eastAsia="Arial" w:hAnsi="Arial"/>
          <w:sz w:val="16"/>
          <w:szCs w:val="16"/>
          <w:color w:val="auto"/>
        </w:rPr>
        <w:t>The Restrictive Legend shall be deemed removed from the face of this Note without further action by the Company, Trustee or the Holders of this Note at such time and in the manner provided under Section 2.05 of the Indenture.</w:t>
      </w:r>
    </w:p>
    <w:p>
      <w:pPr>
        <w:spacing w:after="0" w:line="36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92" w:name="page193"/>
    <w:bookmarkEnd w:id="192"/>
    <w:p>
      <w:pPr>
        <w:jc w:val="center"/>
        <w:ind w:right="-3"/>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 Convertible Senior PIK Toggle Notes due 2026</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 [_] [Initially]</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$[_]</w:t>
      </w:r>
      <w:r>
        <w:rPr>
          <w:rFonts w:ascii="Arial" w:cs="Arial" w:eastAsia="Arial" w:hAnsi="Arial"/>
          <w:sz w:val="26"/>
          <w:szCs w:val="26"/>
          <w:color w:val="auto"/>
          <w:vertAlign w:val="superscript"/>
        </w:rPr>
        <w:t>23</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6"/>
          <w:szCs w:val="16"/>
          <w:color w:val="auto"/>
        </w:rPr>
        <w:t>CUSIP No. [_]</w:t>
      </w:r>
      <w:r>
        <w:rPr>
          <w:rFonts w:ascii="Arial" w:cs="Arial" w:eastAsia="Arial" w:hAnsi="Arial"/>
          <w:sz w:val="26"/>
          <w:szCs w:val="26"/>
          <w:color w:val="auto"/>
          <w:vertAlign w:val="superscript"/>
        </w:rPr>
        <w:t>24</w:t>
      </w:r>
    </w:p>
    <w:p>
      <w:pPr>
        <w:spacing w:after="0" w:line="112" w:lineRule="exact"/>
        <w:rPr>
          <w:sz w:val="20"/>
          <w:szCs w:val="20"/>
          <w:color w:val="auto"/>
        </w:rPr>
      </w:pPr>
    </w:p>
    <w:p>
      <w:pPr>
        <w:jc w:val="both"/>
        <w:ind w:left="4" w:right="20"/>
        <w:spacing w:after="0" w:line="245" w:lineRule="auto"/>
        <w:rPr>
          <w:sz w:val="20"/>
          <w:szCs w:val="20"/>
          <w:color w:val="auto"/>
        </w:rPr>
      </w:pPr>
      <w:r>
        <w:rPr>
          <w:rFonts w:ascii="Arial" w:cs="Arial" w:eastAsia="Arial" w:hAnsi="Arial"/>
          <w:sz w:val="14"/>
          <w:szCs w:val="14"/>
          <w:color w:val="auto"/>
        </w:rPr>
        <w:t>[●], a corporation duly organized and validly existing under the laws of the State of Delaware (the “</w:t>
      </w:r>
      <w:r>
        <w:rPr>
          <w:rFonts w:ascii="Arial" w:cs="Arial" w:eastAsia="Arial" w:hAnsi="Arial"/>
          <w:sz w:val="14"/>
          <w:szCs w:val="14"/>
          <w:b w:val="1"/>
          <w:bCs w:val="1"/>
          <w:color w:val="auto"/>
        </w:rPr>
        <w:t>Company</w:t>
      </w:r>
      <w:r>
        <w:rPr>
          <w:rFonts w:ascii="Arial" w:cs="Arial" w:eastAsia="Arial" w:hAnsi="Arial"/>
          <w:sz w:val="14"/>
          <w:szCs w:val="14"/>
          <w:color w:val="auto"/>
        </w:rPr>
        <w:t>,” which term includes any successor corporation or other entity under the Indenture referred to on the reverse hereof), for value received hereby promises to pay to [CEDE &amp; CO.]</w:t>
      </w:r>
      <w:r>
        <w:rPr>
          <w:rFonts w:ascii="Arial" w:cs="Arial" w:eastAsia="Arial" w:hAnsi="Arial"/>
          <w:sz w:val="23"/>
          <w:szCs w:val="23"/>
          <w:color w:val="auto"/>
          <w:vertAlign w:val="superscript"/>
        </w:rPr>
        <w:t>25</w:t>
      </w:r>
      <w:r>
        <w:rPr>
          <w:rFonts w:ascii="Arial" w:cs="Arial" w:eastAsia="Arial" w:hAnsi="Arial"/>
          <w:sz w:val="14"/>
          <w:szCs w:val="14"/>
          <w:color w:val="auto"/>
        </w:rPr>
        <w:t xml:space="preserve"> [_]</w:t>
      </w:r>
      <w:r>
        <w:rPr>
          <w:rFonts w:ascii="Arial" w:cs="Arial" w:eastAsia="Arial" w:hAnsi="Arial"/>
          <w:sz w:val="23"/>
          <w:szCs w:val="23"/>
          <w:color w:val="auto"/>
          <w:vertAlign w:val="superscript"/>
        </w:rPr>
        <w:t>26</w:t>
      </w:r>
      <w:r>
        <w:rPr>
          <w:rFonts w:ascii="Arial" w:cs="Arial" w:eastAsia="Arial" w:hAnsi="Arial"/>
          <w:sz w:val="14"/>
          <w:szCs w:val="14"/>
          <w:color w:val="auto"/>
        </w:rPr>
        <w:t>, or registered assigns, the principal sum [as set forth</w:t>
      </w:r>
    </w:p>
    <w:p>
      <w:pPr>
        <w:spacing w:after="0" w:line="2" w:lineRule="exact"/>
        <w:rPr>
          <w:sz w:val="20"/>
          <w:szCs w:val="20"/>
          <w:color w:val="auto"/>
        </w:rPr>
      </w:pPr>
    </w:p>
    <w:p>
      <w:pPr>
        <w:jc w:val="both"/>
        <w:ind w:left="4"/>
        <w:spacing w:after="0" w:line="218" w:lineRule="auto"/>
        <w:rPr>
          <w:sz w:val="20"/>
          <w:szCs w:val="20"/>
          <w:color w:val="auto"/>
        </w:rPr>
      </w:pPr>
      <w:r>
        <w:rPr>
          <w:rFonts w:ascii="Arial" w:cs="Arial" w:eastAsia="Arial" w:hAnsi="Arial"/>
          <w:sz w:val="16"/>
          <w:szCs w:val="16"/>
          <w:color w:val="auto"/>
        </w:rPr>
        <w:t>in the “Schedule of Exchanges of Notes” attached hereto]</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_</w:t>
      </w:r>
      <w:r>
        <w:rPr>
          <w:rFonts w:ascii="Arial" w:cs="Arial" w:eastAsia="Arial" w:hAnsi="Arial"/>
          <w:sz w:val="16"/>
          <w:szCs w:val="16"/>
          <w:color w:val="auto"/>
        </w:rPr>
        <w:t>]]</w:t>
      </w:r>
      <w:r>
        <w:rPr>
          <w:rFonts w:ascii="Arial" w:cs="Arial" w:eastAsia="Arial" w:hAnsi="Arial"/>
          <w:sz w:val="26"/>
          <w:szCs w:val="26"/>
          <w:color w:val="auto"/>
          <w:vertAlign w:val="superscript"/>
        </w:rPr>
        <w:t>28</w:t>
      </w:r>
      <w:r>
        <w:rPr>
          <w:rFonts w:ascii="Arial" w:cs="Arial" w:eastAsia="Arial" w:hAnsi="Arial"/>
          <w:sz w:val="16"/>
          <w:szCs w:val="16"/>
          <w:color w:val="auto"/>
        </w:rPr>
        <w:t>, which amount, taken together with the principal amounts of all other outstanding Notes, shall not, unless permitted by the Indenture, exceed $[70],000,000 (excluding PIK Notes), in accordance with the rules and applicable procedures of the Depositary, on [●], 2026, and interest thereon as set forth below.</w:t>
      </w:r>
    </w:p>
    <w:p>
      <w:pPr>
        <w:spacing w:after="0" w:line="181" w:lineRule="exact"/>
        <w:rPr>
          <w:sz w:val="20"/>
          <w:szCs w:val="20"/>
          <w:color w:val="auto"/>
        </w:rPr>
      </w:pPr>
    </w:p>
    <w:p>
      <w:pPr>
        <w:jc w:val="both"/>
        <w:ind w:left="4"/>
        <w:spacing w:after="0" w:line="270" w:lineRule="auto"/>
        <w:rPr>
          <w:sz w:val="20"/>
          <w:szCs w:val="20"/>
          <w:color w:val="auto"/>
        </w:rPr>
      </w:pPr>
      <w:r>
        <w:rPr>
          <w:rFonts w:ascii="Arial" w:cs="Arial" w:eastAsia="Arial" w:hAnsi="Arial"/>
          <w:sz w:val="15"/>
          <w:szCs w:val="15"/>
          <w:color w:val="auto"/>
        </w:rPr>
        <w:t>The Company will pay interest on the principal amount of this Note as Cash Interest or PIK Interest, at the Company’s election pursuant to a PIK Election, from [●], 2022 until maturity. Cash Interest on this Note will accrue at the rate of 9.0% per annum and be payable in cash. PIK Interest on this Note will accrue at the rate of 11.0% per annum and shall be payable either (x) by increasing the principal amount of the outstanding Note by an amount equal to the amount of PIK Interest for the applicable interest period (rounded up to the nearest $1.00) or (y) if the Notes are no longer held as Global Notes, by issuing PIK Notes in certificated form in an aggregate principal amount equal to the amount of PIK Interest for the period (rounded up to the nearest $1.00), and the Trustee will, at the request of the Company, authenticate and deliver such PIK Notes in certificated form for original issuance to the Holders on the relevant Regular Record Date, as shown by the records of the register of Holders. Following an increase in the principal amount of the outstanding Global Notes as a result of a PIK Payment, the Global Notes will bear interest on such increased principal amount from and after the date of such PIK Payment. All Notes issued pursuant to a PIK Payment will mature on the Maturity Date and will be governed by, and subject to the terms, provisions and conditions of, the Indenture and shall have the same rights and benefits as Notes issued on the Last Original Issue Date. Any certificated PIK Notes will be issued with the description “PIK” on the face of such PIK Note. Unless the context requires otherwise, references to Notes or the “principal” or the “principal amount” of Notes including for any purpose includes any increase in the principal amount of the Notes as a result of a PIK Payment.</w:t>
      </w:r>
    </w:p>
    <w:p>
      <w:pPr>
        <w:spacing w:after="0" w:line="160"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Interest is payable quarterly in arrears on each March 15, June 15, September 15 and December 15, commencing on [June 15], 2022, to Holders of record at the close of business on the preceding March 1, June 1, September 1 and December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79070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9" w:lineRule="exact"/>
        <w:rPr>
          <w:sz w:val="20"/>
          <w:szCs w:val="20"/>
          <w:color w:val="auto"/>
        </w:rPr>
      </w:pPr>
    </w:p>
    <w:p>
      <w:pPr>
        <w:ind w:left="284" w:hanging="284"/>
        <w:spacing w:after="0"/>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To be broken into multiple global notes.</w:t>
      </w:r>
    </w:p>
    <w:p>
      <w:pPr>
        <w:spacing w:after="0" w:line="178" w:lineRule="exact"/>
        <w:rPr>
          <w:rFonts w:ascii="Arial" w:cs="Arial" w:eastAsia="Arial" w:hAnsi="Arial"/>
          <w:sz w:val="27"/>
          <w:szCs w:val="27"/>
          <w:color w:val="auto"/>
          <w:vertAlign w:val="superscript"/>
        </w:rPr>
      </w:pPr>
    </w:p>
    <w:p>
      <w:pPr>
        <w:jc w:val="both"/>
        <w:ind w:left="284" w:right="20" w:hanging="284"/>
        <w:spacing w:after="0" w:line="207"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This Note will be deemed to be identified by CUSIP No. [_]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spacing w:after="0" w:line="73" w:lineRule="exact"/>
        <w:rPr>
          <w:rFonts w:ascii="Arial" w:cs="Arial" w:eastAsia="Arial" w:hAnsi="Arial"/>
          <w:sz w:val="27"/>
          <w:szCs w:val="27"/>
          <w:color w:val="auto"/>
          <w:vertAlign w:val="superscript"/>
        </w:rPr>
      </w:pPr>
    </w:p>
    <w:p>
      <w:pPr>
        <w:ind w:left="284" w:hanging="284"/>
        <w:spacing w:after="0"/>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physical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145" w:lineRule="exact"/>
        <w:rPr>
          <w:rFonts w:ascii="Arial" w:cs="Arial" w:eastAsia="Arial" w:hAnsi="Arial"/>
          <w:sz w:val="27"/>
          <w:szCs w:val="27"/>
          <w:color w:val="auto"/>
          <w:vertAlign w:val="superscript"/>
        </w:rPr>
      </w:pPr>
    </w:p>
    <w:p>
      <w:pPr>
        <w:ind w:left="284" w:hanging="284"/>
        <w:spacing w:after="0" w:line="183" w:lineRule="auto"/>
        <w:tabs>
          <w:tab w:leader="none" w:pos="284" w:val="left"/>
        </w:tabs>
        <w:numPr>
          <w:ilvl w:val="0"/>
          <w:numId w:val="214"/>
        </w:numPr>
        <w:rPr>
          <w:rFonts w:ascii="Arial" w:cs="Arial" w:eastAsia="Arial" w:hAnsi="Arial"/>
          <w:sz w:val="27"/>
          <w:szCs w:val="27"/>
          <w:color w:val="auto"/>
          <w:vertAlign w:val="superscript"/>
        </w:rPr>
      </w:pPr>
      <w:r>
        <w:rPr>
          <w:rFonts w:ascii="Arial" w:cs="Arial" w:eastAsia="Arial" w:hAnsi="Arial"/>
          <w:sz w:val="16"/>
          <w:szCs w:val="16"/>
          <w:color w:val="auto"/>
        </w:rPr>
        <w:t>Include if a physical note.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93" w:name="page194"/>
    <w:bookmarkEnd w:id="193"/>
    <w:p>
      <w:pPr>
        <w:jc w:val="both"/>
        <w:ind w:right="20"/>
        <w:spacing w:after="0" w:line="262" w:lineRule="auto"/>
        <w:rPr>
          <w:sz w:val="20"/>
          <w:szCs w:val="20"/>
          <w:color w:val="auto"/>
        </w:rPr>
      </w:pPr>
      <w:r>
        <w:rPr>
          <w:rFonts w:ascii="Arial" w:cs="Arial" w:eastAsia="Arial" w:hAnsi="Arial"/>
          <w:sz w:val="16"/>
          <w:szCs w:val="16"/>
          <w:color w:val="auto"/>
        </w:rPr>
        <w:t>Any Defaulted Amounts shall accrue interest per annum at the rate borne by the Notes, subject to the enforceability thereof under applicable law, from, and including, the relevant payment date to, but excluding, the date on which such Defaulted Amounts shall have been paid in cash by the Company, at its election, in accordance with Section 2.03(c) of the Indenture.</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Company shall pay the principal of, premium (if any) and any Cash Interest and Applicable Premium on each Note, if and so long as such Note is a Global Note, in immediately available funds to the Depositary or its nominee, as the case may be, as the registered Holder of such Note. For any interest payment period, the Company may pay interest on each Note by paying Cash Interest or PIK Interest at the Company’s election pursuant to a PIK Election. The Company shall pay any PIK Interest as described above. As provided in and subject to the provisions of the Indenture, the Company shall pay the principal of and premium (if any) on any Notes (other than Notes that are Global Notes) at the office or agency designated by the Company for that purpose. The Company has initially designated the Trustee as its Paying Agent and Note Registrar in respect of the Notes and its agency in the United States, as a place where Notes may be presented for payment or for registration of transfer and exchange.</w:t>
      </w:r>
    </w:p>
    <w:p>
      <w:pPr>
        <w:spacing w:after="0" w:line="1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5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This Note, and any claim, controversy or dispute arising under or related to this Note, shall be construed in accordance with and governed by the laws of the State of New York.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any conflict between this Note and the Indenture, the provisions of the Indenture shall control and govern.</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4" w:name="page195"/>
    <w:bookmarkEnd w:id="194"/>
    <w:p>
      <w:pPr>
        <w:ind w:left="560"/>
        <w:spacing w:after="0"/>
        <w:rPr>
          <w:sz w:val="20"/>
          <w:szCs w:val="20"/>
          <w:color w:val="auto"/>
        </w:rPr>
      </w:pPr>
      <w:r>
        <w:rPr>
          <w:rFonts w:ascii="Arial" w:cs="Arial" w:eastAsia="Arial" w:hAnsi="Arial"/>
          <w:sz w:val="16"/>
          <w:szCs w:val="16"/>
          <w:color w:val="auto"/>
        </w:rPr>
        <w:t>IN WITNESS WHEREOF, the Company has caused this Note to be duly executed.</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4"/>
          <w:szCs w:val="14"/>
          <w:color w:val="auto"/>
        </w:rPr>
        <w:t>Name:</w:t>
      </w:r>
    </w:p>
    <w:p>
      <w:pPr>
        <w:spacing w:after="0" w:line="4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TRUSTEE’S CERTIFICATE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AUTHENTICATION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as Trustee, certifies that this is one of the Notes described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 the within-named Indenture.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Signatory</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318"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color w:val="auto"/>
        </w:rPr>
        <w:t>[FORM OF REVERSE OF NOTE]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9.0%/11.0% Convertible Senior PIK Toggle Notes due 2026</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Note is one of a duly authorized issue of Notes of the Company, designated as its 9.0%/11.0% Convertible Senior PIK Toggle Notes due 2026 (the “</w:t>
      </w:r>
      <w:r>
        <w:rPr>
          <w:rFonts w:ascii="Arial" w:cs="Arial" w:eastAsia="Arial" w:hAnsi="Arial"/>
          <w:sz w:val="16"/>
          <w:szCs w:val="16"/>
          <w:b w:val="1"/>
          <w:bCs w:val="1"/>
          <w:color w:val="auto"/>
        </w:rPr>
        <w:t>Notes</w:t>
      </w:r>
      <w:r>
        <w:rPr>
          <w:rFonts w:ascii="Arial" w:cs="Arial" w:eastAsia="Arial" w:hAnsi="Arial"/>
          <w:sz w:val="16"/>
          <w:szCs w:val="16"/>
          <w:color w:val="auto"/>
        </w:rPr>
        <w:t>”), limited to the aggregate principal amount of $[70],000,000 (excluding PIK Notes), all issued under and pursuant to an Indenture dated as of [ ● ], 2022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pay cash amounts in money of the United States that at the time of payment is legal tender for payment of public and private debts.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(including, without limitation, additional Notes and PIK Notes, if any),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(including, without limitation, additional Notes and PIK Notes, if any) may on behalf of the Holders of all of the Notes waive any past Default or Event of Default under the Indenture and its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Each Holder shall have the right to receive payment or delivery as described in the Indenture.</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Notes are issuable in registered form without coupons in denominations of $1,000 principal amount and integral multiples thereof, subject to the issuance of PIK Notes or the increase in the principal amount of a Global Note in order to evidence PIK Payments, which PIK Notes or increased principal amount of a Global Note will be in denominations of $1.00 and integral multiples of $1.00 in excess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Notes shall be redeemable at the Company’s option on or after [●], 20[●] in accordance with the terms and subject to the conditions specified in the Indenture. No sinking fund is provided for the Notes.</w:t>
      </w:r>
    </w:p>
    <w:p>
      <w:pPr>
        <w:spacing w:after="0" w:line="343"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is, subject to certain conditions and exceptions, obligated to make a Net Proceeds Offer to all Holders to purchase that amount of Notes equal to Excess Proceeds at a price equal to 100% of their principal amount, plus accrued and unpaid interest thereon, if any, to but not including the date of purchase, with Excess Proceeds, in each case, of certain sales or other dispositions of assets in accordance with the Indenture.</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6"/>
          <w:szCs w:val="16"/>
          <w:color w:val="auto"/>
        </w:rPr>
        <w:t>ABBREVIATIONS</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abbreviations, when used in the inscription of the face of this Note, shall be construed as though they were written out in full according to applicable laws or regulations: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TEN COM = as tenants in common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UNIF GIFT MIN ACT = Uniform Gifts to Minors 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CUST = Custodian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TEN ENT = as tenants by the entireties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JT TEN = joint tenants with right of survivorship and not as tenants in common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Additional abbreviations may also be used though not in the above list.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b w:val="1"/>
          <w:bCs w:val="1"/>
          <w:color w:val="auto"/>
        </w:rPr>
        <w:t>SCHEDULE A</w:t>
      </w:r>
      <w:r>
        <w:rPr>
          <w:rFonts w:ascii="Arial" w:cs="Arial" w:eastAsia="Arial" w:hAnsi="Arial"/>
          <w:sz w:val="26"/>
          <w:szCs w:val="26"/>
          <w:b w:val="1"/>
          <w:bCs w:val="1"/>
          <w:color w:val="auto"/>
          <w:vertAlign w:val="superscript"/>
        </w:rPr>
        <w:t>29</w:t>
      </w:r>
    </w:p>
    <w:p>
      <w:pPr>
        <w:jc w:val="center"/>
        <w:ind w:right="-3"/>
        <w:spacing w:after="0"/>
        <w:rPr>
          <w:sz w:val="20"/>
          <w:szCs w:val="20"/>
          <w:color w:val="auto"/>
        </w:rPr>
      </w:pPr>
      <w:r>
        <w:rPr>
          <w:rFonts w:ascii="Arial" w:cs="Arial" w:eastAsia="Arial" w:hAnsi="Arial"/>
          <w:sz w:val="16"/>
          <w:szCs w:val="16"/>
          <w:color w:val="auto"/>
        </w:rPr>
        <w:t>SCHEDULE OF EXCHANGES OF NOTES</w:t>
      </w:r>
    </w:p>
    <w:p>
      <w:pPr>
        <w:spacing w:after="0" w:line="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9.0%/11.0% Convertible Senior PIK Toggle Notes due 2026</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5"/>
          <w:szCs w:val="15"/>
          <w:color w:val="auto"/>
        </w:rPr>
        <w:t>The initial principal amount of this Global Note is DOLLARS ($[__]). The following increases (including for PIK Interest) or decreases in this Global Note have been made:</w:t>
      </w: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84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Date of</w:t>
            </w:r>
          </w:p>
        </w:tc>
        <w:tc>
          <w:tcPr>
            <w:tcW w:w="252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Amount of decrease in principal</w:t>
            </w:r>
          </w:p>
        </w:tc>
        <w:tc>
          <w:tcPr>
            <w:tcW w:w="250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Amount of increase in principal</w:t>
            </w:r>
          </w:p>
        </w:tc>
        <w:tc>
          <w:tcPr>
            <w:tcW w:w="3040" w:type="dxa"/>
            <w:vAlign w:val="bottom"/>
            <w:gridSpan w:val="2"/>
          </w:tcPr>
          <w:p>
            <w:pPr>
              <w:jc w:val="center"/>
              <w:ind w:right="40"/>
              <w:spacing w:after="0"/>
              <w:rPr>
                <w:sz w:val="20"/>
                <w:szCs w:val="20"/>
                <w:color w:val="auto"/>
              </w:rPr>
            </w:pPr>
            <w:r>
              <w:rPr>
                <w:rFonts w:ascii="Arial" w:cs="Arial" w:eastAsia="Arial" w:hAnsi="Arial"/>
                <w:sz w:val="16"/>
                <w:szCs w:val="16"/>
                <w:color w:val="auto"/>
                <w:w w:val="92"/>
              </w:rPr>
              <w:t>Principal amount of this Global Note</w:t>
            </w:r>
          </w:p>
        </w:tc>
        <w:tc>
          <w:tcPr>
            <w:tcW w:w="2360" w:type="dxa"/>
            <w:vAlign w:val="bottom"/>
          </w:tcPr>
          <w:p>
            <w:pPr>
              <w:jc w:val="center"/>
              <w:spacing w:after="0"/>
              <w:rPr>
                <w:sz w:val="20"/>
                <w:szCs w:val="20"/>
                <w:color w:val="auto"/>
              </w:rPr>
            </w:pPr>
            <w:r>
              <w:rPr>
                <w:rFonts w:ascii="Arial" w:cs="Arial" w:eastAsia="Arial" w:hAnsi="Arial"/>
                <w:sz w:val="16"/>
                <w:szCs w:val="16"/>
                <w:color w:val="auto"/>
                <w:w w:val="90"/>
              </w:rPr>
              <w:t>Signature of authorized signatory</w:t>
            </w:r>
          </w:p>
        </w:tc>
      </w:tr>
      <w:tr>
        <w:trPr>
          <w:trHeight w:val="208"/>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exchange</w:t>
            </w:r>
          </w:p>
        </w:tc>
        <w:tc>
          <w:tcPr>
            <w:tcW w:w="6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amount of this Global Note</w:t>
            </w:r>
          </w:p>
        </w:tc>
        <w:tc>
          <w:tcPr>
            <w:tcW w:w="60" w:type="dxa"/>
            <w:vAlign w:val="bottom"/>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amount of this Global Note</w:t>
            </w:r>
          </w:p>
        </w:tc>
        <w:tc>
          <w:tcPr>
            <w:tcW w:w="40" w:type="dxa"/>
            <w:vAlign w:val="bottom"/>
          </w:tcPr>
          <w:p>
            <w:pPr>
              <w:spacing w:after="0"/>
              <w:rPr>
                <w:sz w:val="18"/>
                <w:szCs w:val="18"/>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following such decrease or increase</w:t>
            </w:r>
          </w:p>
        </w:tc>
        <w:tc>
          <w:tcPr>
            <w:tcW w:w="40" w:type="dxa"/>
            <w:vAlign w:val="bottom"/>
          </w:tcPr>
          <w:p>
            <w:pPr>
              <w:spacing w:after="0"/>
              <w:rPr>
                <w:sz w:val="18"/>
                <w:szCs w:val="18"/>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of Trustee or 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614680</wp:posOffset>
            </wp:positionV>
            <wp:extent cx="1790700"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84" w:hanging="284"/>
        <w:spacing w:after="0"/>
        <w:tabs>
          <w:tab w:leader="none" w:pos="284" w:val="left"/>
        </w:tabs>
        <w:numPr>
          <w:ilvl w:val="0"/>
          <w:numId w:val="215"/>
        </w:numPr>
        <w:rPr>
          <w:rFonts w:ascii="Arial" w:cs="Arial" w:eastAsia="Arial" w:hAnsi="Arial"/>
          <w:sz w:val="27"/>
          <w:szCs w:val="27"/>
          <w:color w:val="auto"/>
          <w:vertAlign w:val="superscript"/>
        </w:rPr>
      </w:pPr>
      <w:r>
        <w:rPr>
          <w:rFonts w:ascii="Arial" w:cs="Arial" w:eastAsia="Arial" w:hAnsi="Arial"/>
          <w:sz w:val="16"/>
          <w:szCs w:val="16"/>
          <w:color w:val="auto"/>
        </w:rPr>
        <w:t>Include if a global note.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260" w:right="319" w:bottom="1440" w:gutter="0" w:footer="0" w:header="0"/>
        </w:sectPr>
      </w:pPr>
    </w:p>
    <w:bookmarkStart w:id="198" w:name="page199"/>
    <w:bookmarkEnd w:id="198"/>
    <w:p>
      <w:pPr>
        <w:ind w:left="10004"/>
        <w:spacing w:after="0"/>
        <w:rPr>
          <w:sz w:val="20"/>
          <w:szCs w:val="20"/>
          <w:color w:val="auto"/>
        </w:rPr>
      </w:pPr>
      <w:r>
        <w:rPr>
          <w:rFonts w:ascii="Arial" w:cs="Arial" w:eastAsia="Arial" w:hAnsi="Arial"/>
          <w:sz w:val="16"/>
          <w:szCs w:val="16"/>
          <w:b w:val="1"/>
          <w:bCs w:val="1"/>
          <w:color w:val="auto"/>
        </w:rPr>
        <w:t>ATTACHMENT 1</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NOTICE OF CONVERSION]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U.S. Bank National Association, as Trustee</w:t>
      </w:r>
    </w:p>
    <w:p>
      <w:pPr>
        <w:ind w:left="4"/>
        <w:spacing w:after="0" w:line="199"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30</w:t>
      </w:r>
    </w:p>
    <w:p>
      <w:pPr>
        <w:ind w:left="4"/>
        <w:spacing w:after="0"/>
        <w:rPr>
          <w:sz w:val="20"/>
          <w:szCs w:val="20"/>
          <w:color w:val="auto"/>
        </w:rPr>
      </w:pPr>
      <w:r>
        <w:rPr>
          <w:rFonts w:ascii="Arial" w:cs="Arial" w:eastAsia="Arial" w:hAnsi="Arial"/>
          <w:sz w:val="16"/>
          <w:szCs w:val="16"/>
          <w:color w:val="auto"/>
        </w:rPr>
        <w:t>Attention: [●]</w:t>
      </w:r>
    </w:p>
    <w:p>
      <w:pPr>
        <w:spacing w:after="0" w:line="184"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 _________________________________</w:t>
      </w:r>
    </w:p>
    <w:p>
      <w:pPr>
        <w:spacing w:after="0" w:line="20" w:lineRule="exact"/>
        <w:rPr>
          <w:sz w:val="20"/>
          <w:szCs w:val="20"/>
          <w:color w:val="auto"/>
        </w:rPr>
      </w:pPr>
    </w:p>
    <w:p>
      <w:pPr>
        <w:ind w:left="1724"/>
        <w:spacing w:after="0"/>
        <w:rPr>
          <w:sz w:val="20"/>
          <w:szCs w:val="20"/>
          <w:color w:val="auto"/>
        </w:rPr>
      </w:pPr>
      <w:r>
        <w:rPr>
          <w:rFonts w:ascii="Arial" w:cs="Arial" w:eastAsia="Arial" w:hAnsi="Arial"/>
          <w:sz w:val="16"/>
          <w:szCs w:val="16"/>
          <w:color w:val="auto"/>
        </w:rPr>
        <w:t>_________________________________</w:t>
      </w:r>
    </w:p>
    <w:p>
      <w:pPr>
        <w:spacing w:after="0" w:line="7" w:lineRule="exact"/>
        <w:rPr>
          <w:sz w:val="20"/>
          <w:szCs w:val="20"/>
          <w:color w:val="auto"/>
        </w:rPr>
      </w:pPr>
    </w:p>
    <w:p>
      <w:pPr>
        <w:ind w:left="170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 Guarantee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 must be guaranteed by an</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eligible guarantor institution (banks,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brokers, savings and loan associations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credit unions) with membership in 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approved signature guarantee medallion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program pursuant to Securities and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Exchange Commission Rule 17Ad-15</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shares of Common Stock are to be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issued, or Notes are to be delivered,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than to and in the name of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79070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95" w:lineRule="exact"/>
        <w:rPr>
          <w:sz w:val="20"/>
          <w:szCs w:val="20"/>
          <w:color w:val="auto"/>
        </w:rPr>
      </w:pPr>
    </w:p>
    <w:p>
      <w:pPr>
        <w:ind w:left="284" w:hanging="284"/>
        <w:spacing w:after="0"/>
        <w:tabs>
          <w:tab w:leader="none" w:pos="284" w:val="left"/>
        </w:tabs>
        <w:numPr>
          <w:ilvl w:val="0"/>
          <w:numId w:val="216"/>
        </w:numPr>
        <w:rPr>
          <w:rFonts w:ascii="Arial" w:cs="Arial" w:eastAsia="Arial" w:hAnsi="Arial"/>
          <w:sz w:val="27"/>
          <w:szCs w:val="27"/>
          <w:color w:val="auto"/>
          <w:vertAlign w:val="superscript"/>
        </w:rPr>
      </w:pPr>
      <w:r>
        <w:rPr>
          <w:rFonts w:ascii="Arial" w:cs="Arial" w:eastAsia="Arial" w:hAnsi="Arial"/>
          <w:sz w:val="16"/>
          <w:szCs w:val="16"/>
          <w:color w:val="auto"/>
        </w:rPr>
        <w:t>Note to Draft: Trustee to provide.</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color w:val="auto"/>
        </w:rPr>
        <w:t>Fill in for registration of shares if to be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issued, and Notes if to be delivered,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other than to and in the name of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(Street Address)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(City, State and Zip Code)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 and address</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Principal amount to be converted (if less than all): $ ,000</w:t>
      </w:r>
    </w:p>
    <w:p>
      <w:pPr>
        <w:spacing w:after="0" w:line="186" w:lineRule="exact"/>
        <w:rPr>
          <w:sz w:val="20"/>
          <w:szCs w:val="20"/>
          <w:color w:val="auto"/>
        </w:rPr>
      </w:pPr>
    </w:p>
    <w:p>
      <w:pPr>
        <w:ind w:left="4020"/>
        <w:spacing w:after="0" w:line="309" w:lineRule="auto"/>
        <w:rPr>
          <w:sz w:val="20"/>
          <w:szCs w:val="20"/>
          <w:color w:val="auto"/>
        </w:rPr>
      </w:pPr>
      <w:r>
        <w:rPr>
          <w:rFonts w:ascii="Arial" w:cs="Arial" w:eastAsia="Arial" w:hAnsi="Arial"/>
          <w:sz w:val="15"/>
          <w:szCs w:val="15"/>
          <w:color w:val="auto"/>
        </w:rPr>
        <w:t>NOTICE: The above signature(s) of the Holder(s) hereof must correspond with the name as written upon the face of the Note in every particular without alteration or enlargement or any change whatever.</w:t>
      </w:r>
    </w:p>
    <w:p>
      <w:pPr>
        <w:spacing w:after="0" w:line="12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Social Security or Other Taxpayer</w:t>
      </w:r>
    </w:p>
    <w:p>
      <w:pPr>
        <w:spacing w:after="0" w:line="20"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Identification Number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00" w:name="page201"/>
    <w:bookmarkEnd w:id="200"/>
    <w:p>
      <w:pPr>
        <w:ind w:left="10004"/>
        <w:spacing w:after="0"/>
        <w:rPr>
          <w:sz w:val="20"/>
          <w:szCs w:val="20"/>
          <w:color w:val="auto"/>
        </w:rPr>
      </w:pPr>
      <w:r>
        <w:rPr>
          <w:rFonts w:ascii="Arial" w:cs="Arial" w:eastAsia="Arial" w:hAnsi="Arial"/>
          <w:sz w:val="15"/>
          <w:szCs w:val="15"/>
          <w:b w:val="1"/>
          <w:bCs w:val="1"/>
          <w:color w:val="auto"/>
        </w:rPr>
        <w:t>ATTACHMENT 2</w:t>
      </w: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FUNDAMENTAL CHANGE REPURCHASE NOTICE]</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U.S. Bank National Association, as Trustee</w:t>
      </w:r>
    </w:p>
    <w:p>
      <w:pPr>
        <w:ind w:left="4"/>
        <w:spacing w:after="0" w:line="199" w:lineRule="auto"/>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31</w:t>
      </w:r>
    </w:p>
    <w:p>
      <w:pPr>
        <w:ind w:left="4"/>
        <w:spacing w:after="0"/>
        <w:rPr>
          <w:sz w:val="20"/>
          <w:szCs w:val="20"/>
          <w:color w:val="auto"/>
        </w:rPr>
      </w:pPr>
      <w:r>
        <w:rPr>
          <w:rFonts w:ascii="Arial" w:cs="Arial" w:eastAsia="Arial" w:hAnsi="Arial"/>
          <w:sz w:val="16"/>
          <w:szCs w:val="16"/>
          <w:color w:val="auto"/>
        </w:rPr>
        <w:t>Attention: [●]</w:t>
      </w:r>
    </w:p>
    <w:p>
      <w:pPr>
        <w:spacing w:after="0" w:line="180" w:lineRule="exact"/>
        <w:rPr>
          <w:sz w:val="20"/>
          <w:szCs w:val="20"/>
          <w:color w:val="auto"/>
        </w:rPr>
      </w:pPr>
    </w:p>
    <w:p>
      <w:pPr>
        <w:jc w:val="both"/>
        <w:ind w:left="4"/>
        <w:spacing w:after="0" w:line="275" w:lineRule="auto"/>
        <w:rPr>
          <w:sz w:val="20"/>
          <w:szCs w:val="20"/>
          <w:color w:val="auto"/>
        </w:rPr>
      </w:pPr>
      <w:r>
        <w:rPr>
          <w:rFonts w:ascii="Arial" w:cs="Arial" w:eastAsia="Arial" w:hAnsi="Arial"/>
          <w:sz w:val="15"/>
          <w:szCs w:val="15"/>
          <w:color w:val="auto"/>
        </w:rPr>
        <w:t>The undersigned registered owner of this Note hereby acknowledges receipt of a notice from [●] (the “</w:t>
      </w:r>
      <w:r>
        <w:rPr>
          <w:rFonts w:ascii="Arial" w:cs="Arial" w:eastAsia="Arial" w:hAnsi="Arial"/>
          <w:sz w:val="15"/>
          <w:szCs w:val="15"/>
          <w:b w:val="1"/>
          <w:bCs w:val="1"/>
          <w:color w:val="auto"/>
        </w:rPr>
        <w:t>Company</w:t>
      </w:r>
      <w:r>
        <w:rPr>
          <w:rFonts w:ascii="Arial" w:cs="Arial" w:eastAsia="Arial" w:hAnsi="Arial"/>
          <w:sz w:val="15"/>
          <w:szCs w:val="15"/>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the case of Physical Notes, the certificate numbers of the Notes to be repurchased are as set forth below:</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__________________</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Social Security or Other Taxpayer</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Identification Number</w:t>
      </w:r>
    </w:p>
    <w:p>
      <w:pPr>
        <w:spacing w:after="0" w:line="186"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Principal amount to be repaid (if less than all):</w:t>
      </w:r>
    </w:p>
    <w:p>
      <w:pPr>
        <w:spacing w:after="0" w:line="20" w:lineRule="exact"/>
        <w:rPr>
          <w:sz w:val="20"/>
          <w:szCs w:val="20"/>
          <w:color w:val="auto"/>
        </w:rPr>
      </w:pPr>
    </w:p>
    <w:p>
      <w:pPr>
        <w:ind w:left="4584"/>
        <w:spacing w:after="0"/>
        <w:rPr>
          <w:sz w:val="20"/>
          <w:szCs w:val="20"/>
          <w:color w:val="auto"/>
        </w:rPr>
      </w:pPr>
      <w:r>
        <w:rPr>
          <w:rFonts w:ascii="Arial" w:cs="Arial" w:eastAsia="Arial" w:hAnsi="Arial"/>
          <w:sz w:val="16"/>
          <w:szCs w:val="16"/>
          <w:color w:val="auto"/>
        </w:rPr>
        <w:t>$,000</w:t>
      </w:r>
    </w:p>
    <w:p>
      <w:pPr>
        <w:spacing w:after="0" w:line="186" w:lineRule="exact"/>
        <w:rPr>
          <w:sz w:val="20"/>
          <w:szCs w:val="20"/>
          <w:color w:val="auto"/>
        </w:rPr>
      </w:pPr>
    </w:p>
    <w:p>
      <w:pPr>
        <w:ind w:left="4584"/>
        <w:spacing w:after="0" w:line="308" w:lineRule="auto"/>
        <w:rPr>
          <w:sz w:val="20"/>
          <w:szCs w:val="20"/>
          <w:color w:val="auto"/>
        </w:rPr>
      </w:pPr>
      <w:r>
        <w:rPr>
          <w:rFonts w:ascii="Arial" w:cs="Arial" w:eastAsia="Arial" w:hAnsi="Arial"/>
          <w:sz w:val="14"/>
          <w:szCs w:val="14"/>
          <w:color w:val="auto"/>
        </w:rPr>
        <w:t>NOTICE: The above signature(s) of the Holder(s) hereof must correspond with the name as written upon the face of the Note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179070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ind w:left="284" w:hanging="284"/>
        <w:spacing w:after="0" w:line="181" w:lineRule="auto"/>
        <w:tabs>
          <w:tab w:leader="none" w:pos="284" w:val="left"/>
        </w:tabs>
        <w:numPr>
          <w:ilvl w:val="0"/>
          <w:numId w:val="217"/>
        </w:numPr>
        <w:rPr>
          <w:rFonts w:ascii="Arial" w:cs="Arial" w:eastAsia="Arial" w:hAnsi="Arial"/>
          <w:sz w:val="24"/>
          <w:szCs w:val="24"/>
          <w:color w:val="auto"/>
          <w:vertAlign w:val="superscript"/>
        </w:rPr>
      </w:pPr>
      <w:r>
        <w:rPr>
          <w:rFonts w:ascii="Arial" w:cs="Arial" w:eastAsia="Arial" w:hAnsi="Arial"/>
          <w:sz w:val="15"/>
          <w:szCs w:val="15"/>
          <w:b w:val="1"/>
          <w:bCs w:val="1"/>
          <w:color w:val="auto"/>
        </w:rPr>
        <w:t>Note to Draft</w:t>
      </w:r>
      <w:r>
        <w:rPr>
          <w:rFonts w:ascii="Arial" w:cs="Arial" w:eastAsia="Arial" w:hAnsi="Arial"/>
          <w:sz w:val="15"/>
          <w:szCs w:val="15"/>
          <w:color w:val="auto"/>
        </w:rPr>
        <w:t>: Trustee to provide.</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314" w:right="339" w:bottom="1440" w:gutter="0" w:footer="0" w:header="0"/>
        </w:sectPr>
      </w:pPr>
    </w:p>
    <w:bookmarkStart w:id="201" w:name="page202"/>
    <w:bookmarkEnd w:id="201"/>
    <w:p>
      <w:pPr>
        <w:ind w:left="10004"/>
        <w:spacing w:after="0"/>
        <w:rPr>
          <w:sz w:val="20"/>
          <w:szCs w:val="20"/>
          <w:color w:val="auto"/>
        </w:rPr>
      </w:pPr>
      <w:r>
        <w:rPr>
          <w:rFonts w:ascii="Arial" w:cs="Arial" w:eastAsia="Arial" w:hAnsi="Arial"/>
          <w:sz w:val="16"/>
          <w:szCs w:val="16"/>
          <w:b w:val="1"/>
          <w:bCs w:val="1"/>
          <w:color w:val="auto"/>
        </w:rPr>
        <w:t>ATTACHMENT 3</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[FORM OF ASSIGNMENT AND TRANSFER]</w:t>
      </w:r>
    </w:p>
    <w:p>
      <w:pPr>
        <w:spacing w:after="0" w:line="198"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spacing w:after="0" w:line="152" w:lineRule="exact"/>
        <w:rPr>
          <w:sz w:val="20"/>
          <w:szCs w:val="20"/>
          <w:color w:val="auto"/>
        </w:rPr>
      </w:pPr>
    </w:p>
    <w:p>
      <w:pPr>
        <w:ind w:left="4" w:right="20"/>
        <w:spacing w:after="0" w:line="275" w:lineRule="auto"/>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 Note, the undersigned confirms that such Note is being transferred:</w:t>
      </w:r>
    </w:p>
    <w:p>
      <w:pPr>
        <w:spacing w:after="0" w:line="152" w:lineRule="exact"/>
        <w:rPr>
          <w:sz w:val="20"/>
          <w:szCs w:val="20"/>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To [●] or a subsidiary thereof;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 registration statement that has become or been declared effective under the Securities Act of 1933, as amended; or</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and in compliance with Rule 144A under the Securities Act of 1933, as amended; or</w:t>
      </w:r>
    </w:p>
    <w:p>
      <w:pPr>
        <w:spacing w:after="0" w:line="198" w:lineRule="exact"/>
        <w:rPr>
          <w:rFonts w:ascii="MS PGothic" w:cs="MS PGothic" w:eastAsia="MS PGothic" w:hAnsi="MS PGothic"/>
          <w:sz w:val="16"/>
          <w:szCs w:val="16"/>
          <w:color w:val="auto"/>
        </w:rPr>
      </w:pPr>
    </w:p>
    <w:p>
      <w:pPr>
        <w:ind w:left="284" w:right="20" w:hanging="284"/>
        <w:spacing w:after="0" w:line="275" w:lineRule="auto"/>
        <w:tabs>
          <w:tab w:leader="none" w:pos="284" w:val="left"/>
        </w:tabs>
        <w:numPr>
          <w:ilvl w:val="0"/>
          <w:numId w:val="218"/>
        </w:numPr>
        <w:rPr>
          <w:rFonts w:ascii="MS PGothic" w:cs="MS PGothic" w:eastAsia="MS PGothic" w:hAnsi="MS PGothic"/>
          <w:sz w:val="16"/>
          <w:szCs w:val="16"/>
          <w:color w:val="auto"/>
        </w:rPr>
      </w:pPr>
      <w:r>
        <w:rPr>
          <w:rFonts w:ascii="Arial" w:cs="Arial" w:eastAsia="Arial" w:hAnsi="Arial"/>
          <w:sz w:val="16"/>
          <w:szCs w:val="16"/>
          <w:color w:val="auto"/>
        </w:rPr>
        <w:t>Pursuant to and in compliance with Rule 144 under the Securities Act of 1933, as amended, or any other available exemption from the registration requirements of the Securities Act of 1933, as amended.</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Dated: 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 Guarantee</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Signature(s) must be guaranteed</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an eligible guarantor institution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(banks, stock brokers, savings and loan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associations and credit unions) with</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membership in an approved signature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guarantee medallion program pursuant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Securities and Exchange Commission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Rule 17Ad-15 if Notes are to be delivered,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 than to and in the name of the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registered holder.</w:t>
      </w:r>
    </w:p>
    <w:p>
      <w:pPr>
        <w:spacing w:after="0" w:line="186"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NOTICE: The signature on the assignment must correspond with the name as written upon the face of the Note in every particular without alteration or enlargement or any change whatever.</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202" w:name="page203"/>
    <w:bookmarkEnd w:id="202"/>
    <w:p>
      <w:pPr>
        <w:ind w:left="10420"/>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PIK ELECTION NOTICE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ISSUER NOTIFICATION OF PIK INTEREST ELECTION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 20[  ]</w:t>
      </w:r>
    </w:p>
    <w:p>
      <w:pPr>
        <w:spacing w:after="0" w:line="198"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This notification is delivered to you, U.S. Bank National Association, Trustee (the “Trustee”) under the indenture dated [●], 202[●], among [●] (the “Company”), the guarantors party thereto, and the Trustee (as amended, supplemented, or otherwise modified from time to time, the “Indenture”), in connection with the Company’s option to elect to pay PIK Interest as set forth in the Indenture. Capitalized terms used and not otherwise defined herein shall have the meanings assigned thereto in the Indenture.</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undersigned Officer of the Company (the “Officer”) hereby certifies that the undersigned is authorized to execute this notification on behalf of the Company (and not in a personal capacity) and does hereby notify the Trustee and the Paying Agent, in the name and on behalf of the Issuer (and not in a personal capacity), that for the Interest Payment Date of [____________________], 20[ ], the Company shall pay [all] or [$ ] of the interest on the Notes that will be due and payable on such Interest Payment Date by way of a PIK Payment.</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have executed this Officer’s Certificate as of the date first written above.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 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03" w:name="page204"/>
    <w:bookmarkEnd w:id="203"/>
    <w:p>
      <w:pPr>
        <w:ind w:left="10380"/>
        <w:spacing w:after="0"/>
        <w:rPr>
          <w:sz w:val="20"/>
          <w:szCs w:val="20"/>
          <w:color w:val="auto"/>
        </w:rPr>
      </w:pPr>
      <w:r>
        <w:rPr>
          <w:rFonts w:ascii="Arial" w:cs="Arial" w:eastAsia="Arial" w:hAnsi="Arial"/>
          <w:sz w:val="15"/>
          <w:szCs w:val="15"/>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SUBSCRIPTION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xml:space="preserve"> is entered into on November 10, 2021, by and between Ventoux CCM Acquisition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subscriber (“</w:t>
      </w:r>
      <w:r>
        <w:rPr>
          <w:rFonts w:ascii="Arial" w:cs="Arial" w:eastAsia="Arial" w:hAnsi="Arial"/>
          <w:sz w:val="16"/>
          <w:szCs w:val="16"/>
          <w:u w:val="single" w:color="auto"/>
          <w:color w:val="auto"/>
        </w:rPr>
        <w:t>Subscriber</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concurrently with the execution of this Subscription Agreement, the Company is entering into a definitive agreement with E la Carte, Inc., a Delaware corporation (“</w:t>
      </w:r>
      <w:r>
        <w:rPr>
          <w:rFonts w:ascii="Arial" w:cs="Arial" w:eastAsia="Arial" w:hAnsi="Arial"/>
          <w:sz w:val="16"/>
          <w:szCs w:val="16"/>
          <w:u w:val="single" w:color="auto"/>
          <w:color w:val="auto"/>
        </w:rPr>
        <w:t>Presto</w:t>
      </w:r>
      <w:r>
        <w:rPr>
          <w:rFonts w:ascii="Arial" w:cs="Arial" w:eastAsia="Arial" w:hAnsi="Arial"/>
          <w:sz w:val="16"/>
          <w:szCs w:val="16"/>
          <w:color w:val="auto"/>
        </w:rPr>
        <w:t>”), and the other parties thereto, providing for the combination of the Company and Presto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WHEREAS, in connection with the Transaction, Subscriber desires to subscribe for and purchase from the Company, immediately prior to the consummation of the Transaction, that number of shares of the Company’s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set forth on the signature page hereto (the “</w:t>
      </w:r>
      <w:r>
        <w:rPr>
          <w:rFonts w:ascii="Arial" w:cs="Arial" w:eastAsia="Arial" w:hAnsi="Arial"/>
          <w:sz w:val="16"/>
          <w:szCs w:val="16"/>
          <w:u w:val="single" w:color="auto"/>
          <w:color w:val="auto"/>
        </w:rPr>
        <w:t>Subscribed</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for a purchase price of $10.00 per share (the “</w:t>
      </w:r>
      <w:r>
        <w:rPr>
          <w:rFonts w:ascii="Arial" w:cs="Arial" w:eastAsia="Arial" w:hAnsi="Arial"/>
          <w:sz w:val="16"/>
          <w:szCs w:val="16"/>
          <w:u w:val="single" w:color="auto"/>
          <w:color w:val="auto"/>
        </w:rPr>
        <w:t>Per Share Price</w:t>
      </w:r>
      <w:r>
        <w:rPr>
          <w:rFonts w:ascii="Arial" w:cs="Arial" w:eastAsia="Arial" w:hAnsi="Arial"/>
          <w:sz w:val="16"/>
          <w:szCs w:val="16"/>
          <w:color w:val="auto"/>
        </w:rPr>
        <w:t>” and the aggregate of such Per Share Price for all Subscribed Shares being referred to herein as the “</w:t>
      </w:r>
      <w:r>
        <w:rPr>
          <w:rFonts w:ascii="Arial" w:cs="Arial" w:eastAsia="Arial" w:hAnsi="Arial"/>
          <w:sz w:val="16"/>
          <w:szCs w:val="16"/>
          <w:u w:val="single" w:color="auto"/>
          <w:color w:val="auto"/>
        </w:rPr>
        <w:t>Purchase Price</w:t>
      </w:r>
      <w:r>
        <w:rPr>
          <w:rFonts w:ascii="Arial" w:cs="Arial" w:eastAsia="Arial" w:hAnsi="Arial"/>
          <w:sz w:val="16"/>
          <w:szCs w:val="16"/>
          <w:color w:val="auto"/>
        </w:rPr>
        <w:t>”), and the Company desires to issue and sell to Subscriber the Subscribed Shares in consideration of the payment of the Purchase Price by or on behalf of Subscriber to the Company; and</w:t>
      </w:r>
    </w:p>
    <w:p>
      <w:pPr>
        <w:spacing w:after="0" w:line="170"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WHEREAS, concurrently with the execution of this Subscription Agreement or prior to the closing date of the Transaction (the “</w:t>
      </w:r>
      <w:r>
        <w:rPr>
          <w:rFonts w:ascii="Arial" w:cs="Arial" w:eastAsia="Arial" w:hAnsi="Arial"/>
          <w:sz w:val="14"/>
          <w:szCs w:val="14"/>
          <w:u w:val="single" w:color="auto"/>
          <w:color w:val="auto"/>
        </w:rPr>
        <w:t>Closing Date</w:t>
      </w:r>
      <w:r>
        <w:rPr>
          <w:rFonts w:ascii="Arial" w:cs="Arial" w:eastAsia="Arial" w:hAnsi="Arial"/>
          <w:sz w:val="14"/>
          <w:szCs w:val="14"/>
          <w:color w:val="auto"/>
        </w:rPr>
        <w:t>”), the Company is entering or will enter into subscription agreements (the “</w:t>
      </w:r>
      <w:r>
        <w:rPr>
          <w:rFonts w:ascii="Arial" w:cs="Arial" w:eastAsia="Arial" w:hAnsi="Arial"/>
          <w:sz w:val="14"/>
          <w:szCs w:val="14"/>
          <w:u w:val="single" w:color="auto"/>
          <w:color w:val="auto"/>
        </w:rPr>
        <w:t>Other Subscription Agreements</w:t>
      </w:r>
      <w:r>
        <w:rPr>
          <w:rFonts w:ascii="Arial" w:cs="Arial" w:eastAsia="Arial" w:hAnsi="Arial"/>
          <w:sz w:val="14"/>
          <w:szCs w:val="14"/>
          <w:color w:val="auto"/>
        </w:rPr>
        <w:t>” and together with this Subscription Agreement, the “</w:t>
      </w:r>
      <w:r>
        <w:rPr>
          <w:rFonts w:ascii="Arial" w:cs="Arial" w:eastAsia="Arial" w:hAnsi="Arial"/>
          <w:sz w:val="14"/>
          <w:szCs w:val="14"/>
          <w:u w:val="single" w:color="auto"/>
          <w:color w:val="auto"/>
        </w:rPr>
        <w:t>Subscription Agreements</w:t>
      </w:r>
      <w:r>
        <w:rPr>
          <w:rFonts w:ascii="Arial" w:cs="Arial" w:eastAsia="Arial" w:hAnsi="Arial"/>
          <w:sz w:val="14"/>
          <w:szCs w:val="14"/>
          <w:color w:val="auto"/>
        </w:rPr>
        <w:t>”) with certain other accredited investors (the “</w:t>
      </w:r>
      <w:r>
        <w:rPr>
          <w:rFonts w:ascii="Arial" w:cs="Arial" w:eastAsia="Arial" w:hAnsi="Arial"/>
          <w:sz w:val="14"/>
          <w:szCs w:val="14"/>
          <w:u w:val="single" w:color="auto"/>
          <w:color w:val="auto"/>
        </w:rPr>
        <w:t>Other Subscribers</w:t>
      </w:r>
      <w:r>
        <w:rPr>
          <w:rFonts w:ascii="Arial" w:cs="Arial" w:eastAsia="Arial" w:hAnsi="Arial"/>
          <w:sz w:val="14"/>
          <w:szCs w:val="14"/>
          <w:color w:val="auto"/>
        </w:rPr>
        <w:t>” and together with Subscriber, the “</w:t>
      </w:r>
      <w:r>
        <w:rPr>
          <w:rFonts w:ascii="Arial" w:cs="Arial" w:eastAsia="Arial" w:hAnsi="Arial"/>
          <w:sz w:val="14"/>
          <w:szCs w:val="14"/>
          <w:u w:val="single" w:color="auto"/>
          <w:color w:val="auto"/>
        </w:rPr>
        <w:t>Subscribers</w:t>
      </w:r>
      <w:r>
        <w:rPr>
          <w:rFonts w:ascii="Arial" w:cs="Arial" w:eastAsia="Arial" w:hAnsi="Arial"/>
          <w:sz w:val="14"/>
          <w:szCs w:val="14"/>
          <w:color w:val="auto"/>
        </w:rPr>
        <w:t>”), which are on substantially the same terms as the terms of this Subscription Agreement (other than with respect to (v) the amounts and types of the Company’s securities to be subscribed for and purchased by the Other Subscribers, (w) certain fees payable by Presto, certain board observer rights granted, and the purchase of Common Stock from the Sponsors (as defined herein) by [***] and [***] and their affiliates, (x) certain closing conditions in the Other Subscription Agreements relating to the Notes (as defined below),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inclusive of the Subscribed Shares, as applicable (i) shares of Common Stock, at the Per Share Price and (ii) the Company’s 9.0%/11.0% convertible senior notes due 2026 (the “</w:t>
      </w:r>
      <w:r>
        <w:rPr>
          <w:rFonts w:ascii="Arial" w:cs="Arial" w:eastAsia="Arial" w:hAnsi="Arial"/>
          <w:sz w:val="14"/>
          <w:szCs w:val="14"/>
          <w:u w:val="single" w:color="auto"/>
          <w:color w:val="auto"/>
        </w:rPr>
        <w:t>Notes</w:t>
      </w:r>
      <w:r>
        <w:rPr>
          <w:rFonts w:ascii="Arial" w:cs="Arial" w:eastAsia="Arial" w:hAnsi="Arial"/>
          <w:sz w:val="14"/>
          <w:szCs w:val="14"/>
          <w:color w:val="auto"/>
        </w:rPr>
        <w:t>”) and related warrants (the “</w:t>
      </w:r>
      <w:r>
        <w:rPr>
          <w:rFonts w:ascii="Arial" w:cs="Arial" w:eastAsia="Arial" w:hAnsi="Arial"/>
          <w:sz w:val="14"/>
          <w:szCs w:val="14"/>
          <w:u w:val="single" w:color="auto"/>
          <w:color w:val="auto"/>
        </w:rPr>
        <w:t>Warrants</w:t>
      </w:r>
      <w:r>
        <w:rPr>
          <w:rFonts w:ascii="Arial" w:cs="Arial" w:eastAsia="Arial" w:hAnsi="Arial"/>
          <w:sz w:val="14"/>
          <w:szCs w:val="14"/>
          <w:color w:val="auto"/>
        </w:rPr>
        <w:t>”) to purchase shares of Common Stock, for, as of the date hereof, up to $70,000,000 in gross proceeds to the Company (together with the Subscribed Shares, the “</w:t>
      </w:r>
      <w:r>
        <w:rPr>
          <w:rFonts w:ascii="Arial" w:cs="Arial" w:eastAsia="Arial" w:hAnsi="Arial"/>
          <w:sz w:val="14"/>
          <w:szCs w:val="14"/>
          <w:u w:val="single" w:color="auto"/>
          <w:color w:val="auto"/>
        </w:rPr>
        <w:t>Aggregate Subscribed Securities</w:t>
      </w:r>
      <w:r>
        <w:rPr>
          <w:rFonts w:ascii="Arial" w:cs="Arial" w:eastAsia="Arial" w:hAnsi="Arial"/>
          <w:sz w:val="14"/>
          <w:szCs w:val="14"/>
          <w:color w:val="auto"/>
        </w:rPr>
        <w:t>”);</w:t>
      </w:r>
    </w:p>
    <w:p>
      <w:pPr>
        <w:spacing w:after="0" w:line="14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52" w:lineRule="exact"/>
        <w:rPr>
          <w:sz w:val="20"/>
          <w:szCs w:val="20"/>
          <w:color w:val="auto"/>
        </w:rPr>
      </w:pPr>
    </w:p>
    <w:p>
      <w:pPr>
        <w:ind w:right="20" w:firstLine="569"/>
        <w:spacing w:after="0" w:line="349" w:lineRule="auto"/>
        <w:tabs>
          <w:tab w:leader="none" w:pos="757" w:val="left"/>
        </w:tabs>
        <w:numPr>
          <w:ilvl w:val="0"/>
          <w:numId w:val="219"/>
        </w:numPr>
        <w:rPr>
          <w:rFonts w:ascii="Arial" w:cs="Arial" w:eastAsia="Arial" w:hAnsi="Arial"/>
          <w:sz w:val="14"/>
          <w:szCs w:val="14"/>
          <w:color w:val="auto"/>
        </w:rPr>
      </w:pPr>
      <w:r>
        <w:rPr>
          <w:rFonts w:ascii="Arial" w:cs="Arial" w:eastAsia="Arial" w:hAnsi="Arial"/>
          <w:sz w:val="14"/>
          <w:szCs w:val="14"/>
          <w:u w:val="single" w:color="auto"/>
          <w:color w:val="auto"/>
        </w:rPr>
        <w:t>Subscription</w:t>
      </w:r>
      <w:r>
        <w:rPr>
          <w:rFonts w:ascii="Arial" w:cs="Arial" w:eastAsia="Arial" w:hAnsi="Arial"/>
          <w:sz w:val="14"/>
          <w:szCs w:val="14"/>
          <w:color w:val="auto"/>
        </w:rPr>
        <w:t>. Subject to the terms and conditions hereof, at the Closing (as defined below), Subscriber hereby agrees to subscribe for and purchase, and the Company hereby agrees to issue and sell to Subscriber, upon the payment of the Purchase Price, the Subscribed Shares (such subscription and issuance, the “</w:t>
      </w:r>
      <w:r>
        <w:rPr>
          <w:rFonts w:ascii="Arial" w:cs="Arial" w:eastAsia="Arial" w:hAnsi="Arial"/>
          <w:sz w:val="14"/>
          <w:szCs w:val="14"/>
          <w:u w:val="single" w:color="auto"/>
          <w:color w:val="auto"/>
        </w:rPr>
        <w:t>Subscription</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7148195"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04" w:name="page205"/>
    <w:bookmarkEnd w:id="204"/>
    <w:p>
      <w:pPr>
        <w:ind w:left="724" w:hanging="151"/>
        <w:spacing w:after="0"/>
        <w:tabs>
          <w:tab w:leader="none" w:pos="724"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 w:firstLine="1143"/>
        <w:spacing w:after="0" w:line="275" w:lineRule="auto"/>
        <w:tabs>
          <w:tab w:leader="none" w:pos="1304" w:val="left"/>
        </w:tabs>
        <w:numPr>
          <w:ilvl w:val="2"/>
          <w:numId w:val="220"/>
        </w:numPr>
        <w:rPr>
          <w:rFonts w:ascii="Arial" w:cs="Arial" w:eastAsia="Arial" w:hAnsi="Arial"/>
          <w:sz w:val="16"/>
          <w:szCs w:val="16"/>
          <w:color w:val="auto"/>
        </w:rPr>
      </w:pPr>
      <w:r>
        <w:rPr>
          <w:rFonts w:ascii="Arial" w:cs="Arial" w:eastAsia="Arial" w:hAnsi="Arial"/>
          <w:sz w:val="16"/>
          <w:szCs w:val="16"/>
          <w:color w:val="auto"/>
        </w:rPr>
        <w:t>Subject to the terms of this Subscription Agreement, the consummation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on the Closing Date immediately prior to or substantially concurrently with the consummation of the Transaction.</w:t>
      </w:r>
    </w:p>
    <w:p>
      <w:pPr>
        <w:spacing w:after="0" w:line="151" w:lineRule="exact"/>
        <w:rPr>
          <w:rFonts w:ascii="Arial" w:cs="Arial" w:eastAsia="Arial" w:hAnsi="Arial"/>
          <w:sz w:val="16"/>
          <w:szCs w:val="16"/>
          <w:color w:val="auto"/>
        </w:rPr>
      </w:pPr>
    </w:p>
    <w:p>
      <w:pPr>
        <w:jc w:val="both"/>
        <w:ind w:left="4" w:firstLine="1143"/>
        <w:spacing w:after="0" w:line="287" w:lineRule="auto"/>
        <w:tabs>
          <w:tab w:leader="none" w:pos="1339" w:val="left"/>
        </w:tabs>
        <w:numPr>
          <w:ilvl w:val="2"/>
          <w:numId w:val="220"/>
        </w:numPr>
        <w:rPr>
          <w:rFonts w:ascii="Arial" w:cs="Arial" w:eastAsia="Arial" w:hAnsi="Arial"/>
          <w:sz w:val="14"/>
          <w:szCs w:val="14"/>
          <w:color w:val="auto"/>
        </w:rPr>
      </w:pPr>
      <w:r>
        <w:rPr>
          <w:rFonts w:ascii="Arial" w:cs="Arial" w:eastAsia="Arial" w:hAnsi="Arial"/>
          <w:sz w:val="14"/>
          <w:szCs w:val="14"/>
          <w:color w:val="auto"/>
        </w:rPr>
        <w:t>At least five (5) Business Days before the anticipated Closing Date, the Company shall deliver written notice to Subscriber (the “</w:t>
      </w:r>
      <w:r>
        <w:rPr>
          <w:rFonts w:ascii="Arial" w:cs="Arial" w:eastAsia="Arial" w:hAnsi="Arial"/>
          <w:sz w:val="14"/>
          <w:szCs w:val="14"/>
          <w:u w:val="single" w:color="auto"/>
          <w:color w:val="auto"/>
        </w:rPr>
        <w:t>Closing Notice</w:t>
      </w:r>
      <w:r>
        <w:rPr>
          <w:rFonts w:ascii="Arial" w:cs="Arial" w:eastAsia="Arial" w:hAnsi="Arial"/>
          <w:sz w:val="14"/>
          <w:szCs w:val="14"/>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Shares to Subscriber. Subscriber shall deliver to the Company, no later than one (1) Business Day prior to the Closing Date as set forth in the Closing Notice, (a) the Purchase Price for the Subscribed Shares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Shares to Subscriber at the Closing. Upon satisfaction (or, if applicable, waiver) of the conditions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the Company shall deliver to Subscriber</w:t>
      </w:r>
    </w:p>
    <w:p>
      <w:pPr>
        <w:spacing w:after="0" w:line="3" w:lineRule="exact"/>
        <w:rPr>
          <w:rFonts w:ascii="Arial" w:cs="Arial" w:eastAsia="Arial" w:hAnsi="Arial"/>
          <w:sz w:val="14"/>
          <w:szCs w:val="14"/>
          <w:color w:val="auto"/>
        </w:rPr>
      </w:pPr>
    </w:p>
    <w:p>
      <w:pPr>
        <w:jc w:val="both"/>
        <w:ind w:left="4" w:hanging="4"/>
        <w:spacing w:after="0" w:line="268" w:lineRule="auto"/>
        <w:tabs>
          <w:tab w:leader="none" w:pos="209"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at the Closing, the Subscribed Shares in book entry form, free and clear of any liens or other restrictions (other than those arising under this Subscription Agreement or applicable state or federal securities laws), in the name of Subscriber (or its nominee in accordance with its delivery instructions) or to a custodian designated by Subscriber, as applicable, and (ii) written notice from the Company or its transfer agent evidencing the issuance to Subscriber of the Subscribed Shares on and as of the Closing Date.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Notwithstanding such return or cancellation a failure to close on the anticipated Closing Date shall not, by itself, be deemed to be a failure of any of the conditions to Closing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to be satisfied or waived on or prior to the Closing Date. For the purposes of this Subscription Agreement, “Business Day” means any day other than a Saturday, Sunday or a day on which the Federal Reserve Bank of New York is closed.</w:t>
      </w:r>
    </w:p>
    <w:p>
      <w:pPr>
        <w:spacing w:after="0" w:line="164" w:lineRule="exact"/>
        <w:rPr>
          <w:rFonts w:ascii="Arial" w:cs="Arial" w:eastAsia="Arial" w:hAnsi="Arial"/>
          <w:sz w:val="15"/>
          <w:szCs w:val="15"/>
          <w:color w:val="auto"/>
        </w:rPr>
      </w:pPr>
    </w:p>
    <w:p>
      <w:pPr>
        <w:ind w:left="4" w:right="20" w:firstLine="1143"/>
        <w:spacing w:after="0" w:line="275" w:lineRule="auto"/>
        <w:tabs>
          <w:tab w:leader="none" w:pos="1316" w:val="left"/>
        </w:tabs>
        <w:numPr>
          <w:ilvl w:val="2"/>
          <w:numId w:val="221"/>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51" w:lineRule="exact"/>
        <w:rPr>
          <w:rFonts w:ascii="Arial" w:cs="Arial" w:eastAsia="Arial" w:hAnsi="Arial"/>
          <w:sz w:val="16"/>
          <w:szCs w:val="16"/>
          <w:color w:val="auto"/>
        </w:rPr>
      </w:pPr>
    </w:p>
    <w:p>
      <w:pPr>
        <w:jc w:val="both"/>
        <w:ind w:left="4" w:right="20" w:firstLine="1716"/>
        <w:spacing w:after="0" w:line="262" w:lineRule="auto"/>
        <w:tabs>
          <w:tab w:leader="none" w:pos="1934" w:val="left"/>
        </w:tabs>
        <w:numPr>
          <w:ilvl w:val="3"/>
          <w:numId w:val="221"/>
        </w:numPr>
        <w:rPr>
          <w:rFonts w:ascii="Arial" w:cs="Arial" w:eastAsia="Arial" w:hAnsi="Arial"/>
          <w:sz w:val="16"/>
          <w:szCs w:val="16"/>
          <w:color w:val="auto"/>
        </w:rPr>
      </w:pPr>
      <w:r>
        <w:rPr>
          <w:rFonts w:ascii="Arial" w:cs="Arial" w:eastAsia="Arial" w:hAnsi="Arial"/>
          <w:sz w:val="16"/>
          <w:szCs w:val="16"/>
          <w:color w:val="auto"/>
        </w:rPr>
        <w:t>no suspension of the qualification of the Common Stock for offering or sale or trading in any jurisdiction, or initiation or threatening of any proceedings for any of such purposes, shall have occurred and the Subscribed Shares shall have been approved for listing on The Nasdaq Stock Market LLC (“</w:t>
      </w:r>
      <w:r>
        <w:rPr>
          <w:rFonts w:ascii="Arial" w:cs="Arial" w:eastAsia="Arial" w:hAnsi="Arial"/>
          <w:sz w:val="16"/>
          <w:szCs w:val="16"/>
          <w:u w:val="single" w:color="auto"/>
          <w:color w:val="auto"/>
        </w:rPr>
        <w:t>NASDAQ</w:t>
      </w:r>
      <w:r>
        <w:rPr>
          <w:rFonts w:ascii="Arial" w:cs="Arial" w:eastAsia="Arial" w:hAnsi="Arial"/>
          <w:sz w:val="16"/>
          <w:szCs w:val="16"/>
          <w:color w:val="auto"/>
        </w:rPr>
        <w:t>”), subject to official notice of issuance;</w:t>
      </w:r>
    </w:p>
    <w:p>
      <w:pPr>
        <w:spacing w:after="0" w:line="162" w:lineRule="exact"/>
        <w:rPr>
          <w:rFonts w:ascii="Arial" w:cs="Arial" w:eastAsia="Arial" w:hAnsi="Arial"/>
          <w:sz w:val="16"/>
          <w:szCs w:val="16"/>
          <w:color w:val="auto"/>
        </w:rPr>
      </w:pPr>
    </w:p>
    <w:p>
      <w:pPr>
        <w:ind w:left="4" w:right="20" w:firstLine="1716"/>
        <w:spacing w:after="0" w:line="349" w:lineRule="auto"/>
        <w:tabs>
          <w:tab w:leader="none" w:pos="1983" w:val="left"/>
        </w:tabs>
        <w:numPr>
          <w:ilvl w:val="3"/>
          <w:numId w:val="221"/>
        </w:numPr>
        <w:rPr>
          <w:rFonts w:ascii="Arial" w:cs="Arial" w:eastAsia="Arial" w:hAnsi="Arial"/>
          <w:sz w:val="14"/>
          <w:szCs w:val="14"/>
          <w:color w:val="auto"/>
        </w:rPr>
      </w:pPr>
      <w:r>
        <w:rPr>
          <w:rFonts w:ascii="Arial" w:cs="Arial" w:eastAsia="Arial" w:hAnsi="Arial"/>
          <w:sz w:val="14"/>
          <w:szCs w:val="14"/>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05" w:lineRule="exact"/>
        <w:rPr>
          <w:rFonts w:ascii="Arial" w:cs="Arial" w:eastAsia="Arial" w:hAnsi="Arial"/>
          <w:sz w:val="14"/>
          <w:szCs w:val="14"/>
          <w:color w:val="auto"/>
        </w:rPr>
      </w:pPr>
    </w:p>
    <w:p>
      <w:pPr>
        <w:jc w:val="both"/>
        <w:ind w:left="4" w:firstLine="1716"/>
        <w:spacing w:after="0" w:line="297" w:lineRule="auto"/>
        <w:tabs>
          <w:tab w:leader="none" w:pos="2018" w:val="left"/>
        </w:tabs>
        <w:numPr>
          <w:ilvl w:val="3"/>
          <w:numId w:val="221"/>
        </w:numPr>
        <w:rPr>
          <w:rFonts w:ascii="Arial" w:cs="Arial" w:eastAsia="Arial" w:hAnsi="Arial"/>
          <w:sz w:val="14"/>
          <w:szCs w:val="14"/>
          <w:color w:val="auto"/>
        </w:rPr>
      </w:pPr>
      <w:r>
        <w:rPr>
          <w:rFonts w:ascii="Arial" w:cs="Arial" w:eastAsia="Arial" w:hAnsi="Arial"/>
          <w:sz w:val="14"/>
          <w:szCs w:val="14"/>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5" w:name="page206"/>
    <w:bookmarkEnd w:id="205"/>
    <w:p>
      <w:pPr>
        <w:ind w:left="4" w:firstLine="1147"/>
        <w:spacing w:after="0" w:line="275" w:lineRule="auto"/>
        <w:rPr>
          <w:sz w:val="20"/>
          <w:szCs w:val="20"/>
          <w:color w:val="auto"/>
        </w:rPr>
      </w:pPr>
      <w:r>
        <w:rPr>
          <w:rFonts w:ascii="Arial" w:cs="Arial" w:eastAsia="Arial" w:hAnsi="Arial"/>
          <w:sz w:val="16"/>
          <w:szCs w:val="16"/>
          <w:color w:val="auto"/>
        </w:rPr>
        <w:t>d. The obligation of the Company to consummate the Closing shall be subject to the satisfaction or valid waiver in writing by the Company of the additional conditions that, on the Closing Date:</w:t>
      </w:r>
    </w:p>
    <w:p>
      <w:pPr>
        <w:spacing w:after="0" w:line="152" w:lineRule="exact"/>
        <w:rPr>
          <w:sz w:val="20"/>
          <w:szCs w:val="20"/>
          <w:color w:val="auto"/>
        </w:rPr>
      </w:pPr>
    </w:p>
    <w:p>
      <w:pPr>
        <w:ind w:left="1924" w:hanging="204"/>
        <w:spacing w:after="0"/>
        <w:tabs>
          <w:tab w:leader="none" w:pos="1924" w:val="left"/>
        </w:tabs>
        <w:numPr>
          <w:ilvl w:val="2"/>
          <w:numId w:val="22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are true and correct in all material respects (other than</w:t>
      </w:r>
    </w:p>
    <w:p>
      <w:pPr>
        <w:spacing w:after="0" w:line="42" w:lineRule="exact"/>
        <w:rPr>
          <w:rFonts w:ascii="Arial" w:cs="Arial" w:eastAsia="Arial" w:hAnsi="Arial"/>
          <w:sz w:val="14"/>
          <w:szCs w:val="14"/>
          <w:color w:val="auto"/>
        </w:rPr>
      </w:pPr>
    </w:p>
    <w:p>
      <w:pPr>
        <w:jc w:val="both"/>
        <w:ind w:left="4" w:right="20" w:hanging="4"/>
        <w:spacing w:after="0" w:line="254" w:lineRule="auto"/>
        <w:tabs>
          <w:tab w:leader="none" w:pos="233"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7" w:lineRule="exact"/>
        <w:rPr>
          <w:rFonts w:ascii="Arial" w:cs="Arial" w:eastAsia="Arial" w:hAnsi="Arial"/>
          <w:sz w:val="16"/>
          <w:szCs w:val="16"/>
          <w:color w:val="auto"/>
        </w:rPr>
      </w:pPr>
    </w:p>
    <w:p>
      <w:pPr>
        <w:jc w:val="both"/>
        <w:ind w:left="4" w:right="20" w:firstLine="1716"/>
        <w:spacing w:after="0" w:line="287" w:lineRule="auto"/>
        <w:tabs>
          <w:tab w:leader="none" w:pos="1971" w:val="left"/>
        </w:tabs>
        <w:numPr>
          <w:ilvl w:val="2"/>
          <w:numId w:val="223"/>
        </w:numPr>
        <w:rPr>
          <w:rFonts w:ascii="Arial" w:cs="Arial" w:eastAsia="Arial" w:hAnsi="Arial"/>
          <w:sz w:val="15"/>
          <w:szCs w:val="15"/>
          <w:color w:val="auto"/>
        </w:rPr>
      </w:pPr>
      <w:r>
        <w:rPr>
          <w:rFonts w:ascii="Arial" w:cs="Arial" w:eastAsia="Arial" w:hAnsi="Arial"/>
          <w:sz w:val="15"/>
          <w:szCs w:val="15"/>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46" w:lineRule="exact"/>
        <w:rPr>
          <w:rFonts w:ascii="Arial" w:cs="Arial" w:eastAsia="Arial" w:hAnsi="Arial"/>
          <w:sz w:val="15"/>
          <w:szCs w:val="15"/>
          <w:color w:val="auto"/>
        </w:rPr>
      </w:pPr>
    </w:p>
    <w:p>
      <w:pPr>
        <w:ind w:left="4" w:right="20" w:firstLine="1143"/>
        <w:spacing w:after="0" w:line="275" w:lineRule="auto"/>
        <w:tabs>
          <w:tab w:leader="none" w:pos="130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obligation of Subscriber to consummate the Closing shall be subject to the satisfaction or valid waiver by Subscriber of the additional conditions that, on the Closing Date:</w:t>
      </w:r>
    </w:p>
    <w:p>
      <w:pPr>
        <w:spacing w:after="0" w:line="151" w:lineRule="exact"/>
        <w:rPr>
          <w:rFonts w:ascii="Arial" w:cs="Arial" w:eastAsia="Arial" w:hAnsi="Arial"/>
          <w:sz w:val="16"/>
          <w:szCs w:val="16"/>
          <w:color w:val="auto"/>
        </w:rPr>
      </w:pPr>
    </w:p>
    <w:p>
      <w:pPr>
        <w:jc w:val="both"/>
        <w:ind w:left="4" w:firstLine="1716"/>
        <w:spacing w:after="0" w:line="258" w:lineRule="auto"/>
        <w:tabs>
          <w:tab w:leader="none" w:pos="1929" w:val="left"/>
        </w:tabs>
        <w:numPr>
          <w:ilvl w:val="2"/>
          <w:numId w:val="224"/>
        </w:numPr>
        <w:rPr>
          <w:rFonts w:ascii="Arial" w:cs="Arial" w:eastAsia="Arial" w:hAnsi="Arial"/>
          <w:sz w:val="16"/>
          <w:szCs w:val="16"/>
          <w:color w:val="auto"/>
        </w:rPr>
      </w:pPr>
      <w:r>
        <w:rPr>
          <w:rFonts w:ascii="Arial" w:cs="Arial" w:eastAsia="Arial" w:hAnsi="Arial"/>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164" w:lineRule="exact"/>
        <w:rPr>
          <w:rFonts w:ascii="Arial" w:cs="Arial" w:eastAsia="Arial" w:hAnsi="Arial"/>
          <w:sz w:val="16"/>
          <w:szCs w:val="16"/>
          <w:color w:val="auto"/>
        </w:rPr>
      </w:pPr>
    </w:p>
    <w:p>
      <w:pPr>
        <w:ind w:left="4" w:right="20" w:firstLine="1716"/>
        <w:spacing w:after="0" w:line="275" w:lineRule="auto"/>
        <w:tabs>
          <w:tab w:leader="none" w:pos="1962"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left="4" w:right="20" w:firstLine="1716"/>
        <w:spacing w:after="0" w:line="349" w:lineRule="auto"/>
        <w:tabs>
          <w:tab w:leader="none" w:pos="2006" w:val="left"/>
        </w:tabs>
        <w:numPr>
          <w:ilvl w:val="2"/>
          <w:numId w:val="224"/>
        </w:numPr>
        <w:rPr>
          <w:rFonts w:ascii="Arial" w:cs="Arial" w:eastAsia="Arial" w:hAnsi="Arial"/>
          <w:sz w:val="14"/>
          <w:szCs w:val="14"/>
          <w:color w:val="auto"/>
        </w:rPr>
      </w:pPr>
      <w:r>
        <w:rPr>
          <w:rFonts w:ascii="Arial" w:cs="Arial" w:eastAsia="Arial" w:hAnsi="Arial"/>
          <w:sz w:val="14"/>
          <w:szCs w:val="14"/>
          <w:color w:val="auto"/>
        </w:rPr>
        <w:t>there shall have been no amendment, waiver or modification to the Transaction Agreement that materially and adversely affects the Company or the economic benefits that Subscriber would reasonably expect to receive under this Subscription Agreement without having received Subscriber’s prior written consent;</w:t>
      </w:r>
    </w:p>
    <w:p>
      <w:pPr>
        <w:spacing w:after="0" w:line="105" w:lineRule="exact"/>
        <w:rPr>
          <w:rFonts w:ascii="Arial" w:cs="Arial" w:eastAsia="Arial" w:hAnsi="Arial"/>
          <w:sz w:val="14"/>
          <w:szCs w:val="14"/>
          <w:color w:val="auto"/>
        </w:rPr>
      </w:pPr>
    </w:p>
    <w:p>
      <w:pPr>
        <w:jc w:val="both"/>
        <w:ind w:left="4" w:firstLine="1716"/>
        <w:spacing w:after="0" w:line="253" w:lineRule="auto"/>
        <w:tabs>
          <w:tab w:leader="none" w:pos="200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 shall not have entered into any Other Subscription Agreement relating to Common Stock with a lower Per Share Price or other terms (economic or otherwise) more favorable to such Other Subscriber than as set forth in this Subscription Agreement, other than with respect to (a) the amounts and types of the Company’s securities to be subscribed for and purchased by the Other Subscribers, (b) certain fees payable by Presto, certain board observer rights granted, and the purchase of Common Stock from Ventoux Acquisition Holdings LLC, a Delaware limited liability company, and Chardan International Investments, LLC, a Delaware limited liability company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by [***] and [***] and their affiliates, (c) certain closing conditions in the Other Subscription Agreements relating to the Notes, (d)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(e) certain registration rights;</w:t>
      </w:r>
    </w:p>
    <w:p>
      <w:pPr>
        <w:spacing w:after="0" w:line="169" w:lineRule="exact"/>
        <w:rPr>
          <w:rFonts w:ascii="Arial" w:cs="Arial" w:eastAsia="Arial" w:hAnsi="Arial"/>
          <w:sz w:val="16"/>
          <w:szCs w:val="16"/>
          <w:color w:val="auto"/>
        </w:rPr>
      </w:pPr>
    </w:p>
    <w:p>
      <w:pPr>
        <w:ind w:left="1944" w:hanging="224"/>
        <w:spacing w:after="0"/>
        <w:tabs>
          <w:tab w:leader="none" w:pos="1944"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there has not occurred a Company Material Adverse Effect;</w:t>
      </w:r>
    </w:p>
    <w:p>
      <w:pPr>
        <w:spacing w:after="0" w:line="198" w:lineRule="exact"/>
        <w:rPr>
          <w:rFonts w:ascii="Arial" w:cs="Arial" w:eastAsia="Arial" w:hAnsi="Arial"/>
          <w:sz w:val="16"/>
          <w:szCs w:val="16"/>
          <w:color w:val="auto"/>
        </w:rPr>
      </w:pPr>
    </w:p>
    <w:p>
      <w:pPr>
        <w:ind w:left="4" w:right="20" w:firstLine="1716"/>
        <w:spacing w:after="0" w:line="275" w:lineRule="auto"/>
        <w:tabs>
          <w:tab w:leader="none" w:pos="2016" w:val="left"/>
        </w:tabs>
        <w:numPr>
          <w:ilvl w:val="2"/>
          <w:numId w:val="224"/>
        </w:numPr>
        <w:rPr>
          <w:rFonts w:ascii="Arial" w:cs="Arial" w:eastAsia="Arial" w:hAnsi="Arial"/>
          <w:sz w:val="16"/>
          <w:szCs w:val="16"/>
          <w:color w:val="auto"/>
        </w:rPr>
      </w:pPr>
      <w:r>
        <w:rPr>
          <w:rFonts w:ascii="Arial" w:cs="Arial" w:eastAsia="Arial" w:hAnsi="Arial"/>
          <w:sz w:val="16"/>
          <w:szCs w:val="16"/>
          <w:color w:val="auto"/>
        </w:rPr>
        <w:t>the Company’s financial statements for the year ended June 30, 2021 shall have been audited and accompanied by a report and opinion of a registered public accounting firm prepared in accordance with audit standards of the Public Company Accounting Oversight Board; and</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6" w:name="page207"/>
    <w:bookmarkEnd w:id="206"/>
    <w:p>
      <w:pPr>
        <w:jc w:val="both"/>
        <w:ind w:right="20" w:firstLine="1716"/>
        <w:spacing w:after="0" w:line="255" w:lineRule="auto"/>
        <w:tabs>
          <w:tab w:leader="none" w:pos="2076" w:val="left"/>
        </w:tabs>
        <w:numPr>
          <w:ilvl w:val="2"/>
          <w:numId w:val="225"/>
        </w:numPr>
        <w:rPr>
          <w:rFonts w:ascii="Arial" w:cs="Arial" w:eastAsia="Arial" w:hAnsi="Arial"/>
          <w:sz w:val="16"/>
          <w:szCs w:val="16"/>
          <w:color w:val="auto"/>
        </w:rPr>
      </w:pPr>
      <w:r>
        <w:rPr>
          <w:rFonts w:ascii="Arial" w:cs="Arial" w:eastAsia="Arial" w:hAnsi="Arial"/>
          <w:sz w:val="16"/>
          <w:szCs w:val="16"/>
          <w:color w:val="auto"/>
        </w:rPr>
        <w:t xml:space="preserve">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of whether the Subscriber has been treated more or less favorably than any Other Subscriber shall disregard any other securities (other than the Subscribed Shares) of the Company purchased by the Subscriber or Other Subscriber, respectively.</w:t>
      </w:r>
    </w:p>
    <w:p>
      <w:pPr>
        <w:spacing w:after="0" w:line="169" w:lineRule="exact"/>
        <w:rPr>
          <w:rFonts w:ascii="Arial" w:cs="Arial" w:eastAsia="Arial" w:hAnsi="Arial"/>
          <w:sz w:val="16"/>
          <w:szCs w:val="16"/>
          <w:color w:val="auto"/>
        </w:rPr>
      </w:pPr>
    </w:p>
    <w:p>
      <w:pPr>
        <w:ind w:left="1280" w:hanging="137"/>
        <w:spacing w:after="0"/>
        <w:tabs>
          <w:tab w:leader="none" w:pos="1280" w:val="left"/>
        </w:tabs>
        <w:numPr>
          <w:ilvl w:val="1"/>
          <w:numId w:val="226"/>
        </w:numPr>
        <w:rPr>
          <w:rFonts w:ascii="Arial" w:cs="Arial" w:eastAsia="Arial" w:hAnsi="Arial"/>
          <w:sz w:val="14"/>
          <w:szCs w:val="14"/>
          <w:color w:val="auto"/>
        </w:rPr>
      </w:pPr>
      <w:r>
        <w:rPr>
          <w:rFonts w:ascii="Arial" w:cs="Arial" w:eastAsia="Arial" w:hAnsi="Arial"/>
          <w:sz w:val="14"/>
          <w:szCs w:val="14"/>
          <w:color w:val="auto"/>
        </w:rPr>
        <w:t>Prior to or at the Closing, Subscriber shall deliver to the Company a duly completed and executed Internal Revenue Service Form W-9 or appropriate Form</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W-8.</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For the avoidance of doubt, the Closing shall not be subject to Company’s consummation of the transactions pursuant to the Other Subscription</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left="720" w:hanging="151"/>
        <w:spacing w:after="0"/>
        <w:tabs>
          <w:tab w:leader="none" w:pos="72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Company Representations and Warranties</w:t>
      </w:r>
      <w:r>
        <w:rPr>
          <w:rFonts w:ascii="Arial" w:cs="Arial" w:eastAsia="Arial" w:hAnsi="Arial"/>
          <w:sz w:val="16"/>
          <w:szCs w:val="16"/>
          <w:color w:val="auto"/>
        </w:rPr>
        <w:t>. The Company represents and warrants to Subscriber and the Placement Agents (as defined below) that: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300"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Shares, the Transaction Agreement or the consummation of the Transaction.</w:t>
      </w:r>
    </w:p>
    <w:p>
      <w:pPr>
        <w:spacing w:after="0" w:line="162" w:lineRule="exact"/>
        <w:rPr>
          <w:rFonts w:ascii="Arial" w:cs="Arial" w:eastAsia="Arial" w:hAnsi="Arial"/>
          <w:sz w:val="15"/>
          <w:szCs w:val="15"/>
          <w:color w:val="auto"/>
        </w:rPr>
      </w:pPr>
    </w:p>
    <w:p>
      <w:pPr>
        <w:jc w:val="both"/>
        <w:ind w:firstLine="1143"/>
        <w:spacing w:after="0" w:line="276" w:lineRule="auto"/>
        <w:tabs>
          <w:tab w:leader="none" w:pos="1328" w:val="left"/>
        </w:tabs>
        <w:numPr>
          <w:ilvl w:val="1"/>
          <w:numId w:val="227"/>
        </w:numPr>
        <w:rPr>
          <w:rFonts w:ascii="Arial" w:cs="Arial" w:eastAsia="Arial" w:hAnsi="Arial"/>
          <w:sz w:val="15"/>
          <w:szCs w:val="15"/>
          <w:color w:val="auto"/>
        </w:rPr>
      </w:pPr>
      <w:r>
        <w:rPr>
          <w:rFonts w:ascii="Arial" w:cs="Arial" w:eastAsia="Arial" w:hAnsi="Arial"/>
          <w:sz w:val="15"/>
          <w:szCs w:val="15"/>
          <w:color w:val="auto"/>
        </w:rPr>
        <w:t>As of the Closing Date, the Subscribed Shares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w:t>
      </w:r>
      <w:r>
        <w:rPr>
          <w:rFonts w:ascii="Arial" w:cs="Arial" w:eastAsia="Arial" w:hAnsi="Arial"/>
          <w:sz w:val="15"/>
          <w:szCs w:val="15"/>
          <w:u w:val="single" w:color="auto"/>
          <w:color w:val="auto"/>
        </w:rPr>
        <w:t>Enforceability Exceptions</w:t>
      </w:r>
      <w:r>
        <w:rPr>
          <w:rFonts w:ascii="Arial" w:cs="Arial" w:eastAsia="Arial" w:hAnsi="Arial"/>
          <w:sz w:val="15"/>
          <w:szCs w:val="15"/>
          <w:color w:val="auto"/>
        </w:rPr>
        <w:t>”), and will not have been issued in violation of any preemptive rights created under the Company’s organizational documents or the laws of the State of Delaware.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23" w:val="left"/>
        </w:tabs>
        <w:numPr>
          <w:ilvl w:val="1"/>
          <w:numId w:val="227"/>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7" w:name="page208"/>
    <w:bookmarkEnd w:id="207"/>
    <w:p>
      <w:pPr>
        <w:jc w:val="both"/>
        <w:ind w:left="4" w:firstLine="1147"/>
        <w:spacing w:after="0" w:line="272" w:lineRule="auto"/>
        <w:rPr>
          <w:sz w:val="20"/>
          <w:szCs w:val="20"/>
          <w:color w:val="auto"/>
        </w:rPr>
      </w:pPr>
      <w:r>
        <w:rPr>
          <w:rFonts w:ascii="Arial" w:cs="Arial" w:eastAsia="Arial" w:hAnsi="Arial"/>
          <w:sz w:val="15"/>
          <w:szCs w:val="15"/>
          <w:color w:val="auto"/>
        </w:rPr>
        <w:t>d.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Shares.</w:t>
      </w:r>
    </w:p>
    <w:p>
      <w:pPr>
        <w:spacing w:after="0" w:line="157" w:lineRule="exact"/>
        <w:rPr>
          <w:sz w:val="20"/>
          <w:szCs w:val="20"/>
          <w:color w:val="auto"/>
        </w:rPr>
      </w:pPr>
    </w:p>
    <w:p>
      <w:pPr>
        <w:jc w:val="both"/>
        <w:ind w:left="4" w:right="20" w:firstLine="1147"/>
        <w:spacing w:after="0" w:line="255" w:lineRule="auto"/>
        <w:rPr>
          <w:sz w:val="20"/>
          <w:szCs w:val="20"/>
          <w:color w:val="auto"/>
        </w:rPr>
      </w:pPr>
      <w:r>
        <w:rPr>
          <w:rFonts w:ascii="Arial" w:cs="Arial" w:eastAsia="Arial" w:hAnsi="Arial"/>
          <w:sz w:val="16"/>
          <w:szCs w:val="16"/>
          <w:color w:val="auto"/>
        </w:rPr>
        <w:t>e. The Subscribed Shares are not, and following the Closing, will not be, subject to any Transfer Restriction. The term “</w:t>
      </w:r>
      <w:r>
        <w:rPr>
          <w:rFonts w:ascii="Arial" w:cs="Arial" w:eastAsia="Arial" w:hAnsi="Arial"/>
          <w:sz w:val="16"/>
          <w:szCs w:val="16"/>
          <w:u w:val="single" w:color="auto"/>
          <w:color w:val="auto"/>
        </w:rPr>
        <w:t>Transfer Restriction</w:t>
      </w:r>
      <w:r>
        <w:rPr>
          <w:rFonts w:ascii="Arial" w:cs="Arial" w:eastAsia="Arial" w:hAnsi="Arial"/>
          <w:sz w:val="16"/>
          <w:szCs w:val="16"/>
          <w:color w:val="auto"/>
        </w:rPr>
        <w:t xml:space="preserve">” means any condition to or restriction on the ability of the undersigned to pledge, sell, assign or otherwise transfer the Subscribed Shares under any organizational document, policy or agreement of, by or with the Company, but excluding the restrictions on transfer described in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of this Subscription Agreement with respect to the status of the Subscribed Shares as “restricted securities” pending their registration for resale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 accordance with the terms of this Subscription Agreement.</w:t>
      </w:r>
    </w:p>
    <w:p>
      <w:pPr>
        <w:spacing w:after="0" w:line="170" w:lineRule="exact"/>
        <w:rPr>
          <w:sz w:val="20"/>
          <w:szCs w:val="20"/>
          <w:color w:val="auto"/>
        </w:rPr>
      </w:pPr>
    </w:p>
    <w:p>
      <w:pPr>
        <w:jc w:val="both"/>
        <w:ind w:left="4" w:firstLine="1147"/>
        <w:spacing w:after="0" w:line="289" w:lineRule="auto"/>
        <w:rPr>
          <w:sz w:val="20"/>
          <w:szCs w:val="20"/>
          <w:color w:val="auto"/>
        </w:rPr>
      </w:pPr>
      <w:r>
        <w:rPr>
          <w:rFonts w:ascii="Arial" w:cs="Arial" w:eastAsia="Arial" w:hAnsi="Arial"/>
          <w:sz w:val="14"/>
          <w:szCs w:val="14"/>
          <w:color w:val="auto"/>
        </w:rPr>
        <w:t xml:space="preserve">f. 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Shares), other than (i) filings required by applicable state securities laws; (ii) the filing of the Registration Statement pursuant to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below;</w:t>
      </w:r>
    </w:p>
    <w:p>
      <w:pPr>
        <w:spacing w:after="0" w:line="2" w:lineRule="exact"/>
        <w:rPr>
          <w:sz w:val="20"/>
          <w:szCs w:val="20"/>
          <w:color w:val="auto"/>
        </w:rPr>
      </w:pPr>
    </w:p>
    <w:p>
      <w:pPr>
        <w:jc w:val="both"/>
        <w:ind w:left="4" w:hanging="4"/>
        <w:spacing w:after="0" w:line="251" w:lineRule="auto"/>
        <w:tabs>
          <w:tab w:leader="none" w:pos="28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filing of a Notice of Exempt Offering of Securities on Form D with the United States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the failure of which to obtain would not be reasonably likely to have a Company Material Adverse Effect or have a material adverse effect on the Company’s ability to consummate the transactions contemplated hereby, including the issuance and sale of the Subscribed Shares.</w:t>
      </w:r>
    </w:p>
    <w:p>
      <w:pPr>
        <w:spacing w:after="0" w:line="171" w:lineRule="exact"/>
        <w:rPr>
          <w:rFonts w:ascii="Arial" w:cs="Arial" w:eastAsia="Arial" w:hAnsi="Arial"/>
          <w:sz w:val="16"/>
          <w:szCs w:val="16"/>
          <w:color w:val="auto"/>
        </w:rPr>
      </w:pPr>
    </w:p>
    <w:p>
      <w:pPr>
        <w:jc w:val="both"/>
        <w:ind w:left="4" w:firstLine="1143"/>
        <w:spacing w:after="0" w:line="290" w:lineRule="auto"/>
        <w:tabs>
          <w:tab w:leader="none" w:pos="1322" w:val="left"/>
        </w:tabs>
        <w:numPr>
          <w:ilvl w:val="1"/>
          <w:numId w:val="228"/>
        </w:numPr>
        <w:rPr>
          <w:rFonts w:ascii="Arial" w:cs="Arial" w:eastAsia="Arial" w:hAnsi="Arial"/>
          <w:sz w:val="14"/>
          <w:szCs w:val="14"/>
          <w:color w:val="auto"/>
        </w:rPr>
      </w:pPr>
      <w:r>
        <w:rPr>
          <w:rFonts w:ascii="Arial" w:cs="Arial" w:eastAsia="Arial" w:hAnsi="Arial"/>
          <w:sz w:val="14"/>
          <w:szCs w:val="14"/>
          <w:color w:val="auto"/>
        </w:rPr>
        <w:t>As of their respective dates, all reports required to be filed by the Company with the Commission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November 2021 (the “</w:t>
      </w:r>
      <w:r>
        <w:rPr>
          <w:rFonts w:ascii="Arial" w:cs="Arial" w:eastAsia="Arial" w:hAnsi="Arial"/>
          <w:sz w:val="14"/>
          <w:szCs w:val="14"/>
          <w:u w:val="single" w:color="auto"/>
          <w:color w:val="auto"/>
        </w:rPr>
        <w:t>Investor Presentation</w:t>
      </w:r>
      <w:r>
        <w:rPr>
          <w:rFonts w:ascii="Arial" w:cs="Arial" w:eastAsia="Arial" w:hAnsi="Arial"/>
          <w:sz w:val="14"/>
          <w:szCs w:val="14"/>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proxy statement of the Company filed in connection with the approval of the Transaction by the stockholders of the Company. Notwithstanding the foregoing, with respect to the proxy statement/prospectus to be filed by the Issuer with respect to the Transactions or any other information relating to the Transactions or to Target or any of its affiliates included in any SEC Report or filed as an exhibit thereto, the representation and warranty in this sentence is made to the Company’s knowledge.</w:t>
      </w:r>
    </w:p>
    <w:p>
      <w:pPr>
        <w:spacing w:after="0" w:line="3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8" w:name="page209"/>
    <w:bookmarkEnd w:id="208"/>
    <w:p>
      <w:pPr>
        <w:jc w:val="both"/>
        <w:ind w:firstLine="1147"/>
        <w:spacing w:after="0" w:line="286" w:lineRule="auto"/>
        <w:rPr>
          <w:sz w:val="20"/>
          <w:szCs w:val="20"/>
          <w:color w:val="auto"/>
        </w:rPr>
      </w:pPr>
      <w:r>
        <w:rPr>
          <w:rFonts w:ascii="Arial" w:cs="Arial" w:eastAsia="Arial" w:hAnsi="Arial"/>
          <w:sz w:val="14"/>
          <w:szCs w:val="14"/>
          <w:color w:val="auto"/>
        </w:rPr>
        <w:t>h.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17,250,000 shares of Common Stock (excluding shares held by the Sponsors (the “</w:t>
      </w:r>
      <w:r>
        <w:rPr>
          <w:rFonts w:ascii="Arial" w:cs="Arial" w:eastAsia="Arial" w:hAnsi="Arial"/>
          <w:sz w:val="14"/>
          <w:szCs w:val="14"/>
          <w:u w:val="single" w:color="auto"/>
          <w:color w:val="auto"/>
        </w:rPr>
        <w:t>Founder Shares</w:t>
      </w:r>
      <w:r>
        <w:rPr>
          <w:rFonts w:ascii="Arial" w:cs="Arial" w:eastAsia="Arial" w:hAnsi="Arial"/>
          <w:sz w:val="14"/>
          <w:szCs w:val="14"/>
          <w:color w:val="auto"/>
        </w:rPr>
        <w:t>”)), 4,312,500 Founder Shares and no Preferred Shares were issued and outstanding; (ii) 17,250,000 public warrants, each exercisable to purchase one-half of one share of Common Stock at $11.50 per full share and 6,675,000 private placement warrants, (including 600,000 private placement warrants that will be cancelled at the Closing Date) each exercisable to purchase one share of Common Stock at $11.50 per full share (together “</w:t>
      </w:r>
      <w:r>
        <w:rPr>
          <w:rFonts w:ascii="Arial" w:cs="Arial" w:eastAsia="Arial" w:hAnsi="Arial"/>
          <w:sz w:val="14"/>
          <w:szCs w:val="14"/>
          <w:u w:val="single" w:color="auto"/>
          <w:color w:val="auto"/>
        </w:rPr>
        <w:t>Warrants</w:t>
      </w:r>
      <w:r>
        <w:rPr>
          <w:rFonts w:ascii="Arial" w:cs="Arial" w:eastAsia="Arial" w:hAnsi="Arial"/>
          <w:sz w:val="14"/>
          <w:szCs w:val="14"/>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owed to the Sponsors or their affiliates for the purpose of funding working capital or extending the term to complete the Business Combination from 15 months to 18 months, under the Horizon Credit Facility to the extent outstanding borrowings thereunder are not repaid with the proceeds of the Notes, certain financing arrangements in connection with the purchase of inventory, sale of receivables and purchase and leasing of equipment, a loan from the Small Business Administration pursuant to the Paycheck Protection Program and warrant liability accounting treatment of the Company’s private placement warrants and/or public warrants) and all outstanding convertible promissory notes heretofore issued by Presto will have been converted into Common Stock pursuant to the terms of the Transaction Agreement as of the Closing. Immediately following the Closing, 3,169,438 Founder Shares (which may increase to 4,312,500 Shares subject to the number of shares of Common Stock redeemed as further described in the Transaction Agreement) and 6,675,000 private placement warrants (including 600,000 private placement warrants that will be cancelled at the Closing Date) will be fully vested, and up to 559,313 Founder Shares (which may decrease to 0 Shares subject to the number of shares of Common Stock redeemed as further described in the Transaction Agreement) are subject to vesting and shall be vested in the event the post-trading price of the Company’s Common Stock closes at or above $12.50 for 40 of 60 trading days.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or (iv) any agreement(s) that the Company may enter into with third parties for the purpose of recapturing or reducing the shares of Common Stock redeemed by public shareholders, (such agreement(s), the “</w:t>
      </w:r>
      <w:r>
        <w:rPr>
          <w:rFonts w:ascii="Arial" w:cs="Arial" w:eastAsia="Arial" w:hAnsi="Arial"/>
          <w:sz w:val="14"/>
          <w:szCs w:val="14"/>
          <w:u w:val="single" w:color="auto"/>
          <w:color w:val="auto"/>
        </w:rPr>
        <w:t>Forward Purchase Agreement</w:t>
      </w:r>
      <w:r>
        <w:rPr>
          <w:rFonts w:ascii="Arial" w:cs="Arial" w:eastAsia="Arial" w:hAnsi="Arial"/>
          <w:sz w:val="14"/>
          <w:szCs w:val="14"/>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There are no securities or instruments issued by or to which the Company is a party containing anti-dilution or similar provisions that will be triggered by the issuance of (i) the Subscribed Shares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9" w:name="page210"/>
    <w:bookmarkEnd w:id="209"/>
    <w:p>
      <w:pPr>
        <w:jc w:val="both"/>
        <w:ind w:firstLine="1147"/>
        <w:spacing w:after="0" w:line="255" w:lineRule="auto"/>
        <w:rPr>
          <w:sz w:val="20"/>
          <w:szCs w:val="20"/>
          <w:color w:val="auto"/>
        </w:rPr>
      </w:pPr>
      <w:r>
        <w:rPr>
          <w:rFonts w:ascii="Arial" w:cs="Arial" w:eastAsia="Arial" w:hAnsi="Arial"/>
          <w:sz w:val="16"/>
          <w:szCs w:val="16"/>
          <w:color w:val="auto"/>
        </w:rPr>
        <w:t xml:space="preserve">i.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w:t>
      </w:r>
      <w:r>
        <w:rPr>
          <w:rFonts w:ascii="Arial" w:cs="Arial" w:eastAsia="Arial" w:hAnsi="Arial"/>
          <w:sz w:val="16"/>
          <w:szCs w:val="16"/>
          <w:i w:val="1"/>
          <w:iCs w:val="1"/>
          <w:color w:val="auto"/>
        </w:rPr>
        <w:t xml:space="preserve">against </w:t>
      </w:r>
      <w:r>
        <w:rPr>
          <w:rFonts w:ascii="Arial" w:cs="Arial" w:eastAsia="Arial" w:hAnsi="Arial"/>
          <w:sz w:val="16"/>
          <w:szCs w:val="16"/>
          <w:color w:val="auto"/>
        </w:rPr>
        <w:t>the Company or any of its directors or officers in their capacities as such.</w:t>
      </w:r>
    </w:p>
    <w:p>
      <w:pPr>
        <w:spacing w:after="0" w:line="170"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j. The issued and outstanding shares of Common Stock are registered pursuant to Section 12(b)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157"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Upon consummation of the Transaction, the issued and outstanding shares of Common Stock will be registered pursuant to Section 12(b) of the Exchange Act and will be listed for trading on the Nasdaq Stock Market.</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l. 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no registration under the Securities Act is required for the offer and sale of the Subscribed Shares by the Company to Subscriber.</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m. Neither the Company nor any person acting on its behalf has engaged or will engage in any form of general solicitation or general advertising (within the meaning of Regulation D) in connection with any offer or sale of the Subscribed Shares.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n. Except for each of William Blair &amp; Company, L.L.C. (“</w:t>
      </w:r>
      <w:r>
        <w:rPr>
          <w:rFonts w:ascii="Arial" w:cs="Arial" w:eastAsia="Arial" w:hAnsi="Arial"/>
          <w:sz w:val="16"/>
          <w:szCs w:val="16"/>
          <w:u w:val="single" w:color="auto"/>
          <w:color w:val="auto"/>
        </w:rPr>
        <w:t>William Blair</w:t>
      </w:r>
      <w:r>
        <w:rPr>
          <w:rFonts w:ascii="Arial" w:cs="Arial" w:eastAsia="Arial" w:hAnsi="Arial"/>
          <w:sz w:val="16"/>
          <w:szCs w:val="16"/>
          <w:color w:val="auto"/>
        </w:rPr>
        <w:t>”), Truist Securities, Inc. (“</w:t>
      </w:r>
      <w:r>
        <w:rPr>
          <w:rFonts w:ascii="Arial" w:cs="Arial" w:eastAsia="Arial" w:hAnsi="Arial"/>
          <w:sz w:val="16"/>
          <w:szCs w:val="16"/>
          <w:u w:val="single" w:color="auto"/>
          <w:color w:val="auto"/>
        </w:rPr>
        <w:t>Truist</w:t>
      </w:r>
      <w:r>
        <w:rPr>
          <w:rFonts w:ascii="Arial" w:cs="Arial" w:eastAsia="Arial" w:hAnsi="Arial"/>
          <w:sz w:val="16"/>
          <w:szCs w:val="16"/>
          <w:color w:val="auto"/>
        </w:rPr>
        <w:t>”)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and together with William Blair and Truist,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and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no broker or finder is entitled to any brokerage or finder’s fee or commission solely in connection with the sale of the Subscribed Shares to Subscriber.</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o. Except for such matters as have not had and would not be reasonably likely to have a Company Material Adverse Effect or have a material adverse effect on the Company’s ability to consummate the transactions contemplated hereby, including the issuance and sale of the Subscribed Shares,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0" w:name="page211"/>
    <w:bookmarkEnd w:id="210"/>
    <w:p>
      <w:pPr>
        <w:jc w:val="both"/>
        <w:ind w:right="20" w:firstLine="1147"/>
        <w:spacing w:after="0" w:line="275" w:lineRule="auto"/>
        <w:rPr>
          <w:sz w:val="20"/>
          <w:szCs w:val="20"/>
          <w:color w:val="auto"/>
        </w:rPr>
      </w:pPr>
      <w:r>
        <w:rPr>
          <w:rFonts w:ascii="Arial" w:cs="Arial" w:eastAsia="Arial" w:hAnsi="Arial"/>
          <w:sz w:val="16"/>
          <w:szCs w:val="16"/>
          <w:color w:val="auto"/>
        </w:rPr>
        <w:t>p. The Company has not in the past nor will it hereafter take any action to sell, offer for sale or solicit offers to buy any securities of the Company that could result in the initial sale of the Subscribed Shares not being exempt from the registration requirements of Section 5 of the Securities Act.</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q. 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6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r. 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46" w:lineRule="exact"/>
        <w:rPr>
          <w:sz w:val="20"/>
          <w:szCs w:val="20"/>
          <w:color w:val="auto"/>
        </w:rPr>
      </w:pPr>
    </w:p>
    <w:p>
      <w:pPr>
        <w:jc w:val="both"/>
        <w:ind w:right="20" w:firstLine="1147"/>
        <w:spacing w:after="0" w:line="297" w:lineRule="auto"/>
        <w:rPr>
          <w:sz w:val="20"/>
          <w:szCs w:val="20"/>
          <w:color w:val="auto"/>
        </w:rPr>
      </w:pPr>
      <w:r>
        <w:rPr>
          <w:rFonts w:ascii="Arial" w:cs="Arial" w:eastAsia="Arial" w:hAnsi="Arial"/>
          <w:sz w:val="14"/>
          <w:szCs w:val="14"/>
          <w:color w:val="auto"/>
        </w:rPr>
        <w:t>s. 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43"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t. 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(v) the amounts and types of the Company’s securities to be subscribed for and purchased by the Other Subscribers, (w) certain fees payable by Presto, certain board observer rights and the purchase of Common Stock from the Sponsors (as defined herein) by [***] and [***] and their affiliates, (x) certain closing conditions in the Other Subscription Agreements relating to the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163" w:lineRule="exact"/>
        <w:rPr>
          <w:sz w:val="20"/>
          <w:szCs w:val="20"/>
          <w:color w:val="auto"/>
        </w:rPr>
      </w:pPr>
    </w:p>
    <w:p>
      <w:pPr>
        <w:ind w:left="720" w:hanging="151"/>
        <w:spacing w:after="0"/>
        <w:tabs>
          <w:tab w:leader="none" w:pos="720"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Subscriber Representations and Warranties</w:t>
      </w:r>
      <w:r>
        <w:rPr>
          <w:rFonts w:ascii="Arial" w:cs="Arial" w:eastAsia="Arial" w:hAnsi="Arial"/>
          <w:sz w:val="16"/>
          <w:szCs w:val="16"/>
          <w:color w:val="auto"/>
        </w:rPr>
        <w:t>. Subscriber represents and warrants to the Company that:</w:t>
      </w:r>
    </w:p>
    <w:p>
      <w:pPr>
        <w:spacing w:after="0" w:line="198" w:lineRule="exact"/>
        <w:rPr>
          <w:rFonts w:ascii="Arial" w:cs="Arial" w:eastAsia="Arial" w:hAnsi="Arial"/>
          <w:sz w:val="16"/>
          <w:szCs w:val="16"/>
          <w:color w:val="auto"/>
        </w:rPr>
      </w:pPr>
    </w:p>
    <w:p>
      <w:pPr>
        <w:ind w:right="20" w:firstLine="1147"/>
        <w:spacing w:after="0" w:line="275" w:lineRule="auto"/>
        <w:rPr>
          <w:rFonts w:ascii="Arial" w:cs="Arial" w:eastAsia="Arial" w:hAnsi="Arial"/>
          <w:sz w:val="16"/>
          <w:szCs w:val="16"/>
          <w:color w:val="auto"/>
        </w:rPr>
      </w:pPr>
      <w:r>
        <w:rPr>
          <w:rFonts w:ascii="Arial" w:cs="Arial" w:eastAsia="Arial" w:hAnsi="Arial"/>
          <w:sz w:val="16"/>
          <w:szCs w:val="16"/>
          <w:color w:val="auto"/>
        </w:rPr>
        <w:t>a. 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1" w:name="page212"/>
    <w:bookmarkEnd w:id="211"/>
    <w:p>
      <w:pPr>
        <w:jc w:val="both"/>
        <w:ind w:right="20" w:firstLine="1147"/>
        <w:spacing w:after="0" w:line="258" w:lineRule="auto"/>
        <w:rPr>
          <w:sz w:val="20"/>
          <w:szCs w:val="20"/>
          <w:color w:val="auto"/>
        </w:rPr>
      </w:pPr>
      <w:r>
        <w:rPr>
          <w:rFonts w:ascii="Arial" w:cs="Arial" w:eastAsia="Arial" w:hAnsi="Arial"/>
          <w:sz w:val="16"/>
          <w:szCs w:val="16"/>
          <w:color w:val="auto"/>
        </w:rPr>
        <w:t>b. 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5" w:lineRule="exact"/>
        <w:rPr>
          <w:sz w:val="20"/>
          <w:szCs w:val="20"/>
          <w:color w:val="auto"/>
        </w:rPr>
      </w:pPr>
    </w:p>
    <w:p>
      <w:pPr>
        <w:jc w:val="both"/>
        <w:ind w:firstLine="1147"/>
        <w:spacing w:after="0" w:line="271" w:lineRule="auto"/>
        <w:rPr>
          <w:sz w:val="20"/>
          <w:szCs w:val="20"/>
          <w:color w:val="auto"/>
        </w:rPr>
      </w:pPr>
      <w:r>
        <w:rPr>
          <w:rFonts w:ascii="Arial" w:cs="Arial" w:eastAsia="Arial" w:hAnsi="Arial"/>
          <w:sz w:val="15"/>
          <w:szCs w:val="15"/>
          <w:color w:val="auto"/>
        </w:rPr>
        <w:t>c. The execution and delivery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Arial" w:cs="Arial" w:eastAsia="Arial" w:hAnsi="Arial"/>
          <w:sz w:val="15"/>
          <w:szCs w:val="15"/>
          <w:u w:val="single" w:color="auto"/>
          <w:color w:val="auto"/>
        </w:rPr>
        <w:t>Subscriber Material Adverse Effect</w:t>
      </w:r>
      <w:r>
        <w:rPr>
          <w:rFonts w:ascii="Arial" w:cs="Arial" w:eastAsia="Arial" w:hAnsi="Arial"/>
          <w:sz w:val="15"/>
          <w:szCs w:val="15"/>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spacing w:after="0" w:line="159" w:lineRule="exact"/>
        <w:rPr>
          <w:sz w:val="20"/>
          <w:szCs w:val="20"/>
          <w:color w:val="auto"/>
        </w:rPr>
      </w:pPr>
    </w:p>
    <w:p>
      <w:pPr>
        <w:jc w:val="both"/>
        <w:ind w:firstLine="1147"/>
        <w:spacing w:after="0" w:line="271" w:lineRule="auto"/>
        <w:rPr>
          <w:sz w:val="20"/>
          <w:szCs w:val="20"/>
          <w:color w:val="auto"/>
        </w:rPr>
      </w:pPr>
      <w:r>
        <w:rPr>
          <w:rFonts w:ascii="Arial" w:cs="Arial" w:eastAsia="Arial" w:hAnsi="Arial"/>
          <w:sz w:val="15"/>
          <w:szCs w:val="15"/>
          <w:color w:val="auto"/>
        </w:rPr>
        <w:t>d. 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Shares only for its own account and not for the account of others, or if Subscriber is subscribing for the Subscribed Shares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Shares and is an “institutional account” as defined by FINRA Rule 4512(e).</w:t>
      </w:r>
    </w:p>
    <w:p>
      <w:pPr>
        <w:spacing w:after="0" w:line="159" w:lineRule="exact"/>
        <w:rPr>
          <w:sz w:val="20"/>
          <w:szCs w:val="20"/>
          <w:color w:val="auto"/>
        </w:rPr>
      </w:pPr>
    </w:p>
    <w:p>
      <w:pPr>
        <w:jc w:val="both"/>
        <w:ind w:firstLine="1147"/>
        <w:spacing w:after="0" w:line="252" w:lineRule="auto"/>
        <w:rPr>
          <w:sz w:val="20"/>
          <w:szCs w:val="20"/>
          <w:color w:val="auto"/>
        </w:rPr>
      </w:pPr>
      <w:r>
        <w:rPr>
          <w:rFonts w:ascii="Arial" w:cs="Arial" w:eastAsia="Arial" w:hAnsi="Arial"/>
          <w:sz w:val="16"/>
          <w:szCs w:val="16"/>
          <w:color w:val="auto"/>
        </w:rPr>
        <w:t>e. Subscriber understands that the Subscribed Shares are being offered in a transaction not involving any public offering within the meaning of the Securities Act and that the Subscribed Shares have not been registered under the Securities Act.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eligible for offer, resale, transfer, pledge or disposition pursuant to Rule 144 promulgated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until at least one year from the Closing Date. Subscriber understands that it has been advised to consult legal counsel prior to making any offer, resale, pledge or transfer of any of the Subscribed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2" w:name="page213"/>
    <w:bookmarkEnd w:id="212"/>
    <w:p>
      <w:pPr>
        <w:jc w:val="both"/>
        <w:ind w:left="4" w:right="20" w:firstLine="1147"/>
        <w:spacing w:after="0" w:line="275" w:lineRule="auto"/>
        <w:rPr>
          <w:sz w:val="20"/>
          <w:szCs w:val="20"/>
          <w:color w:val="auto"/>
        </w:rPr>
      </w:pPr>
      <w:r>
        <w:rPr>
          <w:rFonts w:ascii="Arial" w:cs="Arial" w:eastAsia="Arial" w:hAnsi="Arial"/>
          <w:sz w:val="16"/>
          <w:szCs w:val="16"/>
          <w:color w:val="auto"/>
        </w:rPr>
        <w:t>f. Each book entry for the Subscribed Shares shall contain a notation, and each certificate (if any) evidencing the Subscribed Shares shall be stamped or otherwise imprinted with a legend, in substantially the following form:</w:t>
      </w:r>
    </w:p>
    <w:p>
      <w:pPr>
        <w:spacing w:after="0" w:line="148"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THIS SECURITY HAS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55" w:lineRule="exact"/>
        <w:rPr>
          <w:sz w:val="20"/>
          <w:szCs w:val="20"/>
          <w:color w:val="auto"/>
        </w:rPr>
      </w:pPr>
    </w:p>
    <w:p>
      <w:pPr>
        <w:jc w:val="both"/>
        <w:ind w:left="4" w:hanging="4"/>
        <w:spacing w:after="0" w:line="273" w:lineRule="auto"/>
        <w:tabs>
          <w:tab w:leader="none" w:pos="23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REPRESENTS THAT EITHER (A) IT AND ANY ACCOUNT FOR WHICH IT IS ACTING IS A “</w:t>
      </w:r>
      <w:r>
        <w:rPr>
          <w:rFonts w:ascii="Arial" w:cs="Arial" w:eastAsia="Arial" w:hAnsi="Arial"/>
          <w:sz w:val="15"/>
          <w:szCs w:val="15"/>
          <w:b w:val="1"/>
          <w:bCs w:val="1"/>
          <w:color w:val="auto"/>
        </w:rPr>
        <w:t>QUALIFIED INSTITUTIONAL BUYER</w:t>
      </w:r>
      <w:r>
        <w:rPr>
          <w:rFonts w:ascii="Arial" w:cs="Arial" w:eastAsia="Arial" w:hAnsi="Arial"/>
          <w:sz w:val="15"/>
          <w:szCs w:val="15"/>
          <w:color w:val="auto"/>
        </w:rPr>
        <w:t>”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Arial" w:cs="Arial" w:eastAsia="Arial" w:hAnsi="Arial"/>
          <w:sz w:val="15"/>
          <w:szCs w:val="15"/>
          <w:color w:val="auto"/>
        </w:rPr>
      </w:pPr>
    </w:p>
    <w:p>
      <w:pPr>
        <w:jc w:val="both"/>
        <w:ind w:left="4" w:right="20"/>
        <w:spacing w:after="0" w:line="249" w:lineRule="auto"/>
        <w:rPr>
          <w:rFonts w:ascii="Arial" w:cs="Arial" w:eastAsia="Arial" w:hAnsi="Arial"/>
          <w:sz w:val="15"/>
          <w:szCs w:val="15"/>
          <w:color w:val="auto"/>
        </w:rPr>
      </w:pPr>
      <w:r>
        <w:rPr>
          <w:rFonts w:ascii="Arial" w:cs="Arial" w:eastAsia="Arial" w:hAnsi="Arial"/>
          <w:sz w:val="16"/>
          <w:szCs w:val="16"/>
          <w:color w:val="auto"/>
        </w:rPr>
        <w:t>AND (2) AGREES FOR THE BENEFIT OF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w:t>
      </w:r>
    </w:p>
    <w:p>
      <w:pPr>
        <w:ind w:left="4"/>
        <w:spacing w:after="0"/>
        <w:rPr>
          <w:rFonts w:ascii="Arial" w:cs="Arial" w:eastAsia="Arial" w:hAnsi="Arial"/>
          <w:sz w:val="15"/>
          <w:szCs w:val="15"/>
          <w:color w:val="auto"/>
        </w:rPr>
      </w:pPr>
      <w:r>
        <w:rPr>
          <w:rFonts w:ascii="Arial" w:cs="Arial" w:eastAsia="Arial" w:hAnsi="Arial"/>
          <w:sz w:val="16"/>
          <w:szCs w:val="16"/>
          <w:color w:val="auto"/>
        </w:rPr>
        <w:t>THERETO AND (Y) SUCH LATER DATE, IF ANY, AS MAY BE REQUIRED BY APPLICABLE LAW, EXCEPT:</w:t>
      </w:r>
    </w:p>
    <w:p>
      <w:pPr>
        <w:spacing w:after="0" w:line="186" w:lineRule="exact"/>
        <w:rPr>
          <w:sz w:val="20"/>
          <w:szCs w:val="20"/>
          <w:color w:val="auto"/>
        </w:rPr>
      </w:pPr>
    </w:p>
    <w:p>
      <w:pPr>
        <w:ind w:left="264" w:hanging="264"/>
        <w:spacing w:after="0"/>
        <w:tabs>
          <w:tab w:leader="none" w:pos="26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4" w:right="20" w:hanging="4"/>
        <w:spacing w:after="0" w:line="275" w:lineRule="auto"/>
        <w:tabs>
          <w:tab w:leader="none" w:pos="271"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4" w:hanging="4"/>
        <w:spacing w:after="0" w:line="275" w:lineRule="auto"/>
        <w:tabs>
          <w:tab w:leader="none" w:pos="2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A PERSON THAT YOU REASONABLY BELIEVE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30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0"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57" w:lineRule="exact"/>
        <w:rPr>
          <w:sz w:val="20"/>
          <w:szCs w:val="20"/>
          <w:color w:val="auto"/>
        </w:rPr>
      </w:pPr>
    </w:p>
    <w:p>
      <w:pPr>
        <w:jc w:val="both"/>
        <w:ind w:left="4" w:firstLine="1147"/>
        <w:spacing w:after="0" w:line="255" w:lineRule="auto"/>
        <w:rPr>
          <w:sz w:val="20"/>
          <w:szCs w:val="20"/>
          <w:color w:val="auto"/>
        </w:rPr>
      </w:pPr>
      <w:r>
        <w:rPr>
          <w:rFonts w:ascii="Arial" w:cs="Arial" w:eastAsia="Arial" w:hAnsi="Arial"/>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Shares.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3" w:name="page214"/>
    <w:bookmarkEnd w:id="213"/>
    <w:p>
      <w:pPr>
        <w:jc w:val="both"/>
        <w:ind w:firstLine="1147"/>
        <w:spacing w:after="0" w:line="268" w:lineRule="auto"/>
        <w:rPr>
          <w:sz w:val="20"/>
          <w:szCs w:val="20"/>
          <w:color w:val="auto"/>
        </w:rPr>
      </w:pPr>
      <w:r>
        <w:rPr>
          <w:rFonts w:ascii="Arial" w:cs="Arial" w:eastAsia="Arial" w:hAnsi="Arial"/>
          <w:sz w:val="15"/>
          <w:szCs w:val="15"/>
          <w:color w:val="auto"/>
        </w:rPr>
        <w:t>i. In making its decision to purchase the Subscribed Shares,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Shares, including with respect to the Company and the Transaction (including Presto and their respective subsidiaries (collectively, the “</w:t>
      </w:r>
      <w:r>
        <w:rPr>
          <w:rFonts w:ascii="Arial" w:cs="Arial" w:eastAsia="Arial" w:hAnsi="Arial"/>
          <w:sz w:val="15"/>
          <w:szCs w:val="15"/>
          <w:u w:val="single" w:color="auto"/>
          <w:color w:val="auto"/>
        </w:rPr>
        <w:t>Acquired Companies</w:t>
      </w:r>
      <w:r>
        <w:rPr>
          <w:rFonts w:ascii="Arial" w:cs="Arial" w:eastAsia="Arial" w:hAnsi="Arial"/>
          <w:sz w:val="15"/>
          <w:szCs w:val="15"/>
          <w:color w:val="auto"/>
        </w:rPr>
        <w:t>”)).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Subscriber acknowledges and agrees that none of the Placement Agents, nor any respective affiliates of the Placement Agents have provided Subscriber with any information or advice with respect to the Subscribed Shares nor is such information or advice necessary or desired. None of the Placement Agents nor any of their respective affiliates have made or make any representation as to the Company or the Acquired Companies or the quality or value of the Subscribed Shares and the Placement Agents and any of their respective affiliates may have acquired non-public information with respect to the Company or the Acquired Companies which Subscriber agrees need not be provided to it. In connection with the issuance of the Subscribed Shares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Shares. Subscriber acknowledges that the Placement Agents and their respective directors, officers, employees, representatives and controlling persons have made no independent investigation with respect to the Company or the Subscribed Shares or the accuracy, completeness or adequacy of any information supplied to Subscriber by the Company.</w:t>
      </w:r>
    </w:p>
    <w:p>
      <w:pPr>
        <w:spacing w:after="0" w:line="169" w:lineRule="exact"/>
        <w:rPr>
          <w:sz w:val="20"/>
          <w:szCs w:val="20"/>
          <w:color w:val="auto"/>
        </w:rPr>
      </w:pPr>
    </w:p>
    <w:p>
      <w:pPr>
        <w:jc w:val="both"/>
        <w:ind w:right="20" w:firstLine="1147"/>
        <w:spacing w:after="0" w:line="276" w:lineRule="auto"/>
        <w:rPr>
          <w:sz w:val="20"/>
          <w:szCs w:val="20"/>
          <w:color w:val="auto"/>
        </w:rPr>
      </w:pPr>
      <w:r>
        <w:rPr>
          <w:rFonts w:ascii="Arial" w:cs="Arial" w:eastAsia="Arial" w:hAnsi="Arial"/>
          <w:sz w:val="15"/>
          <w:szCs w:val="15"/>
          <w:color w:val="auto"/>
        </w:rPr>
        <w:t>j. 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55" w:lineRule="exact"/>
        <w:rPr>
          <w:sz w:val="20"/>
          <w:szCs w:val="20"/>
          <w:color w:val="auto"/>
        </w:rPr>
      </w:pPr>
    </w:p>
    <w:p>
      <w:pPr>
        <w:jc w:val="both"/>
        <w:ind w:right="20" w:firstLine="1147"/>
        <w:spacing w:after="0" w:line="276" w:lineRule="auto"/>
        <w:rPr>
          <w:sz w:val="20"/>
          <w:szCs w:val="20"/>
          <w:color w:val="auto"/>
        </w:rPr>
      </w:pPr>
      <w:r>
        <w:rPr>
          <w:rFonts w:ascii="Arial" w:cs="Arial" w:eastAsia="Arial" w:hAnsi="Arial"/>
          <w:sz w:val="15"/>
          <w:szCs w:val="15"/>
          <w:color w:val="auto"/>
        </w:rPr>
        <w:t>k. Subscriber became aware of this offering of the Subscribed Shares solely by means of direct contact between Subscriber and the Company or by means of contact from the Placement Agent and the Subscribed Shares were offered to Subscriber solely by direct contact between Subscriber and the Company. Subscriber did not become aware of this offering of the Subscribed Shares, nor were the Subscribed Shares offered to Subscriber, by any other means. Subscriber acknowledges that the Company represents and warrants that the Subscribed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l. Subscriber acknowledges that it is aware that there are substantial risks incident to the purchase and ownership of the Subscribed Shares.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w:t>
      </w:r>
    </w:p>
    <w:p>
      <w:pPr>
        <w:spacing w:after="0" w:line="165"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m.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4" w:name="page215"/>
    <w:bookmarkEnd w:id="214"/>
    <w:p>
      <w:pPr>
        <w:jc w:val="both"/>
        <w:ind w:right="20" w:firstLine="1147"/>
        <w:spacing w:after="0" w:line="275" w:lineRule="auto"/>
        <w:rPr>
          <w:sz w:val="20"/>
          <w:szCs w:val="20"/>
          <w:color w:val="auto"/>
        </w:rPr>
      </w:pPr>
      <w:r>
        <w:rPr>
          <w:rFonts w:ascii="Arial" w:cs="Arial" w:eastAsia="Arial" w:hAnsi="Arial"/>
          <w:sz w:val="16"/>
          <w:szCs w:val="16"/>
          <w:color w:val="auto"/>
        </w:rPr>
        <w:t>n. Subscriber understands and agrees that no federal or state agency has passed upon or endorsed the merits of the offering of the Subscribed Shares or made any findings or determination as to the fairness of this investment.</w:t>
      </w:r>
    </w:p>
    <w:p>
      <w:pPr>
        <w:spacing w:after="0" w:line="15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o. Subscriber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5"/>
          <w:szCs w:val="15"/>
          <w:u w:val="single" w:color="auto"/>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Shares were legally derived.</w:t>
      </w:r>
    </w:p>
    <w:p>
      <w:pPr>
        <w:spacing w:after="0" w:line="163"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p.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Shares covered by this Agreement.</w:t>
      </w:r>
    </w:p>
    <w:p>
      <w:pPr>
        <w:spacing w:after="0" w:line="170" w:lineRule="exact"/>
        <w:rPr>
          <w:sz w:val="20"/>
          <w:szCs w:val="20"/>
          <w:color w:val="auto"/>
        </w:rPr>
      </w:pPr>
    </w:p>
    <w:p>
      <w:pPr>
        <w:jc w:val="both"/>
        <w:ind w:firstLine="1147"/>
        <w:spacing w:after="0" w:line="293" w:lineRule="auto"/>
        <w:rPr>
          <w:sz w:val="20"/>
          <w:szCs w:val="20"/>
          <w:color w:val="auto"/>
        </w:rPr>
      </w:pPr>
      <w:r>
        <w:rPr>
          <w:rFonts w:ascii="Arial" w:cs="Arial" w:eastAsia="Arial" w:hAnsi="Arial"/>
          <w:sz w:val="14"/>
          <w:szCs w:val="14"/>
          <w:color w:val="auto"/>
        </w:rPr>
        <w:t>q.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Arial" w:cs="Arial" w:eastAsia="Arial" w:hAnsi="Arial"/>
          <w:sz w:val="14"/>
          <w:szCs w:val="14"/>
          <w:u w:val="single" w:color="auto"/>
          <w:color w:val="auto"/>
        </w:rPr>
        <w:t>Transaction Parties</w:t>
      </w:r>
      <w:r>
        <w:rPr>
          <w:rFonts w:ascii="Arial" w:cs="Arial" w:eastAsia="Arial" w:hAnsi="Arial"/>
          <w:sz w:val="14"/>
          <w:szCs w:val="14"/>
          <w:color w:val="auto"/>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none of the acquisition, holding and/or transfer or disposition of the Subscribed Shares will result in a non-exempt prohibited Transactions under ERISA or Section 4975 of the Code or any similar law or regulation.</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r. Subscriber at the Closing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5" w:name="page216"/>
    <w:bookmarkEnd w:id="215"/>
    <w:p>
      <w:pPr>
        <w:ind w:left="4" w:right="20" w:firstLine="1147"/>
        <w:spacing w:after="0" w:line="275" w:lineRule="auto"/>
        <w:rPr>
          <w:sz w:val="20"/>
          <w:szCs w:val="20"/>
          <w:color w:val="auto"/>
        </w:rPr>
      </w:pPr>
      <w:r>
        <w:rPr>
          <w:rFonts w:ascii="Arial" w:cs="Arial" w:eastAsia="Arial" w:hAnsi="Arial"/>
          <w:sz w:val="16"/>
          <w:szCs w:val="16"/>
          <w:color w:val="auto"/>
        </w:rPr>
        <w:t xml:space="preserve">s. Subscriber agrees that, notwithstanding </w:t>
      </w:r>
      <w:r>
        <w:rPr>
          <w:rFonts w:ascii="Arial" w:cs="Arial" w:eastAsia="Arial" w:hAnsi="Arial"/>
          <w:sz w:val="16"/>
          <w:szCs w:val="16"/>
          <w:u w:val="single" w:color="auto"/>
          <w:color w:val="auto"/>
        </w:rPr>
        <w:t>Section 8(i)</w:t>
      </w:r>
      <w:r>
        <w:rPr>
          <w:rFonts w:ascii="Arial" w:cs="Arial" w:eastAsia="Arial" w:hAnsi="Arial"/>
          <w:sz w:val="16"/>
          <w:szCs w:val="16"/>
          <w:color w:val="auto"/>
        </w:rPr>
        <w:t>, the Placement Agent may rely upon the representations and warranties made by Subscriber to the Company in this Subscription Agreement.</w:t>
      </w:r>
    </w:p>
    <w:p>
      <w:pPr>
        <w:spacing w:after="0" w:line="152" w:lineRule="exact"/>
        <w:rPr>
          <w:sz w:val="20"/>
          <w:szCs w:val="20"/>
          <w:color w:val="auto"/>
        </w:rPr>
      </w:pPr>
    </w:p>
    <w:p>
      <w:pPr>
        <w:ind w:left="724" w:hanging="151"/>
        <w:spacing w:after="0"/>
        <w:tabs>
          <w:tab w:leader="none" w:pos="724" w:val="left"/>
        </w:tabs>
        <w:numPr>
          <w:ilvl w:val="1"/>
          <w:numId w:val="232"/>
        </w:numPr>
        <w:rPr>
          <w:rFonts w:ascii="Arial" w:cs="Arial" w:eastAsia="Arial" w:hAnsi="Arial"/>
          <w:sz w:val="16"/>
          <w:szCs w:val="16"/>
          <w:color w:val="auto"/>
        </w:rPr>
      </w:pPr>
      <w:r>
        <w:rPr>
          <w:rFonts w:ascii="Arial" w:cs="Arial" w:eastAsia="Arial" w:hAnsi="Arial"/>
          <w:sz w:val="16"/>
          <w:szCs w:val="16"/>
          <w:u w:val="single" w:color="auto"/>
          <w:color w:val="auto"/>
        </w:rPr>
        <w:t>Registration of Subscribed Shares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7"/>
        <w:spacing w:after="0" w:line="286" w:lineRule="auto"/>
        <w:rPr>
          <w:rFonts w:ascii="Arial" w:cs="Arial" w:eastAsia="Arial" w:hAnsi="Arial"/>
          <w:sz w:val="16"/>
          <w:szCs w:val="16"/>
          <w:color w:val="auto"/>
        </w:rPr>
      </w:pPr>
      <w:r>
        <w:rPr>
          <w:rFonts w:ascii="Arial" w:cs="Arial" w:eastAsia="Arial" w:hAnsi="Arial"/>
          <w:sz w:val="14"/>
          <w:szCs w:val="14"/>
          <w:color w:val="auto"/>
        </w:rPr>
        <w:t>a. The Company agrees that, within thirty (30) days after the Closing Date, the Company will file with the SEC (at the Company’s sole cost and expense) a registration statement registering the resale of the Subscribed Shares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and the Company shall use its commercially reasonable efforts to have the Registration Statement declared effective upon the Closing, but no later than sixty (60) calendar days following the Closing Date (the “</w:t>
      </w:r>
      <w:r>
        <w:rPr>
          <w:rFonts w:ascii="Arial" w:cs="Arial" w:eastAsia="Arial" w:hAnsi="Arial"/>
          <w:sz w:val="14"/>
          <w:szCs w:val="14"/>
          <w:u w:val="single" w:color="auto"/>
          <w:color w:val="auto"/>
        </w:rPr>
        <w:t>Effectiveness Deadline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Effectiveness Deadline shall be extended to ninety (90) calendar days after the Closing Date if the Registration Statement is reviewed by, and receives comments from, the SEC. The Company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SEC. Notwithstanding the foregoing, if the SEC prevents the Company from including any or all of the shares proposed to be registered under the Registration Statement due to limitations on the use of Rule 415 of the Securities Act for the resale of the Subscribed Shares by the applicable stockholders or otherwise, such Registration Statement shall register for resale such number of Subscribed Shares which is equal to the maximum number of Subscribed Shares as is permitted by the SEC. In such event, the number of Subscribed Shares to be registered for each selling stockholder named in the Registration Statement shall be reduced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all such selling stockholders. The Company agrees that the Company will cause such Registration Statement to remain effective until the earlier of (i) two years from the issuance of the Subscribed Shares, (ii) the date on which all of the Subscribed Shares shall have been sold, or (iii) on the first date on which the undersigned can sell all of its Subscribed Shares (or shares received in exchange therefor) under Rule 144 of the Securities Act without limitation as to the manner of sale or the amount of such securities that may be sold. For as long as the Registration Statement shall remain effective pursuant to the immediately preceding sentence, the Company will use its reasonable best efforts to file all reports, and will provide all customary and reasonable cooperation, necessary to enable the undersigned to resell the Subscribed Shares pursuant to the Registration Statement or Rule 144 of the Securities Act, as applicable, qualify the Subscribed Shares for listing on the applicable stock exchange, update or amend the Registration Statement as necessary to include the Subscribed Shares and provide customary notice to holders of Subscribed Shares. The undersigned agrees to disclose its beneficial ownership, as determined in accordance with Rule 13d-3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of Subscribed Shares to the Company (or its successor) upon request to assist the Company in making the determination described above. The Company’s obligations to include the Subscribed Shares in the Registration Statement are contingent upon the undersigned furnishing in writing to the Company such information regarding the undersigned, the securities of the Company held by the undersigned and the intended method of disposition of the Subscribed Shares as shall be reasonably requested by the Company to effect the registration of the Subscribed Shares, and shall execute such documents in connection with such registration as the Company may reasonably request that are customary of a selling stockholder in similar situations. Subscriber shall not be entitled to use the Registration Statement for an underwritten offering of Subscribed Shares. The Company may delay filing or suspend the use of any such registration statement if it determines that in order for the registration statement to not contain a material misstatement or omission, an amendment thereto would be needed, or if such filing or use could materially affect a bona fide business or financing transaction of the Company or would require premature disclosure of information that could materially adversely affect the Company (each such circumstance, a “</w:t>
      </w:r>
      <w:r>
        <w:rPr>
          <w:rFonts w:ascii="Arial" w:cs="Arial" w:eastAsia="Arial" w:hAnsi="Arial"/>
          <w:sz w:val="14"/>
          <w:szCs w:val="14"/>
          <w:u w:val="single" w:color="auto"/>
          <w:color w:val="auto"/>
        </w:rPr>
        <w:t>Suspension Event</w:t>
      </w:r>
      <w:r>
        <w:rPr>
          <w:rFonts w:ascii="Arial" w:cs="Arial" w:eastAsia="Arial" w:hAnsi="Arial"/>
          <w:sz w:val="14"/>
          <w:szCs w:val="14"/>
          <w:color w:val="auto"/>
        </w:rPr>
        <w:t>”); provided, that, (i) the Company shall not so delay filing or so suspend the use of the Registration Statement for a period of more than sixty (60) consecutive days or more than two (2) times in any three hundred sixty (360) day period and (ii) the Company shall use commercially reasonable efforts to make such registration statement available for the sale by the undersigned of such securities as soon as practicable thereafter.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(i) it will immediately discontinue offers and sales of the Subscribed Shares under the Registration Statement (excluding, for the avoidance of doubt, sales conducted pursuant to Rule 144) until the undersigned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undersigned will deliver to the Company or, in the undersigned’s sole discretion, destroy all copies of the prospectus covering the Subscribed Shares in the undersigned’s possession; provided, however, that this obligation to deliver or destroy all copies of the prospectus covering the Subscribed Shares shall not apply (i) to the extent the undersigned is required to retain a copy of such prospectus (a) in order to comply with applicable legal, regulatory, self-regulatory or professional requirements or (b) in accordance with a bona fide pre-existing document retention policy or</w:t>
      </w:r>
    </w:p>
    <w:p>
      <w:pPr>
        <w:spacing w:after="0" w:line="179" w:lineRule="exact"/>
        <w:rPr>
          <w:rFonts w:ascii="Arial" w:cs="Arial" w:eastAsia="Arial" w:hAnsi="Arial"/>
          <w:sz w:val="16"/>
          <w:szCs w:val="16"/>
          <w:color w:val="auto"/>
        </w:rPr>
      </w:pPr>
    </w:p>
    <w:p>
      <w:pPr>
        <w:ind w:left="244" w:hanging="244"/>
        <w:spacing w:after="0"/>
        <w:tabs>
          <w:tab w:leader="none" w:pos="24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copies stored electronically on archival servers as a result of automatic data back-up.</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6" w:name="page217"/>
    <w:bookmarkEnd w:id="216"/>
    <w:p>
      <w:pPr>
        <w:jc w:val="both"/>
        <w:ind w:firstLine="1147"/>
        <w:spacing w:after="0" w:line="288" w:lineRule="auto"/>
        <w:rPr>
          <w:sz w:val="20"/>
          <w:szCs w:val="20"/>
          <w:color w:val="auto"/>
        </w:rPr>
      </w:pPr>
      <w:r>
        <w:rPr>
          <w:rFonts w:ascii="Arial" w:cs="Arial" w:eastAsia="Arial" w:hAnsi="Arial"/>
          <w:sz w:val="14"/>
          <w:szCs w:val="14"/>
          <w:color w:val="auto"/>
        </w:rPr>
        <w:t>b. The Company shall, notwithstanding any termination of this Subscription Agreement, indemnify, defend and hold harmless the undersigned (to the extent a seller under the Registration Statement), the officers, directors, agents, partners, members, managers, stockholders, affiliates, employees and investment advisers of the undersigned, each person who controls the undersigned (within the meaning of Section 15 of the Securities Act or Section 20 of the Exchange Act and the officers, directors, partners, members, managers, stockholders, agents, affiliates, employees and investment advisers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that arise out of or are based upon (i) any untrue or alleged untrue statement of a material fact contained (or incorporated by reference)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the Exchange Act or any state securities law or any rule or regulation thereunder, in connection with the performance of its obligations under this Section 5, except to the extent, but only to the extent, that such untrue statements, alleged untrue statements, omissions or alleged omissions are based upon information regarding the undersigned furnished in writing to the Company by the undersigned expressly for use therein. The Company shall notify the undersigned promptly of the institution, threat or assertion of any proceeding arising from or in connection with the transactions contemplated by this Section 5 of which the Company is aware. Such indemnity shall remain in full force and effect regardless of any investigation made by or on behalf of an indemnified party and shall survive the transfer of the Subscribed Shares by the undersigned.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 nor shall the Company be liable for any Losses to the extent they arise out of or are based upon a violation which occurs (A) in connection with any failure of such person to deliver or cause to be delivered a Prospectus made available by the Company in a timely manner or (B) in connection with any offers or sales effected by or on behalf of the undersigned in violation of this Agreement.</w:t>
      </w:r>
    </w:p>
    <w:p>
      <w:pPr>
        <w:spacing w:after="0" w:line="155"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c. The undersigned shall, severally and not jointly with any other subscriber in the Offering,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undersigned furnished in writing to the Company by the undersigned expressly for use therein. In no event shall the liability of the undersigned be greater in amount than the dollar amount of the net proceeds received by the undersigned upon the sale of the Subscribed Shares giving rise to such indemnification obligation. Notwithstanding the forgoing, the undersigned’s indemnification obligations shall not apply to amounts paid in settlement of any Losses or action if such settlement is effected without the prior written consent of the undersigned (which consent shall not be unreasonably withheld or delayed).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7" w:name="page218"/>
    <w:bookmarkEnd w:id="217"/>
    <w:p>
      <w:pPr>
        <w:jc w:val="both"/>
        <w:ind w:left="4" w:right="20" w:firstLine="569"/>
        <w:spacing w:after="0" w:line="271" w:lineRule="auto"/>
        <w:tabs>
          <w:tab w:leader="none" w:pos="737" w:val="left"/>
        </w:tabs>
        <w:numPr>
          <w:ilvl w:val="1"/>
          <w:numId w:val="234"/>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Section 2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159" w:lineRule="exact"/>
        <w:rPr>
          <w:rFonts w:ascii="Arial" w:cs="Arial" w:eastAsia="Arial" w:hAnsi="Arial"/>
          <w:sz w:val="15"/>
          <w:szCs w:val="15"/>
          <w:color w:val="auto"/>
        </w:rPr>
      </w:pPr>
    </w:p>
    <w:p>
      <w:pPr>
        <w:jc w:val="both"/>
        <w:ind w:left="4" w:firstLine="569"/>
        <w:spacing w:after="0" w:line="286" w:lineRule="auto"/>
        <w:tabs>
          <w:tab w:leader="none" w:pos="737" w:val="left"/>
        </w:tabs>
        <w:numPr>
          <w:ilvl w:val="1"/>
          <w:numId w:val="234"/>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hereby acknowledges that the Company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4"/>
          <w:szCs w:val="14"/>
          <w:u w:val="single" w:color="auto"/>
          <w:color w:val="auto"/>
        </w:rPr>
        <w:t>Released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Claims</w:t>
      </w:r>
      <w:r>
        <w:rPr>
          <w:rFonts w:ascii="Arial" w:cs="Arial" w:eastAsia="Arial" w:hAnsi="Arial"/>
          <w:sz w:val="14"/>
          <w:szCs w:val="14"/>
          <w:color w:val="auto"/>
        </w:rPr>
        <w:t>”);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Section 7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5" w:lineRule="exact"/>
        <w:rPr>
          <w:rFonts w:ascii="Arial" w:cs="Arial" w:eastAsia="Arial" w:hAnsi="Arial"/>
          <w:sz w:val="14"/>
          <w:szCs w:val="14"/>
          <w:color w:val="auto"/>
        </w:rPr>
      </w:pPr>
    </w:p>
    <w:p>
      <w:pPr>
        <w:jc w:val="both"/>
        <w:ind w:left="4" w:hanging="4"/>
        <w:spacing w:after="0" w:line="254" w:lineRule="auto"/>
        <w:tabs>
          <w:tab w:leader="none" w:pos="23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Subscriber’s recourse against assets held outside of the Trust Account or held by the post-Closing combined entity. Subscriber acknowledges and agrees that it shall not have any redemption rights with respect to the Subscribed Shares pursuant to the Company’s organizational documents in connection with the Transaction or any other business combination, any subsequent liquidation of the Trust Account, the Company or otherwise.</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18" w:name="page219"/>
    <w:bookmarkEnd w:id="218"/>
    <w:p>
      <w:pPr>
        <w:ind w:left="720" w:hanging="151"/>
        <w:spacing w:after="0"/>
        <w:tabs>
          <w:tab w:leader="none" w:pos="72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74" w:lineRule="auto"/>
        <w:tabs>
          <w:tab w:leader="none" w:pos="1345" w:val="left"/>
        </w:tabs>
        <w:numPr>
          <w:ilvl w:val="1"/>
          <w:numId w:val="236"/>
        </w:numPr>
        <w:rPr>
          <w:rFonts w:ascii="Arial" w:cs="Arial" w:eastAsia="Arial" w:hAnsi="Arial"/>
          <w:sz w:val="15"/>
          <w:szCs w:val="15"/>
          <w:color w:val="auto"/>
        </w:rPr>
      </w:pPr>
      <w:r>
        <w:rPr>
          <w:rFonts w:ascii="Arial" w:cs="Arial" w:eastAsia="Arial" w:hAnsi="Arial"/>
          <w:sz w:val="15"/>
          <w:szCs w:val="15"/>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5"/>
          <w:szCs w:val="15"/>
          <w:u w:val="single" w:color="auto"/>
          <w:color w:val="auto"/>
        </w:rPr>
        <w:t>Section 8(a)</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firstLine="1143"/>
        <w:spacing w:after="0" w:line="274" w:lineRule="auto"/>
        <w:tabs>
          <w:tab w:leader="none" w:pos="1329" w:val="left"/>
        </w:tabs>
        <w:numPr>
          <w:ilvl w:val="1"/>
          <w:numId w:val="236"/>
        </w:numPr>
        <w:rPr>
          <w:rFonts w:ascii="Arial" w:cs="Arial" w:eastAsia="Arial" w:hAnsi="Arial"/>
          <w:sz w:val="15"/>
          <w:szCs w:val="15"/>
          <w:color w:val="auto"/>
        </w:rPr>
      </w:pPr>
      <w:r>
        <w:rPr>
          <w:rFonts w:ascii="Arial" w:cs="Arial" w:eastAsia="Arial" w:hAnsi="Arial"/>
          <w:sz w:val="15"/>
          <w:szCs w:val="15"/>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156" w:lineRule="exact"/>
        <w:rPr>
          <w:rFonts w:ascii="Arial" w:cs="Arial" w:eastAsia="Arial" w:hAnsi="Arial"/>
          <w:sz w:val="15"/>
          <w:szCs w:val="15"/>
          <w:color w:val="auto"/>
        </w:rPr>
      </w:pPr>
    </w:p>
    <w:p>
      <w:pPr>
        <w:ind w:right="20" w:firstLine="1143"/>
        <w:spacing w:after="0" w:line="275" w:lineRule="auto"/>
        <w:tabs>
          <w:tab w:leader="none" w:pos="1314"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51" w:lineRule="exact"/>
        <w:rPr>
          <w:rFonts w:ascii="Arial" w:cs="Arial" w:eastAsia="Arial" w:hAnsi="Arial"/>
          <w:sz w:val="16"/>
          <w:szCs w:val="16"/>
          <w:color w:val="auto"/>
        </w:rPr>
      </w:pPr>
    </w:p>
    <w:p>
      <w:pPr>
        <w:ind w:left="1300" w:hanging="157"/>
        <w:spacing w:after="0"/>
        <w:tabs>
          <w:tab w:leader="none" w:pos="130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Subscriber shall pay all of its own expenses in connection with this Subscription Agreement and the transactions contemplated herein.</w:t>
      </w:r>
    </w:p>
    <w:p>
      <w:pPr>
        <w:spacing w:after="0" w:line="198" w:lineRule="exact"/>
        <w:rPr>
          <w:rFonts w:ascii="Arial" w:cs="Arial" w:eastAsia="Arial" w:hAnsi="Arial"/>
          <w:sz w:val="16"/>
          <w:szCs w:val="16"/>
          <w:color w:val="auto"/>
        </w:rPr>
      </w:pPr>
    </w:p>
    <w:p>
      <w:pPr>
        <w:jc w:val="both"/>
        <w:ind w:right="20" w:firstLine="1143"/>
        <w:spacing w:after="0" w:line="295" w:lineRule="auto"/>
        <w:tabs>
          <w:tab w:leader="none" w:pos="1304" w:val="left"/>
        </w:tabs>
        <w:numPr>
          <w:ilvl w:val="1"/>
          <w:numId w:val="236"/>
        </w:numPr>
        <w:rPr>
          <w:rFonts w:ascii="Arial" w:cs="Arial" w:eastAsia="Arial" w:hAnsi="Arial"/>
          <w:sz w:val="14"/>
          <w:szCs w:val="14"/>
          <w:color w:val="auto"/>
        </w:rPr>
      </w:pPr>
      <w:r>
        <w:rPr>
          <w:rFonts w:ascii="Arial" w:cs="Arial" w:eastAsia="Arial" w:hAnsi="Arial"/>
          <w:sz w:val="14"/>
          <w:szCs w:val="14"/>
          <w:color w:val="auto"/>
        </w:rPr>
        <w:t>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144" w:lineRule="exact"/>
        <w:rPr>
          <w:rFonts w:ascii="Arial" w:cs="Arial" w:eastAsia="Arial" w:hAnsi="Arial"/>
          <w:sz w:val="14"/>
          <w:szCs w:val="14"/>
          <w:color w:val="auto"/>
        </w:rPr>
      </w:pPr>
    </w:p>
    <w:p>
      <w:pPr>
        <w:ind w:left="1280" w:hanging="137"/>
        <w:spacing w:after="0"/>
        <w:tabs>
          <w:tab w:leader="none" w:pos="128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All the agreements, representations and warranties made by each party hereto in this Subscription Agreement shall survive the Closing.</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31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Company may request from Subscriber such additional information as the Company may deem necessary to evaluate the eligibility of Subscriber to acquire the Subscribed Shares, and Subscriber shall provide such information as may be reasonably requested, to the extent readily available and to the extent consistent with its internal policies and procedures.</w:t>
      </w:r>
    </w:p>
    <w:p>
      <w:pPr>
        <w:spacing w:after="0" w:line="162" w:lineRule="exact"/>
        <w:rPr>
          <w:rFonts w:ascii="Arial" w:cs="Arial" w:eastAsia="Arial" w:hAnsi="Arial"/>
          <w:sz w:val="16"/>
          <w:szCs w:val="16"/>
          <w:color w:val="auto"/>
        </w:rPr>
      </w:pPr>
    </w:p>
    <w:p>
      <w:pPr>
        <w:jc w:val="both"/>
        <w:ind w:firstLine="1143"/>
        <w:spacing w:after="0" w:line="290" w:lineRule="auto"/>
        <w:tabs>
          <w:tab w:leader="none" w:pos="1314" w:val="left"/>
        </w:tabs>
        <w:numPr>
          <w:ilvl w:val="1"/>
          <w:numId w:val="236"/>
        </w:numPr>
        <w:rPr>
          <w:rFonts w:ascii="Arial" w:cs="Arial" w:eastAsia="Arial" w:hAnsi="Arial"/>
          <w:sz w:val="14"/>
          <w:szCs w:val="14"/>
          <w:color w:val="auto"/>
        </w:rPr>
      </w:pPr>
      <w:r>
        <w:rPr>
          <w:rFonts w:ascii="Arial" w:cs="Arial" w:eastAsia="Arial" w:hAnsi="Arial"/>
          <w:sz w:val="14"/>
          <w:szCs w:val="14"/>
          <w:color w:val="auto"/>
        </w:rPr>
        <w:t>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w:t>
      </w:r>
      <w:r>
        <w:rPr>
          <w:rFonts w:ascii="Arial" w:cs="Arial" w:eastAsia="Arial" w:hAnsi="Arial"/>
          <w:sz w:val="14"/>
          <w:szCs w:val="14"/>
          <w:u w:val="single" w:color="auto"/>
          <w:color w:val="auto"/>
        </w:rPr>
        <w:t>Required Subscribers</w:t>
      </w:r>
      <w:r>
        <w:rPr>
          <w:rFonts w:ascii="Arial" w:cs="Arial" w:eastAsia="Arial" w:hAnsi="Arial"/>
          <w:sz w:val="14"/>
          <w:szCs w:val="14"/>
          <w:color w:val="auto"/>
        </w:rPr>
        <w:t xml:space="preserve">”). Upon the effectuation of such waiver, modification, amendment or termination with the consent of the Required Subscribers in conformance with this Section 8(h),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Shares held by such Subscriber), shall require the consent of such Subscriber; (iii) any amendment to </w:t>
      </w:r>
      <w:r>
        <w:rPr>
          <w:rFonts w:ascii="Arial" w:cs="Arial" w:eastAsia="Arial" w:hAnsi="Arial"/>
          <w:sz w:val="14"/>
          <w:szCs w:val="14"/>
          <w:u w:val="single" w:color="auto"/>
          <w:color w:val="auto"/>
        </w:rPr>
        <w:t>Section 3(j)</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(to amend the definition of Termination Date) or this </w:t>
      </w:r>
      <w:r>
        <w:rPr>
          <w:rFonts w:ascii="Arial" w:cs="Arial" w:eastAsia="Arial" w:hAnsi="Arial"/>
          <w:sz w:val="14"/>
          <w:szCs w:val="14"/>
          <w:u w:val="single" w:color="auto"/>
          <w:color w:val="auto"/>
        </w:rPr>
        <w:t>Section 8(h)</w:t>
      </w:r>
      <w:r>
        <w:rPr>
          <w:rFonts w:ascii="Arial" w:cs="Arial" w:eastAsia="Arial" w:hAnsi="Arial"/>
          <w:sz w:val="14"/>
          <w:szCs w:val="14"/>
          <w:color w:val="auto"/>
        </w:rPr>
        <w:t xml:space="preserve"> of this Subscription Agreement; and (iv) any amendment, modification or other change that alters the Per Share Price, the Purchase Price, or the number of Subscribed Shares shall require the consent of the undersigned Subscriber.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9" w:name="page220"/>
    <w:bookmarkEnd w:id="219"/>
    <w:p>
      <w:pPr>
        <w:jc w:val="both"/>
        <w:ind w:firstLine="1147"/>
        <w:spacing w:after="0" w:line="275" w:lineRule="auto"/>
        <w:rPr>
          <w:sz w:val="20"/>
          <w:szCs w:val="20"/>
          <w:color w:val="auto"/>
        </w:rPr>
      </w:pPr>
      <w:r>
        <w:rPr>
          <w:rFonts w:ascii="Arial" w:cs="Arial" w:eastAsia="Arial" w:hAnsi="Arial"/>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5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m. This Subscription Agreement is intended for the benefit of the parties hereto and their respective successors and permitted assigns and is not for the benefit of, nor may any provision hereof be enforced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Placement Agent shall be an intended third-party beneficiary of the representations and warranties of the Company in Section 3 hereof and of Subscribers in Section 4 hereof.</w:t>
      </w:r>
    </w:p>
    <w:p>
      <w:pPr>
        <w:spacing w:after="0" w:line="162"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0" w:name="page221"/>
    <w:bookmarkEnd w:id="220"/>
    <w:p>
      <w:pPr>
        <w:jc w:val="both"/>
        <w:ind w:right="20" w:firstLine="1147"/>
        <w:spacing w:after="0" w:line="253" w:lineRule="auto"/>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b w:val="1"/>
          <w:bCs w:val="1"/>
          <w:color w:val="auto"/>
        </w:rPr>
        <w:t>EACH PARTY HEREBY WAIVES ITS RESPECTIVE RIGHTS TO A TRIAL BY JURY OF ANY CLAIM OR CAUSE OF ACTION BASED</w:t>
      </w:r>
      <w:r>
        <w:rPr>
          <w:rFonts w:ascii="Arial" w:cs="Arial" w:eastAsia="Arial" w:hAnsi="Arial"/>
          <w:sz w:val="16"/>
          <w:szCs w:val="16"/>
          <w:color w:val="auto"/>
        </w:rPr>
        <w:t xml:space="preserve"> </w:t>
      </w:r>
      <w:r>
        <w:rPr>
          <w:rFonts w:ascii="Arial" w:cs="Arial" w:eastAsia="Arial" w:hAnsi="Arial"/>
          <w:sz w:val="16"/>
          <w:szCs w:val="16"/>
          <w:b w:val="1"/>
          <w:bCs w:val="1"/>
          <w:color w:val="auto"/>
        </w:rPr>
        <w:t>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70"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5"/>
          <w:szCs w:val="15"/>
          <w:u w:val="single" w:color="auto"/>
          <w:color w:val="auto"/>
        </w:rPr>
        <w:t>Designated Courts</w:t>
      </w:r>
      <w:r>
        <w:rPr>
          <w:rFonts w:ascii="Arial" w:cs="Arial" w:eastAsia="Arial" w:hAnsi="Arial"/>
          <w:sz w:val="15"/>
          <w:szCs w:val="15"/>
          <w:color w:val="auto"/>
        </w:rPr>
        <w:t>”).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Section 8(a) of this Subscription Agreement shall be effective service of process for any action, suit or proceeding in a Designated Court with respect to any matters to which the parties have submitted to jurisdiction as set forth above.</w:t>
      </w:r>
    </w:p>
    <w:p>
      <w:pPr>
        <w:spacing w:after="0" w:line="163"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1" w:name="page222"/>
    <w:bookmarkEnd w:id="221"/>
    <w:p>
      <w:pPr>
        <w:jc w:val="both"/>
        <w:ind w:firstLine="1147"/>
        <w:spacing w:after="0" w:line="270" w:lineRule="auto"/>
        <w:rPr>
          <w:sz w:val="20"/>
          <w:szCs w:val="20"/>
          <w:color w:val="auto"/>
        </w:rPr>
      </w:pPr>
      <w:r>
        <w:rPr>
          <w:rFonts w:ascii="Arial" w:cs="Arial" w:eastAsia="Arial" w:hAnsi="Arial"/>
          <w:sz w:val="15"/>
          <w:szCs w:val="15"/>
          <w:color w:val="auto"/>
        </w:rPr>
        <w:t>s. The Company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by the Other Subscription Agreements entered into as of the date hereof),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6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54"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u. Following the Closing Date, Company shall hold regular quarterly conference calls to discuss the company’s financial results during the previous quarter.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2" w:name="page223"/>
    <w:bookmarkEnd w:id="222"/>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Chairman and Chief Executive Officer</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Greenwich, CT</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Print Name: _____________________________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 in which shares are to be registered:</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______________________________________</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Number of Subscribed Shares subscribed for: 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Price Per Subscribed Share: $10.00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Aggregate Purchase Price: $_________</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Ventoux CCM Acquisition Corp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223" w:name="page224"/>
    <w:bookmarkEnd w:id="223"/>
    <w:p>
      <w:pPr>
        <w:jc w:val="center"/>
        <w:ind w:right="-3"/>
        <w:spacing w:after="0"/>
        <w:rPr>
          <w:sz w:val="20"/>
          <w:szCs w:val="20"/>
          <w:color w:val="auto"/>
        </w:rPr>
      </w:pPr>
      <w:r>
        <w:rPr>
          <w:rFonts w:ascii="Arial" w:cs="Arial" w:eastAsia="Arial" w:hAnsi="Arial"/>
          <w:sz w:val="16"/>
          <w:szCs w:val="16"/>
          <w:b w:val="1"/>
          <w:bCs w:val="1"/>
          <w:color w:val="auto"/>
        </w:rPr>
        <w:t>ANNEX A</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Annex A should be completed and signed by Subscriber</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and constitutes a part of the Subscription Agreement.</w:t>
      </w:r>
    </w:p>
    <w:p>
      <w:pPr>
        <w:spacing w:after="0" w:line="186" w:lineRule="exact"/>
        <w:rPr>
          <w:sz w:val="20"/>
          <w:szCs w:val="20"/>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QUALIFIED INSTITUTIONAL BUYER STATUS (Please check the box, if applicable)</w:t>
      </w:r>
    </w:p>
    <w:p>
      <w:pPr>
        <w:spacing w:after="0" w:line="198" w:lineRule="exact"/>
        <w:rPr>
          <w:rFonts w:ascii="Arial" w:cs="Arial" w:eastAsia="Arial" w:hAnsi="Arial"/>
          <w:sz w:val="16"/>
          <w:szCs w:val="16"/>
          <w:color w:val="auto"/>
        </w:rPr>
      </w:pPr>
    </w:p>
    <w:p>
      <w:pPr>
        <w:ind w:left="1144" w:hanging="571"/>
        <w:spacing w:after="0"/>
        <w:tabs>
          <w:tab w:leader="none" w:pos="1144" w:val="left"/>
        </w:tabs>
        <w:numPr>
          <w:ilvl w:val="1"/>
          <w:numId w:val="237"/>
        </w:numPr>
        <w:rPr>
          <w:rFonts w:ascii="MS PGothic" w:cs="MS PGothic" w:eastAsia="MS PGothic" w:hAnsi="MS PGothic"/>
          <w:sz w:val="16"/>
          <w:szCs w:val="16"/>
          <w:color w:val="auto"/>
        </w:rPr>
      </w:pPr>
      <w:r>
        <w:rPr>
          <w:rFonts w:ascii="Arial" w:cs="Arial" w:eastAsia="Arial" w:hAnsi="Arial"/>
          <w:sz w:val="16"/>
          <w:szCs w:val="16"/>
          <w:color w:val="auto"/>
        </w:rPr>
        <w:t>Subscriber is a “qualified institutional buyer” (as defined in Rule 144A under the Securities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ACCREDITED INVESTOR STATUS (Please check the box)</w:t>
      </w:r>
    </w:p>
    <w:p>
      <w:pPr>
        <w:spacing w:after="0" w:line="198" w:lineRule="exact"/>
        <w:rPr>
          <w:rFonts w:ascii="Arial" w:cs="Arial" w:eastAsia="Arial" w:hAnsi="Arial"/>
          <w:sz w:val="16"/>
          <w:szCs w:val="16"/>
          <w:color w:val="auto"/>
        </w:rPr>
      </w:pPr>
    </w:p>
    <w:p>
      <w:pPr>
        <w:ind w:left="1144" w:right="20" w:hanging="571"/>
        <w:spacing w:after="0" w:line="275" w:lineRule="auto"/>
        <w:tabs>
          <w:tab w:leader="none" w:pos="1144" w:val="left"/>
        </w:tabs>
        <w:numPr>
          <w:ilvl w:val="1"/>
          <w:numId w:val="237"/>
        </w:numPr>
        <w:rPr>
          <w:rFonts w:ascii="MS PGothic" w:cs="MS PGothic" w:eastAsia="MS PGothic" w:hAnsi="MS PGothic"/>
          <w:sz w:val="16"/>
          <w:szCs w:val="16"/>
          <w:color w:val="auto"/>
        </w:rPr>
      </w:pPr>
      <w:r>
        <w:rPr>
          <w:rFonts w:ascii="Arial" w:cs="Arial" w:eastAsia="Arial" w:hAnsi="Arial"/>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1" w:lineRule="exact"/>
        <w:rPr>
          <w:rFonts w:ascii="MS PGothic" w:cs="MS PGothic" w:eastAsia="MS PGothic" w:hAnsi="MS PGothic"/>
          <w:sz w:val="16"/>
          <w:szCs w:val="16"/>
          <w:color w:val="auto"/>
        </w:rPr>
      </w:pPr>
    </w:p>
    <w:p>
      <w:pPr>
        <w:ind w:left="284" w:hanging="284"/>
        <w:spacing w:after="0"/>
        <w:tabs>
          <w:tab w:leader="none" w:pos="28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 w:lineRule="exact"/>
        <w:rPr>
          <w:rFonts w:ascii="Arial" w:cs="Arial" w:eastAsia="Arial" w:hAnsi="Arial"/>
          <w:sz w:val="16"/>
          <w:szCs w:val="16"/>
          <w:color w:val="auto"/>
        </w:rPr>
      </w:pPr>
    </w:p>
    <w:p>
      <w:pPr>
        <w:ind w:left="284"/>
        <w:spacing w:after="0"/>
        <w:rPr>
          <w:rFonts w:ascii="Arial" w:cs="Arial" w:eastAsia="Arial" w:hAnsi="Arial"/>
          <w:sz w:val="16"/>
          <w:szCs w:val="16"/>
          <w:color w:val="auto"/>
        </w:rPr>
      </w:pPr>
      <w:r>
        <w:rPr>
          <w:rFonts w:ascii="Arial" w:cs="Arial" w:eastAsia="Arial" w:hAnsi="Arial"/>
          <w:sz w:val="16"/>
          <w:szCs w:val="16"/>
          <w:color w:val="auto"/>
        </w:rPr>
        <w:t>(Please check the applicable box)</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1144" w:hanging="571"/>
        <w:spacing w:after="0"/>
        <w:tabs>
          <w:tab w:leader="none" w:pos="1144" w:val="left"/>
        </w:tabs>
        <w:numPr>
          <w:ilvl w:val="0"/>
          <w:numId w:val="238"/>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198" w:lineRule="exact"/>
        <w:rPr>
          <w:rFonts w:ascii="MS PGothic" w:cs="MS PGothic" w:eastAsia="MS PGothic" w:hAnsi="MS PGothic"/>
          <w:sz w:val="16"/>
          <w:szCs w:val="16"/>
          <w:color w:val="auto"/>
        </w:rPr>
      </w:pPr>
    </w:p>
    <w:p>
      <w:pPr>
        <w:ind w:left="1144" w:hanging="571"/>
        <w:spacing w:after="0"/>
        <w:tabs>
          <w:tab w:leader="none" w:pos="1144" w:val="left"/>
        </w:tabs>
        <w:numPr>
          <w:ilvl w:val="0"/>
          <w:numId w:val="238"/>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46" w:lineRule="exact"/>
        <w:rPr>
          <w:sz w:val="20"/>
          <w:szCs w:val="20"/>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bank, registered broker or dealer, insurance company, registered investment company, business development company, or small business investment company;</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MS PGothic" w:cs="MS PGothic" w:eastAsia="MS PGothic" w:hAnsi="MS PGothic"/>
          <w:sz w:val="16"/>
          <w:szCs w:val="16"/>
          <w:color w:val="auto"/>
        </w:rPr>
      </w:pPr>
    </w:p>
    <w:p>
      <w:pPr>
        <w:ind w:left="1144" w:right="20" w:hanging="571"/>
        <w:spacing w:after="0" w:line="275" w:lineRule="auto"/>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corporation, similar business trust, partnership or any organization described in Section 501(c)(3) of the Internal Revenue Code, not formed for the specific purpose of acquiring the securities offered, with total assets in excess of $5,000,000;</w:t>
      </w:r>
    </w:p>
    <w:p>
      <w:pPr>
        <w:spacing w:after="0" w:line="151" w:lineRule="exact"/>
        <w:rPr>
          <w:rFonts w:ascii="MS PGothic" w:cs="MS PGothic" w:eastAsia="MS PGothic" w:hAnsi="MS PGothic"/>
          <w:sz w:val="16"/>
          <w:szCs w:val="16"/>
          <w:color w:val="auto"/>
        </w:rPr>
      </w:pPr>
    </w:p>
    <w:p>
      <w:pPr>
        <w:ind w:left="1144" w:hanging="571"/>
        <w:spacing w:after="0"/>
        <w:tabs>
          <w:tab w:leader="none" w:pos="1144" w:val="left"/>
        </w:tabs>
        <w:numPr>
          <w:ilvl w:val="0"/>
          <w:numId w:val="239"/>
        </w:numPr>
        <w:rPr>
          <w:rFonts w:ascii="MS PGothic" w:cs="MS PGothic" w:eastAsia="MS PGothic" w:hAnsi="MS PGothic"/>
          <w:sz w:val="15"/>
          <w:szCs w:val="15"/>
          <w:color w:val="auto"/>
        </w:rPr>
      </w:pPr>
      <w:r>
        <w:rPr>
          <w:rFonts w:ascii="Arial" w:cs="Arial" w:eastAsia="Arial" w:hAnsi="Arial"/>
          <w:sz w:val="15"/>
          <w:szCs w:val="15"/>
          <w:color w:val="auto"/>
        </w:rPr>
        <w:t>Any trust with assets in excess of $5,000,000, not formed to acquire the securities offered, whose purchase is directed by a sophisticated person; or</w:t>
      </w:r>
    </w:p>
    <w:p>
      <w:pPr>
        <w:spacing w:after="0" w:line="209" w:lineRule="exact"/>
        <w:rPr>
          <w:rFonts w:ascii="MS PGothic" w:cs="MS PGothic" w:eastAsia="MS PGothic" w:hAnsi="MS PGothic"/>
          <w:sz w:val="15"/>
          <w:szCs w:val="15"/>
          <w:color w:val="auto"/>
        </w:rPr>
      </w:pPr>
    </w:p>
    <w:p>
      <w:pPr>
        <w:ind w:left="1144" w:hanging="571"/>
        <w:spacing w:after="0"/>
        <w:tabs>
          <w:tab w:leader="none" w:pos="1144" w:val="left"/>
        </w:tabs>
        <w:numPr>
          <w:ilvl w:val="0"/>
          <w:numId w:val="239"/>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 or one of the following tests.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[Specify which tests:]</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SUBSCRIBER:</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Print Name:</w:t>
      </w:r>
    </w:p>
    <w:p>
      <w:pPr>
        <w:spacing w:after="0" w:line="198" w:lineRule="exact"/>
        <w:rPr>
          <w:sz w:val="20"/>
          <w:szCs w:val="20"/>
          <w:color w:val="auto"/>
        </w:rPr>
      </w:pPr>
    </w:p>
    <w:p>
      <w:pPr>
        <w:ind w:left="6764"/>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12700</wp:posOffset>
            </wp:positionV>
            <wp:extent cx="2572385"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4"/>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4"/>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7148195"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6"/>
          <w:szCs w:val="16"/>
          <w:b w:val="1"/>
          <w:bCs w:val="1"/>
          <w:color w:val="auto"/>
        </w:rPr>
        <w:t>Exhibit 10.2</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xml:space="preserve"> is entered into on November 10, 2021, by and between Ventoux CCM Acquisition Corp.,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 and [***] (collectively, “</w:t>
      </w:r>
      <w:r>
        <w:rPr>
          <w:rFonts w:ascii="Arial" w:cs="Arial" w:eastAsia="Arial" w:hAnsi="Arial"/>
          <w:sz w:val="16"/>
          <w:szCs w:val="16"/>
          <w:u w:val="single" w:color="auto"/>
          <w:color w:val="auto"/>
        </w:rPr>
        <w:t>Subscriber</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concurrently with the execution of this Subscription Agreement, the Company is entering into a definitive agreement with E la Carte, Inc., a Delaware corporation (“</w:t>
      </w:r>
      <w:r>
        <w:rPr>
          <w:rFonts w:ascii="Arial" w:cs="Arial" w:eastAsia="Arial" w:hAnsi="Arial"/>
          <w:sz w:val="16"/>
          <w:szCs w:val="16"/>
          <w:u w:val="single" w:color="auto"/>
          <w:color w:val="auto"/>
        </w:rPr>
        <w:t>Presto</w:t>
      </w:r>
      <w:r>
        <w:rPr>
          <w:rFonts w:ascii="Arial" w:cs="Arial" w:eastAsia="Arial" w:hAnsi="Arial"/>
          <w:sz w:val="16"/>
          <w:szCs w:val="16"/>
          <w:color w:val="auto"/>
        </w:rPr>
        <w:t>”), and the other parties thereto, providing for the combination of the Company and Presto (the “</w:t>
      </w:r>
      <w:r>
        <w:rPr>
          <w:rFonts w:ascii="Arial" w:cs="Arial" w:eastAsia="Arial" w:hAnsi="Arial"/>
          <w:sz w:val="16"/>
          <w:szCs w:val="16"/>
          <w:u w:val="single" w:color="auto"/>
          <w:color w:val="auto"/>
        </w:rPr>
        <w:t>Transaction Agreement</w:t>
      </w:r>
      <w:r>
        <w:rPr>
          <w:rFonts w:ascii="Arial" w:cs="Arial" w:eastAsia="Arial" w:hAnsi="Arial"/>
          <w:sz w:val="16"/>
          <w:szCs w:val="16"/>
          <w:color w:val="auto"/>
        </w:rPr>
        <w:t>” and the transactions contemplated by the Transaction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WHEREAS, in connection with the Transaction, Subscriber desires to subscribe for and purchase from the Company, immediately prior to the consummation of the Transaction, that principal amount of the Company’s 9.0%/11.0% convertible senior notes due 2026 (the “</w:t>
      </w:r>
      <w:r>
        <w:rPr>
          <w:rFonts w:ascii="Arial" w:cs="Arial" w:eastAsia="Arial" w:hAnsi="Arial"/>
          <w:sz w:val="15"/>
          <w:szCs w:val="15"/>
          <w:u w:val="single" w:color="auto"/>
          <w:color w:val="auto"/>
        </w:rPr>
        <w:t>Notes</w:t>
      </w:r>
      <w:r>
        <w:rPr>
          <w:rFonts w:ascii="Arial" w:cs="Arial" w:eastAsia="Arial" w:hAnsi="Arial"/>
          <w:sz w:val="15"/>
          <w:szCs w:val="15"/>
          <w:color w:val="auto"/>
        </w:rPr>
        <w:t>”) set forth on the signature page hereto (the “</w:t>
      </w:r>
      <w:r>
        <w:rPr>
          <w:rFonts w:ascii="Arial" w:cs="Arial" w:eastAsia="Arial" w:hAnsi="Arial"/>
          <w:sz w:val="15"/>
          <w:szCs w:val="15"/>
          <w:u w:val="single" w:color="auto"/>
          <w:color w:val="auto"/>
        </w:rPr>
        <w:t>Subscribed</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Notes</w:t>
      </w:r>
      <w:r>
        <w:rPr>
          <w:rFonts w:ascii="Arial" w:cs="Arial" w:eastAsia="Arial" w:hAnsi="Arial"/>
          <w:sz w:val="15"/>
          <w:szCs w:val="15"/>
          <w:color w:val="auto"/>
        </w:rPr>
        <w:t>”) and that number of warrants (the “</w:t>
      </w:r>
      <w:r>
        <w:rPr>
          <w:rFonts w:ascii="Arial" w:cs="Arial" w:eastAsia="Arial" w:hAnsi="Arial"/>
          <w:sz w:val="15"/>
          <w:szCs w:val="15"/>
          <w:u w:val="single" w:color="auto"/>
          <w:color w:val="auto"/>
        </w:rPr>
        <w:t>Warrants</w:t>
      </w:r>
      <w:r>
        <w:rPr>
          <w:rFonts w:ascii="Arial" w:cs="Arial" w:eastAsia="Arial" w:hAnsi="Arial"/>
          <w:sz w:val="15"/>
          <w:szCs w:val="15"/>
          <w:color w:val="auto"/>
        </w:rPr>
        <w:t>”) to purchase shares of the Company’s common stock, par value $0.0001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set forth on the signature page hereto (the “</w:t>
      </w:r>
      <w:r>
        <w:rPr>
          <w:rFonts w:ascii="Arial" w:cs="Arial" w:eastAsia="Arial" w:hAnsi="Arial"/>
          <w:sz w:val="15"/>
          <w:szCs w:val="15"/>
          <w:u w:val="single" w:color="auto"/>
          <w:color w:val="auto"/>
        </w:rPr>
        <w:t>Subscribed Warrants</w:t>
      </w:r>
      <w:r>
        <w:rPr>
          <w:rFonts w:ascii="Arial" w:cs="Arial" w:eastAsia="Arial" w:hAnsi="Arial"/>
          <w:sz w:val="15"/>
          <w:szCs w:val="15"/>
          <w:color w:val="auto"/>
        </w:rPr>
        <w:t>” and, together with the Subscribed Notes, the “</w:t>
      </w:r>
      <w:r>
        <w:rPr>
          <w:rFonts w:ascii="Arial" w:cs="Arial" w:eastAsia="Arial" w:hAnsi="Arial"/>
          <w:sz w:val="15"/>
          <w:szCs w:val="15"/>
          <w:u w:val="single" w:color="auto"/>
          <w:color w:val="auto"/>
        </w:rPr>
        <w:t>Subscribed Securities</w:t>
      </w:r>
      <w:r>
        <w:rPr>
          <w:rFonts w:ascii="Arial" w:cs="Arial" w:eastAsia="Arial" w:hAnsi="Arial"/>
          <w:sz w:val="15"/>
          <w:szCs w:val="15"/>
          <w:color w:val="auto"/>
        </w:rPr>
        <w:t>”) for an aggregate purchase price equal to 100.0% of the principal amount of the Subscribed Notes (the “</w:t>
      </w:r>
      <w:r>
        <w:rPr>
          <w:rFonts w:ascii="Arial" w:cs="Arial" w:eastAsia="Arial" w:hAnsi="Arial"/>
          <w:sz w:val="15"/>
          <w:szCs w:val="15"/>
          <w:u w:val="single" w:color="auto"/>
          <w:color w:val="auto"/>
        </w:rPr>
        <w:t>Purchase Price</w:t>
      </w:r>
      <w:r>
        <w:rPr>
          <w:rFonts w:ascii="Arial" w:cs="Arial" w:eastAsia="Arial" w:hAnsi="Arial"/>
          <w:sz w:val="15"/>
          <w:szCs w:val="15"/>
          <w:color w:val="auto"/>
        </w:rPr>
        <w:t>”), and the Company desires to issue and sell to Subscriber the Subscribed Securities in consideration of the payment of the Purchase Price by or on behalf of Subscriber to the Company;</w:t>
      </w:r>
    </w:p>
    <w:p>
      <w:pPr>
        <w:spacing w:after="0" w:line="157"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WHEREAS, concurrently with the execution of this Subscription Agreement or prior to the closing date of the Transaction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Company is entering or will enter into subscription agreements (the “</w:t>
      </w:r>
      <w:r>
        <w:rPr>
          <w:rFonts w:ascii="Arial" w:cs="Arial" w:eastAsia="Arial" w:hAnsi="Arial"/>
          <w:sz w:val="15"/>
          <w:szCs w:val="15"/>
          <w:u w:val="single" w:color="auto"/>
          <w:color w:val="auto"/>
        </w:rPr>
        <w:t>Other Subscription Agreements</w:t>
      </w:r>
      <w:r>
        <w:rPr>
          <w:rFonts w:ascii="Arial" w:cs="Arial" w:eastAsia="Arial" w:hAnsi="Arial"/>
          <w:sz w:val="15"/>
          <w:szCs w:val="15"/>
          <w:color w:val="auto"/>
        </w:rPr>
        <w:t>” and together with this Subscription Agreement, the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with certain other accredited investors (the “</w:t>
      </w:r>
      <w:r>
        <w:rPr>
          <w:rFonts w:ascii="Arial" w:cs="Arial" w:eastAsia="Arial" w:hAnsi="Arial"/>
          <w:sz w:val="15"/>
          <w:szCs w:val="15"/>
          <w:u w:val="single" w:color="auto"/>
          <w:color w:val="auto"/>
        </w:rPr>
        <w:t>Other Subscribers</w:t>
      </w:r>
      <w:r>
        <w:rPr>
          <w:rFonts w:ascii="Arial" w:cs="Arial" w:eastAsia="Arial" w:hAnsi="Arial"/>
          <w:sz w:val="15"/>
          <w:szCs w:val="15"/>
          <w:color w:val="auto"/>
        </w:rPr>
        <w:t>” and together with Subscriber, the “</w:t>
      </w:r>
      <w:r>
        <w:rPr>
          <w:rFonts w:ascii="Arial" w:cs="Arial" w:eastAsia="Arial" w:hAnsi="Arial"/>
          <w:sz w:val="15"/>
          <w:szCs w:val="15"/>
          <w:u w:val="single" w:color="auto"/>
          <w:color w:val="auto"/>
        </w:rPr>
        <w:t>Subscribers</w:t>
      </w:r>
      <w:r>
        <w:rPr>
          <w:rFonts w:ascii="Arial" w:cs="Arial" w:eastAsia="Arial" w:hAnsi="Arial"/>
          <w:sz w:val="15"/>
          <w:szCs w:val="15"/>
          <w:color w:val="auto"/>
        </w:rPr>
        <w:t xml:space="preserve">”), which are on substantially the same terms as the terms of this Subscription Agreement (other than with respect to (v) the amounts and types of the Company’s securities to be subscribed for and purchased by the Other Subscribers and any terms relating to such other types of the Company’s securities, (w) certain fees payable by Presto, board observer rights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(x) certain closing conditions in the Other Subscription Agreements relating to the Subscribed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 pursuant to which such investors shall agree or have agreed to purchase on the Closing Date, inclusive of the Subscribed Securities, as applicable (i) shares of Common Stock and (ii) Notes and Warrants, for, as of the date hereof, up to $70,000,000 in gross proceeds to the Company (together with the Subscribed Securities, the “</w:t>
      </w:r>
      <w:r>
        <w:rPr>
          <w:rFonts w:ascii="Arial" w:cs="Arial" w:eastAsia="Arial" w:hAnsi="Arial"/>
          <w:sz w:val="15"/>
          <w:szCs w:val="15"/>
          <w:u w:val="single" w:color="auto"/>
          <w:color w:val="auto"/>
        </w:rPr>
        <w:t>Aggregate Subscribed Securities</w:t>
      </w:r>
      <w:r>
        <w:rPr>
          <w:rFonts w:ascii="Arial" w:cs="Arial" w:eastAsia="Arial" w:hAnsi="Arial"/>
          <w:sz w:val="15"/>
          <w:szCs w:val="15"/>
          <w:color w:val="auto"/>
        </w:rPr>
        <w:t>”);</w:t>
      </w:r>
    </w:p>
    <w:p>
      <w:pPr>
        <w:spacing w:after="0" w:line="16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in connection with the issuance of the Notes on the Closing Date, the Company and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will enter into an indenture in respect of the Notes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Indenture</w:t>
      </w:r>
      <w:r>
        <w:rPr>
          <w:rFonts w:ascii="Arial" w:cs="Arial" w:eastAsia="Arial" w:hAnsi="Arial"/>
          <w:sz w:val="16"/>
          <w:szCs w:val="16"/>
          <w:color w:val="auto"/>
        </w:rPr>
        <w:t>”); and</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WHEREAS, in connection with the issuance of the Subscribed Warrants on the Closing Date, the Company, Continental Stock Transfer &amp; Trust Company, as Warrant Agent, and Subscriber will enter into an amended and restated warrant agreement in respect of the Subscribed Warrants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5" w:name="page226"/>
    <w:bookmarkEnd w:id="225"/>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52" w:lineRule="exact"/>
        <w:rPr>
          <w:sz w:val="20"/>
          <w:szCs w:val="20"/>
          <w:color w:val="auto"/>
        </w:rPr>
      </w:pPr>
    </w:p>
    <w:p>
      <w:pPr>
        <w:ind w:left="720" w:hanging="151"/>
        <w:spacing w:after="0"/>
        <w:tabs>
          <w:tab w:leader="none" w:pos="7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Subscription; Fee and Share Transfer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right="20" w:firstLine="1143"/>
        <w:spacing w:after="0" w:line="349" w:lineRule="auto"/>
        <w:tabs>
          <w:tab w:leader="none" w:pos="1309" w:val="left"/>
        </w:tabs>
        <w:numPr>
          <w:ilvl w:val="1"/>
          <w:numId w:val="240"/>
        </w:numPr>
        <w:rPr>
          <w:rFonts w:ascii="Arial" w:cs="Arial" w:eastAsia="Arial" w:hAnsi="Arial"/>
          <w:sz w:val="14"/>
          <w:szCs w:val="14"/>
          <w:color w:val="auto"/>
        </w:rPr>
      </w:pPr>
      <w:r>
        <w:rPr>
          <w:rFonts w:ascii="Arial" w:cs="Arial" w:eastAsia="Arial" w:hAnsi="Arial"/>
          <w:sz w:val="14"/>
          <w:szCs w:val="14"/>
          <w:color w:val="auto"/>
        </w:rPr>
        <w:t>Subject to the terms and conditions hereof, at the Closing (as defined below), Subscriber hereby agrees to subscribe for and purchase, and the Company hereby agrees to issue and sell to Subscriber, upon the payment of the Purchase Price, the Subscribed Securities (such subscription and issuance, the “Subscription”).</w:t>
      </w:r>
    </w:p>
    <w:p>
      <w:pPr>
        <w:spacing w:after="0" w:line="105" w:lineRule="exact"/>
        <w:rPr>
          <w:rFonts w:ascii="Arial" w:cs="Arial" w:eastAsia="Arial" w:hAnsi="Arial"/>
          <w:sz w:val="14"/>
          <w:szCs w:val="14"/>
          <w:color w:val="auto"/>
        </w:rPr>
      </w:pPr>
    </w:p>
    <w:p>
      <w:pPr>
        <w:jc w:val="both"/>
        <w:ind w:firstLine="1143"/>
        <w:spacing w:after="0" w:line="254" w:lineRule="auto"/>
        <w:tabs>
          <w:tab w:leader="none" w:pos="1303" w:val="left"/>
        </w:tabs>
        <w:numPr>
          <w:ilvl w:val="1"/>
          <w:numId w:val="240"/>
        </w:numPr>
        <w:rPr>
          <w:rFonts w:ascii="Arial" w:cs="Arial" w:eastAsia="Arial" w:hAnsi="Arial"/>
          <w:sz w:val="16"/>
          <w:szCs w:val="16"/>
          <w:color w:val="auto"/>
        </w:rPr>
      </w:pPr>
      <w:r>
        <w:rPr>
          <w:rFonts w:ascii="Arial" w:cs="Arial" w:eastAsia="Arial" w:hAnsi="Arial"/>
          <w:sz w:val="16"/>
          <w:szCs w:val="16"/>
          <w:color w:val="auto"/>
        </w:rPr>
        <w:t>At the Closing, the Company shall pay [***] and [***] or their designee(s) collectively a one-time fee equal to 2.0% of aggregate principal amount of the Subscribed Notes, and Ventoux Acquisition Holdings LLC, a Delaware limited liability company, and Chardan International Investments, LLC, a Delaware limited liability company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shall transfer an aggregate of 300,000 of the shares of Common Stock that are owned by the Sponsors to [***] and [***] and in consideration for such shares, [***] and [***] shall pay the Sponsors the purchase price of $0.00595 per share. Each of [***] and [***] acknowledges that such shares are subject to the terms and conditions set forth in that certain Stock Escrow Agreement, dated as of December 23, 2020, by and among the Company, the Sponsors, certain other initial shareholders listed thereto, and Continental Stock Transfer &amp; Trust Company.</w:t>
      </w:r>
    </w:p>
    <w:p>
      <w:pPr>
        <w:spacing w:after="0" w:line="170" w:lineRule="exact"/>
        <w:rPr>
          <w:rFonts w:ascii="Arial" w:cs="Arial" w:eastAsia="Arial" w:hAnsi="Arial"/>
          <w:sz w:val="16"/>
          <w:szCs w:val="16"/>
          <w:color w:val="auto"/>
        </w:rPr>
      </w:pPr>
    </w:p>
    <w:p>
      <w:pPr>
        <w:ind w:left="720" w:hanging="151"/>
        <w:spacing w:after="0"/>
        <w:tabs>
          <w:tab w:leader="none" w:pos="72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firstLine="1143"/>
        <w:spacing w:after="0" w:line="275" w:lineRule="auto"/>
        <w:tabs>
          <w:tab w:leader="none" w:pos="130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Subject to the terms of this Subscription Agreement, the consummation of the Subscription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shall occur on the Closing Date immediately prior to or substantially concurrently with the consummation of the Transaction.</w:t>
      </w:r>
    </w:p>
    <w:p>
      <w:pPr>
        <w:spacing w:after="0" w:line="151" w:lineRule="exact"/>
        <w:rPr>
          <w:rFonts w:ascii="Arial" w:cs="Arial" w:eastAsia="Arial" w:hAnsi="Arial"/>
          <w:sz w:val="16"/>
          <w:szCs w:val="16"/>
          <w:color w:val="auto"/>
        </w:rPr>
      </w:pPr>
    </w:p>
    <w:p>
      <w:pPr>
        <w:jc w:val="both"/>
        <w:ind w:firstLine="1143"/>
        <w:spacing w:after="0" w:line="288" w:lineRule="auto"/>
        <w:tabs>
          <w:tab w:leader="none" w:pos="1326" w:val="left"/>
        </w:tabs>
        <w:numPr>
          <w:ilvl w:val="1"/>
          <w:numId w:val="240"/>
        </w:numPr>
        <w:rPr>
          <w:rFonts w:ascii="Arial" w:cs="Arial" w:eastAsia="Arial" w:hAnsi="Arial"/>
          <w:sz w:val="14"/>
          <w:szCs w:val="14"/>
          <w:color w:val="auto"/>
        </w:rPr>
      </w:pPr>
      <w:r>
        <w:rPr>
          <w:rFonts w:ascii="Arial" w:cs="Arial" w:eastAsia="Arial" w:hAnsi="Arial"/>
          <w:sz w:val="14"/>
          <w:szCs w:val="14"/>
          <w:color w:val="auto"/>
        </w:rPr>
        <w:t>At least five (5) Business Days before the anticipated Closing Date, the Company shall deliver written notice to Subscriber (the “</w:t>
      </w:r>
      <w:r>
        <w:rPr>
          <w:rFonts w:ascii="Arial" w:cs="Arial" w:eastAsia="Arial" w:hAnsi="Arial"/>
          <w:sz w:val="14"/>
          <w:szCs w:val="14"/>
          <w:u w:val="single" w:color="auto"/>
          <w:color w:val="auto"/>
        </w:rPr>
        <w:t>Closing Notice</w:t>
      </w:r>
      <w:r>
        <w:rPr>
          <w:rFonts w:ascii="Arial" w:cs="Arial" w:eastAsia="Arial" w:hAnsi="Arial"/>
          <w:sz w:val="14"/>
          <w:szCs w:val="14"/>
          <w:color w:val="auto"/>
        </w:rPr>
        <w:t xml:space="preserve">”) specifying (i) the anticipated Closing Date and (ii) the wire instructions for delivery of the Purchase Price to the Company. No later than two (2) Business Days after receiving the Closing Notice, Subscriber shall deliver to the Company such information as is reasonably requested in the Closing Notice in order for the Company to issue the Subscribed Securities to Subscriber. Subscriber shall deliver to the Company, no later than one (1) Business Day prior to the Closing Date as set forth in the Closing Notice, (a) the Purchase Price for the Subscribed Securities by wire transfer of United States dollars in immediately available funds to the account specified by the Company in the Closing Notice, such funds to be held by the Company in escrow until the Closing and (b) such information as is reasonably requested in the Closing Notice in order for the Company to issue the Subscribed Securities to Subscriber at the Closing. Upon satisfaction (or, if applicable, waiver) of the conditions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the Company shall deliver to Subscriber (i) at the Closing, the Subscribed Notes in book entry form, free and clear of any liens or other restrictions (other than those arising under the Indenture, this Subscription Agreement or applicable state or federal securities laws), and (ii) the Warrant Agreement executed by the Company, evidencing the issuance to Subscriber of the Subscribed Warrants on and as of the Closing Date, subject to Subscriber’s execution of such Warrant Agreement. In the event that the consummation of the Transaction does not occur within two (2) Business Days after the anticipated Closing Date specified in the Closing Notice, unless otherwise agreed to in writing by the Company and Subscriber, the Company shall promptly (but in no event later than one (1) Business Day thereafter) return the funds so delivered by Subscriber to the Company by wire transfer in immediately available funds to the account specified by Subscriber and any book entries shall be deemed cancelled. Subscriber shall not be required to deliver to the Company on more than two (2) occasions, the Purchase Price pursuant to a Closing Notice; provided, however, that if a second Closing Notice is delivered following the return of the delivery of the Purchase Price pursuant to the first Closing Notice, then the Company shall reimburse the Subscriber the lesser of (x) [***] and (y) [***]. Notwithstanding such return or cancellation a failure to close on the anticipated Closing Date shall not, by itself, be deemed to be a failure of any of the conditions to Closing set forth in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to be satisfied or waived on or prior to the Closing Date. For the purposes of this Subscription Agreement, “</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other than a Saturday, Sunday or a day on which the Federal Reserve Bank of New York is closed.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6" w:name="page227"/>
    <w:bookmarkEnd w:id="226"/>
    <w:p>
      <w:pPr>
        <w:ind w:left="4" w:right="440" w:firstLine="1147"/>
        <w:spacing w:after="0" w:line="275" w:lineRule="auto"/>
        <w:rPr>
          <w:sz w:val="20"/>
          <w:szCs w:val="20"/>
          <w:color w:val="auto"/>
        </w:rPr>
      </w:pPr>
      <w:r>
        <w:rPr>
          <w:rFonts w:ascii="Arial" w:cs="Arial" w:eastAsia="Arial" w:hAnsi="Arial"/>
          <w:sz w:val="16"/>
          <w:szCs w:val="16"/>
          <w:color w:val="auto"/>
        </w:rPr>
        <w:t>c. The Closing shall be subject to the satisfaction or valid waiver in writing by each of the parties hereto (to the extent a valid waiver is capable of being issued) by the Company, on the one hand, or Subscriber, on the other, of the conditions that, on the Closing Date:</w:t>
      </w:r>
    </w:p>
    <w:p>
      <w:pPr>
        <w:spacing w:after="0" w:line="152" w:lineRule="exact"/>
        <w:rPr>
          <w:sz w:val="20"/>
          <w:szCs w:val="20"/>
          <w:color w:val="auto"/>
        </w:rPr>
      </w:pPr>
    </w:p>
    <w:p>
      <w:pPr>
        <w:jc w:val="both"/>
        <w:ind w:left="4" w:firstLine="1716"/>
        <w:spacing w:after="0" w:line="287" w:lineRule="auto"/>
        <w:tabs>
          <w:tab w:leader="none" w:pos="1922" w:val="left"/>
        </w:tabs>
        <w:numPr>
          <w:ilvl w:val="2"/>
          <w:numId w:val="241"/>
        </w:numPr>
        <w:rPr>
          <w:rFonts w:ascii="Arial" w:cs="Arial" w:eastAsia="Arial" w:hAnsi="Arial"/>
          <w:sz w:val="15"/>
          <w:szCs w:val="15"/>
          <w:color w:val="auto"/>
        </w:rPr>
      </w:pPr>
      <w:r>
        <w:rPr>
          <w:rFonts w:ascii="Arial" w:cs="Arial" w:eastAsia="Arial" w:hAnsi="Arial"/>
          <w:sz w:val="15"/>
          <w:szCs w:val="15"/>
          <w:color w:val="auto"/>
        </w:rPr>
        <w:t>no suspension of the qualification of any of the Subscribed Securities or the Common Stock for offering or sale or trading in any jurisdiction, or initiation or threatening of any proceedings for any of such purposes, shall have occurred and the shares of Common Stock underlying the Subscribed Notes and Subscribed Warrants (the “</w:t>
      </w:r>
      <w:r>
        <w:rPr>
          <w:rFonts w:ascii="Arial" w:cs="Arial" w:eastAsia="Arial" w:hAnsi="Arial"/>
          <w:sz w:val="15"/>
          <w:szCs w:val="15"/>
          <w:u w:val="single" w:color="auto"/>
          <w:color w:val="auto"/>
        </w:rPr>
        <w:t>Underlying Shares</w:t>
      </w:r>
      <w:r>
        <w:rPr>
          <w:rFonts w:ascii="Arial" w:cs="Arial" w:eastAsia="Arial" w:hAnsi="Arial"/>
          <w:sz w:val="15"/>
          <w:szCs w:val="15"/>
          <w:color w:val="auto"/>
        </w:rPr>
        <w:t>”) shall have been approved for listing on The Nasdaq Stock Market LLC (“</w:t>
      </w:r>
      <w:r>
        <w:rPr>
          <w:rFonts w:ascii="Arial" w:cs="Arial" w:eastAsia="Arial" w:hAnsi="Arial"/>
          <w:sz w:val="15"/>
          <w:szCs w:val="15"/>
          <w:u w:val="single" w:color="auto"/>
          <w:color w:val="auto"/>
        </w:rPr>
        <w:t>NASDAQ</w:t>
      </w:r>
      <w:r>
        <w:rPr>
          <w:rFonts w:ascii="Arial" w:cs="Arial" w:eastAsia="Arial" w:hAnsi="Arial"/>
          <w:sz w:val="15"/>
          <w:szCs w:val="15"/>
          <w:color w:val="auto"/>
        </w:rPr>
        <w:t>”), subject to official notice of issuance;</w:t>
      </w:r>
    </w:p>
    <w:p>
      <w:pPr>
        <w:spacing w:after="0" w:line="146" w:lineRule="exact"/>
        <w:rPr>
          <w:rFonts w:ascii="Arial" w:cs="Arial" w:eastAsia="Arial" w:hAnsi="Arial"/>
          <w:sz w:val="15"/>
          <w:szCs w:val="15"/>
          <w:color w:val="auto"/>
        </w:rPr>
      </w:pPr>
    </w:p>
    <w:p>
      <w:pPr>
        <w:ind w:left="4" w:right="20" w:firstLine="1716"/>
        <w:spacing w:after="0" w:line="349" w:lineRule="auto"/>
        <w:tabs>
          <w:tab w:leader="none" w:pos="1983" w:val="left"/>
        </w:tabs>
        <w:numPr>
          <w:ilvl w:val="2"/>
          <w:numId w:val="241"/>
        </w:numPr>
        <w:rPr>
          <w:rFonts w:ascii="Arial" w:cs="Arial" w:eastAsia="Arial" w:hAnsi="Arial"/>
          <w:sz w:val="14"/>
          <w:szCs w:val="14"/>
          <w:color w:val="auto"/>
        </w:rPr>
      </w:pPr>
      <w:r>
        <w:rPr>
          <w:rFonts w:ascii="Arial" w:cs="Arial" w:eastAsia="Arial" w:hAnsi="Arial"/>
          <w:sz w:val="14"/>
          <w:szCs w:val="14"/>
          <w:color w:val="auto"/>
        </w:rPr>
        <w:t>all conditions precedent to the closing of the Transaction set forth in the Transaction Agreement, including the approval of the Company’s stockholders, shall have been satisfied or waived, and the closing of the Transaction shall be scheduled to occur concurrently with or immediately following the Closing; and</w:t>
      </w:r>
    </w:p>
    <w:p>
      <w:pPr>
        <w:spacing w:after="0" w:line="105" w:lineRule="exact"/>
        <w:rPr>
          <w:rFonts w:ascii="Arial" w:cs="Arial" w:eastAsia="Arial" w:hAnsi="Arial"/>
          <w:sz w:val="14"/>
          <w:szCs w:val="14"/>
          <w:color w:val="auto"/>
        </w:rPr>
      </w:pPr>
    </w:p>
    <w:p>
      <w:pPr>
        <w:jc w:val="both"/>
        <w:ind w:left="4" w:firstLine="1716"/>
        <w:spacing w:after="0" w:line="297" w:lineRule="auto"/>
        <w:tabs>
          <w:tab w:leader="none" w:pos="2018" w:val="left"/>
        </w:tabs>
        <w:numPr>
          <w:ilvl w:val="2"/>
          <w:numId w:val="241"/>
        </w:numPr>
        <w:rPr>
          <w:rFonts w:ascii="Arial" w:cs="Arial" w:eastAsia="Arial" w:hAnsi="Arial"/>
          <w:sz w:val="14"/>
          <w:szCs w:val="14"/>
          <w:color w:val="auto"/>
        </w:rPr>
      </w:pPr>
      <w:r>
        <w:rPr>
          <w:rFonts w:ascii="Arial" w:cs="Arial" w:eastAsia="Arial" w:hAnsi="Arial"/>
          <w:sz w:val="14"/>
          <w:szCs w:val="14"/>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(except in the case of a governmental authority located outside the United States where such judgment, order, law, rule or regulation would not be reasonably expected to have a Company Material Adverse Effect (as defined below)); and no such governmental authority shall have instituted or threatened in writing a proceeding seeking to impose any such restraint or prohibition (except in the case of a governmental authority located outside the United States where such restraint or prohibition would not be reasonably expected to have a Company Material Adverse Effect).</w:t>
      </w:r>
    </w:p>
    <w:p>
      <w:pPr>
        <w:spacing w:after="0" w:line="143" w:lineRule="exact"/>
        <w:rPr>
          <w:rFonts w:ascii="Arial" w:cs="Arial" w:eastAsia="Arial" w:hAnsi="Arial"/>
          <w:sz w:val="14"/>
          <w:szCs w:val="14"/>
          <w:color w:val="auto"/>
        </w:rPr>
      </w:pPr>
    </w:p>
    <w:p>
      <w:pPr>
        <w:ind w:left="4" w:right="20" w:firstLine="1143"/>
        <w:spacing w:after="0" w:line="275" w:lineRule="auto"/>
        <w:tabs>
          <w:tab w:leader="none" w:pos="1313" w:val="left"/>
        </w:tabs>
        <w:numPr>
          <w:ilvl w:val="1"/>
          <w:numId w:val="242"/>
        </w:numPr>
        <w:rPr>
          <w:rFonts w:ascii="Arial" w:cs="Arial" w:eastAsia="Arial" w:hAnsi="Arial"/>
          <w:sz w:val="16"/>
          <w:szCs w:val="16"/>
          <w:color w:val="auto"/>
        </w:rPr>
      </w:pPr>
      <w:r>
        <w:rPr>
          <w:rFonts w:ascii="Arial" w:cs="Arial" w:eastAsia="Arial" w:hAnsi="Arial"/>
          <w:sz w:val="16"/>
          <w:szCs w:val="16"/>
          <w:color w:val="auto"/>
        </w:rPr>
        <w:t>The obligation of the Company to consummate the Closing shall be subject to the satisfaction or valid waiver in writing by the Company of the additional conditions that, on the Closing Date:</w:t>
      </w:r>
    </w:p>
    <w:p>
      <w:pPr>
        <w:spacing w:after="0" w:line="151" w:lineRule="exact"/>
        <w:rPr>
          <w:rFonts w:ascii="Arial" w:cs="Arial" w:eastAsia="Arial" w:hAnsi="Arial"/>
          <w:sz w:val="16"/>
          <w:szCs w:val="16"/>
          <w:color w:val="auto"/>
        </w:rPr>
      </w:pPr>
    </w:p>
    <w:p>
      <w:pPr>
        <w:ind w:left="1924" w:hanging="204"/>
        <w:spacing w:after="0"/>
        <w:tabs>
          <w:tab w:leader="none" w:pos="1924" w:val="left"/>
        </w:tabs>
        <w:numPr>
          <w:ilvl w:val="2"/>
          <w:numId w:val="24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are true and correct in all material respects (other than</w:t>
      </w:r>
    </w:p>
    <w:p>
      <w:pPr>
        <w:spacing w:after="0" w:line="42" w:lineRule="exact"/>
        <w:rPr>
          <w:rFonts w:ascii="Arial" w:cs="Arial" w:eastAsia="Arial" w:hAnsi="Arial"/>
          <w:sz w:val="14"/>
          <w:szCs w:val="14"/>
          <w:color w:val="auto"/>
        </w:rPr>
      </w:pPr>
    </w:p>
    <w:p>
      <w:pPr>
        <w:jc w:val="both"/>
        <w:ind w:left="4" w:right="20" w:hanging="4"/>
        <w:spacing w:after="0" w:line="254" w:lineRule="auto"/>
        <w:tabs>
          <w:tab w:leader="none" w:pos="23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those representations and warranties expressly made as of an earlier date, which shall be true and correct in all material respects as of such date, and (y) representations and warranties that are qualified as to materiality or Subscriber Material Adverse Effect (as defined below), which representations and warranties shall be true in all respects) at and as of the Closing Date; and</w:t>
      </w:r>
    </w:p>
    <w:p>
      <w:pPr>
        <w:spacing w:after="0" w:line="167" w:lineRule="exact"/>
        <w:rPr>
          <w:rFonts w:ascii="Arial" w:cs="Arial" w:eastAsia="Arial" w:hAnsi="Arial"/>
          <w:sz w:val="16"/>
          <w:szCs w:val="16"/>
          <w:color w:val="auto"/>
        </w:rPr>
      </w:pPr>
    </w:p>
    <w:p>
      <w:pPr>
        <w:jc w:val="both"/>
        <w:ind w:left="4" w:right="20" w:firstLine="1716"/>
        <w:spacing w:after="0" w:line="287" w:lineRule="auto"/>
        <w:tabs>
          <w:tab w:leader="none" w:pos="1971" w:val="left"/>
        </w:tabs>
        <w:numPr>
          <w:ilvl w:val="2"/>
          <w:numId w:val="243"/>
        </w:numPr>
        <w:rPr>
          <w:rFonts w:ascii="Arial" w:cs="Arial" w:eastAsia="Arial" w:hAnsi="Arial"/>
          <w:sz w:val="15"/>
          <w:szCs w:val="15"/>
          <w:color w:val="auto"/>
        </w:rPr>
      </w:pPr>
      <w:r>
        <w:rPr>
          <w:rFonts w:ascii="Arial" w:cs="Arial" w:eastAsia="Arial" w:hAnsi="Arial"/>
          <w:sz w:val="15"/>
          <w:szCs w:val="15"/>
          <w:color w:val="auto"/>
        </w:rPr>
        <w:t>Subscriber shall have performed, satisfied and complied in all material respects with all covenants, agreements and conditions required by this Subscription Agreement to be performed, satisfied or complied with by it at or prior to the Closing, except where the failure of such performance or compliance would not reasonably be expected to prevent, materially delay or materially impair the ability of the Company to consummate the Closing.</w:t>
      </w:r>
    </w:p>
    <w:p>
      <w:pPr>
        <w:spacing w:after="0" w:line="146" w:lineRule="exact"/>
        <w:rPr>
          <w:rFonts w:ascii="Arial" w:cs="Arial" w:eastAsia="Arial" w:hAnsi="Arial"/>
          <w:sz w:val="15"/>
          <w:szCs w:val="15"/>
          <w:color w:val="auto"/>
        </w:rPr>
      </w:pPr>
    </w:p>
    <w:p>
      <w:pPr>
        <w:ind w:left="4" w:right="20" w:firstLine="1143"/>
        <w:spacing w:after="0" w:line="275" w:lineRule="auto"/>
        <w:tabs>
          <w:tab w:leader="none" w:pos="1305"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obligation of Subscriber to consummate the Closing shall be subject to the satisfaction or valid waiver by Subscriber of the additional conditions that, on the Closing Date:</w:t>
      </w:r>
    </w:p>
    <w:p>
      <w:pPr>
        <w:spacing w:after="0" w:line="151" w:lineRule="exact"/>
        <w:rPr>
          <w:rFonts w:ascii="Arial" w:cs="Arial" w:eastAsia="Arial" w:hAnsi="Arial"/>
          <w:sz w:val="16"/>
          <w:szCs w:val="16"/>
          <w:color w:val="auto"/>
        </w:rPr>
      </w:pPr>
    </w:p>
    <w:p>
      <w:pPr>
        <w:jc w:val="both"/>
        <w:ind w:left="4" w:firstLine="1716"/>
        <w:spacing w:after="0" w:line="258" w:lineRule="auto"/>
        <w:tabs>
          <w:tab w:leader="none" w:pos="192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all representations and warranties of the Company contained in this Subscription Agreement are true and correct in all material respects (other than (x) those representations and warranties expressly made as of an earlier date, which shall be true and correct in all material respects as of such date, and (y) representations and warranties that are qualified as to materiality or Company Material Adverse Effect (as defined below), which representations and warranties shall be true in all respects) at and as of the Closing Date;</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27" w:name="page228"/>
    <w:bookmarkEnd w:id="227"/>
    <w:p>
      <w:pPr>
        <w:ind w:right="20" w:firstLine="1716"/>
        <w:spacing w:after="0" w:line="275" w:lineRule="auto"/>
        <w:tabs>
          <w:tab w:leader="none" w:pos="195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right="20" w:firstLine="1716"/>
        <w:spacing w:after="0" w:line="349" w:lineRule="auto"/>
        <w:tabs>
          <w:tab w:leader="none" w:pos="200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there shall have been no amendment, waiver or modification to the Transaction Agreement that materially and adversely affects the Company or the economic benefits that Subscriber would reasonably expect to receive under this Subscription Agreement without having received Subscriber’s prior written consent;</w:t>
      </w:r>
    </w:p>
    <w:p>
      <w:pPr>
        <w:spacing w:after="0" w:line="105" w:lineRule="exact"/>
        <w:rPr>
          <w:rFonts w:ascii="Arial" w:cs="Arial" w:eastAsia="Arial" w:hAnsi="Arial"/>
          <w:sz w:val="14"/>
          <w:szCs w:val="14"/>
          <w:color w:val="auto"/>
        </w:rPr>
      </w:pPr>
    </w:p>
    <w:p>
      <w:pPr>
        <w:jc w:val="both"/>
        <w:ind w:right="20" w:firstLine="1716"/>
        <w:spacing w:after="0" w:line="273" w:lineRule="auto"/>
        <w:tabs>
          <w:tab w:leader="none" w:pos="199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 xml:space="preserve">the Company shall not have entered into any Other Subscription Agreement relating to Notes with a lower purchase price per $1,000 principal amount of the Subscribed Notes or other terms (economic or otherwise) more favorable to such Other Subscriber than as set forth in this Subscription Agreement, other than with respect to (a) the amounts and types of the Company’s securities to be subscribed for and purchased by the Other Subscribers, (b) certain fees payable by Presto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(c) certain closing conditions in the Other Subscription Agreements relating to the Subscribed Notes, (d)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(e) certain registration rights;</w:t>
      </w:r>
    </w:p>
    <w:p>
      <w:pPr>
        <w:spacing w:after="0" w:line="156" w:lineRule="exact"/>
        <w:rPr>
          <w:rFonts w:ascii="Arial" w:cs="Arial" w:eastAsia="Arial" w:hAnsi="Arial"/>
          <w:sz w:val="15"/>
          <w:szCs w:val="15"/>
          <w:color w:val="auto"/>
        </w:rPr>
      </w:pPr>
    </w:p>
    <w:p>
      <w:pPr>
        <w:ind w:left="1940" w:hanging="224"/>
        <w:spacing w:after="0"/>
        <w:tabs>
          <w:tab w:leader="none" w:pos="19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there has not occurred a Company Material Adverse Effect;</w:t>
      </w:r>
    </w:p>
    <w:p>
      <w:pPr>
        <w:spacing w:after="0" w:line="198" w:lineRule="exact"/>
        <w:rPr>
          <w:rFonts w:ascii="Arial" w:cs="Arial" w:eastAsia="Arial" w:hAnsi="Arial"/>
          <w:sz w:val="16"/>
          <w:szCs w:val="16"/>
          <w:color w:val="auto"/>
        </w:rPr>
      </w:pPr>
    </w:p>
    <w:p>
      <w:pPr>
        <w:ind w:right="20" w:firstLine="1716"/>
        <w:spacing w:after="0" w:line="275" w:lineRule="auto"/>
        <w:tabs>
          <w:tab w:leader="none" w:pos="201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Company’s financial statements for the year ended June 30, 2021 shall have been audited and accompanied by a report and opinion of a registered public accounting firm prepared in accordance with audit standards of the Public Company Accounting Oversight Board;</w:t>
      </w:r>
    </w:p>
    <w:p>
      <w:pPr>
        <w:spacing w:after="0" w:line="151" w:lineRule="exact"/>
        <w:rPr>
          <w:rFonts w:ascii="Arial" w:cs="Arial" w:eastAsia="Arial" w:hAnsi="Arial"/>
          <w:sz w:val="16"/>
          <w:szCs w:val="16"/>
          <w:color w:val="auto"/>
        </w:rPr>
      </w:pPr>
    </w:p>
    <w:p>
      <w:pPr>
        <w:jc w:val="both"/>
        <w:ind w:firstLine="1716"/>
        <w:spacing w:after="0" w:line="258" w:lineRule="auto"/>
        <w:tabs>
          <w:tab w:leader="none" w:pos="205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provided the Transaction is consummated, the Company shall have paid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 in the aggregate, to the extent invoiced at least one (1) Business Day prior to the Closing Date;</w:t>
      </w:r>
    </w:p>
    <w:p>
      <w:pPr>
        <w:spacing w:after="0" w:line="164" w:lineRule="exact"/>
        <w:rPr>
          <w:rFonts w:ascii="Arial" w:cs="Arial" w:eastAsia="Arial" w:hAnsi="Arial"/>
          <w:sz w:val="16"/>
          <w:szCs w:val="16"/>
          <w:color w:val="auto"/>
        </w:rPr>
      </w:pPr>
    </w:p>
    <w:p>
      <w:pPr>
        <w:jc w:val="both"/>
        <w:ind w:right="20" w:firstLine="1716"/>
        <w:spacing w:after="0" w:line="349" w:lineRule="auto"/>
        <w:tabs>
          <w:tab w:leader="none" w:pos="2086"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provided the Transaction is consummated, the Company shall have paid a one-time fee to Subscriber equal to 2.0% of the aggregate principal amount of the Subscribed Notes, and the Sponsors shall have transferred an aggregate of 300,000 of the shares of Common Stock that are owned by the Sponsors to Subscriber;</w:t>
      </w:r>
    </w:p>
    <w:p>
      <w:pPr>
        <w:spacing w:after="0" w:line="105" w:lineRule="exact"/>
        <w:rPr>
          <w:rFonts w:ascii="Arial" w:cs="Arial" w:eastAsia="Arial" w:hAnsi="Arial"/>
          <w:sz w:val="14"/>
          <w:szCs w:val="14"/>
          <w:color w:val="auto"/>
        </w:rPr>
      </w:pPr>
    </w:p>
    <w:p>
      <w:pPr>
        <w:ind w:firstLine="1716"/>
        <w:spacing w:after="0" w:line="275" w:lineRule="auto"/>
        <w:tabs>
          <w:tab w:leader="none" w:pos="199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there shall be no Default or Event of Default (each as defined in the Indenture) under the Indenture as of the Closing Date on a pro forma basis after giving effect to the Transaction;</w:t>
      </w:r>
    </w:p>
    <w:p>
      <w:pPr>
        <w:spacing w:after="0" w:line="151" w:lineRule="exact"/>
        <w:rPr>
          <w:rFonts w:ascii="Arial" w:cs="Arial" w:eastAsia="Arial" w:hAnsi="Arial"/>
          <w:sz w:val="16"/>
          <w:szCs w:val="16"/>
          <w:color w:val="auto"/>
        </w:rPr>
      </w:pPr>
    </w:p>
    <w:p>
      <w:pPr>
        <w:jc w:val="both"/>
        <w:ind w:right="20" w:firstLine="1716"/>
        <w:spacing w:after="0" w:line="255" w:lineRule="auto"/>
        <w:tabs>
          <w:tab w:leader="none" w:pos="195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the Company shall not have received any consideration from any Other Subscriber that is not otherwise contemplated in such Other Subscription Agreement as in effect as of the date hereof in order to, directly or indirectly, induce the Company or any Subsidiary (i) to treat such Other Subscriber in a manner that is more favorable than the Subscriber, or (ii) to treat the Subscriber in a manner that is less favorable than any Other Subscriber; provided, however, that the determination of whether the Subscriber has been treated more or less favorably than any Other Subscriber shall disregard any other securities (other than the Subscribed Notes) of the Company purchased by the Subscriber or Other Subscriber, respectively;</w:t>
      </w:r>
    </w:p>
    <w:p>
      <w:pPr>
        <w:spacing w:after="0" w:line="169" w:lineRule="exact"/>
        <w:rPr>
          <w:rFonts w:ascii="Arial" w:cs="Arial" w:eastAsia="Arial" w:hAnsi="Arial"/>
          <w:sz w:val="16"/>
          <w:szCs w:val="16"/>
          <w:color w:val="auto"/>
        </w:rPr>
      </w:pPr>
    </w:p>
    <w:p>
      <w:pPr>
        <w:jc w:val="both"/>
        <w:ind w:right="20" w:firstLine="1716"/>
        <w:spacing w:after="0" w:line="317" w:lineRule="auto"/>
        <w:tabs>
          <w:tab w:leader="none" w:pos="1992"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if the gross proceeds of the Notes are equal to or greater than $70.0 million on the Closing Date, the Company shall have applied $15,000,000 of the Purchase Price substantially concurrently with the Closing to repay the existing senior secured debt of Company under the Venture Loan and Security Agreement, dated as of March 5, 2021, by and between Horizon Technology Finance Corporation, as lender and collateral agent, and Presto, as borrower (“</w:t>
      </w:r>
      <w:r>
        <w:rPr>
          <w:rFonts w:ascii="Arial" w:cs="Arial" w:eastAsia="Arial" w:hAnsi="Arial"/>
          <w:sz w:val="14"/>
          <w:szCs w:val="14"/>
          <w:u w:val="single" w:color="auto"/>
          <w:color w:val="auto"/>
        </w:rPr>
        <w:t>Horizon Credit Facility</w:t>
      </w:r>
      <w:r>
        <w:rPr>
          <w:rFonts w:ascii="Arial" w:cs="Arial" w:eastAsia="Arial" w:hAnsi="Arial"/>
          <w:sz w:val="14"/>
          <w:szCs w:val="14"/>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8" w:name="page229"/>
    <w:bookmarkEnd w:id="228"/>
    <w:p>
      <w:pPr>
        <w:ind w:right="20" w:firstLine="1716"/>
        <w:spacing w:after="0" w:line="275" w:lineRule="auto"/>
        <w:tabs>
          <w:tab w:leader="none" w:pos="2042" w:val="left"/>
        </w:tabs>
        <w:numPr>
          <w:ilvl w:val="2"/>
          <w:numId w:val="246"/>
        </w:numPr>
        <w:rPr>
          <w:rFonts w:ascii="Arial" w:cs="Arial" w:eastAsia="Arial" w:hAnsi="Arial"/>
          <w:sz w:val="16"/>
          <w:szCs w:val="16"/>
          <w:color w:val="auto"/>
        </w:rPr>
      </w:pPr>
      <w:r>
        <w:rPr>
          <w:rFonts w:ascii="Arial" w:cs="Arial" w:eastAsia="Arial" w:hAnsi="Arial"/>
          <w:sz w:val="16"/>
          <w:szCs w:val="16"/>
          <w:color w:val="auto"/>
        </w:rPr>
        <w:t>if the gross proceeds of the issuance of Common Stock pursuant to the Other Subscription Agreements is less than $35 million on the Closing Date, the Indenture shall have reflected an increase of 1.5% in both the cash and PIK interest rates; and</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2"/>
          <w:numId w:val="246"/>
        </w:numPr>
        <w:rPr>
          <w:rFonts w:ascii="Arial" w:cs="Arial" w:eastAsia="Arial" w:hAnsi="Arial"/>
          <w:sz w:val="16"/>
          <w:szCs w:val="16"/>
          <w:color w:val="auto"/>
        </w:rPr>
      </w:pPr>
      <w:r>
        <w:rPr>
          <w:rFonts w:ascii="Arial" w:cs="Arial" w:eastAsia="Arial" w:hAnsi="Arial"/>
          <w:sz w:val="16"/>
          <w:szCs w:val="16"/>
          <w:color w:val="auto"/>
        </w:rPr>
        <w:t>the Company and Subscriber shall have entered into the Confidentiality Agreement.</w:t>
      </w:r>
    </w:p>
    <w:p>
      <w:pPr>
        <w:spacing w:after="0" w:line="198" w:lineRule="exact"/>
        <w:rPr>
          <w:rFonts w:ascii="Arial" w:cs="Arial" w:eastAsia="Arial" w:hAnsi="Arial"/>
          <w:sz w:val="16"/>
          <w:szCs w:val="16"/>
          <w:color w:val="auto"/>
        </w:rPr>
      </w:pPr>
    </w:p>
    <w:p>
      <w:pPr>
        <w:ind w:left="1280" w:hanging="137"/>
        <w:spacing w:after="0"/>
        <w:tabs>
          <w:tab w:leader="none" w:pos="1280" w:val="left"/>
        </w:tabs>
        <w:numPr>
          <w:ilvl w:val="1"/>
          <w:numId w:val="247"/>
        </w:numPr>
        <w:rPr>
          <w:rFonts w:ascii="Arial" w:cs="Arial" w:eastAsia="Arial" w:hAnsi="Arial"/>
          <w:sz w:val="14"/>
          <w:szCs w:val="14"/>
          <w:color w:val="auto"/>
        </w:rPr>
      </w:pPr>
      <w:r>
        <w:rPr>
          <w:rFonts w:ascii="Arial" w:cs="Arial" w:eastAsia="Arial" w:hAnsi="Arial"/>
          <w:sz w:val="14"/>
          <w:szCs w:val="14"/>
          <w:color w:val="auto"/>
        </w:rPr>
        <w:t>Prior to or at the Closing, Subscriber shall deliver to the Company a duly completed and executed Internal Revenue Service Form W-9 or appropriate Form</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W-8.</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1"/>
          <w:numId w:val="247"/>
        </w:numPr>
        <w:rPr>
          <w:rFonts w:ascii="Arial" w:cs="Arial" w:eastAsia="Arial" w:hAnsi="Arial"/>
          <w:sz w:val="15"/>
          <w:szCs w:val="15"/>
          <w:color w:val="auto"/>
        </w:rPr>
      </w:pPr>
      <w:r>
        <w:rPr>
          <w:rFonts w:ascii="Arial" w:cs="Arial" w:eastAsia="Arial" w:hAnsi="Arial"/>
          <w:sz w:val="15"/>
          <w:szCs w:val="15"/>
          <w:color w:val="auto"/>
        </w:rPr>
        <w:t>For the avoidance of doubt, the Closing shall not be subject to Company’s consummation of the transactions pursuant to the Other Subscription</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left="720" w:hanging="151"/>
        <w:spacing w:after="0"/>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Company Representations and Warranties</w:t>
      </w:r>
      <w:r>
        <w:rPr>
          <w:rFonts w:ascii="Arial" w:cs="Arial" w:eastAsia="Arial" w:hAnsi="Arial"/>
          <w:sz w:val="16"/>
          <w:szCs w:val="16"/>
          <w:color w:val="auto"/>
        </w:rPr>
        <w:t>. The Company represents and warrants to Subscriber and the Placement Agents (as defined below) that: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297" w:val="left"/>
        </w:tabs>
        <w:numPr>
          <w:ilvl w:val="1"/>
          <w:numId w:val="248"/>
        </w:numPr>
        <w:rPr>
          <w:rFonts w:ascii="Arial" w:cs="Arial" w:eastAsia="Arial" w:hAnsi="Arial"/>
          <w:sz w:val="15"/>
          <w:szCs w:val="15"/>
          <w:color w:val="auto"/>
        </w:rPr>
      </w:pPr>
      <w:r>
        <w:rPr>
          <w:rFonts w:ascii="Arial" w:cs="Arial" w:eastAsia="Arial" w:hAnsi="Arial"/>
          <w:sz w:val="15"/>
          <w:szCs w:val="15"/>
          <w:color w:val="auto"/>
        </w:rPr>
        <w:t>The Company (i) is duly organized, validly existing and in good standing under the laws of its jurisdiction of incorporation; (ii) has the requisite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Arial" w:cs="Arial" w:eastAsia="Arial" w:hAnsi="Arial"/>
          <w:sz w:val="15"/>
          <w:szCs w:val="15"/>
          <w:u w:val="single" w:color="auto"/>
          <w:color w:val="auto"/>
        </w:rPr>
        <w:t>Company Material Adverse Effect</w:t>
      </w:r>
      <w:r>
        <w:rPr>
          <w:rFonts w:ascii="Arial" w:cs="Arial" w:eastAsia="Arial" w:hAnsi="Arial"/>
          <w:sz w:val="15"/>
          <w:szCs w:val="15"/>
          <w:color w:val="auto"/>
        </w:rPr>
        <w:t>” means an event, change, development, occurrence, condition or effect with respect to the Company and its subsidiaries, taken together as a whole (on a consolidated basis), that, individually or in the aggregate, (A) would reasonably be expected to have a material adverse effect on the business, financial condition or results of operations of the Company and its subsidiaries, taken together as a whole (on a consolidated basis) or (B) would prevent, materially delay or materially impede the performance by the Company or its subsidiaries of their respective obligations under this Subscription Agreement, including the sale of the Subscribed Securities, the Transaction Agreement or the consummation of the Transaction.</w:t>
      </w:r>
    </w:p>
    <w:p>
      <w:pPr>
        <w:spacing w:after="0" w:line="162" w:lineRule="exact"/>
        <w:rPr>
          <w:rFonts w:ascii="Arial" w:cs="Arial" w:eastAsia="Arial" w:hAnsi="Arial"/>
          <w:sz w:val="15"/>
          <w:szCs w:val="15"/>
          <w:color w:val="auto"/>
        </w:rPr>
      </w:pPr>
    </w:p>
    <w:p>
      <w:pPr>
        <w:jc w:val="both"/>
        <w:ind w:right="20" w:firstLine="1143"/>
        <w:spacing w:after="0" w:line="276" w:lineRule="auto"/>
        <w:tabs>
          <w:tab w:leader="none" w:pos="1308" w:val="left"/>
        </w:tabs>
        <w:numPr>
          <w:ilvl w:val="1"/>
          <w:numId w:val="248"/>
        </w:numPr>
        <w:rPr>
          <w:rFonts w:ascii="Arial" w:cs="Arial" w:eastAsia="Arial" w:hAnsi="Arial"/>
          <w:sz w:val="15"/>
          <w:szCs w:val="15"/>
          <w:color w:val="auto"/>
        </w:rPr>
      </w:pPr>
      <w:r>
        <w:rPr>
          <w:rFonts w:ascii="Arial" w:cs="Arial" w:eastAsia="Arial" w:hAnsi="Arial"/>
          <w:sz w:val="15"/>
          <w:szCs w:val="15"/>
          <w:color w:val="auto"/>
        </w:rPr>
        <w:t>As of the Closing Date, the Subscribed Notes and Subscribed Warrants will be duly authorized and, when issued and delivered to Subscriber against full payment therefor in accordance with the terms of this Subscription Agreement, will be validly issued and will constitute legal, valid and binding obligations of the Company, enforceable against the Company in accordance with their terms, except that the enforcement thereof may be subject to applicable bankruptcy, insolvency or similar laws affecting creditors’ rights generally or by equitable principles relating to enforceability (collectively, the “Enforceability Exceptions”), and will not have been issued in violation of any preemptive rights created under the Company’s organizational documents or the laws of the State of Delaware.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0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Underlying Shares have been duly authorized and, when issued and delivered to Subscriber upon conversion of the Subscribed Notes or Subscribed Warrants, will be validly issued, fully paid and nonassessable and will not have been issued in violation of any preemptive rights created under the Company’s organizational documents or the laws of the State of Delaware.</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329"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that the enforcement thereof may be subject to the Enforceability Exceptions.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9" w:name="page230"/>
    <w:bookmarkEnd w:id="229"/>
    <w:p>
      <w:pPr>
        <w:jc w:val="both"/>
        <w:ind w:right="20" w:firstLine="1147"/>
        <w:spacing w:after="0" w:line="262" w:lineRule="auto"/>
        <w:rPr>
          <w:sz w:val="20"/>
          <w:szCs w:val="20"/>
          <w:color w:val="auto"/>
        </w:rPr>
      </w:pPr>
      <w:r>
        <w:rPr>
          <w:rFonts w:ascii="Arial" w:cs="Arial" w:eastAsia="Arial" w:hAnsi="Arial"/>
          <w:sz w:val="16"/>
          <w:szCs w:val="16"/>
          <w:color w:val="auto"/>
        </w:rPr>
        <w:t>e. The Indenture has been duly authorized by the Company and, when duly authorized, executed and delivered by the Trustee, shall constitute the valid and legally binding obligation of the Company, enforceable against the Company in accordance with its terms, except that the enforcement thereof may be subject to the Enforceability Exceptions.</w:t>
      </w:r>
    </w:p>
    <w:p>
      <w:pPr>
        <w:spacing w:after="0" w:line="162" w:lineRule="exact"/>
        <w:rPr>
          <w:sz w:val="20"/>
          <w:szCs w:val="20"/>
          <w:color w:val="auto"/>
        </w:rPr>
      </w:pPr>
    </w:p>
    <w:p>
      <w:pPr>
        <w:jc w:val="both"/>
        <w:ind w:firstLine="1143"/>
        <w:spacing w:after="0" w:line="271" w:lineRule="auto"/>
        <w:tabs>
          <w:tab w:leader="none" w:pos="1361"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execution and delivery of this Subscription Agreement, the issuance and sale of the Subscribed Securities, the issuance and delivery of the Underlying Shares in accordance with the terms of the Indenture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 or have a material adverse effect on the Company’s ability to consummate the transactions contemplated hereby, including the issuance and sale of the Subscribed Securities.</w:t>
      </w:r>
    </w:p>
    <w:p>
      <w:pPr>
        <w:spacing w:after="0" w:line="159" w:lineRule="exact"/>
        <w:rPr>
          <w:rFonts w:ascii="Arial" w:cs="Arial" w:eastAsia="Arial" w:hAnsi="Arial"/>
          <w:sz w:val="15"/>
          <w:szCs w:val="15"/>
          <w:color w:val="auto"/>
        </w:rPr>
      </w:pPr>
    </w:p>
    <w:p>
      <w:pPr>
        <w:jc w:val="both"/>
        <w:ind w:firstLine="1143"/>
        <w:spacing w:after="0" w:line="276" w:lineRule="auto"/>
        <w:tabs>
          <w:tab w:leader="none" w:pos="131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The Subscribed Securities are not, and following the Closing, will not be, subject to any Transfer Restriction. The term “Transfer Restriction” means any condition to or restriction on the ability of the undersigned to pledge, sell, assign or otherwise transfer the Subscribed Securities under any organizational document, policy or agreement of, by or with the Company, but excluding the restrictions on transfer described in the Indenture, the Warrant Agreement, the Registration Rights Agreement and </w:t>
      </w:r>
      <w:r>
        <w:rPr>
          <w:rFonts w:ascii="Arial" w:cs="Arial" w:eastAsia="Arial" w:hAnsi="Arial"/>
          <w:sz w:val="15"/>
          <w:szCs w:val="15"/>
          <w:u w:val="single" w:color="auto"/>
          <w:color w:val="auto"/>
        </w:rPr>
        <w:t>Section 4(e)</w:t>
      </w:r>
      <w:r>
        <w:rPr>
          <w:rFonts w:ascii="Arial" w:cs="Arial" w:eastAsia="Arial" w:hAnsi="Arial"/>
          <w:sz w:val="15"/>
          <w:szCs w:val="15"/>
          <w:color w:val="auto"/>
        </w:rPr>
        <w:t xml:space="preserve"> of this Subscription Agreement with respect to the status of the Subscribed Securities as “restricted securities” pending their registration for resale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in accordance with the terms of this Subscription Agreement.</w:t>
      </w:r>
    </w:p>
    <w:p>
      <w:pPr>
        <w:spacing w:after="0" w:line="155" w:lineRule="exact"/>
        <w:rPr>
          <w:rFonts w:ascii="Arial" w:cs="Arial" w:eastAsia="Arial" w:hAnsi="Arial"/>
          <w:sz w:val="15"/>
          <w:szCs w:val="15"/>
          <w:color w:val="auto"/>
        </w:rPr>
      </w:pPr>
    </w:p>
    <w:p>
      <w:pPr>
        <w:jc w:val="both"/>
        <w:ind w:firstLine="1143"/>
        <w:spacing w:after="0" w:line="270" w:lineRule="auto"/>
        <w:tabs>
          <w:tab w:leader="none" w:pos="131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 xml:space="preserve">Assuming the accuracy of the representations and warranties of Subscriber, the Company is not required to obtain any consent, waiver, authorization or order of, give any notice to, or make any filing or registration with, any court or other federal, state, local or other governmental authority, self-regulatory organization (including the Nasdaq Stock Market) or other person in connection with the execution, delivery and performance of this Subscription Agreement (including, without limitation, the issuance of the Subscribed Securities), other than (i) filings required by applicable state securities laws, (ii) the filing of the registration statement pursuant to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below, (iii) the filing of a Notice of Exempt Offering of Securities on Form D with the United States Securities and Exchange Commission (“</w:t>
      </w:r>
      <w:r>
        <w:rPr>
          <w:rFonts w:ascii="Arial" w:cs="Arial" w:eastAsia="Arial" w:hAnsi="Arial"/>
          <w:sz w:val="15"/>
          <w:szCs w:val="15"/>
          <w:u w:val="single" w:color="auto"/>
          <w:color w:val="auto"/>
        </w:rPr>
        <w:t>Commission</w:t>
      </w:r>
      <w:r>
        <w:rPr>
          <w:rFonts w:ascii="Arial" w:cs="Arial" w:eastAsia="Arial" w:hAnsi="Arial"/>
          <w:sz w:val="15"/>
          <w:szCs w:val="15"/>
          <w:color w:val="auto"/>
        </w:rPr>
        <w:t>”) under Regulation D of the Securities Act, if applicable; (iv) those required by the Nasdaq Stock Market, including with respect to obtaining shareholder approval, (v) those required to consummate the Transaction as provided under the Transaction Agreement, (vi) the filing of notification under the Hart-Scott-Rodino Antitrust Improvements Act of 1976, if applicable, (vii) such as have been or will have been obtained, made or given on or prior to the Closing Date, and (viii) those the failure of which to obtain would not be reasonably likely to have a Company Material Adverse Effect or have a material adverse effect on the Company’s ability to consummate the transactions contemplated hereby, including the issuance and sale of the Subscribed Securities.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0" w:name="page231"/>
    <w:bookmarkEnd w:id="230"/>
    <w:p>
      <w:pPr>
        <w:jc w:val="both"/>
        <w:ind w:firstLine="1147"/>
        <w:spacing w:after="0" w:line="290" w:lineRule="auto"/>
        <w:rPr>
          <w:sz w:val="20"/>
          <w:szCs w:val="20"/>
          <w:color w:val="auto"/>
        </w:rPr>
      </w:pPr>
      <w:r>
        <w:rPr>
          <w:rFonts w:ascii="Arial" w:cs="Arial" w:eastAsia="Arial" w:hAnsi="Arial"/>
          <w:sz w:val="14"/>
          <w:szCs w:val="14"/>
          <w:color w:val="auto"/>
        </w:rPr>
        <w:t>i. As of their respective dates, all reports required to be filed by the Company with the Commission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requirements of the Securities Act and the Securities Exchange Act of 1934,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 description of the business and financial information of Presto set forth in the presentation dated November 2021 (the “</w:t>
      </w:r>
      <w:r>
        <w:rPr>
          <w:rFonts w:ascii="Arial" w:cs="Arial" w:eastAsia="Arial" w:hAnsi="Arial"/>
          <w:sz w:val="14"/>
          <w:szCs w:val="14"/>
          <w:u w:val="single" w:color="auto"/>
          <w:color w:val="auto"/>
        </w:rPr>
        <w:t>Investor Presentation</w:t>
      </w:r>
      <w:r>
        <w:rPr>
          <w:rFonts w:ascii="Arial" w:cs="Arial" w:eastAsia="Arial" w:hAnsi="Arial"/>
          <w:sz w:val="14"/>
          <w:szCs w:val="14"/>
          <w:color w:val="auto"/>
        </w:rPr>
        <w:t>”) made available to the undersigned prior to the execution of this Subscription Agreement, and as amended through the Closing Date, shall be consistent in all material respects with the description of the business and financial information of Presto described or included in the proxy statement of the Company filed in connection with the approval of the Transaction by the stockholders of the Company. Notwithstanding the foregoing, with respect to the proxy statement/prospectus to be filed by the Issuer with respect to the Transactions or any other information relating to the Transactions or to Target or any of its affiliates included in any SEC Report or filed as an exhibit thereto, the representation and warranty in this sentence is made to the Company’s knowledge.</w:t>
      </w:r>
    </w:p>
    <w:p>
      <w:pPr>
        <w:spacing w:after="0" w:line="151" w:lineRule="exact"/>
        <w:rPr>
          <w:sz w:val="20"/>
          <w:szCs w:val="20"/>
          <w:color w:val="auto"/>
        </w:rPr>
      </w:pPr>
    </w:p>
    <w:p>
      <w:pPr>
        <w:jc w:val="both"/>
        <w:ind w:firstLine="1147"/>
        <w:spacing w:after="0" w:line="286" w:lineRule="auto"/>
        <w:rPr>
          <w:sz w:val="20"/>
          <w:szCs w:val="20"/>
          <w:color w:val="auto"/>
        </w:rPr>
      </w:pPr>
      <w:r>
        <w:rPr>
          <w:rFonts w:ascii="Arial" w:cs="Arial" w:eastAsia="Arial" w:hAnsi="Arial"/>
          <w:sz w:val="14"/>
          <w:szCs w:val="14"/>
          <w:color w:val="auto"/>
        </w:rPr>
        <w:t>j. As of the date hereof and as of immediately prior to the Closing, the authorized share capital of the Company consists of 50,000,000 shares of Common stock and 1,000,000 preferred shares, par value $0.0001 per share (“Preferred Shares”). As of the Closing Date (and immediately after the consummation of the Transaction), the authorized share capital of the Company will consist of 180,000,000 shares of Common Stock and 1,500,000 Preferred Shares. As of the date hereof and as of immediately prior to the Closing: (i) 17,250,000 shares of Common Stock (excluding shares held by the Sponsors (the “</w:t>
      </w:r>
      <w:r>
        <w:rPr>
          <w:rFonts w:ascii="Arial" w:cs="Arial" w:eastAsia="Arial" w:hAnsi="Arial"/>
          <w:sz w:val="14"/>
          <w:szCs w:val="14"/>
          <w:u w:val="single" w:color="auto"/>
          <w:color w:val="auto"/>
        </w:rPr>
        <w:t>Founder Shares</w:t>
      </w:r>
      <w:r>
        <w:rPr>
          <w:rFonts w:ascii="Arial" w:cs="Arial" w:eastAsia="Arial" w:hAnsi="Arial"/>
          <w:sz w:val="14"/>
          <w:szCs w:val="14"/>
          <w:color w:val="auto"/>
        </w:rPr>
        <w:t>”)), 4,312,500 Founder Shares and no Preferred Shares were issued and outstanding; (ii) 17,250,000 public warrants, each exercisable to purchase one-half of one share of Common Stock at $11.50 per full share and 6,675,000 private placement warrants, (including 600,000 private placement warrants that will be cancelled at the Closing Date) each exercisable to purchase one share of Common Stock at $11.50 per full share (together “</w:t>
      </w:r>
      <w:r>
        <w:rPr>
          <w:rFonts w:ascii="Arial" w:cs="Arial" w:eastAsia="Arial" w:hAnsi="Arial"/>
          <w:sz w:val="14"/>
          <w:szCs w:val="14"/>
          <w:u w:val="single" w:color="auto"/>
          <w:color w:val="auto"/>
        </w:rPr>
        <w:t>Warrants</w:t>
      </w:r>
      <w:r>
        <w:rPr>
          <w:rFonts w:ascii="Arial" w:cs="Arial" w:eastAsia="Arial" w:hAnsi="Arial"/>
          <w:sz w:val="14"/>
          <w:szCs w:val="14"/>
          <w:color w:val="auto"/>
        </w:rPr>
        <w:t>”), were issued and outstanding; (iii) 17,250,000 rights, each right entitling the holder to receive one-twentieth of one share of common stock upon the consummation of the Transaction; and (iv) no Common Stock was subject to issuance upon exercise of outstanding options. As of the date hereof, the Company has no outstanding long-term indebtedness for borrowed money that is or would be required to be recognized as a long-term liability in accordance with generally accepted accounting principles (other than fees payable under the business combination marketing agreement entered into in connection with its initial public offering and/or warrant liability accounting treatment of the Company’s private placement warrants and/or public warrants) and will not have any long-term indebtedness for borrowed money that is or would be required to be recognized as a long-term liability in accordance with generally accepted accounting principles immediately prior to and as of the Closing (other than indebtedness owed to the Sponsors or their affiliates for the purpose of funding working capital or extending the term to complete the Business Combination from 15 months to 18 months, indebtedness under the Horizon Credit Facility to the extent outstanding borrowings thereunder are not repaid with the proceeds of the Notes, certain financing arrangements in connection with the purchase of inventory, sale of receivables and purchase and leasing of equipment, a loan from the Small Business Administration pursuant to the Paycheck Protection Program and warrant liability accounting treatment of the Company’s private placement warrants and/or public warrants) and all outstanding convertible promissory notes heretofore issued by Presto will have been converted into Common Stock pursuant to the terms of the Transaction Agreement as of the Closing. Immediately following the Closing, 3,169,438 Founder Shares (which may increase to 4,312,500 Shares subject to the number of shares of Common Stock redeemed as further described in the Transaction Agreement) and 6,675,000 private placement warrants (including 600,000 private placement warrants that will be cancelled at the Closing Date) will be fully vested, and up to 559,313 Founder Shares (which may decrease to 0 Shares subject to the number of shares of Common Stock redeemed as further described in the Transaction Agreement) are subject to vesting and shall be vested in the event the post-trading price of the Company’s Common Stock closes at or above $12.50 for 40 of 60 trading days. No Warrants are exercisable on or prior to the Closing. All (i) issued and outstanding Common Stock has been duly authorized and validly issued, is fully paid and non-assessable and is not subject to preemptive rights and (ii) outstanding Warrants have been duly authorized and validly issued, are fully paid and are not subject to preemptive rights. As of the date hereof, except as set forth above and pursuant to (i) this Agreement, (ii) the Other Subscription Agreements, (iii) the Transaction Agreement, (iv) any agreement(s) that the Company may enter into with third parties for the purpose of recapturing or reducing the shares of Common Stock redeemed by public shareholders, (such agreement(s), the “</w:t>
      </w:r>
      <w:r>
        <w:rPr>
          <w:rFonts w:ascii="Arial" w:cs="Arial" w:eastAsia="Arial" w:hAnsi="Arial"/>
          <w:sz w:val="14"/>
          <w:szCs w:val="14"/>
          <w:u w:val="single" w:color="auto"/>
          <w:color w:val="auto"/>
        </w:rPr>
        <w:t>Forward Purchase Agreement</w:t>
      </w:r>
      <w:r>
        <w:rPr>
          <w:rFonts w:ascii="Arial" w:cs="Arial" w:eastAsia="Arial" w:hAnsi="Arial"/>
          <w:sz w:val="14"/>
          <w:szCs w:val="14"/>
          <w:color w:val="auto"/>
        </w:rPr>
        <w:t>”), there are no outstanding options, warrants or other rights to subscribe for, purchase or acquire from the Company any Common Stock or other equity interests in the Company (collectively, “Equity Interests”) or securities convertible into or exchangeable or exercisable for Equity Interests. As of the date hereof,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Equity Interests, other than (A) the letter agreements entered into by the Company in connection with the Company’s initial public offering on December 30, 2020 pursuant to which the Company’s sponsor and the Company’s executive officers and independent directors agreed to vote in favor of any proposed Business Combination (as defined therein), which includes the Transaction, (B) as contemplated by the Transaction Agreement and (C) the Forward Purchase Agreement. There are no securities or instruments issued by or to which the Company is a party containing anti-dilution or similar provisions that will be triggered by the issuance of (i) the Subscribed Securities or (ii) the securities to be issued pursuant to any Other Subscription Agreement. Subscriber understands and acknowledges the Sponsors may from time to time enter into various agreements relating to the transfer of the Founder Shares and private placement warrants in furtherance of the Transaction, and that such agreements shall not be in violation of this Subscription Agreement so long as the aggregate number of outstanding Founder Shares or private placement warrants do not increase, the Sponsors shall promptly notify Subscriber if the aggregate number of Founder Shares or private placement warrants decrease as a result of such agreements.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1" w:name="page232"/>
    <w:bookmarkEnd w:id="231"/>
    <w:p>
      <w:pPr>
        <w:jc w:val="both"/>
        <w:ind w:right="20" w:firstLine="1147"/>
        <w:spacing w:after="0" w:line="276" w:lineRule="auto"/>
        <w:rPr>
          <w:sz w:val="20"/>
          <w:szCs w:val="20"/>
          <w:color w:val="auto"/>
        </w:rPr>
      </w:pPr>
      <w:r>
        <w:rPr>
          <w:rFonts w:ascii="Arial" w:cs="Arial" w:eastAsia="Arial" w:hAnsi="Arial"/>
          <w:sz w:val="15"/>
          <w:szCs w:val="15"/>
          <w:color w:val="auto"/>
        </w:rPr>
        <w:t>k. 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as of the date hereof, there is no (i) suit, action, investigation, proceeding or arbitration before a governmental authority or arbitrator pending, or, to the knowledge of the Company, threatened in writing against the Company or any of its directors or officers in their capacities as such or (ii) judgment, decree, injunction, ruling or order of any governmental authority or arbitrator outstanding against the Company or any of its directors or officers in their capacities as such.</w:t>
      </w:r>
    </w:p>
    <w:p>
      <w:pPr>
        <w:spacing w:after="0" w:line="155"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l. The issued and outstanding shares of Common Stock are registered pursuant to Section 12(b) of the Securities Exchange Act of 1934, as amended (the “Exchange Act”), and are listed for trading on the Nasdaq Stock Market under the symbol “VTAQ.” There is no suit, action, proceeding or investigation pending or, to the knowledge of the Company, threatened against the Company by the Nasdaq Stock Market or the Commission with respect to any intention by such entity to deregister the shares of Common Stock or prohibit or terminate the listing of the shares of Common Stock on the Nasdaq Stock Market. The Company has taken no action that is designed to terminate the registration of the shares of Common Stock under the Exchange Act. The Company will file a listing application with NASDAQ for the Underlying Shares and such application has been, or prior to Closing will be, approved by NASDAQ.</w:t>
      </w:r>
    </w:p>
    <w:p>
      <w:pPr>
        <w:spacing w:after="0" w:line="157"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m. Upon consummation of the Transaction, the issued and outstanding shares of Common Stock will be registered pursuant to Section 12(b) of the Exchange Act and will be listed for trading on the Nasdaq Stock Market.</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n. Assuming the accuracy of Subscriber’s representations and warranties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Subscription Agreement, no registration under the Securities Act is required for the offer and sale of the Subscribed Securities by the Company to Subscriber.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2" w:name="page233"/>
    <w:bookmarkEnd w:id="232"/>
    <w:p>
      <w:pPr>
        <w:jc w:val="both"/>
        <w:ind w:right="20" w:firstLine="1147"/>
        <w:spacing w:after="0" w:line="275" w:lineRule="auto"/>
        <w:rPr>
          <w:sz w:val="20"/>
          <w:szCs w:val="20"/>
          <w:color w:val="auto"/>
        </w:rPr>
      </w:pPr>
      <w:r>
        <w:rPr>
          <w:rFonts w:ascii="Arial" w:cs="Arial" w:eastAsia="Arial" w:hAnsi="Arial"/>
          <w:sz w:val="16"/>
          <w:szCs w:val="16"/>
          <w:color w:val="auto"/>
        </w:rPr>
        <w:t>o. Neither the Company nor any person acting on its behalf has engaged or will engage in any form of general solicitation or general advertising (within the meaning of Regulation D) in connection with any offer or sale of the Subscribed Securities.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p. Except for each of William Blair &amp; Company, L.L.C. (“</w:t>
      </w:r>
      <w:r>
        <w:rPr>
          <w:rFonts w:ascii="Arial" w:cs="Arial" w:eastAsia="Arial" w:hAnsi="Arial"/>
          <w:sz w:val="16"/>
          <w:szCs w:val="16"/>
          <w:u w:val="single" w:color="auto"/>
          <w:color w:val="auto"/>
        </w:rPr>
        <w:t>William Blair</w:t>
      </w:r>
      <w:r>
        <w:rPr>
          <w:rFonts w:ascii="Arial" w:cs="Arial" w:eastAsia="Arial" w:hAnsi="Arial"/>
          <w:sz w:val="16"/>
          <w:szCs w:val="16"/>
          <w:color w:val="auto"/>
        </w:rPr>
        <w:t>”), Truist Securities, Inc. (“</w:t>
      </w:r>
      <w:r>
        <w:rPr>
          <w:rFonts w:ascii="Arial" w:cs="Arial" w:eastAsia="Arial" w:hAnsi="Arial"/>
          <w:sz w:val="16"/>
          <w:szCs w:val="16"/>
          <w:u w:val="single" w:color="auto"/>
          <w:color w:val="auto"/>
        </w:rPr>
        <w:t>Truist</w:t>
      </w:r>
      <w:r>
        <w:rPr>
          <w:rFonts w:ascii="Arial" w:cs="Arial" w:eastAsia="Arial" w:hAnsi="Arial"/>
          <w:sz w:val="16"/>
          <w:szCs w:val="16"/>
          <w:color w:val="auto"/>
        </w:rPr>
        <w:t>”) and Chardan Capital Markets, LLC (“</w:t>
      </w:r>
      <w:r>
        <w:rPr>
          <w:rFonts w:ascii="Arial" w:cs="Arial" w:eastAsia="Arial" w:hAnsi="Arial"/>
          <w:sz w:val="16"/>
          <w:szCs w:val="16"/>
          <w:u w:val="single" w:color="auto"/>
          <w:color w:val="auto"/>
        </w:rPr>
        <w:t>Chardan</w:t>
      </w:r>
      <w:r>
        <w:rPr>
          <w:rFonts w:ascii="Arial" w:cs="Arial" w:eastAsia="Arial" w:hAnsi="Arial"/>
          <w:sz w:val="16"/>
          <w:szCs w:val="16"/>
          <w:color w:val="auto"/>
        </w:rPr>
        <w:t>” and together with William Blair and Truist,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and each a “</w:t>
      </w:r>
      <w:r>
        <w:rPr>
          <w:rFonts w:ascii="Arial" w:cs="Arial" w:eastAsia="Arial" w:hAnsi="Arial"/>
          <w:sz w:val="16"/>
          <w:szCs w:val="16"/>
          <w:u w:val="single" w:color="auto"/>
          <w:color w:val="auto"/>
        </w:rPr>
        <w:t>Placement Agent</w:t>
      </w:r>
      <w:r>
        <w:rPr>
          <w:rFonts w:ascii="Arial" w:cs="Arial" w:eastAsia="Arial" w:hAnsi="Arial"/>
          <w:sz w:val="16"/>
          <w:szCs w:val="16"/>
          <w:color w:val="auto"/>
        </w:rPr>
        <w:t>”), no broker or finder is entitled to any brokerage or finder’s fee or commission solely in connection with the sale of the Subscribed Securities to Subscriber.</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q. Except for such matters as have not had and would not be reasonably likely to have a Company Material Adverse Effect or have a material adverse effect on the Company’s ability to consummate the transactions contemplated hereby, including the issuance and sale of the Subscribed Securities, the Company is, and has been since its inception, in compliance with all laws applicable to the conduct of the business of the Company.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be reasonably expected to have, individually or in the aggregate, a Company Material Adverse Effect.</w:t>
      </w:r>
    </w:p>
    <w:p>
      <w:pPr>
        <w:spacing w:after="0" w:line="155" w:lineRule="exact"/>
        <w:rPr>
          <w:sz w:val="20"/>
          <w:szCs w:val="20"/>
          <w:color w:val="auto"/>
        </w:rPr>
      </w:pPr>
    </w:p>
    <w:p>
      <w:pPr>
        <w:ind w:firstLine="1143"/>
        <w:spacing w:after="0" w:line="275" w:lineRule="auto"/>
        <w:tabs>
          <w:tab w:leader="none" w:pos="135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has not in the past nor will it hereafter take any action to sell, offer for sale or solicit offers to buy any securities of the Company that could result in the initial sale of the Subscribed Securities not being exempt from the registration requirements of Section 5 of the Securities Act.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28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Company has all franchises, permits, licenses and any similar authority necessary for the conduct of its business as now being conducted by it, the lack of which would have a material adverse effect, and to the Company’s knowledge, the Company is not in default in any material respect under any of such franchises, permits, licenses or other authority.</w:t>
      </w:r>
    </w:p>
    <w:p>
      <w:pPr>
        <w:spacing w:after="0" w:line="162" w:lineRule="exact"/>
        <w:rPr>
          <w:rFonts w:ascii="Arial" w:cs="Arial" w:eastAsia="Arial" w:hAnsi="Arial"/>
          <w:sz w:val="16"/>
          <w:szCs w:val="16"/>
          <w:color w:val="auto"/>
        </w:rPr>
      </w:pPr>
    </w:p>
    <w:p>
      <w:pPr>
        <w:jc w:val="both"/>
        <w:ind w:right="20" w:firstLine="1143"/>
        <w:spacing w:after="0" w:line="287" w:lineRule="auto"/>
        <w:tabs>
          <w:tab w:leader="none" w:pos="1382" w:val="left"/>
        </w:tabs>
        <w:numPr>
          <w:ilvl w:val="0"/>
          <w:numId w:val="250"/>
        </w:numPr>
        <w:rPr>
          <w:rFonts w:ascii="Arial" w:cs="Arial" w:eastAsia="Arial" w:hAnsi="Arial"/>
          <w:sz w:val="15"/>
          <w:szCs w:val="15"/>
          <w:color w:val="auto"/>
        </w:rPr>
      </w:pPr>
      <w:r>
        <w:rPr>
          <w:rFonts w:ascii="Arial" w:cs="Arial" w:eastAsia="Arial" w:hAnsi="Arial"/>
          <w:sz w:val="15"/>
          <w:szCs w:val="15"/>
          <w:color w:val="auto"/>
        </w:rPr>
        <w:t>There is no action, suit, proceeding or investigation pending or, to the Company’s knowledge, currently threatened in writing against the Company that questions the validity of this Agreement or the right of the Company to enter into this Agreement, or to consummate the transactions contemplated thereby, or that might result, if determined adversely to the Company, in a material adverse effect, or in any material change in the current equity ownership of the Company.</w:t>
      </w:r>
    </w:p>
    <w:p>
      <w:pPr>
        <w:spacing w:after="0" w:line="146" w:lineRule="exact"/>
        <w:rPr>
          <w:rFonts w:ascii="Arial" w:cs="Arial" w:eastAsia="Arial" w:hAnsi="Arial"/>
          <w:sz w:val="15"/>
          <w:szCs w:val="15"/>
          <w:color w:val="auto"/>
        </w:rPr>
      </w:pPr>
    </w:p>
    <w:p>
      <w:pPr>
        <w:jc w:val="both"/>
        <w:ind w:right="20" w:firstLine="1143"/>
        <w:spacing w:after="0" w:line="297" w:lineRule="auto"/>
        <w:tabs>
          <w:tab w:leader="none" w:pos="131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To the Company’s knowledge, the Company owns or possesses sufficient legal rights to all (a) patents, patent applications and inventions; (b) trademarks, service marks, trade names, trade dress, logos, domain names or corporate names and registrations and applications for registration thereof, together with all of the goodwill associated therewith; (c) copyrights (registered or unregistered) and copyrightable works and registrations and applications for registrations thereof; (d) computer software, data, and databases and documentation thereof; (e) trade secrets and other confidential information; and (f) licenses, information and proprietary rights and processes necessary for its business as now conducted. The Company has not received any written communications alleging that the Company has violated or, by conducting its business as proposed, would violate any of the patents, trademarks, service marks, trade names, copyrights or trade secrets or other proprietary rights of any other person or entity.</w:t>
      </w:r>
    </w:p>
    <w:p>
      <w:pPr>
        <w:spacing w:after="0" w:line="143" w:lineRule="exact"/>
        <w:rPr>
          <w:rFonts w:ascii="Arial" w:cs="Arial" w:eastAsia="Arial" w:hAnsi="Arial"/>
          <w:sz w:val="14"/>
          <w:szCs w:val="14"/>
          <w:color w:val="auto"/>
        </w:rPr>
      </w:pPr>
    </w:p>
    <w:p>
      <w:pPr>
        <w:jc w:val="both"/>
        <w:ind w:firstLine="1143"/>
        <w:spacing w:after="0" w:line="270" w:lineRule="auto"/>
        <w:tabs>
          <w:tab w:leader="none" w:pos="129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 xml:space="preserve">The Company has not entered into any subscription agreement, side letter or similar agreement with any investor in connection with such investor’s direct or indirect investment in the Company other than (i) the Transaction Agreement, (ii) any agreement or arrangement contemplated by the Transaction Agreement, which for the avoidance of doubt, includes the Forward Purchase Agreement, (iii) as disclosed in the Company’s filings with the Commission and (iv) the Other Subscription Agreements. The Other Subscription Agreements reflect terms with respect to the purchase of the Notes that are no more favorable to such subscriber thereunder than the terms of this Subscription Agreement other than such Other Subscription Agreements containing any of the following: (v) the amounts and types of the Company’s securities to be subscribed for and purchased by the Other Subscribers, (w) certain fees payable by Presto, certain board observer rights and the purchase of Common Stock from the Sponsors (as defined herein) contemplated by </w:t>
      </w:r>
      <w:r>
        <w:rPr>
          <w:rFonts w:ascii="Arial" w:cs="Arial" w:eastAsia="Arial" w:hAnsi="Arial"/>
          <w:sz w:val="15"/>
          <w:szCs w:val="15"/>
          <w:u w:val="single" w:color="auto"/>
          <w:color w:val="auto"/>
        </w:rPr>
        <w:t>Section 1(b)</w:t>
      </w:r>
      <w:r>
        <w:rPr>
          <w:rFonts w:ascii="Arial" w:cs="Arial" w:eastAsia="Arial" w:hAnsi="Arial"/>
          <w:sz w:val="15"/>
          <w:szCs w:val="15"/>
          <w:color w:val="auto"/>
        </w:rPr>
        <w:t xml:space="preserve"> by [***] and [***] and their affiliates, (x) certain closing conditions in the Other Subscription Agreements relating to the Subscribed Notes, (y) (i) any rights or benefits granted to an Other Subscriber in connection with such Other Subscriber’s compliance with any law, regulation or policy specifically applicable to such Other Subscriber or in connection with the taxable status of an Other Subscriber and (ii) any rights with respect to the confidentiality or disclosure of an Other Subscriber’s identity and (z) certain registration rights.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3" w:name="page234"/>
    <w:bookmarkEnd w:id="233"/>
    <w:p>
      <w:pPr>
        <w:jc w:val="both"/>
        <w:ind w:firstLine="1147"/>
        <w:spacing w:after="0" w:line="258" w:lineRule="auto"/>
        <w:rPr>
          <w:sz w:val="20"/>
          <w:szCs w:val="20"/>
          <w:color w:val="auto"/>
        </w:rPr>
      </w:pPr>
      <w:r>
        <w:rPr>
          <w:rFonts w:ascii="Arial" w:cs="Arial" w:eastAsia="Arial" w:hAnsi="Arial"/>
          <w:sz w:val="16"/>
          <w:szCs w:val="16"/>
          <w:color w:val="auto"/>
        </w:rPr>
        <w:t>w. The Company will use commercially reasonable efforts to make the Subscribed Notes DTC-eligible and delivered in book-entry form pursuant to the DWAC procedures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which will act as the securities depository for the Notes, free and clear of any liens or other restrictions (other than those arising under the Indenture, this Subscription Agreement or applicable state or federal securities laws), in the name of a custodian designated by Subscriber (which custodian shall have properly posted such DWAC for release by the Trustee through the facilities of DTC).</w:t>
      </w:r>
    </w:p>
    <w:p>
      <w:pPr>
        <w:spacing w:after="0" w:line="165" w:lineRule="exact"/>
        <w:rPr>
          <w:sz w:val="20"/>
          <w:szCs w:val="20"/>
          <w:color w:val="auto"/>
        </w:rPr>
      </w:pPr>
    </w:p>
    <w:p>
      <w:pPr>
        <w:ind w:left="720" w:hanging="151"/>
        <w:spacing w:after="0"/>
        <w:tabs>
          <w:tab w:leader="none" w:pos="720"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Subscriber Representations and Warranties</w:t>
      </w:r>
      <w:r>
        <w:rPr>
          <w:rFonts w:ascii="Arial" w:cs="Arial" w:eastAsia="Arial" w:hAnsi="Arial"/>
          <w:sz w:val="16"/>
          <w:szCs w:val="16"/>
          <w:color w:val="auto"/>
        </w:rPr>
        <w:t>. Subscriber represents and warrants to the Company that:</w:t>
      </w:r>
    </w:p>
    <w:p>
      <w:pPr>
        <w:spacing w:after="0" w:line="198" w:lineRule="exact"/>
        <w:rPr>
          <w:rFonts w:ascii="Arial" w:cs="Arial" w:eastAsia="Arial" w:hAnsi="Arial"/>
          <w:sz w:val="16"/>
          <w:szCs w:val="16"/>
          <w:color w:val="auto"/>
        </w:rPr>
      </w:pPr>
    </w:p>
    <w:p>
      <w:pPr>
        <w:ind w:right="20" w:firstLine="1143"/>
        <w:spacing w:after="0" w:line="275" w:lineRule="auto"/>
        <w:tabs>
          <w:tab w:leader="none" w:pos="129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51" w:lineRule="exact"/>
        <w:rPr>
          <w:rFonts w:ascii="Arial" w:cs="Arial" w:eastAsia="Arial" w:hAnsi="Arial"/>
          <w:sz w:val="16"/>
          <w:szCs w:val="16"/>
          <w:color w:val="auto"/>
        </w:rPr>
      </w:pPr>
    </w:p>
    <w:p>
      <w:pPr>
        <w:jc w:val="both"/>
        <w:ind w:right="20" w:firstLine="1143"/>
        <w:spacing w:after="0" w:line="258" w:lineRule="auto"/>
        <w:tabs>
          <w:tab w:leader="none" w:pos="130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64" w:lineRule="exact"/>
        <w:rPr>
          <w:rFonts w:ascii="Arial" w:cs="Arial" w:eastAsia="Arial" w:hAnsi="Arial"/>
          <w:sz w:val="16"/>
          <w:szCs w:val="16"/>
          <w:color w:val="auto"/>
        </w:rPr>
      </w:pPr>
    </w:p>
    <w:p>
      <w:pPr>
        <w:jc w:val="both"/>
        <w:ind w:firstLine="1143"/>
        <w:spacing w:after="0" w:line="271" w:lineRule="auto"/>
        <w:tabs>
          <w:tab w:leader="none" w:pos="131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The execution and delivery of this Subscription Agreement, the purchase of the Subscribed Securities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Arial" w:cs="Arial" w:eastAsia="Arial" w:hAnsi="Arial"/>
          <w:sz w:val="15"/>
          <w:szCs w:val="15"/>
          <w:u w:val="single" w:color="auto"/>
          <w:color w:val="auto"/>
        </w:rPr>
        <w:t>Subscriber Material Adverse Effect</w:t>
      </w:r>
      <w:r>
        <w:rPr>
          <w:rFonts w:ascii="Arial" w:cs="Arial" w:eastAsia="Arial" w:hAnsi="Arial"/>
          <w:sz w:val="15"/>
          <w:szCs w:val="15"/>
          <w:color w:val="auto"/>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Securities.</w:t>
      </w:r>
    </w:p>
    <w:p>
      <w:pPr>
        <w:spacing w:after="0" w:line="159" w:lineRule="exact"/>
        <w:rPr>
          <w:rFonts w:ascii="Arial" w:cs="Arial" w:eastAsia="Arial" w:hAnsi="Arial"/>
          <w:sz w:val="15"/>
          <w:szCs w:val="15"/>
          <w:color w:val="auto"/>
        </w:rPr>
      </w:pPr>
    </w:p>
    <w:p>
      <w:pPr>
        <w:jc w:val="both"/>
        <w:ind w:firstLine="1143"/>
        <w:spacing w:after="0" w:line="271" w:lineRule="auto"/>
        <w:tabs>
          <w:tab w:leader="none" w:pos="132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Subscriber (i) is a “qualified institutional buyer” (as defined in Rule 144A under the Securities Act) or an institutional “accredited investor” (within the meaning of Rule 501(a)(1), (2), (3), (7), (8), (9), (12) or (13) under the Securities Act) satisfying the applicable requirements set forth on Annex A; (ii) is acquiring the Subscribed Securities only for its own account and not for the account of others, or if Subscriber is subscribing for the Subscribed Securities as a fiduciary or agent for one or more investor accounts, each owner of such account is a “qualified institutional buyer” (as defined in Rule 144A under the Securities Act) or an institutional “accredited investor” (within the meaning of Rule 501(a)(1), (2), (3), (7), (8), (9), (12) or (13) under the Securities Act)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with the requested information on Annex A following the signature page hereto). Subscriber is not an entity formed for the specific purpose of acquiring the Subscribed Securities and is an “institutional account” as defined by FINRA Rule 4512(e).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4" w:name="page235"/>
    <w:bookmarkEnd w:id="234"/>
    <w:p>
      <w:pPr>
        <w:jc w:val="both"/>
        <w:ind w:left="4" w:firstLine="1147"/>
        <w:spacing w:after="0" w:line="271" w:lineRule="auto"/>
        <w:rPr>
          <w:sz w:val="20"/>
          <w:szCs w:val="20"/>
          <w:color w:val="auto"/>
        </w:rPr>
      </w:pPr>
      <w:r>
        <w:rPr>
          <w:rFonts w:ascii="Arial" w:cs="Arial" w:eastAsia="Arial" w:hAnsi="Arial"/>
          <w:sz w:val="15"/>
          <w:szCs w:val="15"/>
          <w:color w:val="auto"/>
        </w:rPr>
        <w:t>e. Subscriber understands that the Subscribed Securities are being offered in a transaction not involving any public offering within the meaning of the Securities Act and that the Subscribed Securities have not been registered under the Securities Act. Subscriber understands that the Subscribed Securities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Securities and the Underlying Shares and may be required to bear the financial risk of an investment in the Subscribed Securities for an indefinite period of time. Subscriber acknowledges and agrees that the Subscribed Securities will not be eligible for offer, resale, transfer, pledge or disposition pursuant to Rule 144 promulgated under the Securities Act (“Rule 144”) until at least one year from the Closing Date. Subscriber understands that it has been advised to consult legal counsel prior to making any offer, resale, pledge or transfer of any of the Subscribed Securities and the Underlying Shares.</w:t>
      </w:r>
    </w:p>
    <w:p>
      <w:pPr>
        <w:spacing w:after="0" w:line="159" w:lineRule="exact"/>
        <w:rPr>
          <w:sz w:val="20"/>
          <w:szCs w:val="20"/>
          <w:color w:val="auto"/>
        </w:rPr>
      </w:pPr>
    </w:p>
    <w:p>
      <w:pPr>
        <w:ind w:left="4" w:right="20" w:firstLine="1143"/>
        <w:spacing w:after="0" w:line="275" w:lineRule="auto"/>
        <w:tabs>
          <w:tab w:leader="none" w:pos="138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Each book entry for the Subscribed Securities shall contain a notation, and each certificate (if any) evidencing the Subscribed Securities shall be stamped or otherwise imprinted with a legend, in substantially the following form:</w:t>
      </w:r>
    </w:p>
    <w:p>
      <w:pPr>
        <w:spacing w:after="0" w:line="152" w:lineRule="exact"/>
        <w:rPr>
          <w:sz w:val="20"/>
          <w:szCs w:val="20"/>
          <w:color w:val="auto"/>
        </w:rPr>
      </w:pPr>
    </w:p>
    <w:p>
      <w:pPr>
        <w:jc w:val="both"/>
        <w:ind w:left="4" w:right="20"/>
        <w:spacing w:after="0" w:line="258" w:lineRule="auto"/>
        <w:rPr>
          <w:sz w:val="20"/>
          <w:szCs w:val="20"/>
          <w:color w:val="auto"/>
        </w:rPr>
      </w:pPr>
      <w:r>
        <w:rPr>
          <w:rFonts w:ascii="Arial" w:cs="Arial" w:eastAsia="Arial" w:hAnsi="Arial"/>
          <w:sz w:val="16"/>
          <w:szCs w:val="16"/>
          <w:color w:val="auto"/>
        </w:rPr>
        <w:t>THIS SECURITY AND THE COMMON STOCK, IF ANY, ISSUABLE UPON CONVERSION OR EXERCISE OF THIS SECURITY HAVE NOT BEEN REGISTERED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MAY NOT BE OFFERED, SOLD, PLEDGED OR OTHERWISE TRANSFERRED EXCEPT IN ACCORDANCE WITH THE FOLLOWING SENTENCE. BY ITS ACQUISITION HEREOF OR OF A BENEFICIAL INTEREST HEREIN, THE ACQUIRER:</w:t>
      </w:r>
    </w:p>
    <w:p>
      <w:pPr>
        <w:spacing w:after="0" w:line="161" w:lineRule="exact"/>
        <w:rPr>
          <w:sz w:val="20"/>
          <w:szCs w:val="20"/>
          <w:color w:val="auto"/>
        </w:rPr>
      </w:pPr>
    </w:p>
    <w:p>
      <w:pPr>
        <w:jc w:val="both"/>
        <w:ind w:left="4" w:hanging="4"/>
        <w:spacing w:after="0" w:line="273" w:lineRule="auto"/>
        <w:tabs>
          <w:tab w:leader="none" w:pos="23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REPRESENTS THAT EITHER (A) IT AND ANY ACCOUNT FOR WHICH IT IS ACTING IS A “</w:t>
      </w:r>
      <w:r>
        <w:rPr>
          <w:rFonts w:ascii="Arial" w:cs="Arial" w:eastAsia="Arial" w:hAnsi="Arial"/>
          <w:sz w:val="15"/>
          <w:szCs w:val="15"/>
          <w:b w:val="1"/>
          <w:bCs w:val="1"/>
          <w:color w:val="auto"/>
        </w:rPr>
        <w:t>QUALIFIED INSTITUTIONAL BUYER</w:t>
      </w:r>
      <w:r>
        <w:rPr>
          <w:rFonts w:ascii="Arial" w:cs="Arial" w:eastAsia="Arial" w:hAnsi="Arial"/>
          <w:sz w:val="15"/>
          <w:szCs w:val="15"/>
          <w:color w:val="auto"/>
        </w:rPr>
        <w:t>” (AS DEFINED IN RULE 144A UNDER THE SECURITIES ACT) AND THAT IT EXERCISES SOLE INVESTMENT DISCRETION WITH RESPECT TO EACH SUCH ACCOUNT OR (B) IT IS AN INSTITUTIONAL “ACCREDITED INVESTOR” (WITHIN THE MEANING OF RULE 501(A)(1), (2), (3), (7), (8), (9), (12) OR (13) UNDER THE SECURITIES ACT)</w:t>
      </w:r>
    </w:p>
    <w:p>
      <w:pPr>
        <w:spacing w:after="0" w:line="1" w:lineRule="exact"/>
        <w:rPr>
          <w:rFonts w:ascii="Arial" w:cs="Arial" w:eastAsia="Arial" w:hAnsi="Arial"/>
          <w:sz w:val="15"/>
          <w:szCs w:val="15"/>
          <w:color w:val="auto"/>
        </w:rPr>
      </w:pPr>
    </w:p>
    <w:p>
      <w:pPr>
        <w:jc w:val="both"/>
        <w:ind w:left="4" w:right="20"/>
        <w:spacing w:after="0" w:line="252" w:lineRule="auto"/>
        <w:rPr>
          <w:rFonts w:ascii="Arial" w:cs="Arial" w:eastAsia="Arial" w:hAnsi="Arial"/>
          <w:sz w:val="15"/>
          <w:szCs w:val="15"/>
          <w:color w:val="auto"/>
        </w:rPr>
      </w:pPr>
      <w:r>
        <w:rPr>
          <w:rFonts w:ascii="Arial" w:cs="Arial" w:eastAsia="Arial" w:hAnsi="Arial"/>
          <w:sz w:val="16"/>
          <w:szCs w:val="16"/>
          <w:color w:val="auto"/>
        </w:rPr>
        <w:t>AND (2) AGREES FOR THE BENEFIT OF (THE “</w:t>
      </w:r>
      <w:r>
        <w:rPr>
          <w:rFonts w:ascii="Arial" w:cs="Arial" w:eastAsia="Arial" w:hAnsi="Arial"/>
          <w:sz w:val="16"/>
          <w:szCs w:val="16"/>
          <w:b w:val="1"/>
          <w:bCs w:val="1"/>
          <w:color w:val="auto"/>
        </w:rPr>
        <w:t>COMPANY</w:t>
      </w:r>
      <w:r>
        <w:rPr>
          <w:rFonts w:ascii="Arial" w:cs="Arial" w:eastAsia="Arial" w:hAnsi="Arial"/>
          <w:sz w:val="16"/>
          <w:szCs w:val="16"/>
          <w:color w:val="auto"/>
        </w:rPr>
        <w:t>”)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171" w:lineRule="exact"/>
        <w:rPr>
          <w:sz w:val="20"/>
          <w:szCs w:val="20"/>
          <w:color w:val="auto"/>
        </w:rPr>
      </w:pPr>
    </w:p>
    <w:p>
      <w:pPr>
        <w:ind w:left="264" w:hanging="264"/>
        <w:spacing w:after="0"/>
        <w:tabs>
          <w:tab w:leader="none" w:pos="26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THE COMPANY OR ANY SUBSIDIARY THEREOF, OR</w:t>
      </w:r>
    </w:p>
    <w:p>
      <w:pPr>
        <w:spacing w:after="0" w:line="198" w:lineRule="exact"/>
        <w:rPr>
          <w:rFonts w:ascii="Arial" w:cs="Arial" w:eastAsia="Arial" w:hAnsi="Arial"/>
          <w:sz w:val="16"/>
          <w:szCs w:val="16"/>
          <w:color w:val="auto"/>
        </w:rPr>
      </w:pPr>
    </w:p>
    <w:p>
      <w:pPr>
        <w:ind w:left="4" w:right="20" w:hanging="4"/>
        <w:spacing w:after="0" w:line="275" w:lineRule="auto"/>
        <w:tabs>
          <w:tab w:leader="none" w:pos="27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PURSUANT TO A REGISTRATION STATEMENT THAT HAS BECOME EFFECTIVE UNDER THE SECURITIES ACT AND IS EFFECTIVE AT THE TIME OF SUCH TRANSFER,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27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TO A PERSON THAT YOU REASONABLY BELIEVE TO BE A QUALIFIED INSTITUTIONAL BUYER IN COMPLIANCE WITH RULE 144A UNDER THE SECURITIES ACT, OR</w:t>
      </w:r>
    </w:p>
    <w:p>
      <w:pPr>
        <w:spacing w:after="0" w:line="151" w:lineRule="exact"/>
        <w:rPr>
          <w:rFonts w:ascii="Arial" w:cs="Arial" w:eastAsia="Arial" w:hAnsi="Arial"/>
          <w:sz w:val="16"/>
          <w:szCs w:val="16"/>
          <w:color w:val="auto"/>
        </w:rPr>
      </w:pPr>
    </w:p>
    <w:p>
      <w:pPr>
        <w:ind w:left="4" w:right="20" w:hanging="4"/>
        <w:spacing w:after="0" w:line="275" w:lineRule="auto"/>
        <w:tabs>
          <w:tab w:leader="none" w:pos="309"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PURSUANT TO AN EXEMPTION FROM REGISTRATION PROVIDED BY RULE 144 UNDER THE SECURITIES ACT OR ANY OTHER AVAILABLE EXEMPTION FROM THE REGISTRATION REQUIREMENTS OF THE SECURITIES ACT.</w:t>
      </w:r>
    </w:p>
    <w:p>
      <w:pPr>
        <w:spacing w:after="0" w:line="152"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35" w:name="page236"/>
    <w:bookmarkEnd w:id="235"/>
    <w:p>
      <w:pPr>
        <w:jc w:val="both"/>
        <w:ind w:firstLine="1147"/>
        <w:spacing w:after="0" w:line="274" w:lineRule="auto"/>
        <w:rPr>
          <w:sz w:val="20"/>
          <w:szCs w:val="20"/>
          <w:color w:val="auto"/>
        </w:rPr>
      </w:pPr>
      <w:r>
        <w:rPr>
          <w:rFonts w:ascii="Arial" w:cs="Arial" w:eastAsia="Arial" w:hAnsi="Arial"/>
          <w:sz w:val="15"/>
          <w:szCs w:val="15"/>
          <w:color w:val="auto"/>
        </w:rPr>
        <w:t>g. Subscriber understands and agrees that Subscriber is purchasing the Subscribed Securities directly from the Company. Subscriber further acknowledges that there have not been, and Subscriber hereby agrees that it is not relying on, any representations, warranties, covenants or agreements made to Subscriber by the Company, any other party to the Transaction or any other person or entity, expressly or by implication, other than those representations, warranties, covenants and agreements of the Company set forth in this Subscription Agreement.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w:t>
      </w:r>
    </w:p>
    <w:p>
      <w:pPr>
        <w:spacing w:after="0" w:line="157"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h. Subscriber agrees that none of the Placement Agents, nor any of their respective affiliates or any of their or their respective affiliates’ control persons, officers, directors or employees, shall be liable to Subscriber pursuant to this Subscription Agreement for any action heretofore or hereafter taken or omitted to be taken by any of them in connection with the purchase of the Subscribed Securities. On behalf of itself and its affiliates, Subscriber releases each of the Placement Agents in respect of any losses, claims, damages, obligations, penalties, judgments, awards, liabilities, costs, expenses or disbursements related to this Subscription Agreement or the transactions contemplated hereby.</w:t>
      </w:r>
    </w:p>
    <w:p>
      <w:pPr>
        <w:spacing w:after="0" w:line="17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i. In making its decision to purchase the Subscribed Securities, Subscriber has relied solely upon independent investigation made by Subscriber and upon the representations, warranties and covenants set forth herein. Subscriber acknowledges and agrees that Subscriber has received such information as Subscriber deems necessary in order to make an investment decision with respect to the Subscribed Securities, including with respect to the Company and the Transaction (including Presto and their respective subsidiaries (collectively, the “Acquired Companies”)).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Securities. Subscriber acknowledges and agrees that none of the Placement Agents, nor any respective affiliates of the Placement Agents have provided Subscriber with any information or advice with respect to the Subscribed Securities nor is such information or advice necessary or desired. None of the Placement Agents nor any of their respective affiliates have made or make any representation as to the Company or the Acquired Companies or the quality or value of the Subscribed Securities and the Placement Agents and any of their respective affiliates may have acquired non-public information with respect to the Company or the Acquired Companies which Subscriber agrees need not be provided to it. In connection with the issuance of the Subscribed Securities to Subscriber, none of the Placement Agents nor any of their respective affiliates have acted as a financial advisor or fiduciary to Subscriber. Each of the Placement Agents is acting solely as placement agent to the Company and is not acting as an underwriter or in any other capacity or as a fiduciary for the Company or any other person or entity in connection with the Transaction and none of the Placement Agents or any of their respective affiliates has prepared any disclosure or offering document in connection with the offer and sale of the Subscribed Securities. Subscriber acknowledges that the Placement Agents and their respective directors, officers, employees, representatives and controlling persons have made no independent investigation with respect to the Company or the Subscribed Securities or the accuracy, completeness or adequacy of any information supplied to Subscriber by the Company.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6" w:name="page237"/>
    <w:bookmarkEnd w:id="236"/>
    <w:p>
      <w:pPr>
        <w:jc w:val="both"/>
        <w:ind w:right="20" w:firstLine="1147"/>
        <w:spacing w:after="0" w:line="276" w:lineRule="auto"/>
        <w:rPr>
          <w:sz w:val="20"/>
          <w:szCs w:val="20"/>
          <w:color w:val="auto"/>
        </w:rPr>
      </w:pPr>
      <w:r>
        <w:rPr>
          <w:rFonts w:ascii="Arial" w:cs="Arial" w:eastAsia="Arial" w:hAnsi="Arial"/>
          <w:sz w:val="15"/>
          <w:szCs w:val="15"/>
          <w:color w:val="auto"/>
        </w:rPr>
        <w:t>j. Subscriber acknowledges and agrees that (i) the Placement Agents have not made and will not make any representation or warranty, whether express or implied, of any kind or character and have not provided any advice or recommendation in connection with the Transactions, and (ii) the Placement Agents will have no responsibility with respect to (A) any representations, warranties or agreements made by any person or entity under or in connection with the Transactions or any of the documents furnished pursuant thereto or in connection therewith, or the execution, legality, validity or enforceability (with respect to any person) or any thereof, or (B) the business, affairs, financial condition, operations, properties or prospects of, or any other matter concerning the Company or the Transactions.</w:t>
      </w:r>
    </w:p>
    <w:p>
      <w:pPr>
        <w:spacing w:after="0" w:line="155"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k. Subscriber became aware of this offering of the Subscribed Securities solely by means of direct contact between Subscriber and the Company or by means of contact from the Placement Agent and the Subscribed Securities were offered to Subscriber solely by direct contact between Subscriber and the Company. Subscriber did not become aware of this offering of the Subscribed Securities, nor were the Subscribed Securities offered to Subscriber, by any other means. Subscriber acknowledges that the Company represents and warrants that the Subscribed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55"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l. Subscriber acknowledges that it is aware that there are substantial risks incident to the purchase and ownership of the Subscribed Securities and the Underlying Shares. Subscriber has such knowledge and experience in financial and business matters as to be capable of evaluating the merits and risks of an investment in the Subscribed Securities and the Underlying Shares, and Subscriber has had an opportunity to seek, and has sought, such accounting, legal, business and tax advice as Subscriber has considered necessary to make an informed investment decision.</w:t>
      </w:r>
    </w:p>
    <w:p>
      <w:pPr>
        <w:spacing w:after="0" w:line="165" w:lineRule="exact"/>
        <w:rPr>
          <w:sz w:val="20"/>
          <w:szCs w:val="20"/>
          <w:color w:val="auto"/>
        </w:rPr>
      </w:pPr>
    </w:p>
    <w:p>
      <w:pPr>
        <w:jc w:val="both"/>
        <w:ind w:firstLine="1147"/>
        <w:spacing w:after="0" w:line="317" w:lineRule="auto"/>
        <w:rPr>
          <w:sz w:val="20"/>
          <w:szCs w:val="20"/>
          <w:color w:val="auto"/>
        </w:rPr>
      </w:pPr>
      <w:r>
        <w:rPr>
          <w:rFonts w:ascii="Arial" w:cs="Arial" w:eastAsia="Arial" w:hAnsi="Arial"/>
          <w:sz w:val="14"/>
          <w:szCs w:val="14"/>
          <w:color w:val="auto"/>
        </w:rPr>
        <w:t>m. Subscriber has adequately analyzed and fully considered the risks of an investment in the Subscribed Securities and the Underlying Shares and determined that the Subscribed Securities and the Underlying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27"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n. Subscriber understands and agrees that no federal or state agency has passed upon or endorsed the merits of the offering of the Subscribed Securities or the Underlying Shares or made any findings or determination as to the fairness of this investment.</w:t>
      </w:r>
    </w:p>
    <w:p>
      <w:pPr>
        <w:spacing w:after="0" w:line="15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o. Subscriber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Arial" w:cs="Arial" w:eastAsia="Arial" w:hAnsi="Arial"/>
          <w:sz w:val="15"/>
          <w:szCs w:val="15"/>
          <w:u w:val="single" w:color="auto"/>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Subscribed Securities were legally derived.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7" w:name="page238"/>
    <w:bookmarkEnd w:id="237"/>
    <w:p>
      <w:pPr>
        <w:jc w:val="both"/>
        <w:ind w:right="20" w:firstLine="1147"/>
        <w:spacing w:after="0" w:line="254" w:lineRule="auto"/>
        <w:rPr>
          <w:sz w:val="20"/>
          <w:szCs w:val="20"/>
          <w:color w:val="auto"/>
        </w:rPr>
      </w:pPr>
      <w:r>
        <w:rPr>
          <w:rFonts w:ascii="Arial" w:cs="Arial" w:eastAsia="Arial" w:hAnsi="Arial"/>
          <w:sz w:val="16"/>
          <w:szCs w:val="16"/>
          <w:color w:val="auto"/>
        </w:rPr>
        <w:t>p.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such Subscriber’s assets and the portfolio managers have no direct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Subscribed Securities covered by this Agreement.</w:t>
      </w:r>
    </w:p>
    <w:p>
      <w:pPr>
        <w:spacing w:after="0" w:line="170"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q.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Internal Revenue Code of 1986, as amended, or an entity whose underlying assets are considered to include “plan assets” of any such plan, account or arrangement (each, a “Plan”) subject to the fiduciary or prohibited transaction provisions of ERISA or section 4975 of the Code, Subscriber represents and warrants that neither the Company, nor any of its respective affiliates (the “</w:t>
      </w:r>
      <w:r>
        <w:rPr>
          <w:rFonts w:ascii="Arial" w:cs="Arial" w:eastAsia="Arial" w:hAnsi="Arial"/>
          <w:sz w:val="15"/>
          <w:szCs w:val="15"/>
          <w:u w:val="single" w:color="auto"/>
          <w:color w:val="auto"/>
        </w:rPr>
        <w:t>Transaction Parties</w:t>
      </w:r>
      <w:r>
        <w:rPr>
          <w:rFonts w:ascii="Arial" w:cs="Arial" w:eastAsia="Arial" w:hAnsi="Arial"/>
          <w:sz w:val="15"/>
          <w:szCs w:val="15"/>
          <w:color w:val="auto"/>
        </w:rPr>
        <w:t>”) has acted as the Plan’s fiduciary, or has been relied on for advice, with respect to its decision to acquire and hold the Subscribed Securities, and none of the Transaction Parties shall at any time be relied upon as the Plan’s fiduciary with respect to any decision to acquire, continue to hold or transfer the Subscribed Securities and the Underlying Shares and none of the acquisition, holding and/or transfer or disposition of the Subscribed Securities and the Underlying Shares will result in a non-exempt prohibited Transactions under ERISA or Section 4975 of the Code or any similar law or regulation.</w:t>
      </w:r>
    </w:p>
    <w:p>
      <w:pPr>
        <w:spacing w:after="0" w:line="16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r. Subscriber at the Closing will have sufficient funds to pay the Purchase Price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s. Subscriber agrees that, notwithstanding </w:t>
      </w:r>
      <w:r>
        <w:rPr>
          <w:rFonts w:ascii="Arial" w:cs="Arial" w:eastAsia="Arial" w:hAnsi="Arial"/>
          <w:sz w:val="16"/>
          <w:szCs w:val="16"/>
          <w:u w:val="single" w:color="auto"/>
          <w:color w:val="auto"/>
        </w:rPr>
        <w:t>Section 8(i)</w:t>
      </w:r>
      <w:r>
        <w:rPr>
          <w:rFonts w:ascii="Arial" w:cs="Arial" w:eastAsia="Arial" w:hAnsi="Arial"/>
          <w:sz w:val="16"/>
          <w:szCs w:val="16"/>
          <w:color w:val="auto"/>
        </w:rPr>
        <w:t>, the Placement Agent may rely upon the representations and warranties made by Subscriber to the Company in this Subscription Agreement.</w:t>
      </w:r>
    </w:p>
    <w:p>
      <w:pPr>
        <w:spacing w:after="0" w:line="152" w:lineRule="exact"/>
        <w:rPr>
          <w:sz w:val="20"/>
          <w:szCs w:val="20"/>
          <w:color w:val="auto"/>
        </w:rPr>
      </w:pPr>
    </w:p>
    <w:p>
      <w:pPr>
        <w:jc w:val="both"/>
        <w:ind w:firstLine="569"/>
        <w:spacing w:after="0" w:line="297" w:lineRule="auto"/>
        <w:tabs>
          <w:tab w:leader="none" w:pos="733" w:val="left"/>
        </w:tabs>
        <w:numPr>
          <w:ilvl w:val="0"/>
          <w:numId w:val="255"/>
        </w:numPr>
        <w:rPr>
          <w:rFonts w:ascii="Arial" w:cs="Arial" w:eastAsia="Arial" w:hAnsi="Arial"/>
          <w:sz w:val="14"/>
          <w:szCs w:val="14"/>
          <w:color w:val="auto"/>
        </w:rPr>
      </w:pPr>
      <w:r>
        <w:rPr>
          <w:rFonts w:ascii="Arial" w:cs="Arial" w:eastAsia="Arial" w:hAnsi="Arial"/>
          <w:sz w:val="14"/>
          <w:szCs w:val="14"/>
          <w:u w:val="single" w:color="auto"/>
          <w:color w:val="auto"/>
        </w:rPr>
        <w:t>Registration of Subscribed Securities</w:t>
      </w:r>
      <w:r>
        <w:rPr>
          <w:rFonts w:ascii="Arial" w:cs="Arial" w:eastAsia="Arial" w:hAnsi="Arial"/>
          <w:sz w:val="14"/>
          <w:szCs w:val="14"/>
          <w:color w:val="auto"/>
        </w:rPr>
        <w:t>. On the Closing Date, the Company and Subscriber shall execute the registration rights agreement, in substantially the form attached as Exhibit C to the Transaction Agreement (the “</w:t>
      </w:r>
      <w:r>
        <w:rPr>
          <w:rFonts w:ascii="Arial" w:cs="Arial" w:eastAsia="Arial" w:hAnsi="Arial"/>
          <w:sz w:val="14"/>
          <w:szCs w:val="14"/>
          <w:u w:val="single" w:color="auto"/>
          <w:color w:val="auto"/>
        </w:rPr>
        <w:t>Registration Rights Agreement</w:t>
      </w:r>
      <w:r>
        <w:rPr>
          <w:rFonts w:ascii="Arial" w:cs="Arial" w:eastAsia="Arial" w:hAnsi="Arial"/>
          <w:sz w:val="14"/>
          <w:szCs w:val="14"/>
          <w:color w:val="auto"/>
        </w:rPr>
        <w:t>”), pursuant to which the Company shall agree to register the resale of the (i) the Subscribed Notes, (ii) shares of Common Stock issuable upon (x) conversion of the Subscribed Notes and (y) exercise of the Subscribed Warrants and (iii) the Warrants in accordance with the terms provided therein. Upon execution and delivery of the Registration Rights Agreement by the Subscriber, Subscriber and each permitted transferee of a Subscribed Security that receives Subscribed Securities in compliance with the restrictions on transfer contained in and pursuant to the Registration Right Agreement shall have the rights of a “Holder” therein, and all of the Subscribed Securities shall constitute “Registrable Securities” under the Registration Rights Agreement.</w:t>
      </w:r>
    </w:p>
    <w:p>
      <w:pPr>
        <w:spacing w:after="0" w:line="143" w:lineRule="exact"/>
        <w:rPr>
          <w:rFonts w:ascii="Arial" w:cs="Arial" w:eastAsia="Arial" w:hAnsi="Arial"/>
          <w:sz w:val="14"/>
          <w:szCs w:val="14"/>
          <w:color w:val="auto"/>
        </w:rPr>
      </w:pPr>
    </w:p>
    <w:p>
      <w:pPr>
        <w:jc w:val="both"/>
        <w:ind w:firstLine="569"/>
        <w:spacing w:after="0" w:line="271" w:lineRule="auto"/>
        <w:tabs>
          <w:tab w:leader="none" w:pos="733" w:val="left"/>
        </w:tabs>
        <w:numPr>
          <w:ilvl w:val="0"/>
          <w:numId w:val="255"/>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the Company and Subscriber to terminate this Subscription Agreement; (c) if, on the Closing Date of the Transaction, any of the conditions to Closing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Subscription Agreement have not been satisfied as of the time required hereunder to be so satisfied or waived (to the extent a valid waiver is capable of being issued) by the party entitled to grant such waiver and, as a result thereof, the transactions contemplated by this Subscription Agreement are not consummated; or (d) the “Termination Date” as defined in the Transaction Agreement (as such Termination Date may be amended or extended from time to time) (the “Termination Date”); provided, that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thereof.</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8" w:name="page239"/>
    <w:bookmarkEnd w:id="238"/>
    <w:p>
      <w:pPr>
        <w:jc w:val="both"/>
        <w:ind w:left="4" w:firstLine="569"/>
        <w:spacing w:after="0" w:line="286" w:lineRule="auto"/>
        <w:tabs>
          <w:tab w:leader="none" w:pos="737" w:val="left"/>
        </w:tabs>
        <w:numPr>
          <w:ilvl w:val="1"/>
          <w:numId w:val="256"/>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hereby acknowledges that the Company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and from certain private placements occurring simultaneously with the IPO (including interest accrued from time to time thereon) for the benefit of the Company’s public stockholders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4"/>
          <w:szCs w:val="14"/>
          <w:u w:val="single" w:color="auto"/>
          <w:color w:val="auto"/>
        </w:rPr>
        <w:t>Released</w:t>
      </w:r>
      <w:r>
        <w:rPr>
          <w:rFonts w:ascii="Arial" w:cs="Arial" w:eastAsia="Arial" w:hAnsi="Arial"/>
          <w:sz w:val="14"/>
          <w:szCs w:val="14"/>
          <w:color w:val="auto"/>
        </w:rPr>
        <w:t xml:space="preserve"> </w:t>
      </w:r>
      <w:r>
        <w:rPr>
          <w:rFonts w:ascii="Arial" w:cs="Arial" w:eastAsia="Arial" w:hAnsi="Arial"/>
          <w:sz w:val="14"/>
          <w:szCs w:val="14"/>
          <w:u w:val="single" w:color="auto"/>
          <w:color w:val="auto"/>
        </w:rPr>
        <w:t>Claims</w:t>
      </w:r>
      <w:r>
        <w:rPr>
          <w:rFonts w:ascii="Arial" w:cs="Arial" w:eastAsia="Arial" w:hAnsi="Arial"/>
          <w:sz w:val="14"/>
          <w:szCs w:val="14"/>
          <w:color w:val="auto"/>
        </w:rPr>
        <w:t xml:space="preserve">”);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shall be deemed to limit (x) any Subscriber’s right to distributions from the Trust Account in accordance with the Company’s amended and restated certificate of incorporation in respect of any redemptions by Subscriber of its shares of public Common Stock of the Company acquired by any means other than pursuant to this Subscription Agreement or</w:t>
      </w:r>
    </w:p>
    <w:p>
      <w:pPr>
        <w:spacing w:after="0" w:line="5" w:lineRule="exact"/>
        <w:rPr>
          <w:rFonts w:ascii="Arial" w:cs="Arial" w:eastAsia="Arial" w:hAnsi="Arial"/>
          <w:sz w:val="14"/>
          <w:szCs w:val="14"/>
          <w:color w:val="auto"/>
        </w:rPr>
      </w:pPr>
    </w:p>
    <w:p>
      <w:pPr>
        <w:jc w:val="both"/>
        <w:ind w:left="4" w:right="20" w:hanging="4"/>
        <w:spacing w:after="0" w:line="279" w:lineRule="auto"/>
        <w:tabs>
          <w:tab w:leader="none" w:pos="241" w:val="left"/>
        </w:tabs>
        <w:numPr>
          <w:ilvl w:val="0"/>
          <w:numId w:val="257"/>
        </w:numPr>
        <w:rPr>
          <w:rFonts w:ascii="Arial" w:cs="Arial" w:eastAsia="Arial" w:hAnsi="Arial"/>
          <w:sz w:val="15"/>
          <w:szCs w:val="15"/>
          <w:color w:val="auto"/>
        </w:rPr>
      </w:pPr>
      <w:r>
        <w:rPr>
          <w:rFonts w:ascii="Arial" w:cs="Arial" w:eastAsia="Arial" w:hAnsi="Arial"/>
          <w:sz w:val="15"/>
          <w:szCs w:val="15"/>
          <w:color w:val="auto"/>
        </w:rPr>
        <w:t>any Subscriber’s recourse against assets held outside of the Trust Account or held by the post-Closing combined entity. Each Subscriber acknowledges and agrees that it shall not have any redemption rights with respect to the Subscribed Securities pursuant to the Company’s organizational documents in connection with the Transaction or any other business combination, any subsequent liquidation of the Trust Account, the Company or otherwise, except as set forth in the Indenture.</w:t>
      </w:r>
    </w:p>
    <w:p>
      <w:pPr>
        <w:spacing w:after="0" w:line="150" w:lineRule="exact"/>
        <w:rPr>
          <w:rFonts w:ascii="Arial" w:cs="Arial" w:eastAsia="Arial" w:hAnsi="Arial"/>
          <w:sz w:val="15"/>
          <w:szCs w:val="15"/>
          <w:color w:val="auto"/>
        </w:rPr>
      </w:pPr>
    </w:p>
    <w:p>
      <w:pPr>
        <w:ind w:left="724" w:hanging="151"/>
        <w:spacing w:after="0"/>
        <w:tabs>
          <w:tab w:leader="none" w:pos="724"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right="20" w:firstLine="1143"/>
        <w:spacing w:after="0" w:line="274" w:lineRule="auto"/>
        <w:tabs>
          <w:tab w:leader="none" w:pos="1342" w:val="left"/>
        </w:tabs>
        <w:numPr>
          <w:ilvl w:val="2"/>
          <w:numId w:val="257"/>
        </w:numPr>
        <w:rPr>
          <w:rFonts w:ascii="Arial" w:cs="Arial" w:eastAsia="Arial" w:hAnsi="Arial"/>
          <w:sz w:val="15"/>
          <w:szCs w:val="15"/>
          <w:color w:val="auto"/>
        </w:rPr>
      </w:pPr>
      <w:r>
        <w:rPr>
          <w:rFonts w:ascii="Arial" w:cs="Arial" w:eastAsia="Arial" w:hAnsi="Arial"/>
          <w:sz w:val="15"/>
          <w:szCs w:val="15"/>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provided, that such notice, request, demand, claim or other communication is also sent to the recipient pursuant to clauses (i), (iii) or (iv) of this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5"/>
          <w:szCs w:val="15"/>
          <w:u w:val="single" w:color="auto"/>
          <w:color w:val="auto"/>
        </w:rPr>
        <w:t>Section 8(a)</w:t>
      </w:r>
      <w:r>
        <w:rPr>
          <w:rFonts w:ascii="Arial" w:cs="Arial" w:eastAsia="Arial" w:hAnsi="Arial"/>
          <w:sz w:val="15"/>
          <w:szCs w:val="15"/>
          <w:color w:val="auto"/>
        </w:rPr>
        <w:t>.</w:t>
      </w:r>
    </w:p>
    <w:p>
      <w:pPr>
        <w:spacing w:after="0" w:line="156" w:lineRule="exact"/>
        <w:rPr>
          <w:rFonts w:ascii="Arial" w:cs="Arial" w:eastAsia="Arial" w:hAnsi="Arial"/>
          <w:sz w:val="15"/>
          <w:szCs w:val="15"/>
          <w:color w:val="auto"/>
        </w:rPr>
      </w:pPr>
    </w:p>
    <w:p>
      <w:pPr>
        <w:jc w:val="both"/>
        <w:ind w:left="4" w:firstLine="1143"/>
        <w:spacing w:after="0" w:line="274" w:lineRule="auto"/>
        <w:tabs>
          <w:tab w:leader="none" w:pos="1333" w:val="left"/>
        </w:tabs>
        <w:numPr>
          <w:ilvl w:val="2"/>
          <w:numId w:val="257"/>
        </w:numPr>
        <w:rPr>
          <w:rFonts w:ascii="Arial" w:cs="Arial" w:eastAsia="Arial" w:hAnsi="Arial"/>
          <w:sz w:val="15"/>
          <w:szCs w:val="15"/>
          <w:color w:val="auto"/>
        </w:rPr>
      </w:pPr>
      <w:r>
        <w:rPr>
          <w:rFonts w:ascii="Arial" w:cs="Arial" w:eastAsia="Arial" w:hAnsi="Arial"/>
          <w:sz w:val="15"/>
          <w:szCs w:val="15"/>
          <w:color w:val="auto"/>
        </w:rPr>
        <w:t>Subscriber acknowledges that the Company and others will rely on the acknowledgments, understandings, agreements, representations and warranties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39" w:name="page240"/>
    <w:bookmarkEnd w:id="239"/>
    <w:p>
      <w:pPr>
        <w:jc w:val="both"/>
        <w:ind w:left="4" w:right="20" w:firstLine="1147"/>
        <w:spacing w:after="0" w:line="275" w:lineRule="auto"/>
        <w:rPr>
          <w:sz w:val="20"/>
          <w:szCs w:val="20"/>
          <w:color w:val="auto"/>
        </w:rPr>
      </w:pPr>
      <w:r>
        <w:rPr>
          <w:rFonts w:ascii="Arial" w:cs="Arial" w:eastAsia="Arial" w:hAnsi="Arial"/>
          <w:sz w:val="16"/>
          <w:szCs w:val="16"/>
          <w:color w:val="auto"/>
        </w:rPr>
        <w:t>c. Each of the Company and Subscriber is irrevocably authorized to produce this Subscription Agreement or a copy hereof to any interested party in any administrative or legal proceeding or official inquiry with respect to the matters covered hereby.</w:t>
      </w:r>
    </w:p>
    <w:p>
      <w:pPr>
        <w:spacing w:after="0" w:line="152" w:lineRule="exact"/>
        <w:rPr>
          <w:sz w:val="20"/>
          <w:szCs w:val="20"/>
          <w:color w:val="auto"/>
        </w:rPr>
      </w:pPr>
    </w:p>
    <w:p>
      <w:pPr>
        <w:jc w:val="both"/>
        <w:ind w:left="4" w:firstLine="1147"/>
        <w:spacing w:after="0" w:line="253" w:lineRule="auto"/>
        <w:rPr>
          <w:sz w:val="20"/>
          <w:szCs w:val="20"/>
          <w:color w:val="auto"/>
        </w:rPr>
      </w:pPr>
      <w:r>
        <w:rPr>
          <w:rFonts w:ascii="Arial" w:cs="Arial" w:eastAsia="Arial" w:hAnsi="Arial"/>
          <w:sz w:val="16"/>
          <w:szCs w:val="16"/>
          <w:color w:val="auto"/>
        </w:rPr>
        <w:t xml:space="preserve">d. The Company shall be solely responsible for and shall bear all of costs and expenses incurred by or on behalf of the Company in connection with this Subscription Agreement. If the Transaction is consummated, the Company shall reimburse Subscriber on the Closing Date for all reasonable and documented out-of-pocket legal, accounting and diligence fees and expenses of Subscriber incurred in connection with this Subscription Agreement, the Indenture and the other documents relating thereto, including the reasonable and documented fees and expenses of Milbank LLP, as counsel to Subscriber, such fees and expenses not to exceed [***] in the aggregate, to the extent invoiced at least one (1) Business Day prior to the Closing Date. This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shall survive the termination of this Subscription Agreement. Neither this Subscription Agreement nor any rights that may accrue to Subscriber hereunder (other than the Subscribed Securities acquired hereunder, if any) may be transferred or assigned.</w:t>
      </w:r>
    </w:p>
    <w:p>
      <w:pPr>
        <w:spacing w:after="0" w:line="172" w:lineRule="exact"/>
        <w:rPr>
          <w:sz w:val="20"/>
          <w:szCs w:val="20"/>
          <w:color w:val="auto"/>
        </w:rPr>
      </w:pPr>
    </w:p>
    <w:p>
      <w:pPr>
        <w:jc w:val="both"/>
        <w:ind w:left="4" w:right="20" w:firstLine="1147"/>
        <w:spacing w:after="0" w:line="274" w:lineRule="auto"/>
        <w:rPr>
          <w:sz w:val="20"/>
          <w:szCs w:val="20"/>
          <w:color w:val="auto"/>
        </w:rPr>
      </w:pPr>
      <w:r>
        <w:rPr>
          <w:rFonts w:ascii="Arial" w:cs="Arial" w:eastAsia="Arial" w:hAnsi="Arial"/>
          <w:sz w:val="15"/>
          <w:szCs w:val="15"/>
          <w:color w:val="auto"/>
        </w:rPr>
        <w:t>e.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of its affiliates (including other investment funds or accounts managed or advised by the investment manager who acts on behalf of Subscriber) or, with the Company’s prior written consent, to another person, provided that no such assignment shall relieve Subscriber of its obligations hereunder if any such assignee fails to perform such obligations, unless the Company has given its prior written consent to such relief.</w:t>
      </w:r>
    </w:p>
    <w:p>
      <w:pPr>
        <w:spacing w:after="0" w:line="15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 All the agreements, representations and warranties made by each party hereto in this Subscription Agreement shall survive the Closing.</w:t>
      </w:r>
    </w:p>
    <w:p>
      <w:pPr>
        <w:spacing w:after="0" w:line="198" w:lineRule="exact"/>
        <w:rPr>
          <w:sz w:val="20"/>
          <w:szCs w:val="20"/>
          <w:color w:val="auto"/>
        </w:rPr>
      </w:pPr>
    </w:p>
    <w:p>
      <w:pPr>
        <w:jc w:val="both"/>
        <w:ind w:left="4" w:firstLine="1147"/>
        <w:spacing w:after="0" w:line="262" w:lineRule="auto"/>
        <w:rPr>
          <w:sz w:val="20"/>
          <w:szCs w:val="20"/>
          <w:color w:val="auto"/>
        </w:rPr>
      </w:pPr>
      <w:r>
        <w:rPr>
          <w:rFonts w:ascii="Arial" w:cs="Arial" w:eastAsia="Arial" w:hAnsi="Arial"/>
          <w:sz w:val="16"/>
          <w:szCs w:val="16"/>
          <w:color w:val="auto"/>
        </w:rPr>
        <w:t>g. The Company may request from Subscriber such additional information as the Company may deem necessary to evaluate the eligibility of Subscriber to acquire the Subscribed Securities, and Subscriber shall provide such information as may be reasonably requested, to the extent readily available and to the extent consistent with its internal policies and procedures.</w:t>
      </w:r>
    </w:p>
    <w:p>
      <w:pPr>
        <w:spacing w:after="0" w:line="162" w:lineRule="exact"/>
        <w:rPr>
          <w:sz w:val="20"/>
          <w:szCs w:val="20"/>
          <w:color w:val="auto"/>
        </w:rPr>
      </w:pPr>
    </w:p>
    <w:p>
      <w:pPr>
        <w:jc w:val="both"/>
        <w:ind w:left="4" w:firstLine="1147"/>
        <w:spacing w:after="0" w:line="286" w:lineRule="auto"/>
        <w:rPr>
          <w:sz w:val="20"/>
          <w:szCs w:val="20"/>
          <w:color w:val="auto"/>
        </w:rPr>
      </w:pPr>
      <w:r>
        <w:rPr>
          <w:rFonts w:ascii="Arial" w:cs="Arial" w:eastAsia="Arial" w:hAnsi="Arial"/>
          <w:sz w:val="14"/>
          <w:szCs w:val="14"/>
          <w:color w:val="auto"/>
        </w:rPr>
        <w:t xml:space="preserve">h. This Subscription Agreement may not be amended, modified, waived or terminated except by an instrument in writing, signed by the party against whom enforcement of such modification, waiver, or termination is sought; provided, that, this Subscription Agreement may be amended, modified, waived or terminated with the written consent of the Company and Subscribers then holding a majority of the Aggregate Subscribed Securities then committed to be purchased at the Closing by (or, if after the Closing, then held by) all Subscribers (the “Required Subscribers”). Upon the effectuation of such waiver, modification, amendment or termination with the consent of the Required Subscribers in conformance with this </w:t>
      </w:r>
      <w:r>
        <w:rPr>
          <w:rFonts w:ascii="Arial" w:cs="Arial" w:eastAsia="Arial" w:hAnsi="Arial"/>
          <w:sz w:val="14"/>
          <w:szCs w:val="14"/>
          <w:u w:val="single" w:color="auto"/>
          <w:color w:val="auto"/>
        </w:rPr>
        <w:t>Section 8(h)</w:t>
      </w:r>
      <w:r>
        <w:rPr>
          <w:rFonts w:ascii="Arial" w:cs="Arial" w:eastAsia="Arial" w:hAnsi="Arial"/>
          <w:sz w:val="14"/>
          <w:szCs w:val="14"/>
          <w:color w:val="auto"/>
        </w:rPr>
        <w:t xml:space="preserve">, such amendment, modification, waiver or termination shall be binding on all Subscribers and effective as to all of the Subscription Agreements.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no amendment, modification or waiver shall be effective against any Subscriber unless such amendment, modification or waiver applies to all Subscribers equally; (ii) any amendment, modification or waiver that has a disproportionate effect on a Subscriber (considered apart from any disproportionate effect owing to the number of Subscribed Securities held by such Subscriber), shall require the consent of such Subscriber; (iii) any amendment to </w:t>
      </w:r>
      <w:r>
        <w:rPr>
          <w:rFonts w:ascii="Arial" w:cs="Arial" w:eastAsia="Arial" w:hAnsi="Arial"/>
          <w:sz w:val="14"/>
          <w:szCs w:val="14"/>
          <w:u w:val="single" w:color="auto"/>
          <w:color w:val="auto"/>
        </w:rPr>
        <w:t>Section 2(e)</w:t>
      </w:r>
    </w:p>
    <w:p>
      <w:pPr>
        <w:spacing w:after="0" w:line="6" w:lineRule="exact"/>
        <w:rPr>
          <w:sz w:val="20"/>
          <w:szCs w:val="20"/>
          <w:color w:val="auto"/>
        </w:rPr>
      </w:pPr>
    </w:p>
    <w:p>
      <w:pPr>
        <w:ind w:left="4" w:right="20" w:hanging="4"/>
        <w:spacing w:after="0" w:line="292" w:lineRule="auto"/>
        <w:tabs>
          <w:tab w:leader="none" w:pos="318" w:val="left"/>
        </w:tabs>
        <w:numPr>
          <w:ilvl w:val="0"/>
          <w:numId w:val="258"/>
        </w:numPr>
        <w:rPr>
          <w:rFonts w:ascii="Arial" w:cs="Arial" w:eastAsia="Arial" w:hAnsi="Arial"/>
          <w:sz w:val="15"/>
          <w:szCs w:val="15"/>
          <w:u w:val="single" w:color="auto"/>
          <w:color w:val="auto"/>
        </w:rPr>
      </w:pPr>
      <w:r>
        <w:rPr>
          <w:rFonts w:ascii="Arial" w:cs="Arial" w:eastAsia="Arial" w:hAnsi="Arial"/>
          <w:sz w:val="15"/>
          <w:szCs w:val="15"/>
          <w:color w:val="auto"/>
        </w:rPr>
        <w:t xml:space="preserve">and </w:t>
      </w:r>
      <w:r>
        <w:rPr>
          <w:rFonts w:ascii="Arial" w:cs="Arial" w:eastAsia="Arial" w:hAnsi="Arial"/>
          <w:sz w:val="15"/>
          <w:szCs w:val="15"/>
          <w:u w:val="single" w:color="auto"/>
          <w:color w:val="auto"/>
        </w:rPr>
        <w:t>(viii)</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(to amend the definition of Termination Date) or this </w:t>
      </w:r>
      <w:r>
        <w:rPr>
          <w:rFonts w:ascii="Arial" w:cs="Arial" w:eastAsia="Arial" w:hAnsi="Arial"/>
          <w:sz w:val="15"/>
          <w:szCs w:val="15"/>
          <w:u w:val="single" w:color="auto"/>
          <w:color w:val="auto"/>
        </w:rPr>
        <w:t>Section 8(h)</w:t>
      </w:r>
      <w:r>
        <w:rPr>
          <w:rFonts w:ascii="Arial" w:cs="Arial" w:eastAsia="Arial" w:hAnsi="Arial"/>
          <w:sz w:val="15"/>
          <w:szCs w:val="15"/>
          <w:color w:val="auto"/>
        </w:rPr>
        <w:t xml:space="preserve"> of this Subscription Agreement; and (iv) any amendment, modification or other change that alters the Purchase Price, or the number of Subscribed Securities shall require the consent of the undersigned Subscriber.</w:t>
      </w: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40" w:name="page241"/>
    <w:bookmarkEnd w:id="240"/>
    <w:p>
      <w:pPr>
        <w:jc w:val="both"/>
        <w:ind w:right="20" w:firstLine="1147"/>
        <w:spacing w:after="0" w:line="275" w:lineRule="auto"/>
        <w:rPr>
          <w:sz w:val="20"/>
          <w:szCs w:val="20"/>
          <w:color w:val="auto"/>
        </w:rPr>
      </w:pPr>
      <w:r>
        <w:rPr>
          <w:rFonts w:ascii="Arial" w:cs="Arial" w:eastAsia="Arial" w:hAnsi="Arial"/>
          <w:sz w:val="16"/>
          <w:szCs w:val="16"/>
          <w:color w:val="auto"/>
        </w:rPr>
        <w:t>i. This Subscription Agreement constitutes the entire agreement, and supersedes all other prior agreements, understandings, representations and warranties, both written and oral, among the parties, with respect to the subject matter hereof.</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j.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5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62"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m. This Subscription Agreement is intended for the benefit of the parties hereto and their respective successors and permitted assigns and is not for the benefit of, nor may any provision hereof be enforced by, any other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Placement Agent shall be an intended third-party beneficiary of the representations and warranties of the Company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and of Subscriber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6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n. 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o. This Subscription Agreement shall be governed by, and construed in accordance with, the laws of the State of Delaware, without regard to the principles of conflicts of laws that would otherwise require the application of the law of any other state.</w:t>
      </w:r>
    </w:p>
    <w:p>
      <w:pPr>
        <w:spacing w:after="0" w:line="14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 xml:space="preserve">p. </w:t>
      </w:r>
      <w:r>
        <w:rPr>
          <w:rFonts w:ascii="Arial" w:cs="Arial" w:eastAsia="Arial" w:hAnsi="Arial"/>
          <w:sz w:val="16"/>
          <w:szCs w:val="16"/>
          <w:b w:val="1"/>
          <w:bCs w:val="1"/>
          <w:color w:val="auto"/>
        </w:rPr>
        <w:t>EACH PARTY HEREBY WAIVES ITS RESPECTIVE RIGHTS TO A TRIAL BY JURY OF ANY CLAIM OR CAUSE OF ACTION BASED</w:t>
      </w:r>
      <w:r>
        <w:rPr>
          <w:rFonts w:ascii="Arial" w:cs="Arial" w:eastAsia="Arial" w:hAnsi="Arial"/>
          <w:sz w:val="16"/>
          <w:szCs w:val="16"/>
          <w:color w:val="auto"/>
        </w:rPr>
        <w:t xml:space="preserve"> </w:t>
      </w:r>
      <w:r>
        <w:rPr>
          <w:rFonts w:ascii="Arial" w:cs="Arial" w:eastAsia="Arial" w:hAnsi="Arial"/>
          <w:sz w:val="16"/>
          <w:szCs w:val="16"/>
          <w:b w:val="1"/>
          <w:bCs w:val="1"/>
          <w:color w:val="auto"/>
        </w:rPr>
        <w:t>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70"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q. The parties agree that all disputes, legal actions, suits and proceedings arising out of or relating to this Subscription Agreement must be brought exclusively in the Court of Chancery of the State of Delaware and any state appellate court therefrom within the State of Delaware (or, if the Court of Chancery of the State of Delaware declines to accept jurisdiction over a particular matter, any federal court within the State of Delaware or, in the event each federal court within the State of Delaware declines to accept jurisdiction over a particular matter, any state court within the State of Delaware) (collectively the “</w:t>
      </w:r>
      <w:r>
        <w:rPr>
          <w:rFonts w:ascii="Arial" w:cs="Arial" w:eastAsia="Arial" w:hAnsi="Arial"/>
          <w:sz w:val="15"/>
          <w:szCs w:val="15"/>
          <w:u w:val="single" w:color="auto"/>
          <w:color w:val="auto"/>
        </w:rPr>
        <w:t>Designated Courts</w:t>
      </w:r>
      <w:r>
        <w:rPr>
          <w:rFonts w:ascii="Arial" w:cs="Arial" w:eastAsia="Arial" w:hAnsi="Arial"/>
          <w:sz w:val="15"/>
          <w:szCs w:val="15"/>
          <w:color w:val="auto"/>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Arial" w:cs="Arial" w:eastAsia="Arial" w:hAnsi="Arial"/>
          <w:sz w:val="15"/>
          <w:szCs w:val="15"/>
          <w:u w:val="single" w:color="auto"/>
          <w:color w:val="auto"/>
        </w:rPr>
        <w:t>Section 8(a)</w:t>
      </w:r>
      <w:r>
        <w:rPr>
          <w:rFonts w:ascii="Arial" w:cs="Arial" w:eastAsia="Arial" w:hAnsi="Arial"/>
          <w:sz w:val="15"/>
          <w:szCs w:val="15"/>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1" w:name="page242"/>
    <w:bookmarkEnd w:id="241"/>
    <w:p>
      <w:pPr>
        <w:jc w:val="both"/>
        <w:ind w:firstLine="1147"/>
        <w:spacing w:after="0" w:line="274" w:lineRule="auto"/>
        <w:rPr>
          <w:sz w:val="20"/>
          <w:szCs w:val="20"/>
          <w:color w:val="auto"/>
        </w:rPr>
      </w:pPr>
      <w:r>
        <w:rPr>
          <w:rFonts w:ascii="Arial" w:cs="Arial" w:eastAsia="Arial" w:hAnsi="Arial"/>
          <w:sz w:val="15"/>
          <w:szCs w:val="15"/>
          <w:color w:val="auto"/>
        </w:rPr>
        <w:t>r.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157"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s. The Company shall, by 9:00 a.m., New York City time, on the first (1st) business day immediately following the date of this Subscription Agreement, issue one or more press releases or file with the Commission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by the Other Subscription Agreements entered into as of the date hereof), the Transaction and any other material, nonpublic information that the Company has provided to Subscriber at any time prior to the filing of the Disclosure Document. From and after the issuance of the Disclosure Document, Subscriber shall not be in possession of any material, non-public information received from the Company or any of its officers, directors or employees or the Placement Agent. Notwithstanding the foregoing, the Company shall not publicly disclose the name of Subscriber or any affiliate or investment adviser of Subscriber, or include the name of Subscriber or any affiliate or investment adviser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Nasdaq Stock Market regulations, in which case the Company shall provide Subscriber with prior written notice (including by e-mail) of such permitted disclosure, and shall reasonably consult with Subscriber regarding such disclosure.</w:t>
      </w:r>
    </w:p>
    <w:p>
      <w:pPr>
        <w:spacing w:after="0" w:line="160"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2" w:name="page243"/>
    <w:bookmarkEnd w:id="242"/>
    <w:p>
      <w:pPr>
        <w:ind w:left="1140"/>
        <w:spacing w:after="0"/>
        <w:rPr>
          <w:sz w:val="20"/>
          <w:szCs w:val="20"/>
          <w:color w:val="auto"/>
        </w:rPr>
      </w:pPr>
      <w:r>
        <w:rPr>
          <w:rFonts w:ascii="Arial" w:cs="Arial" w:eastAsia="Arial" w:hAnsi="Arial"/>
          <w:sz w:val="14"/>
          <w:szCs w:val="14"/>
          <w:color w:val="auto"/>
        </w:rPr>
        <w:t>u. Following the Closing Date, Company shall hold regular quarterly conference calls to discuss the company’s financial results during the previous quarter.</w:t>
      </w:r>
    </w:p>
    <w:p>
      <w:pPr>
        <w:spacing w:after="0" w:line="221" w:lineRule="exact"/>
        <w:rPr>
          <w:sz w:val="20"/>
          <w:szCs w:val="20"/>
          <w:color w:val="auto"/>
        </w:rPr>
      </w:pPr>
    </w:p>
    <w:p>
      <w:pPr>
        <w:jc w:val="both"/>
        <w:ind w:firstLine="1147"/>
        <w:spacing w:after="0" w:line="268" w:lineRule="auto"/>
        <w:rPr>
          <w:sz w:val="20"/>
          <w:szCs w:val="20"/>
          <w:color w:val="auto"/>
        </w:rPr>
      </w:pPr>
      <w:r>
        <w:rPr>
          <w:rFonts w:ascii="Arial" w:cs="Arial" w:eastAsia="Arial" w:hAnsi="Arial"/>
          <w:sz w:val="15"/>
          <w:szCs w:val="15"/>
          <w:color w:val="auto"/>
        </w:rPr>
        <w:t>v. Following the Closing Date, for so long as the Subscriber holds no less than 50.0% of the Subscribed Notes (or shares issued in conversion thereof) purchased on the Closing Date, the Subscriber shall be entitled to designate one natural person from time to time to serve as an observer of the board of directors of the Company (the “</w:t>
      </w:r>
      <w:r>
        <w:rPr>
          <w:rFonts w:ascii="Arial" w:cs="Arial" w:eastAsia="Arial" w:hAnsi="Arial"/>
          <w:sz w:val="15"/>
          <w:szCs w:val="15"/>
          <w:u w:val="single" w:color="auto"/>
          <w:color w:val="auto"/>
        </w:rPr>
        <w:t>Board</w:t>
      </w:r>
      <w:r>
        <w:rPr>
          <w:rFonts w:ascii="Arial" w:cs="Arial" w:eastAsia="Arial" w:hAnsi="Arial"/>
          <w:sz w:val="15"/>
          <w:szCs w:val="15"/>
          <w:color w:val="auto"/>
        </w:rPr>
        <w:t>”) (a “</w:t>
      </w:r>
      <w:r>
        <w:rPr>
          <w:rFonts w:ascii="Arial" w:cs="Arial" w:eastAsia="Arial" w:hAnsi="Arial"/>
          <w:sz w:val="15"/>
          <w:szCs w:val="15"/>
          <w:u w:val="single" w:color="auto"/>
          <w:color w:val="auto"/>
        </w:rPr>
        <w:t>Board Observer</w:t>
      </w:r>
      <w:r>
        <w:rPr>
          <w:rFonts w:ascii="Arial" w:cs="Arial" w:eastAsia="Arial" w:hAnsi="Arial"/>
          <w:sz w:val="15"/>
          <w:szCs w:val="15"/>
          <w:color w:val="auto"/>
        </w:rPr>
        <w:t>”). Each of the Company and Subscriber shall take commercially reasonable efforts to negotiate in good faith a customary non-disclosure agreement between the Company and the Subscriber in a customary form provided by the Company and to be agreed between the parties including a “cleansing protocol”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Subject to entry into the Confidentiality Agreement, the Board Observer may attend and participate in any meeting of the Board or any committee thereof as a non-voting observer. The Board Observer shall not (i) be deemed to be a member of the Board, (ii) have the right to vote on any matter presented to the Board or committee thereof, (iii) be considered or required for purposes of establishing quorum, and (iv) have the right to propose or offer any motions or resolutions to the Board. The Board Observer shall, subject to execution of the Confidentiality Agreement, have the right to (i) receive the same materials distributed to the Board and any committee thereof, (ii) receive notice of all meetings of the Board and any committee thereof and (iii) otherwise fully participate in meetings and discussions of the Board and any committee thereof (whether in person or by telephone), except for the right to vote; provided, however, the Board Observer shall adhere and be subject to, and act consistently with, the policies of the Board. Notwithstanding the foregoing, Subscriber agrees that the Board Observer may be excluded from access to any material or meeting or portion thereof if the Board or committee of the Board determines in good faith that (A) such exclusion is reasonably necessary to preserve the attorney-client privilege between the Company or its subsidiaries and counsel, or any privilege under any common interest or joint defense doctrine, (B) such materials or discussion relates to items in which Subscriber or its Affiliates have a conflict of interest or otherwise relate to any potential transactions (including but not limited to transactions relating to the convertible notes or common stock issuable upon conversion) between or among the Company or its Affiliates and such persons, or (C) such exclusion is necessary to avoid disclosure that is restricted by any agreement to which the Company or its Affiliates is a party or otherwise bound and (iii) nothing herein shall prevent the Board or any committee of the Board from taking any action by written consent; provided, however, that the Company shall provide notice to the Board Observer of (a) any meeting of the Board or any committee thereof from which the Board Observer was excluded and (b) any action taken by written consent of the Board or any committee of the Board within 24 hours after such meet has been held or such action has been taken.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3" w:name="page244"/>
    <w:bookmarkEnd w:id="243"/>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 Edward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 Chairman and Chief Executive Officer</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Greenwich, CT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Ventoux CCM Acquisition Corp Subscription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SUBSCRIBER: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b w:val="1"/>
                <w:bCs w:val="1"/>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260" w:type="dxa"/>
            <w:vAlign w:val="bottom"/>
            <w:gridSpan w:val="2"/>
          </w:tcPr>
          <w:p>
            <w:pPr>
              <w:spacing w:after="0"/>
              <w:rPr>
                <w:sz w:val="20"/>
                <w:szCs w:val="20"/>
                <w:color w:val="auto"/>
              </w:rPr>
            </w:pPr>
            <w:r>
              <w:rPr>
                <w:rFonts w:ascii="Arial" w:cs="Arial" w:eastAsia="Arial" w:hAnsi="Arial"/>
                <w:sz w:val="16"/>
                <w:szCs w:val="16"/>
                <w:color w:val="auto"/>
              </w:rPr>
              <w:t>[***], its investment adviser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9"/>
        </w:trPr>
        <w:tc>
          <w:tcPr>
            <w:tcW w:w="7200" w:type="dxa"/>
            <w:vAlign w:val="bottom"/>
            <w:gridSpan w:val="2"/>
          </w:tcPr>
          <w:p>
            <w:pPr>
              <w:ind w:left="6760"/>
              <w:spacing w:after="0" w:line="179" w:lineRule="exact"/>
              <w:rPr>
                <w:sz w:val="20"/>
                <w:szCs w:val="20"/>
                <w:color w:val="auto"/>
              </w:rPr>
            </w:pPr>
            <w:r>
              <w:rPr>
                <w:rFonts w:ascii="Arial" w:cs="Arial" w:eastAsia="Arial" w:hAnsi="Arial"/>
                <w:sz w:val="16"/>
                <w:szCs w:val="16"/>
                <w:color w:val="auto"/>
                <w:w w:val="89"/>
              </w:rPr>
              <w:t>Name:</w:t>
            </w:r>
          </w:p>
        </w:tc>
        <w:tc>
          <w:tcPr>
            <w:tcW w:w="2820" w:type="dxa"/>
            <w:vAlign w:val="bottom"/>
          </w:tcPr>
          <w:p>
            <w:pPr>
              <w:spacing w:after="0" w:line="179"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Title:  General Counsel and CCO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Address for Notices: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4"/>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Name in which shares are to be registered: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20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91"/>
        </w:trPr>
        <w:tc>
          <w:tcPr>
            <w:tcW w:w="7200" w:type="dxa"/>
            <w:vAlign w:val="bottom"/>
            <w:gridSpan w:val="2"/>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Aggregate Principal Amount of Subscribed Notes subscribed for:</w:t>
            </w:r>
          </w:p>
        </w:tc>
        <w:tc>
          <w:tcPr>
            <w:tcW w:w="3260" w:type="dxa"/>
            <w:vAlign w:val="bottom"/>
            <w:gridSpan w:val="2"/>
            <w:shd w:val="clear" w:color="auto" w:fill="CCEEFF"/>
          </w:tcPr>
          <w:p>
            <w:pPr>
              <w:jc w:val="right"/>
              <w:ind w:right="28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r>
      <w:tr>
        <w:trPr>
          <w:trHeight w:val="191"/>
        </w:trPr>
        <w:tc>
          <w:tcPr>
            <w:tcW w:w="676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0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Subscribed Warrants subscribed for:</w:t>
            </w:r>
          </w:p>
        </w:tc>
        <w:tc>
          <w:tcPr>
            <w:tcW w:w="2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shares of Common Stock from Sponsors to be transferred:</w:t>
            </w:r>
          </w:p>
        </w:tc>
        <w:tc>
          <w:tcPr>
            <w:tcW w:w="28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200" w:type="dxa"/>
            <w:vAlign w:val="bottom"/>
            <w:gridSpan w:val="2"/>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6"/>
                <w:szCs w:val="16"/>
                <w:color w:val="auto"/>
              </w:rPr>
              <w:t>Aggregate Purchase Price:</w:t>
            </w:r>
          </w:p>
        </w:tc>
        <w:tc>
          <w:tcPr>
            <w:tcW w:w="2820" w:type="dxa"/>
            <w:vAlign w:val="bottom"/>
          </w:tcPr>
          <w:p>
            <w:pPr>
              <w:spacing w:after="0"/>
              <w:rPr>
                <w:sz w:val="18"/>
                <w:szCs w:val="18"/>
                <w:color w:val="auto"/>
              </w:rPr>
            </w:pPr>
          </w:p>
        </w:tc>
        <w:tc>
          <w:tcPr>
            <w:tcW w:w="44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SUBSCRIBER: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b w:val="1"/>
                <w:bCs w:val="1"/>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140" w:type="dxa"/>
            <w:vAlign w:val="bottom"/>
            <w:gridSpan w:val="2"/>
          </w:tcPr>
          <w:p>
            <w:pPr>
              <w:spacing w:after="0"/>
              <w:rPr>
                <w:sz w:val="20"/>
                <w:szCs w:val="20"/>
                <w:color w:val="auto"/>
              </w:rPr>
            </w:pPr>
            <w:r>
              <w:rPr>
                <w:rFonts w:ascii="Arial" w:cs="Arial" w:eastAsia="Arial" w:hAnsi="Arial"/>
                <w:sz w:val="16"/>
                <w:szCs w:val="16"/>
                <w:color w:val="auto"/>
              </w:rPr>
              <w:t>[***], its investment adviser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By:</w:t>
            </w: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79"/>
        </w:trPr>
        <w:tc>
          <w:tcPr>
            <w:tcW w:w="7320" w:type="dxa"/>
            <w:vAlign w:val="bottom"/>
            <w:gridSpan w:val="2"/>
          </w:tcPr>
          <w:p>
            <w:pPr>
              <w:ind w:left="6760"/>
              <w:spacing w:after="0" w:line="179" w:lineRule="exact"/>
              <w:rPr>
                <w:sz w:val="20"/>
                <w:szCs w:val="20"/>
                <w:color w:val="auto"/>
              </w:rPr>
            </w:pPr>
            <w:r>
              <w:rPr>
                <w:rFonts w:ascii="Arial" w:cs="Arial" w:eastAsia="Arial" w:hAnsi="Arial"/>
                <w:sz w:val="16"/>
                <w:szCs w:val="16"/>
                <w:color w:val="auto"/>
              </w:rPr>
              <w:t>Name:</w:t>
            </w:r>
          </w:p>
        </w:tc>
        <w:tc>
          <w:tcPr>
            <w:tcW w:w="2700" w:type="dxa"/>
            <w:vAlign w:val="bottom"/>
          </w:tcPr>
          <w:p>
            <w:pPr>
              <w:spacing w:after="0" w:line="179"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Title:</w:t>
            </w:r>
          </w:p>
        </w:tc>
        <w:tc>
          <w:tcPr>
            <w:tcW w:w="3140" w:type="dxa"/>
            <w:vAlign w:val="bottom"/>
            <w:gridSpan w:val="2"/>
          </w:tcPr>
          <w:p>
            <w:pPr>
              <w:spacing w:after="0"/>
              <w:rPr>
                <w:sz w:val="20"/>
                <w:szCs w:val="20"/>
                <w:color w:val="auto"/>
              </w:rPr>
            </w:pPr>
            <w:r>
              <w:rPr>
                <w:rFonts w:ascii="Arial" w:cs="Arial" w:eastAsia="Arial" w:hAnsi="Arial"/>
                <w:sz w:val="16"/>
                <w:szCs w:val="16"/>
                <w:color w:val="auto"/>
              </w:rPr>
              <w:t>General Counsel and CCO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82"/>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Address for Notices: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4"/>
        </w:trPr>
        <w:tc>
          <w:tcPr>
            <w:tcW w:w="10460" w:type="dxa"/>
            <w:vAlign w:val="bottom"/>
            <w:gridSpan w:val="4"/>
          </w:tcPr>
          <w:p>
            <w:pPr>
              <w:ind w:left="6760"/>
              <w:spacing w:after="0"/>
              <w:rPr>
                <w:sz w:val="20"/>
                <w:szCs w:val="20"/>
                <w:color w:val="auto"/>
              </w:rPr>
            </w:pPr>
            <w:r>
              <w:rPr>
                <w:rFonts w:ascii="Arial" w:cs="Arial" w:eastAsia="Arial" w:hAnsi="Arial"/>
                <w:sz w:val="16"/>
                <w:szCs w:val="16"/>
                <w:color w:val="auto"/>
              </w:rPr>
              <w:t>Name in which shares are to be registered: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7320" w:type="dxa"/>
            <w:vAlign w:val="bottom"/>
            <w:gridSpan w:val="2"/>
          </w:tcPr>
          <w:p>
            <w:pPr>
              <w:ind w:left="6760"/>
              <w:spacing w:after="0"/>
              <w:rPr>
                <w:sz w:val="20"/>
                <w:szCs w:val="20"/>
                <w:color w:val="auto"/>
              </w:rPr>
            </w:pPr>
            <w:r>
              <w:rPr>
                <w:rFonts w:ascii="Arial" w:cs="Arial" w:eastAsia="Arial" w:hAnsi="Arial"/>
                <w:sz w:val="16"/>
                <w:szCs w:val="16"/>
                <w:color w:val="auto"/>
              </w:rPr>
              <w:t>[***]</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5"/>
        </w:trPr>
        <w:tc>
          <w:tcPr>
            <w:tcW w:w="67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191"/>
        </w:trPr>
        <w:tc>
          <w:tcPr>
            <w:tcW w:w="7320" w:type="dxa"/>
            <w:vAlign w:val="bottom"/>
            <w:gridSpan w:val="2"/>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Aggregate Principal Amount of Subscribed Notes subscribed for:</w:t>
            </w:r>
          </w:p>
        </w:tc>
        <w:tc>
          <w:tcPr>
            <w:tcW w:w="3140" w:type="dxa"/>
            <w:vAlign w:val="bottom"/>
            <w:gridSpan w:val="2"/>
            <w:shd w:val="clear" w:color="auto" w:fill="CCEEFF"/>
          </w:tcPr>
          <w:p>
            <w:pPr>
              <w:ind w:left="27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r>
      <w:tr>
        <w:trPr>
          <w:trHeight w:val="191"/>
        </w:trPr>
        <w:tc>
          <w:tcPr>
            <w:tcW w:w="67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7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0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Subscribed Warrants subscribed for:</w:t>
            </w:r>
          </w:p>
        </w:tc>
        <w:tc>
          <w:tcPr>
            <w:tcW w:w="2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Aggregate Number of shares of Common Stock from Sponsors to be transferred:</w:t>
            </w:r>
          </w:p>
        </w:tc>
        <w:tc>
          <w:tcPr>
            <w:tcW w:w="2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1"/>
        </w:trPr>
        <w:tc>
          <w:tcPr>
            <w:tcW w:w="6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7320" w:type="dxa"/>
            <w:vAlign w:val="bottom"/>
            <w:gridSpan w:val="2"/>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7320" w:type="dxa"/>
            <w:vAlign w:val="bottom"/>
            <w:gridSpan w:val="2"/>
          </w:tcPr>
          <w:p>
            <w:pPr>
              <w:spacing w:after="0"/>
              <w:rPr>
                <w:sz w:val="20"/>
                <w:szCs w:val="20"/>
                <w:color w:val="auto"/>
              </w:rPr>
            </w:pPr>
            <w:r>
              <w:rPr>
                <w:rFonts w:ascii="Arial" w:cs="Arial" w:eastAsia="Arial" w:hAnsi="Arial"/>
                <w:sz w:val="16"/>
                <w:szCs w:val="16"/>
                <w:color w:val="auto"/>
              </w:rPr>
              <w:t>Aggregate Purchase Price:</w:t>
            </w:r>
          </w:p>
        </w:tc>
        <w:tc>
          <w:tcPr>
            <w:tcW w:w="270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r>
    </w:tbl>
    <w:p>
      <w:pPr>
        <w:spacing w:after="0" w:line="17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You must pay the Purchase Price by wire transfer of United States dollars in immediately available funds to the account of the Company specified by the Company in the Closing Notice.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6" w:name="page247"/>
    <w:bookmarkEnd w:id="246"/>
    <w:p>
      <w:pPr>
        <w:jc w:val="center"/>
        <w:ind w:right="-79"/>
        <w:spacing w:after="0"/>
        <w:rPr>
          <w:sz w:val="20"/>
          <w:szCs w:val="20"/>
          <w:color w:val="auto"/>
        </w:rPr>
      </w:pPr>
      <w:r>
        <w:rPr>
          <w:rFonts w:ascii="Arial" w:cs="Arial" w:eastAsia="Arial" w:hAnsi="Arial"/>
          <w:sz w:val="16"/>
          <w:szCs w:val="16"/>
          <w:b w:val="1"/>
          <w:bCs w:val="1"/>
          <w:color w:val="auto"/>
        </w:rPr>
        <w:t>ANNEX A</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This Annex A should be completed and signed by Subscriber</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and constitutes a part of the Subscription Agreement.</w:t>
      </w:r>
    </w:p>
    <w:p>
      <w:pPr>
        <w:spacing w:after="0" w:line="186" w:lineRule="exact"/>
        <w:rPr>
          <w:sz w:val="20"/>
          <w:szCs w:val="20"/>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QUALIFIED INSTITUTIONAL BUYER STATUS (Please check the box, if applicable)</w:t>
      </w:r>
    </w:p>
    <w:p>
      <w:pPr>
        <w:spacing w:after="0" w:line="294"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Subscriber is a “qualified institutional buyer” (as defined in Rule 144A under the Securities Act).</w:t>
      </w:r>
    </w:p>
    <w:p>
      <w:pPr>
        <w:spacing w:after="0" w:line="198" w:lineRule="exact"/>
        <w:rPr>
          <w:rFonts w:ascii="Arial" w:cs="Arial" w:eastAsia="Arial" w:hAnsi="Arial"/>
          <w:sz w:val="16"/>
          <w:szCs w:val="16"/>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ACCREDITED INVESTOR STATUS (Please check the box)</w:t>
      </w:r>
    </w:p>
    <w:p>
      <w:pPr>
        <w:spacing w:after="0" w:line="294" w:lineRule="exact"/>
        <w:rPr>
          <w:rFonts w:ascii="Arial" w:cs="Arial" w:eastAsia="Arial" w:hAnsi="Arial"/>
          <w:sz w:val="16"/>
          <w:szCs w:val="16"/>
          <w:color w:val="auto"/>
        </w:rPr>
      </w:pPr>
    </w:p>
    <w:p>
      <w:pPr>
        <w:ind w:left="640" w:right="20" w:hanging="278"/>
        <w:spacing w:after="0" w:line="275" w:lineRule="auto"/>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Subscriber is an “accredited investor” (within the meaning of Rule 501(a) under the Securities Act) and has marked and initialed the appropriate box below indicating the provision under which it qualifies as an “accredited investor.”</w:t>
      </w:r>
    </w:p>
    <w:p>
      <w:pPr>
        <w:spacing w:after="0" w:line="151" w:lineRule="exact"/>
        <w:rPr>
          <w:rFonts w:ascii="Arial" w:cs="Arial" w:eastAsia="Arial" w:hAnsi="Arial"/>
          <w:sz w:val="16"/>
          <w:szCs w:val="16"/>
          <w:color w:val="auto"/>
        </w:rPr>
      </w:pPr>
    </w:p>
    <w:p>
      <w:pPr>
        <w:ind w:left="380" w:hanging="304"/>
        <w:spacing w:after="0"/>
        <w:tabs>
          <w:tab w:leader="none" w:pos="3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(Please check the applicable box)</w:t>
      </w:r>
    </w:p>
    <w:p>
      <w:pPr>
        <w:spacing w:after="0" w:line="281"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6"/>
          <w:szCs w:val="16"/>
          <w:color w:val="auto"/>
        </w:rPr>
        <w:t>SUBSCRIBER:</w:t>
      </w:r>
    </w:p>
    <w:p>
      <w:pPr>
        <w:spacing w:after="0" w:line="294"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is:</w:t>
      </w:r>
    </w:p>
    <w:p>
      <w:pPr>
        <w:spacing w:after="0" w:line="198" w:lineRule="exact"/>
        <w:rPr>
          <w:rFonts w:ascii="Arial" w:cs="Arial" w:eastAsia="Arial" w:hAnsi="Arial"/>
          <w:sz w:val="16"/>
          <w:szCs w:val="16"/>
          <w:color w:val="auto"/>
        </w:rPr>
      </w:pPr>
    </w:p>
    <w:p>
      <w:pPr>
        <w:ind w:left="640" w:hanging="278"/>
        <w:spacing w:after="0"/>
        <w:tabs>
          <w:tab w:leader="none" w:pos="64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is not:</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firstLine="335"/>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eves comes within any of the below listed categories, at the time of the sale of the securities to that person. Subscriber has indicated, by marking and initialing the appropriate below, the provision(s) below which apply to Subscriber and under which Subscriber accordingly qualifies as an “accredited investor.”</w:t>
      </w:r>
    </w:p>
    <w:p>
      <w:pPr>
        <w:spacing w:after="0" w:line="146" w:lineRule="exact"/>
        <w:rPr>
          <w:sz w:val="20"/>
          <w:szCs w:val="20"/>
          <w:color w:val="auto"/>
        </w:rPr>
      </w:pPr>
    </w:p>
    <w:p>
      <w:pPr>
        <w:ind w:left="640" w:hanging="278"/>
        <w:spacing w:after="0"/>
        <w:tabs>
          <w:tab w:leader="none" w:pos="6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Any bank, registered broker or dealer, insurance company, registered investment company, business development company, or small business investment company;</w:t>
      </w:r>
    </w:p>
    <w:p>
      <w:pPr>
        <w:spacing w:after="0" w:line="221" w:lineRule="exact"/>
        <w:rPr>
          <w:rFonts w:ascii="Arial" w:cs="Arial" w:eastAsia="Arial" w:hAnsi="Arial"/>
          <w:sz w:val="14"/>
          <w:szCs w:val="14"/>
          <w:color w:val="auto"/>
        </w:rPr>
      </w:pPr>
    </w:p>
    <w:p>
      <w:pPr>
        <w:jc w:val="both"/>
        <w:ind w:left="640" w:right="20" w:hanging="278"/>
        <w:spacing w:after="0" w:line="262"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 or, if a self-directed plan, with investment decisions made solely by persons that are accredited investors;</w:t>
      </w:r>
    </w:p>
    <w:p>
      <w:pPr>
        <w:spacing w:after="0" w:line="162" w:lineRule="exact"/>
        <w:rPr>
          <w:rFonts w:ascii="Arial" w:cs="Arial" w:eastAsia="Arial" w:hAnsi="Arial"/>
          <w:sz w:val="16"/>
          <w:szCs w:val="16"/>
          <w:color w:val="auto"/>
        </w:rPr>
      </w:pPr>
    </w:p>
    <w:p>
      <w:pPr>
        <w:ind w:left="640" w:right="20" w:hanging="278"/>
        <w:spacing w:after="0" w:line="275"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Arial" w:cs="Arial" w:eastAsia="Arial" w:hAnsi="Arial"/>
          <w:sz w:val="16"/>
          <w:szCs w:val="16"/>
          <w:color w:val="auto"/>
        </w:rPr>
      </w:pPr>
    </w:p>
    <w:p>
      <w:pPr>
        <w:ind w:left="640" w:hanging="278"/>
        <w:spacing w:after="0"/>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private business development company as defined in section 202(a)(22) of the Investment Advisers Act of 1940;</w:t>
      </w:r>
    </w:p>
    <w:p>
      <w:pPr>
        <w:spacing w:after="0" w:line="198" w:lineRule="exact"/>
        <w:rPr>
          <w:rFonts w:ascii="Arial" w:cs="Arial" w:eastAsia="Arial" w:hAnsi="Arial"/>
          <w:sz w:val="16"/>
          <w:szCs w:val="16"/>
          <w:color w:val="auto"/>
        </w:rPr>
      </w:pPr>
    </w:p>
    <w:p>
      <w:pPr>
        <w:ind w:left="640" w:right="20" w:hanging="278"/>
        <w:spacing w:after="0" w:line="275" w:lineRule="auto"/>
        <w:tabs>
          <w:tab w:leader="none" w:pos="6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362585</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340"/>
          </w:cols>
          <w:pgMar w:left="240" w:top="816" w:right="319" w:bottom="1440" w:gutter="0" w:footer="0" w:header="0"/>
        </w:sectPr>
      </w:pPr>
    </w:p>
    <w:bookmarkStart w:id="247" w:name="page248"/>
    <w:bookmarkEnd w:id="247"/>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whose individual net worth, or joint net worth with that person’s spouse or spousal equivalent, exceeds $1,000,000;</w:t>
      </w:r>
    </w:p>
    <w:p>
      <w:pPr>
        <w:spacing w:after="0" w:line="198" w:lineRule="exact"/>
        <w:rPr>
          <w:rFonts w:ascii="Arial" w:cs="Arial" w:eastAsia="Arial" w:hAnsi="Arial"/>
          <w:sz w:val="16"/>
          <w:szCs w:val="16"/>
          <w:color w:val="auto"/>
        </w:rPr>
      </w:pPr>
    </w:p>
    <w:p>
      <w:pPr>
        <w:ind w:left="560" w:hanging="278"/>
        <w:spacing w:after="0" w:line="309" w:lineRule="auto"/>
        <w:tabs>
          <w:tab w:leader="none" w:pos="5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29" w:lineRule="exact"/>
        <w:rPr>
          <w:rFonts w:ascii="Arial" w:cs="Arial" w:eastAsia="Arial" w:hAnsi="Arial"/>
          <w:sz w:val="15"/>
          <w:szCs w:val="15"/>
          <w:color w:val="auto"/>
        </w:rPr>
      </w:pPr>
    </w:p>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trust, with total assets in excess of $5,000,000, not formed for the specific purpose of acquiring the securities offered, whose purchase is directed by a sophisticated person as described in § 230.506(b)(2)(ii);</w:t>
      </w:r>
    </w:p>
    <w:p>
      <w:pPr>
        <w:spacing w:after="0" w:line="151"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entity in which all of the equity owners are accredited investors;</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Any entity, of a type not listed above, not formed for the specific purpose of acquiring the securities offered, owning investments in excess of $5,000,000;</w:t>
      </w:r>
    </w:p>
    <w:p>
      <w:pPr>
        <w:spacing w:after="0" w:line="209" w:lineRule="exact"/>
        <w:rPr>
          <w:rFonts w:ascii="Arial" w:cs="Arial" w:eastAsia="Arial" w:hAnsi="Arial"/>
          <w:sz w:val="15"/>
          <w:szCs w:val="15"/>
          <w:color w:val="auto"/>
        </w:rPr>
      </w:pPr>
    </w:p>
    <w:p>
      <w:pPr>
        <w:ind w:left="560" w:hanging="278"/>
        <w:spacing w:after="0" w:line="275"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51" w:lineRule="exact"/>
        <w:rPr>
          <w:rFonts w:ascii="Arial" w:cs="Arial" w:eastAsia="Arial" w:hAnsi="Arial"/>
          <w:sz w:val="16"/>
          <w:szCs w:val="16"/>
          <w:color w:val="auto"/>
        </w:rPr>
      </w:pPr>
    </w:p>
    <w:p>
      <w:pPr>
        <w:jc w:val="both"/>
        <w:ind w:left="560" w:hanging="278"/>
        <w:spacing w:after="0" w:line="262"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natural person who is a “knowledgeable employee,” as defined in rule 3c-5(a)(4) under the Investment Company Act of 1940 (17 CFR 270.3c-5(a)(4)), of the issuer of the securities being offered or sold where the issuer would be an investment company, as defined in section 3 of such act, but for the exclusion provided by either section 3(c)(1) or section 3(c)(7) of such Act;</w:t>
      </w:r>
    </w:p>
    <w:p>
      <w:pPr>
        <w:spacing w:after="0" w:line="162" w:lineRule="exact"/>
        <w:rPr>
          <w:rFonts w:ascii="Arial" w:cs="Arial" w:eastAsia="Arial" w:hAnsi="Arial"/>
          <w:sz w:val="16"/>
          <w:szCs w:val="16"/>
          <w:color w:val="auto"/>
        </w:rPr>
      </w:pPr>
    </w:p>
    <w:p>
      <w:pPr>
        <w:jc w:val="both"/>
        <w:ind w:left="560" w:hanging="278"/>
        <w:spacing w:after="0" w:line="258"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and</w:t>
      </w:r>
    </w:p>
    <w:p>
      <w:pPr>
        <w:spacing w:after="0" w:line="164" w:lineRule="exact"/>
        <w:rPr>
          <w:rFonts w:ascii="Arial" w:cs="Arial" w:eastAsia="Arial" w:hAnsi="Arial"/>
          <w:sz w:val="16"/>
          <w:szCs w:val="16"/>
          <w:color w:val="auto"/>
        </w:rPr>
      </w:pPr>
    </w:p>
    <w:p>
      <w:pPr>
        <w:jc w:val="both"/>
        <w:ind w:left="560" w:hanging="278"/>
        <w:spacing w:after="0" w:line="262" w:lineRule="auto"/>
        <w:tabs>
          <w:tab w:leader="none" w:pos="5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‘‘family client,’’ as defined in rule 202(a)(11)(G)–1 under the Investment Advisers Act of 1940 (17 CFR 275.202(a)(11)(G)–1)), of a family office meeting the requirements in paragraph (a)(12) of this section 501(a) and whose prospective investment in the issuer is directed by such family office pursuant to paragraph (a)(12) (iii).</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[Specify which tests: ]</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SUBSCRIBER:</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Print Name:</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48" w:name="page249"/>
    <w:bookmarkEnd w:id="248"/>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Indenture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44" w:right="1440"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Amended and Restated Warrant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6"/>
          <w:szCs w:val="16"/>
          <w:b w:val="1"/>
          <w:bCs w:val="1"/>
          <w:color w:val="auto"/>
        </w:rPr>
        <w:t>Exhibit 10.3</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AGREEMENT</w:t>
      </w:r>
    </w:p>
    <w:p>
      <w:pPr>
        <w:spacing w:after="0" w:line="18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This AMENDED AND RESTATED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 2022, by and between Ventoux CCM Acquisition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color w:val="auto"/>
        </w:rPr>
        <w:t>Warrant Agent</w:t>
      </w:r>
      <w:r>
        <w:rPr>
          <w:rFonts w:ascii="Arial" w:cs="Arial" w:eastAsia="Arial" w:hAnsi="Arial"/>
          <w:sz w:val="16"/>
          <w:szCs w:val="16"/>
          <w:color w:val="auto"/>
        </w:rPr>
        <w:t>”).</w:t>
      </w:r>
    </w:p>
    <w:p>
      <w:pPr>
        <w:spacing w:after="0" w:line="144" w:lineRule="exact"/>
        <w:rPr>
          <w:sz w:val="20"/>
          <w:szCs w:val="20"/>
          <w:color w:val="auto"/>
        </w:rPr>
      </w:pPr>
    </w:p>
    <w:p>
      <w:pPr>
        <w:jc w:val="both"/>
        <w:ind w:right="20" w:firstLine="574"/>
        <w:spacing w:after="0" w:line="259" w:lineRule="auto"/>
        <w:rPr>
          <w:sz w:val="20"/>
          <w:szCs w:val="20"/>
          <w:color w:val="auto"/>
        </w:rPr>
      </w:pPr>
      <w:r>
        <w:rPr>
          <w:rFonts w:ascii="Arial" w:cs="Arial" w:eastAsia="Arial" w:hAnsi="Arial"/>
          <w:sz w:val="16"/>
          <w:szCs w:val="16"/>
          <w:color w:val="auto"/>
        </w:rPr>
        <w:t>WHEREAS, the Company completed an initial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17,250,000 units (the “</w:t>
      </w:r>
      <w:r>
        <w:rPr>
          <w:rFonts w:ascii="Arial" w:cs="Arial" w:eastAsia="Arial" w:hAnsi="Arial"/>
          <w:sz w:val="16"/>
          <w:szCs w:val="16"/>
          <w:b w:val="1"/>
          <w:bCs w:val="1"/>
          <w:color w:val="auto"/>
        </w:rPr>
        <w:t>Units</w:t>
      </w:r>
      <w:r>
        <w:rPr>
          <w:rFonts w:ascii="Arial" w:cs="Arial" w:eastAsia="Arial" w:hAnsi="Arial"/>
          <w:sz w:val="16"/>
          <w:szCs w:val="16"/>
          <w:color w:val="auto"/>
        </w:rPr>
        <w:t>”) of the Company, inclusive of the underwriters’ exercise of their over-allotment option in full, each Unit consisting of one share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right to receive one-twentieth of one share of Common Stock, and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each whole Public Warrant entitling its holder to purchase one-half of one share of Common Stock (the “</w:t>
      </w:r>
      <w:r>
        <w:rPr>
          <w:rFonts w:ascii="Arial" w:cs="Arial" w:eastAsia="Arial" w:hAnsi="Arial"/>
          <w:sz w:val="16"/>
          <w:szCs w:val="16"/>
          <w:b w:val="1"/>
          <w:bCs w:val="1"/>
          <w:color w:val="auto"/>
        </w:rPr>
        <w:t>Public Warrant 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8" w:lineRule="auto"/>
        <w:rPr>
          <w:sz w:val="20"/>
          <w:szCs w:val="20"/>
          <w:color w:val="auto"/>
        </w:rPr>
      </w:pPr>
      <w:r>
        <w:rPr>
          <w:rFonts w:ascii="Arial" w:cs="Arial" w:eastAsia="Arial" w:hAnsi="Arial"/>
          <w:sz w:val="15"/>
          <w:szCs w:val="15"/>
          <w:color w:val="auto"/>
        </w:rPr>
        <w:t>WHEREAS, the Company entered into Subscription Agreements dated as of December 23, 2020 (collectively, the “</w:t>
      </w:r>
      <w:r>
        <w:rPr>
          <w:rFonts w:ascii="Arial" w:cs="Arial" w:eastAsia="Arial" w:hAnsi="Arial"/>
          <w:sz w:val="15"/>
          <w:szCs w:val="15"/>
          <w:b w:val="1"/>
          <w:bCs w:val="1"/>
          <w:color w:val="auto"/>
        </w:rPr>
        <w:t>Subscription Agreements</w:t>
      </w:r>
      <w:r>
        <w:rPr>
          <w:rFonts w:ascii="Arial" w:cs="Arial" w:eastAsia="Arial" w:hAnsi="Arial"/>
          <w:sz w:val="15"/>
          <w:szCs w:val="15"/>
          <w:color w:val="auto"/>
        </w:rPr>
        <w:t>”), with Ventoux Acquisition Holdings LLC (the “</w:t>
      </w:r>
      <w:r>
        <w:rPr>
          <w:rFonts w:ascii="Arial" w:cs="Arial" w:eastAsia="Arial" w:hAnsi="Arial"/>
          <w:sz w:val="15"/>
          <w:szCs w:val="15"/>
          <w:b w:val="1"/>
          <w:bCs w:val="1"/>
          <w:color w:val="auto"/>
        </w:rPr>
        <w:t>Co-Sponsor</w:t>
      </w:r>
      <w:r>
        <w:rPr>
          <w:rFonts w:ascii="Arial" w:cs="Arial" w:eastAsia="Arial" w:hAnsi="Arial"/>
          <w:sz w:val="15"/>
          <w:szCs w:val="15"/>
          <w:color w:val="auto"/>
        </w:rPr>
        <w:t>”) and Chardan International Investments, LLC (the “</w:t>
      </w:r>
      <w:r>
        <w:rPr>
          <w:rFonts w:ascii="Arial" w:cs="Arial" w:eastAsia="Arial" w:hAnsi="Arial"/>
          <w:sz w:val="15"/>
          <w:szCs w:val="15"/>
          <w:b w:val="1"/>
          <w:bCs w:val="1"/>
          <w:color w:val="auto"/>
        </w:rPr>
        <w:t>Co-Sponsor II</w:t>
      </w:r>
      <w:r>
        <w:rPr>
          <w:rFonts w:ascii="Arial" w:cs="Arial" w:eastAsia="Arial" w:hAnsi="Arial"/>
          <w:sz w:val="15"/>
          <w:szCs w:val="15"/>
          <w:color w:val="auto"/>
        </w:rPr>
        <w:t>”, and together with the Co-Sponsor, the “</w:t>
      </w:r>
      <w:r>
        <w:rPr>
          <w:rFonts w:ascii="Arial" w:cs="Arial" w:eastAsia="Arial" w:hAnsi="Arial"/>
          <w:sz w:val="15"/>
          <w:szCs w:val="15"/>
          <w:b w:val="1"/>
          <w:bCs w:val="1"/>
          <w:color w:val="auto"/>
        </w:rPr>
        <w:t>Sponsors</w:t>
      </w:r>
      <w:r>
        <w:rPr>
          <w:rFonts w:ascii="Arial" w:cs="Arial" w:eastAsia="Arial" w:hAnsi="Arial"/>
          <w:sz w:val="15"/>
          <w:szCs w:val="15"/>
          <w:color w:val="auto"/>
        </w:rPr>
        <w:t>”), pursuant to which the Co-Sponsor purchased 4,450,000 warrants and the Co-Sponsor II purchased 2,225,000 warrants, for an aggregate purchase of 6,675,000 warrants, each for a purchase price of $1.00 per warrant (the “</w:t>
      </w:r>
      <w:r>
        <w:rPr>
          <w:rFonts w:ascii="Arial" w:cs="Arial" w:eastAsia="Arial" w:hAnsi="Arial"/>
          <w:sz w:val="15"/>
          <w:szCs w:val="15"/>
          <w:b w:val="1"/>
          <w:bCs w:val="1"/>
          <w:color w:val="auto"/>
        </w:rPr>
        <w:t>Private Warrants</w:t>
      </w:r>
      <w:r>
        <w:rPr>
          <w:rFonts w:ascii="Arial" w:cs="Arial" w:eastAsia="Arial" w:hAnsi="Arial"/>
          <w:sz w:val="15"/>
          <w:szCs w:val="15"/>
          <w:color w:val="auto"/>
        </w:rPr>
        <w:t>”, together with the Public Warrants, the “</w:t>
      </w:r>
      <w:r>
        <w:rPr>
          <w:rFonts w:ascii="Arial" w:cs="Arial" w:eastAsia="Arial" w:hAnsi="Arial"/>
          <w:sz w:val="15"/>
          <w:szCs w:val="15"/>
          <w:b w:val="1"/>
          <w:bCs w:val="1"/>
          <w:color w:val="auto"/>
        </w:rPr>
        <w:t>Initial Warrants</w:t>
      </w:r>
      <w:r>
        <w:rPr>
          <w:rFonts w:ascii="Arial" w:cs="Arial" w:eastAsia="Arial" w:hAnsi="Arial"/>
          <w:sz w:val="15"/>
          <w:szCs w:val="15"/>
          <w:color w:val="auto"/>
        </w:rPr>
        <w:t>”), each whole Private Warrant entitling its holder to purchase one share of Common Stock (“</w:t>
      </w:r>
      <w:r>
        <w:rPr>
          <w:rFonts w:ascii="Arial" w:cs="Arial" w:eastAsia="Arial" w:hAnsi="Arial"/>
          <w:sz w:val="15"/>
          <w:szCs w:val="15"/>
          <w:b w:val="1"/>
          <w:bCs w:val="1"/>
          <w:color w:val="auto"/>
        </w:rPr>
        <w:t>Private Warrant Shares</w:t>
      </w:r>
      <w:r>
        <w:rPr>
          <w:rFonts w:ascii="Arial" w:cs="Arial" w:eastAsia="Arial" w:hAnsi="Arial"/>
          <w:sz w:val="15"/>
          <w:szCs w:val="15"/>
          <w:color w:val="auto"/>
        </w:rPr>
        <w:t>”, and together with the Public Warrant Shares, the “</w:t>
      </w:r>
      <w:r>
        <w:rPr>
          <w:rFonts w:ascii="Arial" w:cs="Arial" w:eastAsia="Arial" w:hAnsi="Arial"/>
          <w:sz w:val="15"/>
          <w:szCs w:val="15"/>
          <w:b w:val="1"/>
          <w:bCs w:val="1"/>
          <w:color w:val="auto"/>
        </w:rPr>
        <w:t>Initial Warrant Shares</w:t>
      </w:r>
      <w:r>
        <w:rPr>
          <w:rFonts w:ascii="Arial" w:cs="Arial" w:eastAsia="Arial" w:hAnsi="Arial"/>
          <w:sz w:val="15"/>
          <w:szCs w:val="15"/>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Company, Co-Sponsor and Co-Sponsor II desire to cancel 600,000 of the Private Warrants on a pro-rata basis between Co-Sponsor and Co-Sponsor</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II;</w:t>
      </w:r>
    </w:p>
    <w:p>
      <w:pPr>
        <w:spacing w:after="0" w:line="182"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WHEREAS, the Company and Warrant Agent entered into that certain Warrant Agreement, dated as of December 23, 2020 (the “</w:t>
      </w:r>
      <w:r>
        <w:rPr>
          <w:rFonts w:ascii="Arial" w:cs="Arial" w:eastAsia="Arial" w:hAnsi="Arial"/>
          <w:sz w:val="16"/>
          <w:szCs w:val="16"/>
          <w:b w:val="1"/>
          <w:bCs w:val="1"/>
          <w:color w:val="auto"/>
        </w:rPr>
        <w:t>Original Warrant Agreement</w:t>
      </w:r>
      <w:r>
        <w:rPr>
          <w:rFonts w:ascii="Arial" w:cs="Arial" w:eastAsia="Arial" w:hAnsi="Arial"/>
          <w:sz w:val="16"/>
          <w:szCs w:val="16"/>
          <w:color w:val="auto"/>
        </w:rPr>
        <w:t>”), which provides for the form and provisions of the Initial Warrants, the terms upon which they shall be issued and exercised, and the respective rights, limitations of rights, and immunities of the Company, the Warrant Agent and the holders of the Initial Warrants;</w:t>
      </w:r>
    </w:p>
    <w:p>
      <w:pPr>
        <w:spacing w:after="0" w:line="155"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WHEREAS, the Company has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and the SEC has declared effective, a Registration Statement on Form S-1, No. 333-251048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issuance of, among other securities, the Public Warrants;</w:t>
      </w:r>
    </w:p>
    <w:p>
      <w:pPr>
        <w:spacing w:after="0" w:line="155" w:lineRule="exact"/>
        <w:rPr>
          <w:sz w:val="20"/>
          <w:szCs w:val="20"/>
          <w:color w:val="auto"/>
        </w:rPr>
      </w:pPr>
    </w:p>
    <w:p>
      <w:pPr>
        <w:jc w:val="both"/>
        <w:ind w:firstLine="574"/>
        <w:spacing w:after="0" w:line="278" w:lineRule="auto"/>
        <w:rPr>
          <w:sz w:val="20"/>
          <w:szCs w:val="20"/>
          <w:color w:val="auto"/>
        </w:rPr>
      </w:pPr>
      <w:r>
        <w:rPr>
          <w:rFonts w:ascii="Arial" w:cs="Arial" w:eastAsia="Arial" w:hAnsi="Arial"/>
          <w:sz w:val="15"/>
          <w:szCs w:val="15"/>
          <w:color w:val="auto"/>
        </w:rPr>
        <w:t>WHEREAS, the Company, Ventoux Merger Sub I, Inc. (“</w:t>
      </w:r>
      <w:r>
        <w:rPr>
          <w:rFonts w:ascii="Arial" w:cs="Arial" w:eastAsia="Arial" w:hAnsi="Arial"/>
          <w:sz w:val="15"/>
          <w:szCs w:val="15"/>
          <w:b w:val="1"/>
          <w:bCs w:val="1"/>
          <w:color w:val="auto"/>
        </w:rPr>
        <w:t>First Merger Sub</w:t>
      </w:r>
      <w:r>
        <w:rPr>
          <w:rFonts w:ascii="Arial" w:cs="Arial" w:eastAsia="Arial" w:hAnsi="Arial"/>
          <w:sz w:val="15"/>
          <w:szCs w:val="15"/>
          <w:color w:val="auto"/>
        </w:rPr>
        <w:t>”), Ventoux Merger Sub II, LLC (“</w:t>
      </w:r>
      <w:r>
        <w:rPr>
          <w:rFonts w:ascii="Arial" w:cs="Arial" w:eastAsia="Arial" w:hAnsi="Arial"/>
          <w:sz w:val="15"/>
          <w:szCs w:val="15"/>
          <w:b w:val="1"/>
          <w:bCs w:val="1"/>
          <w:color w:val="auto"/>
        </w:rPr>
        <w:t>Second Merger Sub</w:t>
      </w:r>
      <w:r>
        <w:rPr>
          <w:rFonts w:ascii="Arial" w:cs="Arial" w:eastAsia="Arial" w:hAnsi="Arial"/>
          <w:sz w:val="15"/>
          <w:szCs w:val="15"/>
          <w:color w:val="auto"/>
        </w:rPr>
        <w:t>”) and E La Carte, Inc. (the “</w:t>
      </w:r>
      <w:r>
        <w:rPr>
          <w:rFonts w:ascii="Arial" w:cs="Arial" w:eastAsia="Arial" w:hAnsi="Arial"/>
          <w:sz w:val="15"/>
          <w:szCs w:val="15"/>
          <w:b w:val="1"/>
          <w:bCs w:val="1"/>
          <w:color w:val="auto"/>
        </w:rPr>
        <w:t>Target</w:t>
      </w:r>
      <w:r>
        <w:rPr>
          <w:rFonts w:ascii="Arial" w:cs="Arial" w:eastAsia="Arial" w:hAnsi="Arial"/>
          <w:sz w:val="15"/>
          <w:szCs w:val="15"/>
          <w:color w:val="auto"/>
        </w:rPr>
        <w:t>”) have entered into that certain Agreement and Plan of Merger, dated as of November 10, 2021 (the “</w:t>
      </w:r>
      <w:r>
        <w:rPr>
          <w:rFonts w:ascii="Arial" w:cs="Arial" w:eastAsia="Arial" w:hAnsi="Arial"/>
          <w:sz w:val="15"/>
          <w:szCs w:val="15"/>
          <w:b w:val="1"/>
          <w:bCs w:val="1"/>
          <w:color w:val="auto"/>
        </w:rPr>
        <w:t>Merger Agreement</w:t>
      </w:r>
      <w:r>
        <w:rPr>
          <w:rFonts w:ascii="Arial" w:cs="Arial" w:eastAsia="Arial" w:hAnsi="Arial"/>
          <w:sz w:val="15"/>
          <w:szCs w:val="15"/>
          <w:color w:val="auto"/>
        </w:rPr>
        <w:t>”), pursuant to which (and subject to the terms and conditions set forth therein) First Merger Sub will merge with and into the Target, with the Target surviving such merger as a wholly-owned subsidiary of the Company (the “</w:t>
      </w:r>
      <w:r>
        <w:rPr>
          <w:rFonts w:ascii="Arial" w:cs="Arial" w:eastAsia="Arial" w:hAnsi="Arial"/>
          <w:sz w:val="15"/>
          <w:szCs w:val="15"/>
          <w:b w:val="1"/>
          <w:bCs w:val="1"/>
          <w:color w:val="auto"/>
        </w:rPr>
        <w:t>First Merger</w:t>
      </w:r>
      <w:r>
        <w:rPr>
          <w:rFonts w:ascii="Arial" w:cs="Arial" w:eastAsia="Arial" w:hAnsi="Arial"/>
          <w:sz w:val="15"/>
          <w:szCs w:val="15"/>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5"/>
          <w:szCs w:val="15"/>
          <w:b w:val="1"/>
          <w:bCs w:val="1"/>
          <w:color w:val="auto"/>
        </w:rPr>
        <w:t>Merger</w:t>
      </w:r>
      <w:r>
        <w:rPr>
          <w:rFonts w:ascii="Arial" w:cs="Arial" w:eastAsia="Arial" w:hAnsi="Arial"/>
          <w:sz w:val="15"/>
          <w:szCs w:val="15"/>
          <w:color w:val="auto"/>
        </w:rPr>
        <w:t>”);</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WHEREAS, the Company has, concurrently with entering into the Merger Agreement, entered into a Subscription Agreement, dated as of November 10, 2021 (the “</w:t>
      </w:r>
      <w:r>
        <w:rPr>
          <w:rFonts w:ascii="Arial" w:cs="Arial" w:eastAsia="Arial" w:hAnsi="Arial"/>
          <w:sz w:val="15"/>
          <w:szCs w:val="15"/>
          <w:b w:val="1"/>
          <w:bCs w:val="1"/>
          <w:i w:val="1"/>
          <w:iCs w:val="1"/>
          <w:color w:val="auto"/>
        </w:rPr>
        <w:t>Subscription Agreement</w:t>
      </w:r>
      <w:r>
        <w:rPr>
          <w:rFonts w:ascii="Arial" w:cs="Arial" w:eastAsia="Arial" w:hAnsi="Arial"/>
          <w:sz w:val="15"/>
          <w:szCs w:val="15"/>
          <w:color w:val="auto"/>
        </w:rPr>
        <w:t>”) with a certain investor (the “</w:t>
      </w:r>
      <w:r>
        <w:rPr>
          <w:rFonts w:ascii="Arial" w:cs="Arial" w:eastAsia="Arial" w:hAnsi="Arial"/>
          <w:sz w:val="15"/>
          <w:szCs w:val="15"/>
          <w:b w:val="1"/>
          <w:bCs w:val="1"/>
          <w:i w:val="1"/>
          <w:iCs w:val="1"/>
          <w:color w:val="auto"/>
        </w:rPr>
        <w:t>Subscriber</w:t>
      </w:r>
      <w:r>
        <w:rPr>
          <w:rFonts w:ascii="Arial" w:cs="Arial" w:eastAsia="Arial" w:hAnsi="Arial"/>
          <w:sz w:val="15"/>
          <w:szCs w:val="15"/>
          <w:color w:val="auto"/>
        </w:rPr>
        <w:t>”), pursuant to which the Subscriber has agreed to subscribe for and purchase, and the Company has agreed to issue and sell to the Subscriber, effective as of immediately prior to the effective time of the Merger, (a) an aggregate principal amount of $55,000,000 of the Company’s 9.0%/11.0% notes due 2026 (the “</w:t>
      </w:r>
      <w:r>
        <w:rPr>
          <w:rFonts w:ascii="Arial" w:cs="Arial" w:eastAsia="Arial" w:hAnsi="Arial"/>
          <w:sz w:val="15"/>
          <w:szCs w:val="15"/>
          <w:b w:val="1"/>
          <w:bCs w:val="1"/>
          <w:color w:val="auto"/>
        </w:rPr>
        <w:t>Notes</w:t>
      </w:r>
      <w:r>
        <w:rPr>
          <w:rFonts w:ascii="Arial" w:cs="Arial" w:eastAsia="Arial" w:hAnsi="Arial"/>
          <w:sz w:val="15"/>
          <w:szCs w:val="15"/>
          <w:color w:val="auto"/>
        </w:rPr>
        <w:t>”), which are convertible into shares of Common Stock, and (b) warrants to purchase an aggregate of 1,000,000 shares of Common Stock (the “</w:t>
      </w:r>
      <w:r>
        <w:rPr>
          <w:rFonts w:ascii="Arial" w:cs="Arial" w:eastAsia="Arial" w:hAnsi="Arial"/>
          <w:sz w:val="15"/>
          <w:szCs w:val="15"/>
          <w:b w:val="1"/>
          <w:bCs w:val="1"/>
          <w:color w:val="auto"/>
        </w:rPr>
        <w:t>Notes Warrant Shares</w:t>
      </w:r>
      <w:r>
        <w:rPr>
          <w:rFonts w:ascii="Arial" w:cs="Arial" w:eastAsia="Arial" w:hAnsi="Arial"/>
          <w:sz w:val="15"/>
          <w:szCs w:val="15"/>
          <w:color w:val="auto"/>
        </w:rPr>
        <w:t>” and together with the Initial Warrant Shares, the “</w:t>
      </w:r>
      <w:r>
        <w:rPr>
          <w:rFonts w:ascii="Arial" w:cs="Arial" w:eastAsia="Arial" w:hAnsi="Arial"/>
          <w:sz w:val="15"/>
          <w:szCs w:val="15"/>
          <w:b w:val="1"/>
          <w:bCs w:val="1"/>
          <w:color w:val="auto"/>
        </w:rPr>
        <w:t>Warrant Shares</w:t>
      </w:r>
      <w:r>
        <w:rPr>
          <w:rFonts w:ascii="Arial" w:cs="Arial" w:eastAsia="Arial" w:hAnsi="Arial"/>
          <w:sz w:val="15"/>
          <w:szCs w:val="15"/>
          <w:color w:val="auto"/>
        </w:rPr>
        <w:t>”) for an initial exercise price of $11.50 per share of Common Stock (the “</w:t>
      </w:r>
      <w:r>
        <w:rPr>
          <w:rFonts w:ascii="Arial" w:cs="Arial" w:eastAsia="Arial" w:hAnsi="Arial"/>
          <w:sz w:val="15"/>
          <w:szCs w:val="15"/>
          <w:b w:val="1"/>
          <w:bCs w:val="1"/>
          <w:color w:val="auto"/>
        </w:rPr>
        <w:t>Note Financing Warrants</w:t>
      </w:r>
      <w:r>
        <w:rPr>
          <w:rFonts w:ascii="Arial" w:cs="Arial" w:eastAsia="Arial" w:hAnsi="Arial"/>
          <w:sz w:val="15"/>
          <w:szCs w:val="15"/>
          <w:color w:val="auto"/>
        </w:rPr>
        <w:t>” and, together with the Initial Warrants, the “</w:t>
      </w:r>
      <w:r>
        <w:rPr>
          <w:rFonts w:ascii="Arial" w:cs="Arial" w:eastAsia="Arial" w:hAnsi="Arial"/>
          <w:sz w:val="15"/>
          <w:szCs w:val="15"/>
          <w:b w:val="1"/>
          <w:bCs w:val="1"/>
          <w:color w:val="auto"/>
        </w:rPr>
        <w:t>Warrants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1" w:name="page252"/>
    <w:bookmarkEnd w:id="251"/>
    <w:p>
      <w:pPr>
        <w:jc w:val="both"/>
        <w:ind w:right="20" w:firstLine="574"/>
        <w:spacing w:after="0" w:line="349" w:lineRule="auto"/>
        <w:rPr>
          <w:sz w:val="20"/>
          <w:szCs w:val="20"/>
          <w:color w:val="auto"/>
        </w:rPr>
      </w:pPr>
      <w:r>
        <w:rPr>
          <w:rFonts w:ascii="Arial" w:cs="Arial" w:eastAsia="Arial" w:hAnsi="Arial"/>
          <w:sz w:val="14"/>
          <w:szCs w:val="14"/>
          <w:color w:val="auto"/>
        </w:rPr>
        <w:t>WHEREAS, each Public Warrant entitles the holder thereof to purchase one-half of one share of Common Stock at a price of $11.50 per whole share; and each Private Warrant and Note Financing Warrant entitles the holder thereof to purchase one share of Common Stock for $11.50 per share, subject to adjustment as described herein;</w:t>
      </w:r>
    </w:p>
    <w:p>
      <w:pPr>
        <w:spacing w:after="0" w:line="10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WHEREAS, in connection with the foregoing, the Company and the Warrant Agent desire to amend and restate the Original Warrant Agreement in the form of this Agreement, in accordance with Section 9.8 of the Original Warrant Agreement, such that this Agreement will take effect and supersede the Original Warrant Agreement in its entirety as of immediately prior to the effective time of the Merger (concurrently with the issuance of the Note Financing Warrants); and</w:t>
      </w:r>
    </w:p>
    <w:p>
      <w:pPr>
        <w:spacing w:after="0" w:line="14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mutual agreements herein contained, the parties hereto agree as follows:</w:t>
      </w:r>
    </w:p>
    <w:p>
      <w:pPr>
        <w:spacing w:after="0" w:line="198" w:lineRule="exact"/>
        <w:rPr>
          <w:sz w:val="20"/>
          <w:szCs w:val="20"/>
          <w:color w:val="auto"/>
        </w:rPr>
      </w:pPr>
    </w:p>
    <w:p>
      <w:pPr>
        <w:ind w:right="20" w:firstLine="569"/>
        <w:spacing w:after="0" w:line="309" w:lineRule="auto"/>
        <w:tabs>
          <w:tab w:leader="none" w:pos="733" w:val="left"/>
        </w:tabs>
        <w:numPr>
          <w:ilvl w:val="0"/>
          <w:numId w:val="262"/>
        </w:numPr>
        <w:rPr>
          <w:rFonts w:ascii="Arial" w:cs="Arial" w:eastAsia="Arial" w:hAnsi="Arial"/>
          <w:sz w:val="15"/>
          <w:szCs w:val="15"/>
          <w:color w:val="auto"/>
        </w:rPr>
      </w:pPr>
      <w:r>
        <w:rPr>
          <w:rFonts w:ascii="Arial" w:cs="Arial" w:eastAsia="Arial" w:hAnsi="Arial"/>
          <w:sz w:val="15"/>
          <w:szCs w:val="15"/>
          <w:u w:val="single" w:color="auto"/>
          <w:color w:val="auto"/>
        </w:rPr>
        <w:t>Appointment of Warrant Agent</w:t>
      </w:r>
      <w:r>
        <w:rPr>
          <w:rFonts w:ascii="Arial" w:cs="Arial" w:eastAsia="Arial" w:hAnsi="Arial"/>
          <w:sz w:val="15"/>
          <w:szCs w:val="15"/>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9" w:lineRule="exact"/>
        <w:rPr>
          <w:rFonts w:ascii="Arial" w:cs="Arial" w:eastAsia="Arial" w:hAnsi="Arial"/>
          <w:sz w:val="15"/>
          <w:szCs w:val="15"/>
          <w:color w:val="auto"/>
        </w:rPr>
      </w:pPr>
    </w:p>
    <w:p>
      <w:pPr>
        <w:ind w:left="720" w:hanging="151"/>
        <w:spacing w:after="0"/>
        <w:tabs>
          <w:tab w:leader="none" w:pos="72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Warrants</w:t>
      </w:r>
      <w:r>
        <w:rPr>
          <w:rFonts w:ascii="Arial" w:cs="Arial" w:eastAsia="Arial" w:hAnsi="Arial"/>
          <w:sz w:val="16"/>
          <w:szCs w:val="16"/>
          <w:color w:val="auto"/>
        </w:rPr>
        <w:t>.</w:t>
      </w:r>
    </w:p>
    <w:p>
      <w:pPr>
        <w:spacing w:after="0" w:line="194" w:lineRule="exact"/>
        <w:rPr>
          <w:sz w:val="20"/>
          <w:szCs w:val="20"/>
          <w:color w:val="auto"/>
        </w:rPr>
      </w:pPr>
    </w:p>
    <w:p>
      <w:pPr>
        <w:jc w:val="both"/>
        <w:ind w:right="20" w:firstLine="574"/>
        <w:spacing w:after="0" w:line="27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Form of Warrant</w:t>
      </w:r>
      <w:r>
        <w:rPr>
          <w:rFonts w:ascii="Arial" w:cs="Arial" w:eastAsia="Arial" w:hAnsi="Arial"/>
          <w:sz w:val="15"/>
          <w:szCs w:val="15"/>
          <w:color w:val="auto"/>
        </w:rPr>
        <w:t xml:space="preserve">. Each Warrant other than a Private Warrant shall be: (a) issued in registered form only, (b) in substantially the form of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hereto, the provisions of which are incorporated herein and (c) signed by, or bear the facsimile signature of, the Chairman of the Board, the Chief Executive Officer or the Chief Financial Officer of the Company. The Note Financing Warrants shall be identical to the Public Warrants, except that the Note Financing Warrants shall be exercisable for one share of Common Stock.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Effect of Countersignature</w:t>
      </w:r>
      <w:r>
        <w:rPr>
          <w:rFonts w:ascii="Arial" w:cs="Arial" w:eastAsia="Arial" w:hAnsi="Arial"/>
          <w:sz w:val="16"/>
          <w:szCs w:val="16"/>
          <w:color w:val="auto"/>
        </w:rPr>
        <w:t>. Unless and until countersigned by the Warrant Agent pursuant to this Warrant Agreement, a Warrant shall be invalid and of no effect and may not be exercised by the holder thereof.</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2" w:name="page253"/>
    <w:bookmarkEnd w:id="252"/>
    <w:p>
      <w:pPr>
        <w:ind w:left="56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194"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r>
        <w:rPr>
          <w:rFonts w:ascii="Arial" w:cs="Arial" w:eastAsia="Arial" w:hAnsi="Arial"/>
          <w:sz w:val="26"/>
          <w:szCs w:val="26"/>
          <w:color w:val="auto"/>
          <w:vertAlign w:val="superscript"/>
        </w:rPr>
        <w:t>1</w:t>
      </w:r>
    </w:p>
    <w:p>
      <w:pPr>
        <w:spacing w:after="0" w:line="43"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Registered Holder</w:t>
      </w:r>
      <w:r>
        <w:rPr>
          <w:rFonts w:ascii="Arial" w:cs="Arial" w:eastAsia="Arial" w:hAnsi="Arial"/>
          <w:sz w:val="14"/>
          <w:szCs w:val="14"/>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4"/>
          <w:szCs w:val="14"/>
          <w:b w:val="1"/>
          <w:bCs w:val="1"/>
          <w:color w:val="auto"/>
        </w:rPr>
        <w:t>Registered Holder</w:t>
      </w:r>
      <w:r>
        <w:rPr>
          <w:rFonts w:ascii="Arial" w:cs="Arial" w:eastAsia="Arial" w:hAnsi="Arial"/>
          <w:sz w:val="14"/>
          <w:szCs w:val="14"/>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Reserved.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Cancellation of Certain Private Warrants.</w:t>
      </w:r>
      <w:r>
        <w:rPr>
          <w:rFonts w:ascii="Arial" w:cs="Arial" w:eastAsia="Arial" w:hAnsi="Arial"/>
          <w:sz w:val="16"/>
          <w:szCs w:val="16"/>
          <w:color w:val="auto"/>
        </w:rPr>
        <w:t xml:space="preserve"> Of the 6,675,000 Private Warrants outstanding immediately prior to the execution of this Warrant Agreement, 600,000 Private Warrants shall be cancelled, on a pro rata basis between Co-Sponsor and Co-Sponsor II, effective as of the date hereof.</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Exercise and Redemption</w:t>
      </w:r>
      <w:r>
        <w:rPr>
          <w:rFonts w:ascii="Arial" w:cs="Arial" w:eastAsia="Arial" w:hAnsi="Arial"/>
          <w:sz w:val="16"/>
          <w:szCs w:val="16"/>
          <w:color w:val="auto"/>
        </w:rPr>
        <w:t xml:space="preserve">. The Private Warrants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 Terms and Exercise of Warrants.</w:t>
      </w:r>
    </w:p>
    <w:p>
      <w:pPr>
        <w:spacing w:after="0" w:line="198"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Warrant Price</w:t>
      </w:r>
      <w:r>
        <w:rPr>
          <w:rFonts w:ascii="Arial" w:cs="Arial" w:eastAsia="Arial" w:hAnsi="Arial"/>
          <w:sz w:val="14"/>
          <w:szCs w:val="14"/>
          <w:color w:val="auto"/>
        </w:rPr>
        <w:t>. Each Warrant shall, when countersigned by the Warrant Agent, entitle the Registered Holder thereof, subject to the provisions of such Warrant and of this Warrant Agreement, to purchase from the Company the number of shares of Common Stock stated therein, at the exercise price of $11.50 per whole share, subject to the adjustments provided in Section 4 hereof. The term “</w:t>
      </w:r>
      <w:r>
        <w:rPr>
          <w:rFonts w:ascii="Arial" w:cs="Arial" w:eastAsia="Arial" w:hAnsi="Arial"/>
          <w:sz w:val="14"/>
          <w:szCs w:val="14"/>
          <w:b w:val="1"/>
          <w:bCs w:val="1"/>
          <w:color w:val="auto"/>
        </w:rPr>
        <w:t>Warrant Price</w:t>
      </w:r>
      <w:r>
        <w:rPr>
          <w:rFonts w:ascii="Arial" w:cs="Arial" w:eastAsia="Arial" w:hAnsi="Arial"/>
          <w:sz w:val="14"/>
          <w:szCs w:val="14"/>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31"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Duration of Warrants</w:t>
      </w:r>
      <w:r>
        <w:rPr>
          <w:rFonts w:ascii="Arial" w:cs="Arial" w:eastAsia="Arial" w:hAnsi="Arial"/>
          <w:sz w:val="14"/>
          <w:szCs w:val="14"/>
          <w:color w:val="auto"/>
        </w:rPr>
        <w:t>. A Warrant may be exercised only during the period (“</w:t>
      </w:r>
      <w:r>
        <w:rPr>
          <w:rFonts w:ascii="Arial" w:cs="Arial" w:eastAsia="Arial" w:hAnsi="Arial"/>
          <w:sz w:val="14"/>
          <w:szCs w:val="14"/>
          <w:b w:val="1"/>
          <w:bCs w:val="1"/>
          <w:color w:val="auto"/>
        </w:rPr>
        <w:t>Exercise Period</w:t>
      </w:r>
      <w:r>
        <w:rPr>
          <w:rFonts w:ascii="Arial" w:cs="Arial" w:eastAsia="Arial" w:hAnsi="Arial"/>
          <w:sz w:val="14"/>
          <w:szCs w:val="14"/>
          <w:color w:val="auto"/>
        </w:rPr>
        <w:t xml:space="preserve">”) commencing on the date of completion of the Company’s initial business combination, and terminating at 5:00 p.m., New York City time, on the earlier to occur of (i) (A) with respect to the Public Warrants, the Private Warrants (except as provided in the following clause (B)) and the Note Financing Warrants, five years following the completion of the Company’s initial business combination, and (B) only with respect to the Warrants purchased by Co-Sponsor II, five years from the effective date of the Registration Statement with respect to the Private Warrants,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once the Private Warrants are not beneficially owned by Co-Sponsor II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Arial" w:cs="Arial" w:eastAsia="Arial" w:hAnsi="Arial"/>
          <w:sz w:val="14"/>
          <w:szCs w:val="14"/>
          <w:b w:val="1"/>
          <w:bCs w:val="1"/>
          <w:color w:val="auto"/>
        </w:rPr>
        <w:t>Expiration Date</w:t>
      </w:r>
      <w:r>
        <w:rPr>
          <w:rFonts w:ascii="Arial" w:cs="Arial" w:eastAsia="Arial" w:hAnsi="Arial"/>
          <w:sz w:val="14"/>
          <w:szCs w:val="14"/>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w:t>
      </w: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3" w:name="page254"/>
    <w:bookmarkEnd w:id="253"/>
    <w:p>
      <w:pPr>
        <w:ind w:left="56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3.3.1 </w:t>
      </w:r>
      <w:r>
        <w:rPr>
          <w:rFonts w:ascii="Arial" w:cs="Arial" w:eastAsia="Arial" w:hAnsi="Arial"/>
          <w:sz w:val="14"/>
          <w:szCs w:val="14"/>
          <w:u w:val="single" w:color="auto"/>
          <w:color w:val="auto"/>
        </w:rPr>
        <w:t>Cash Exercise</w:t>
      </w:r>
      <w:r>
        <w:rPr>
          <w:rFonts w:ascii="Arial" w:cs="Arial" w:eastAsia="Arial" w:hAnsi="Arial"/>
          <w:sz w:val="14"/>
          <w:szCs w:val="14"/>
          <w:color w:val="auto"/>
        </w:rPr>
        <w:t>. Subject to the provisions of the Warrant and this Warrant Agreement, a Warrant, when countersigned by the Company, may be exercised by the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 thereof by surrendering it at the office of the Warrant Agent, or at the office of its successor as Warrant Agent, currently being:</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Continental Stock Transfer &amp; Trust Company</w:t>
      </w:r>
    </w:p>
    <w:p>
      <w:pPr>
        <w:ind w:left="1720"/>
        <w:spacing w:after="0" w:line="199" w:lineRule="auto"/>
        <w:rPr>
          <w:sz w:val="20"/>
          <w:szCs w:val="20"/>
          <w:color w:val="auto"/>
        </w:rPr>
      </w:pPr>
      <w:r>
        <w:rPr>
          <w:rFonts w:ascii="Arial" w:cs="Arial" w:eastAsia="Arial" w:hAnsi="Arial"/>
          <w:sz w:val="16"/>
          <w:szCs w:val="16"/>
          <w:color w:val="auto"/>
        </w:rPr>
        <w:t>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1720"/>
        <w:spacing w:after="0"/>
        <w:rPr>
          <w:sz w:val="20"/>
          <w:szCs w:val="20"/>
          <w:color w:val="auto"/>
        </w:rPr>
      </w:pPr>
      <w:r>
        <w:rPr>
          <w:rFonts w:ascii="Arial" w:cs="Arial" w:eastAsia="Arial" w:hAnsi="Arial"/>
          <w:sz w:val="16"/>
          <w:szCs w:val="16"/>
          <w:color w:val="auto"/>
        </w:rPr>
        <w:t>New York, New York 10004</w:t>
      </w:r>
    </w:p>
    <w:p>
      <w:pPr>
        <w:spacing w:after="0" w:line="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Compliance Department</w:t>
      </w:r>
    </w:p>
    <w:p>
      <w:pPr>
        <w:spacing w:after="0" w:line="186"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4"/>
          <w:szCs w:val="14"/>
          <w:b w:val="1"/>
          <w:bCs w:val="1"/>
          <w:color w:val="auto"/>
        </w:rPr>
        <w:t>Cash Exercise</w:t>
      </w:r>
      <w:r>
        <w:rPr>
          <w:rFonts w:ascii="Arial" w:cs="Arial" w:eastAsia="Arial" w:hAnsi="Arial"/>
          <w:sz w:val="14"/>
          <w:szCs w:val="14"/>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3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completed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X = Y [(A-B)/A]</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where:</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X = the number of Warrant Shares to be issued to the Holder.</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Y = the number of Warrant Shares with respect to which this Warrant is being exercised.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 = the Fair Market Value of one share of Common Stock.</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 = the Warrant Price.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4" w:name="page255"/>
    <w:bookmarkEnd w:id="254"/>
    <w:p>
      <w:pPr>
        <w:ind w:right="20" w:firstLine="574"/>
        <w:spacing w:after="0" w:line="275" w:lineRule="auto"/>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3.3.2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w:t>
      </w:r>
      <w:r>
        <w:rPr>
          <w:rFonts w:ascii="Arial" w:cs="Arial" w:eastAsia="Arial" w:hAnsi="Arial"/>
          <w:sz w:val="16"/>
          <w:szCs w:val="16"/>
          <w:color w:val="auto"/>
        </w:rPr>
        <w:t>, 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is defined as follows:</w:t>
      </w:r>
    </w:p>
    <w:p>
      <w:pPr>
        <w:spacing w:after="0" w:line="152" w:lineRule="exact"/>
        <w:rPr>
          <w:sz w:val="20"/>
          <w:szCs w:val="20"/>
          <w:color w:val="auto"/>
        </w:rPr>
      </w:pPr>
    </w:p>
    <w:p>
      <w:pPr>
        <w:jc w:val="both"/>
        <w:ind w:left="1720" w:right="20" w:hanging="577"/>
        <w:spacing w:after="0" w:line="258"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Company’s shares of Common Stock are listed and traded on the New York Stock Exchange, the NYSE American, the NASDAQ Global Select Market, the NASDAQ Global Market or the NASDAQ Capital Market (each, a “</w:t>
      </w:r>
      <w:r>
        <w:rPr>
          <w:rFonts w:ascii="Arial" w:cs="Arial" w:eastAsia="Arial" w:hAnsi="Arial"/>
          <w:sz w:val="16"/>
          <w:szCs w:val="16"/>
          <w:b w:val="1"/>
          <w:bCs w:val="1"/>
          <w:color w:val="auto"/>
        </w:rPr>
        <w:t>Trading Market</w:t>
      </w:r>
      <w:r>
        <w:rPr>
          <w:rFonts w:ascii="Arial" w:cs="Arial" w:eastAsia="Arial" w:hAnsi="Arial"/>
          <w:sz w:val="16"/>
          <w:szCs w:val="16"/>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164" w:lineRule="exact"/>
        <w:rPr>
          <w:rFonts w:ascii="Arial" w:cs="Arial" w:eastAsia="Arial" w:hAnsi="Arial"/>
          <w:sz w:val="16"/>
          <w:szCs w:val="16"/>
          <w:color w:val="auto"/>
        </w:rPr>
      </w:pPr>
    </w:p>
    <w:p>
      <w:pPr>
        <w:jc w:val="both"/>
        <w:ind w:left="1720" w:hanging="577"/>
        <w:spacing w:after="0" w:line="262"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62" w:lineRule="exact"/>
        <w:rPr>
          <w:rFonts w:ascii="Arial" w:cs="Arial" w:eastAsia="Arial" w:hAnsi="Arial"/>
          <w:sz w:val="16"/>
          <w:szCs w:val="16"/>
          <w:color w:val="auto"/>
        </w:rPr>
      </w:pPr>
    </w:p>
    <w:p>
      <w:pPr>
        <w:ind w:left="1720" w:hanging="577"/>
        <w:spacing w:after="0" w:line="275" w:lineRule="auto"/>
        <w:tabs>
          <w:tab w:leader="none" w:pos="17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if there is no active public market for the Company’s shares of Common Stock, the fair market value of the shares of Common Stock shall be determined in good faith by the Company’s board of directors.</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7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3.3.4 </w:t>
      </w:r>
      <w:r>
        <w:rPr>
          <w:rFonts w:ascii="Arial" w:cs="Arial" w:eastAsia="Arial" w:hAnsi="Arial"/>
          <w:sz w:val="14"/>
          <w:szCs w:val="14"/>
          <w:u w:val="single" w:color="auto"/>
          <w:color w:val="auto"/>
        </w:rPr>
        <w:t>Issuance of Common Stock Certificates</w:t>
      </w:r>
      <w:r>
        <w:rPr>
          <w:rFonts w:ascii="Arial" w:cs="Arial" w:eastAsia="Arial" w:hAnsi="Arial"/>
          <w:sz w:val="14"/>
          <w:szCs w:val="14"/>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a book-entry position and deliver electronically through the facilities of the Depository Trust Corporation) the number of whole shares of Common Stock to which such Registered Holder is entitled, registered in such name or names as may be directed by such Registered Holder, and, if such Warrant shall not have been exercised or surrendered in full, a new book-entry position or countersigned Warrant, as applicable, for the number of shares of Common Stock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Valid Issuance</w:t>
      </w:r>
      <w:r>
        <w:rPr>
          <w:rFonts w:ascii="Arial" w:cs="Arial" w:eastAsia="Arial" w:hAnsi="Arial"/>
          <w:sz w:val="16"/>
          <w:szCs w:val="16"/>
          <w:color w:val="auto"/>
        </w:rPr>
        <w:t>. All shares of Common Stock issued upon the proper exercise or surrender of a Warrant in conformity with this Warrant Agreement shall be validly issued, fully paid and non-assessable.</w:t>
      </w:r>
    </w:p>
    <w:p>
      <w:pPr>
        <w:spacing w:after="0" w:line="34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5" w:name="page256"/>
    <w:bookmarkEnd w:id="255"/>
    <w:p>
      <w:pPr>
        <w:jc w:val="both"/>
        <w:ind w:firstLine="574"/>
        <w:spacing w:after="0" w:line="276" w:lineRule="auto"/>
        <w:rPr>
          <w:sz w:val="20"/>
          <w:szCs w:val="20"/>
          <w:color w:val="auto"/>
        </w:rPr>
      </w:pPr>
      <w:r>
        <w:rPr>
          <w:rFonts w:ascii="Arial" w:cs="Arial" w:eastAsia="Arial" w:hAnsi="Arial"/>
          <w:sz w:val="15"/>
          <w:szCs w:val="15"/>
          <w:color w:val="auto"/>
        </w:rPr>
        <w:t xml:space="preserve">3.3.6 </w:t>
      </w:r>
      <w:r>
        <w:rPr>
          <w:rFonts w:ascii="Arial" w:cs="Arial" w:eastAsia="Arial" w:hAnsi="Arial"/>
          <w:sz w:val="15"/>
          <w:szCs w:val="15"/>
          <w:u w:val="single" w:color="auto"/>
          <w:color w:val="auto"/>
        </w:rPr>
        <w:t>Date of Issuance</w:t>
      </w:r>
      <w:r>
        <w:rPr>
          <w:rFonts w:ascii="Arial" w:cs="Arial" w:eastAsia="Arial" w:hAnsi="Arial"/>
          <w:sz w:val="15"/>
          <w:szCs w:val="15"/>
          <w:color w:val="auto"/>
        </w:rPr>
        <w:t>. Each person or entity in whose name any book-entry position or certificate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except that, if the date of such surrender and payment is a date when the stock transfer books of the Company or book-entry system of the Warrant Agent are closed, such person shall be deemed to have become the holder of such shares at the close of business on the next succeeding date on which the stock transfer books or book-entry system are open.</w:t>
      </w:r>
    </w:p>
    <w:p>
      <w:pPr>
        <w:spacing w:after="0" w:line="155"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3.3.7 </w:t>
      </w:r>
      <w:r>
        <w:rPr>
          <w:rFonts w:ascii="Arial" w:cs="Arial" w:eastAsia="Arial" w:hAnsi="Arial"/>
          <w:sz w:val="14"/>
          <w:szCs w:val="14"/>
          <w:u w:val="single" w:color="auto"/>
          <w:color w:val="auto"/>
        </w:rPr>
        <w:t>Maximum Percentage</w:t>
      </w:r>
      <w:r>
        <w:rPr>
          <w:rFonts w:ascii="Arial" w:cs="Arial" w:eastAsia="Arial" w:hAnsi="Arial"/>
          <w:sz w:val="14"/>
          <w:szCs w:val="14"/>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Arial" w:cs="Arial" w:eastAsia="Arial" w:hAnsi="Arial"/>
          <w:sz w:val="14"/>
          <w:szCs w:val="14"/>
          <w:b w:val="1"/>
          <w:bCs w:val="1"/>
          <w:color w:val="auto"/>
        </w:rPr>
        <w:t>Maximum Percentage</w:t>
      </w:r>
      <w:r>
        <w:rPr>
          <w:rFonts w:ascii="Arial" w:cs="Arial" w:eastAsia="Arial" w:hAnsi="Arial"/>
          <w:sz w:val="14"/>
          <w:szCs w:val="14"/>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4"/>
          <w:szCs w:val="14"/>
          <w:b w:val="1"/>
          <w:bCs w:val="1"/>
          <w:color w:val="auto"/>
        </w:rPr>
        <w:t>Exchange Act</w:t>
      </w:r>
      <w:r>
        <w:rPr>
          <w:rFonts w:ascii="Arial" w:cs="Arial" w:eastAsia="Arial" w:hAnsi="Arial"/>
          <w:sz w:val="14"/>
          <w:szCs w:val="14"/>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153" w:lineRule="exact"/>
        <w:rPr>
          <w:sz w:val="20"/>
          <w:szCs w:val="20"/>
          <w:color w:val="auto"/>
        </w:rPr>
      </w:pPr>
    </w:p>
    <w:p>
      <w:pPr>
        <w:ind w:left="720" w:hanging="151"/>
        <w:spacing w:after="0"/>
        <w:tabs>
          <w:tab w:leader="none" w:pos="72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Stock Dividends, Splits</w:t>
      </w:r>
      <w:r>
        <w:rPr>
          <w:rFonts w:ascii="Arial" w:cs="Arial" w:eastAsia="Arial" w:hAnsi="Arial"/>
          <w:sz w:val="15"/>
          <w:szCs w:val="15"/>
          <w:color w:val="auto"/>
        </w:rPr>
        <w:t>. If, after the date hereof, and subject to the provisions of Section 4.5 below, the number of outstanding shares of Common Stock is increased or decreased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6" w:name="page257"/>
    <w:bookmarkEnd w:id="256"/>
    <w:p>
      <w:pPr>
        <w:jc w:val="both"/>
        <w:ind w:firstLine="574"/>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Aggregation of Shares</w:t>
      </w:r>
      <w:r>
        <w:rPr>
          <w:rFonts w:ascii="Arial" w:cs="Arial" w:eastAsia="Arial" w:hAnsi="Arial"/>
          <w:sz w:val="16"/>
          <w:szCs w:val="16"/>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65"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Extraordinary Dividends</w:t>
      </w:r>
      <w:r>
        <w:rPr>
          <w:rFonts w:ascii="Arial" w:cs="Arial" w:eastAsia="Arial" w:hAnsi="Arial"/>
          <w:sz w:val="14"/>
          <w:szCs w:val="14"/>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4"/>
          <w:szCs w:val="14"/>
          <w:b w:val="1"/>
          <w:bCs w:val="1"/>
          <w:color w:val="auto"/>
        </w:rPr>
        <w:t>Extraordinary Dividend</w:t>
      </w:r>
      <w:r>
        <w:rPr>
          <w:rFonts w:ascii="Arial" w:cs="Arial" w:eastAsia="Arial" w:hAnsi="Arial"/>
          <w:sz w:val="14"/>
          <w:szCs w:val="14"/>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w:t>
      </w:r>
      <w:r>
        <w:rPr>
          <w:rFonts w:ascii="Arial" w:cs="Arial" w:eastAsia="Arial" w:hAnsi="Arial"/>
          <w:sz w:val="14"/>
          <w:szCs w:val="14"/>
          <w:b w:val="1"/>
          <w:bCs w:val="1"/>
          <w:color w:val="auto"/>
        </w:rPr>
        <w:t>Ordinary Cash Dividends</w:t>
      </w:r>
      <w:r>
        <w:rPr>
          <w:rFonts w:ascii="Arial" w:cs="Arial" w:eastAsia="Arial" w:hAnsi="Arial"/>
          <w:sz w:val="14"/>
          <w:szCs w:val="14"/>
          <w:color w:val="auto"/>
        </w:rPr>
        <w:t>”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 or the Note Financing Warrants.</w:t>
      </w:r>
    </w:p>
    <w:p>
      <w:pPr>
        <w:spacing w:after="0" w:line="15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Adjustments in Exercise Price</w:t>
      </w:r>
      <w:r>
        <w:rPr>
          <w:rFonts w:ascii="Arial" w:cs="Arial" w:eastAsia="Arial" w:hAnsi="Arial"/>
          <w:sz w:val="15"/>
          <w:szCs w:val="15"/>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7" w:name="page258"/>
    <w:bookmarkEnd w:id="257"/>
    <w:p>
      <w:pPr>
        <w:jc w:val="both"/>
        <w:ind w:firstLine="574"/>
        <w:spacing w:after="0" w:line="270"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Replacement of Securities upon Reorganization, etc.</w:t>
      </w:r>
      <w:r>
        <w:rPr>
          <w:rFonts w:ascii="Arial" w:cs="Arial" w:eastAsia="Arial" w:hAnsi="Arial"/>
          <w:sz w:val="15"/>
          <w:szCs w:val="15"/>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entity (other than a consolidation or merger in which the Company is the continuing entity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 In no event shall the Warrant Price be reduced to less than the par value per share of Common Stock issuable upon exercise of the Warrant.</w:t>
      </w:r>
    </w:p>
    <w:p>
      <w:pPr>
        <w:spacing w:after="0" w:line="157"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70"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4.7 </w:t>
      </w:r>
      <w:r>
        <w:rPr>
          <w:rFonts w:ascii="Arial" w:cs="Arial" w:eastAsia="Arial" w:hAnsi="Arial"/>
          <w:sz w:val="14"/>
          <w:szCs w:val="14"/>
          <w:u w:val="single" w:color="auto"/>
          <w:color w:val="auto"/>
        </w:rPr>
        <w:t>Form of Warrant</w:t>
      </w:r>
      <w:r>
        <w:rPr>
          <w:rFonts w:ascii="Arial" w:cs="Arial" w:eastAsia="Arial" w:hAnsi="Arial"/>
          <w:sz w:val="14"/>
          <w:szCs w:val="14"/>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35"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Notice of Certain Transactions</w:t>
      </w:r>
      <w:r>
        <w:rPr>
          <w:rFonts w:ascii="Arial" w:cs="Arial" w:eastAsia="Arial" w:hAnsi="Arial"/>
          <w:sz w:val="14"/>
          <w:szCs w:val="14"/>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8" w:name="page259"/>
    <w:bookmarkEnd w:id="258"/>
    <w:p>
      <w:pPr>
        <w:jc w:val="both"/>
        <w:ind w:firstLine="574"/>
        <w:spacing w:after="0" w:line="25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Other Events</w:t>
      </w:r>
      <w:r>
        <w:rPr>
          <w:rFonts w:ascii="Arial" w:cs="Arial" w:eastAsia="Arial" w:hAnsi="Arial"/>
          <w:sz w:val="16"/>
          <w:szCs w:val="16"/>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170" w:lineRule="exact"/>
        <w:rPr>
          <w:sz w:val="20"/>
          <w:szCs w:val="20"/>
          <w:color w:val="auto"/>
        </w:rPr>
      </w:pPr>
    </w:p>
    <w:p>
      <w:pPr>
        <w:ind w:left="720" w:hanging="151"/>
        <w:spacing w:after="0"/>
        <w:tabs>
          <w:tab w:leader="none" w:pos="72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Transfer and Exchange of Warrants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 for Surrender of Warrants</w:t>
      </w:r>
      <w:r>
        <w:rPr>
          <w:rFonts w:ascii="Arial" w:cs="Arial" w:eastAsia="Arial" w:hAnsi="Arial"/>
          <w:sz w:val="16"/>
          <w:szCs w:val="16"/>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Fractional Warrants</w:t>
      </w:r>
      <w:r>
        <w:rPr>
          <w:rFonts w:ascii="Arial" w:cs="Arial" w:eastAsia="Arial" w:hAnsi="Arial"/>
          <w:sz w:val="16"/>
          <w:szCs w:val="16"/>
          <w:color w:val="auto"/>
        </w:rPr>
        <w:t>. The Warrant Agent shall not be required to effect any registration of transfer or exchange which will result in the issuance of a warrant certificate or book-entry position for a fraction of a warrant.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Warrant Execution and Countersignature</w:t>
      </w:r>
      <w:r>
        <w:rPr>
          <w:rFonts w:ascii="Arial" w:cs="Arial" w:eastAsia="Arial" w:hAnsi="Arial"/>
          <w:sz w:val="16"/>
          <w:szCs w:val="16"/>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2" w:lineRule="exact"/>
        <w:rPr>
          <w:sz w:val="20"/>
          <w:szCs w:val="20"/>
          <w:color w:val="auto"/>
        </w:rPr>
      </w:pPr>
    </w:p>
    <w:p>
      <w:pPr>
        <w:ind w:left="720" w:hanging="151"/>
        <w:spacing w:after="0"/>
        <w:tabs>
          <w:tab w:leader="none" w:pos="72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Redemption</w:t>
      </w:r>
      <w:r>
        <w:rPr>
          <w:rFonts w:ascii="Arial" w:cs="Arial" w:eastAsia="Arial" w:hAnsi="Arial"/>
          <w:sz w:val="14"/>
          <w:szCs w:val="14"/>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Arial" w:cs="Arial" w:eastAsia="Arial" w:hAnsi="Arial"/>
          <w:sz w:val="14"/>
          <w:szCs w:val="14"/>
          <w:b w:val="1"/>
          <w:bCs w:val="1"/>
          <w:color w:val="auto"/>
        </w:rPr>
        <w:t>Redemption Price</w:t>
      </w:r>
      <w:r>
        <w:rPr>
          <w:rFonts w:ascii="Arial" w:cs="Arial" w:eastAsia="Arial" w:hAnsi="Arial"/>
          <w:sz w:val="14"/>
          <w:szCs w:val="14"/>
          <w:color w:val="auto"/>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and a current prospectus relating thereto,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9" w:name="page260"/>
    <w:bookmarkEnd w:id="259"/>
    <w:p>
      <w:pPr>
        <w:jc w:val="both"/>
        <w:ind w:right="20" w:firstLine="574"/>
        <w:spacing w:after="0" w:line="280"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Date Fixed for, and Notice of, Redemption</w:t>
      </w:r>
      <w:r>
        <w:rPr>
          <w:rFonts w:ascii="Arial" w:cs="Arial" w:eastAsia="Arial" w:hAnsi="Arial"/>
          <w:sz w:val="15"/>
          <w:szCs w:val="15"/>
          <w:color w:val="auto"/>
        </w:rPr>
        <w:t>. In the event the Company shall elect to redeem all of the Warrants, the Company shall fix a date for the redemption (the “</w:t>
      </w:r>
      <w:r>
        <w:rPr>
          <w:rFonts w:ascii="Arial" w:cs="Arial" w:eastAsia="Arial" w:hAnsi="Arial"/>
          <w:sz w:val="15"/>
          <w:szCs w:val="15"/>
          <w:b w:val="1"/>
          <w:bCs w:val="1"/>
          <w:color w:val="auto"/>
        </w:rPr>
        <w:t>Redemption Date</w:t>
      </w:r>
      <w:r>
        <w:rPr>
          <w:rFonts w:ascii="Arial" w:cs="Arial" w:eastAsia="Arial" w:hAnsi="Arial"/>
          <w:sz w:val="15"/>
          <w:szCs w:val="15"/>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51"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0"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 Other Rights to Cash Payment</w:t>
      </w:r>
      <w:r>
        <w:rPr>
          <w:rFonts w:ascii="Arial" w:cs="Arial" w:eastAsia="Arial" w:hAnsi="Arial"/>
          <w:sz w:val="15"/>
          <w:szCs w:val="15"/>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29" w:lineRule="exact"/>
        <w:rPr>
          <w:sz w:val="20"/>
          <w:szCs w:val="20"/>
          <w:color w:val="auto"/>
        </w:rPr>
      </w:pPr>
    </w:p>
    <w:p>
      <w:pPr>
        <w:ind w:left="720" w:hanging="151"/>
        <w:spacing w:after="0"/>
        <w:tabs>
          <w:tab w:leader="none" w:pos="720"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Other Provisions Relating to Rights of Registered Holders of Warrants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Lost, Stolen Mutilated or Destroyed Warrants</w:t>
      </w:r>
      <w:r>
        <w:rPr>
          <w:rFonts w:ascii="Arial" w:cs="Arial" w:eastAsia="Arial" w:hAnsi="Arial"/>
          <w:sz w:val="15"/>
          <w:szCs w:val="15"/>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Registration of shares of Common Stock</w:t>
      </w:r>
      <w:r>
        <w:rPr>
          <w:rFonts w:ascii="Arial" w:cs="Arial" w:eastAsia="Arial" w:hAnsi="Arial"/>
          <w:sz w:val="15"/>
          <w:szCs w:val="15"/>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0" w:name="page261"/>
    <w:bookmarkEnd w:id="260"/>
    <w:p>
      <w:pPr>
        <w:ind w:left="720" w:hanging="151"/>
        <w:spacing w:after="0"/>
        <w:tabs>
          <w:tab w:leader="none" w:pos="72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Concerning the Warrant Agent and Other Matters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Payment of Taxes</w:t>
      </w:r>
      <w:r>
        <w:rPr>
          <w:rFonts w:ascii="Arial" w:cs="Arial" w:eastAsia="Arial" w:hAnsi="Arial"/>
          <w:sz w:val="16"/>
          <w:szCs w:val="16"/>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 of Common Stock.</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8.2.1 </w:t>
      </w:r>
      <w:r>
        <w:rPr>
          <w:rFonts w:ascii="Arial" w:cs="Arial" w:eastAsia="Arial" w:hAnsi="Arial"/>
          <w:sz w:val="14"/>
          <w:szCs w:val="14"/>
          <w:u w:val="single" w:color="auto"/>
          <w:color w:val="auto"/>
        </w:rPr>
        <w:t>Appointment of Successor Warrant Agent</w:t>
      </w:r>
      <w:r>
        <w:rPr>
          <w:rFonts w:ascii="Arial" w:cs="Arial" w:eastAsia="Arial" w:hAnsi="Arial"/>
          <w:sz w:val="14"/>
          <w:szCs w:val="14"/>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8.2.3 </w:t>
      </w:r>
      <w:r>
        <w:rPr>
          <w:rFonts w:ascii="Arial" w:cs="Arial" w:eastAsia="Arial" w:hAnsi="Arial"/>
          <w:sz w:val="16"/>
          <w:szCs w:val="16"/>
          <w:u w:val="single" w:color="auto"/>
          <w:color w:val="auto"/>
        </w:rPr>
        <w:t>Merger or Consolidation of Warrant Agent</w:t>
      </w:r>
      <w:r>
        <w:rPr>
          <w:rFonts w:ascii="Arial" w:cs="Arial" w:eastAsia="Arial" w:hAnsi="Arial"/>
          <w:sz w:val="16"/>
          <w:szCs w:val="16"/>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8.3.1 </w:t>
      </w:r>
      <w:r>
        <w:rPr>
          <w:rFonts w:ascii="Arial" w:cs="Arial" w:eastAsia="Arial" w:hAnsi="Arial"/>
          <w:sz w:val="16"/>
          <w:szCs w:val="16"/>
          <w:u w:val="single" w:color="auto"/>
          <w:color w:val="auto"/>
        </w:rPr>
        <w:t>Remuneration</w:t>
      </w:r>
      <w:r>
        <w:rPr>
          <w:rFonts w:ascii="Arial" w:cs="Arial" w:eastAsia="Arial" w:hAnsi="Arial"/>
          <w:sz w:val="16"/>
          <w:szCs w:val="16"/>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8.3.2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1" w:name="page262"/>
    <w:bookmarkEnd w:id="261"/>
    <w:p>
      <w:pPr>
        <w:ind w:left="56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Liability of Warrant Agent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170"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8.4.2 </w:t>
      </w:r>
      <w:r>
        <w:rPr>
          <w:rFonts w:ascii="Arial" w:cs="Arial" w:eastAsia="Arial" w:hAnsi="Arial"/>
          <w:sz w:val="15"/>
          <w:szCs w:val="15"/>
          <w:u w:val="single" w:color="auto"/>
          <w:color w:val="auto"/>
        </w:rPr>
        <w:t>Indemnity</w:t>
      </w:r>
      <w:r>
        <w:rPr>
          <w:rFonts w:ascii="Arial" w:cs="Arial" w:eastAsia="Arial" w:hAnsi="Arial"/>
          <w:sz w:val="15"/>
          <w:szCs w:val="15"/>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4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8.4.3 </w:t>
      </w:r>
      <w:r>
        <w:rPr>
          <w:rFonts w:ascii="Arial" w:cs="Arial" w:eastAsia="Arial" w:hAnsi="Arial"/>
          <w:sz w:val="15"/>
          <w:szCs w:val="15"/>
          <w:u w:val="single" w:color="auto"/>
          <w:color w:val="auto"/>
        </w:rPr>
        <w:t>Exclusions</w:t>
      </w:r>
      <w:r>
        <w:rPr>
          <w:rFonts w:ascii="Arial" w:cs="Arial" w:eastAsia="Arial" w:hAnsi="Arial"/>
          <w:sz w:val="15"/>
          <w:szCs w:val="15"/>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57"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Acceptance of Agency</w:t>
      </w:r>
      <w:r>
        <w:rPr>
          <w:rFonts w:ascii="Arial" w:cs="Arial" w:eastAsia="Arial" w:hAnsi="Arial"/>
          <w:sz w:val="14"/>
          <w:szCs w:val="14"/>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27" w:lineRule="exact"/>
        <w:rPr>
          <w:sz w:val="20"/>
          <w:szCs w:val="20"/>
          <w:color w:val="auto"/>
        </w:rPr>
      </w:pPr>
    </w:p>
    <w:p>
      <w:pPr>
        <w:ind w:left="720" w:hanging="151"/>
        <w:spacing w:after="0"/>
        <w:tabs>
          <w:tab w:leader="none" w:pos="720"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Successors</w:t>
      </w:r>
      <w:r>
        <w:rPr>
          <w:rFonts w:ascii="Arial" w:cs="Arial" w:eastAsia="Arial" w:hAnsi="Arial"/>
          <w:sz w:val="16"/>
          <w:szCs w:val="16"/>
          <w:color w:val="auto"/>
        </w:rPr>
        <w:t>. All the covenants and provisions of this Warrant Agreement by or for the benefit of the Company or the Warrant Agent shall bind and inure to the benefit of their respective successors and assigns.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3000 El Camino Real 2 Palo Alto Square Suite 900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Palo Alto, California 94306-2109</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White and Case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Colin Diamond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2" w:name="page263"/>
    <w:bookmarkEnd w:id="262"/>
    <w:p>
      <w:pPr>
        <w:jc w:val="both"/>
        <w:ind w:right="20"/>
        <w:spacing w:after="0" w:line="262" w:lineRule="auto"/>
        <w:rPr>
          <w:sz w:val="20"/>
          <w:szCs w:val="20"/>
          <w:color w:val="auto"/>
        </w:rPr>
      </w:pPr>
      <w:r>
        <w:rPr>
          <w:rFonts w:ascii="Arial" w:cs="Arial" w:eastAsia="Arial" w:hAnsi="Arial"/>
          <w:sz w:val="16"/>
          <w:szCs w:val="16"/>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Continental Stock Transfer &amp; Trust Company</w:t>
      </w:r>
    </w:p>
    <w:p>
      <w:pPr>
        <w:ind w:left="1140"/>
        <w:spacing w:after="0" w:line="199" w:lineRule="auto"/>
        <w:rPr>
          <w:sz w:val="20"/>
          <w:szCs w:val="20"/>
          <w:color w:val="auto"/>
        </w:rPr>
      </w:pPr>
      <w:r>
        <w:rPr>
          <w:rFonts w:ascii="Arial" w:cs="Arial" w:eastAsia="Arial" w:hAnsi="Arial"/>
          <w:sz w:val="16"/>
          <w:szCs w:val="16"/>
          <w:color w:val="auto"/>
        </w:rPr>
        <w:t>1 State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1140"/>
        <w:spacing w:after="0"/>
        <w:rPr>
          <w:sz w:val="20"/>
          <w:szCs w:val="20"/>
          <w:color w:val="auto"/>
        </w:rPr>
      </w:pPr>
      <w:r>
        <w:rPr>
          <w:rFonts w:ascii="Arial" w:cs="Arial" w:eastAsia="Arial" w:hAnsi="Arial"/>
          <w:sz w:val="16"/>
          <w:szCs w:val="16"/>
          <w:color w:val="auto"/>
        </w:rPr>
        <w:t>New York, New York 10004</w:t>
      </w:r>
    </w:p>
    <w:p>
      <w:pPr>
        <w:spacing w:after="0" w:line="184"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Applicable Law</w:t>
      </w:r>
      <w:r>
        <w:rPr>
          <w:rFonts w:ascii="Arial" w:cs="Arial" w:eastAsia="Arial" w:hAnsi="Arial"/>
          <w:sz w:val="15"/>
          <w:szCs w:val="15"/>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56"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Any person or entity purchasing or otherwise acquiring any interest in the Warrants shall be deemed to have notice of and to have consented to the forum provisions in this </w:t>
      </w:r>
      <w:r>
        <w:rPr>
          <w:rFonts w:ascii="Arial" w:cs="Arial" w:eastAsia="Arial" w:hAnsi="Arial"/>
          <w:sz w:val="14"/>
          <w:szCs w:val="14"/>
          <w:u w:val="single" w:color="auto"/>
          <w:color w:val="auto"/>
        </w:rPr>
        <w:t>Section 9.3</w:t>
      </w:r>
      <w:r>
        <w:rPr>
          <w:rFonts w:ascii="Arial" w:cs="Arial" w:eastAsia="Arial" w:hAnsi="Arial"/>
          <w:sz w:val="14"/>
          <w:szCs w:val="14"/>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4"/>
          <w:szCs w:val="14"/>
          <w:b w:val="1"/>
          <w:bCs w:val="1"/>
          <w:color w:val="auto"/>
        </w:rPr>
        <w:t>foreign action</w:t>
      </w:r>
      <w:r>
        <w:rPr>
          <w:rFonts w:ascii="Arial" w:cs="Arial" w:eastAsia="Arial" w:hAnsi="Arial"/>
          <w:sz w:val="14"/>
          <w:szCs w:val="14"/>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4"/>
          <w:szCs w:val="14"/>
          <w:b w:val="1"/>
          <w:bCs w:val="1"/>
          <w:color w:val="auto"/>
        </w:rPr>
        <w:t>enforcement action</w:t>
      </w:r>
      <w:r>
        <w:rPr>
          <w:rFonts w:ascii="Arial" w:cs="Arial" w:eastAsia="Arial" w:hAnsi="Arial"/>
          <w:sz w:val="14"/>
          <w:szCs w:val="14"/>
          <w:color w:val="auto"/>
        </w:rPr>
        <w:t>”), and (y) having service of process made upon such Warrant holder in any such enforcement action by service upon such Warrant holder’s counsel in the foreign action as agent for such Warrant holder.</w:t>
      </w:r>
    </w:p>
    <w:p>
      <w:pPr>
        <w:spacing w:after="0" w:line="143"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hereof. Such mailing shall be deemed personal service and shall be legal and binding upon the party receiving such service in any action, proceeding or claim.</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Persons Having Rights under this Warrant Agreement</w:t>
      </w:r>
      <w:r>
        <w:rPr>
          <w:rFonts w:ascii="Arial" w:cs="Arial" w:eastAsia="Arial" w:hAnsi="Arial"/>
          <w:sz w:val="15"/>
          <w:szCs w:val="15"/>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5"/>
          <w:szCs w:val="15"/>
          <w:u w:val="single" w:color="auto"/>
          <w:color w:val="auto"/>
        </w:rPr>
        <w:t>Sections 2.5</w:t>
      </w:r>
      <w:r>
        <w:rPr>
          <w:rFonts w:ascii="Arial" w:cs="Arial" w:eastAsia="Arial" w:hAnsi="Arial"/>
          <w:sz w:val="15"/>
          <w:szCs w:val="15"/>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3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3" w:name="page264"/>
    <w:bookmarkEnd w:id="263"/>
    <w:p>
      <w:pPr>
        <w:jc w:val="both"/>
        <w:ind w:right="20" w:firstLine="574"/>
        <w:spacing w:after="0" w:line="262"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Examination of the Warrant Agreement</w:t>
      </w:r>
      <w:r>
        <w:rPr>
          <w:rFonts w:ascii="Arial" w:cs="Arial" w:eastAsia="Arial" w:hAnsi="Arial"/>
          <w:sz w:val="16"/>
          <w:szCs w:val="16"/>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9.7 </w:t>
      </w:r>
      <w:r>
        <w:rPr>
          <w:rFonts w:ascii="Arial" w:cs="Arial" w:eastAsia="Arial" w:hAnsi="Arial"/>
          <w:sz w:val="14"/>
          <w:szCs w:val="14"/>
          <w:u w:val="single" w:color="auto"/>
          <w:color w:val="auto"/>
        </w:rPr>
        <w:t>Effect of Headings</w:t>
      </w:r>
      <w:r>
        <w:rPr>
          <w:rFonts w:ascii="Arial" w:cs="Arial" w:eastAsia="Arial" w:hAnsi="Arial"/>
          <w:sz w:val="14"/>
          <w:szCs w:val="14"/>
          <w:color w:val="auto"/>
        </w:rPr>
        <w:t>. The section headings herein are for convenience only and are not part of this Warrant Agreement and shall not affect the interpretation there of</w:t>
      </w:r>
    </w:p>
    <w:p>
      <w:pPr>
        <w:spacing w:after="0" w:line="2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Amendments</w:t>
      </w:r>
      <w:r>
        <w:rPr>
          <w:rFonts w:ascii="Arial" w:cs="Arial" w:eastAsia="Arial" w:hAnsi="Arial"/>
          <w:sz w:val="15"/>
          <w:szCs w:val="15"/>
          <w:color w:val="auto"/>
        </w:rPr>
        <w:t>. This Warrant Agreement and any Warrant certificate may be amended by the parties hereto by executing a supplemental warrant agreement (a “</w:t>
      </w:r>
      <w:r>
        <w:rPr>
          <w:rFonts w:ascii="Arial" w:cs="Arial" w:eastAsia="Arial" w:hAnsi="Arial"/>
          <w:sz w:val="15"/>
          <w:szCs w:val="15"/>
          <w:b w:val="1"/>
          <w:bCs w:val="1"/>
          <w:color w:val="auto"/>
        </w:rPr>
        <w:t>Supplemental Agreement</w:t>
      </w:r>
      <w:r>
        <w:rPr>
          <w:rFonts w:ascii="Arial" w:cs="Arial" w:eastAsia="Arial" w:hAnsi="Arial"/>
          <w:sz w:val="15"/>
          <w:szCs w:val="15"/>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and any amendment to the terms of only the Note Financing Warrants,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6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Severability</w:t>
      </w:r>
      <w:r>
        <w:rPr>
          <w:rFonts w:ascii="Arial" w:cs="Arial" w:eastAsia="Arial" w:hAnsi="Arial"/>
          <w:sz w:val="16"/>
          <w:szCs w:val="16"/>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color w:val="auto"/>
        </w:rPr>
        <w:t>IN WITNESS WHEREOF, this Warrant Agreement has been duly executed by the parties hereto as of the day and year first above written.</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CONTINENTAL STOCK TRANSFER &amp; TRUST COMPANY</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460"/>
          </w:cols>
          <w:pgMar w:left="880" w:top="820" w:right="559" w:bottom="1440" w:gutter="0" w:footer="0" w:header="0"/>
        </w:sectPr>
      </w:pPr>
    </w:p>
    <w:bookmarkStart w:id="265" w:name="page266"/>
    <w:bookmarkEnd w:id="265"/>
    <w:p>
      <w:pPr>
        <w:jc w:val="center"/>
        <w:ind w:right="16"/>
        <w:spacing w:after="0"/>
        <w:rPr>
          <w:sz w:val="20"/>
          <w:szCs w:val="20"/>
          <w:color w:val="auto"/>
        </w:rPr>
      </w:pPr>
      <w:r>
        <w:rPr>
          <w:rFonts w:ascii="Arial" w:cs="Arial" w:eastAsia="Arial" w:hAnsi="Arial"/>
          <w:sz w:val="16"/>
          <w:szCs w:val="16"/>
          <w:b w:val="1"/>
          <w:bCs w:val="1"/>
          <w:color w:val="auto"/>
        </w:rPr>
        <w:t>Exhibit A</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Form of Warrant</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5"/>
          <w:szCs w:val="15"/>
          <w:color w:val="auto"/>
        </w:rPr>
        <w:t>SPECIMEN WARRANT CERTIFICATE</w:t>
      </w:r>
    </w:p>
    <w:p>
      <w:pPr>
        <w:sectPr>
          <w:pgSz w:w="11900" w:h="16838" w:orient="portrait"/>
          <w:cols w:equalWidth="0" w:num="1">
            <w:col w:w="11264"/>
          </w:cols>
          <w:pgMar w:left="316" w:top="816" w:right="31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5"/>
          <w:szCs w:val="15"/>
          <w:color w:val="auto"/>
        </w:rPr>
        <w:t>NUMBER</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auto"/>
        </w:rPr>
        <w:t>WA-</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 ] WARRANTS</w:t>
      </w:r>
    </w:p>
    <w:p>
      <w:pPr>
        <w:spacing w:after="0" w:line="401" w:lineRule="exact"/>
        <w:rPr>
          <w:sz w:val="20"/>
          <w:szCs w:val="20"/>
          <w:color w:val="auto"/>
        </w:rPr>
      </w:pPr>
    </w:p>
    <w:p>
      <w:pPr>
        <w:sectPr>
          <w:pgSz w:w="11900" w:h="16838" w:orient="portrait"/>
          <w:cols w:equalWidth="0" w:num="2">
            <w:col w:w="9464" w:space="720"/>
            <w:col w:w="1080"/>
          </w:cols>
          <w:pgMar w:left="316" w:top="816" w:right="319" w:bottom="1440" w:gutter="0" w:footer="0" w:header="0"/>
          <w:type w:val="continuous"/>
        </w:sectPr>
      </w:pPr>
    </w:p>
    <w:p>
      <w:pPr>
        <w:jc w:val="center"/>
        <w:ind w:right="-3"/>
        <w:spacing w:after="0"/>
        <w:rPr>
          <w:sz w:val="20"/>
          <w:szCs w:val="20"/>
          <w:color w:val="auto"/>
        </w:rPr>
      </w:pPr>
      <w:r>
        <w:rPr>
          <w:rFonts w:ascii="Arial" w:cs="Arial" w:eastAsia="Arial" w:hAnsi="Arial"/>
          <w:sz w:val="16"/>
          <w:szCs w:val="16"/>
          <w:color w:val="auto"/>
        </w:rPr>
        <w:t>(THIS WARRANT WILL BE VOID IF NOT EXERCISED PRIOR TO 5:00 P.M.</w:t>
      </w:r>
    </w:p>
    <w:p>
      <w:pPr>
        <w:spacing w:after="0" w:line="20"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NEW YORK CITY TIME, FIVE YEARS FROM THE CLOSING DATE OF THE COMPANY’S</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INITIAL BUSINESS COMBINATION)</w:t>
      </w:r>
    </w:p>
    <w:p>
      <w:pPr>
        <w:spacing w:after="0" w:line="7"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VENTOUX CCM ACQUISITION CORP.</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92280L119</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WARRANT</w:t>
      </w:r>
    </w:p>
    <w:p>
      <w:pPr>
        <w:spacing w:after="0" w:line="198"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4"/>
          <w:szCs w:val="14"/>
          <w:color w:val="auto"/>
        </w:rPr>
        <w:t>THIS WARRANT CERTIFIES THAT, for value received, or registered assigns, is the registered holder of a Warrant or Warrants (the “Warrant”), expiring on a date which is five (5) years from the completion of the Company’s initial business combination, to purchase one-half of one</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63" w:lineRule="exact"/>
        <w:rPr>
          <w:sz w:val="20"/>
          <w:szCs w:val="20"/>
          <w:color w:val="auto"/>
        </w:rPr>
      </w:pPr>
    </w:p>
    <w:p>
      <w:pPr>
        <w:jc w:val="both"/>
        <w:ind w:left="4" w:firstLine="574"/>
        <w:spacing w:after="0" w:line="272" w:lineRule="auto"/>
        <w:rPr>
          <w:sz w:val="20"/>
          <w:szCs w:val="20"/>
          <w:color w:val="auto"/>
        </w:rPr>
      </w:pPr>
      <w:r>
        <w:rPr>
          <w:rFonts w:ascii="Arial" w:cs="Arial" w:eastAsia="Arial" w:hAnsi="Arial"/>
          <w:sz w:val="15"/>
          <w:szCs w:val="15"/>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57"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5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790700"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07" w:lineRule="exact"/>
        <w:rPr>
          <w:sz w:val="20"/>
          <w:szCs w:val="20"/>
          <w:color w:val="auto"/>
        </w:rPr>
      </w:pPr>
    </w:p>
    <w:p>
      <w:pPr>
        <w:ind w:left="104" w:hanging="104"/>
        <w:spacing w:after="0"/>
        <w:tabs>
          <w:tab w:leader="none" w:pos="104" w:val="left"/>
        </w:tabs>
        <w:numPr>
          <w:ilvl w:val="0"/>
          <w:numId w:val="270"/>
        </w:numPr>
        <w:rPr>
          <w:rFonts w:ascii="Arial" w:cs="Arial" w:eastAsia="Arial" w:hAnsi="Arial"/>
          <w:sz w:val="27"/>
          <w:szCs w:val="27"/>
          <w:color w:val="auto"/>
          <w:vertAlign w:val="superscript"/>
        </w:rPr>
      </w:pPr>
      <w:r>
        <w:rPr>
          <w:rFonts w:ascii="Arial" w:cs="Arial" w:eastAsia="Arial" w:hAnsi="Arial"/>
          <w:sz w:val="16"/>
          <w:szCs w:val="16"/>
          <w:color w:val="auto"/>
        </w:rPr>
        <w:t>Each Note Financing Warrant is exercisable into one share of Common Stock</w:t>
      </w:r>
    </w:p>
    <w:p>
      <w:pPr>
        <w:spacing w:after="0" w:line="370"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type w:val="continuous"/>
        </w:sectPr>
      </w:pPr>
    </w:p>
    <w:bookmarkStart w:id="266" w:name="page267"/>
    <w:bookmarkEnd w:id="266"/>
    <w:p>
      <w:pPr>
        <w:jc w:val="both"/>
        <w:ind w:right="20" w:firstLine="574"/>
        <w:spacing w:after="0" w:line="275"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Warrant does not entitle the registered holder(s) to any of the rights of a stockholder of the Company.</w:t>
      </w:r>
    </w:p>
    <w:p>
      <w:pPr>
        <w:spacing w:after="0" w:line="198"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$16.50 per share for any twenty (20)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7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Chief Executive Officer</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6"/>
          <w:szCs w:val="16"/>
          <w:color w:val="auto"/>
        </w:rPr>
        <w:t>[REVERSE OF CERTIFICATE]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SUBSCRIPTION FORM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by the Registered Holder(s) in Order to Exercise Warrants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Cash Exercise</w:t>
      </w:r>
      <w:r>
        <w:rPr>
          <w:rFonts w:ascii="Arial" w:cs="Arial" w:eastAsia="Arial" w:hAnsi="Arial"/>
          <w:sz w:val="16"/>
          <w:szCs w:val="16"/>
          <w:color w:val="auto"/>
        </w:rPr>
        <w:t>” with respect to Warrant Shares; and/or</w:t>
      </w:r>
    </w:p>
    <w:p>
      <w:pPr>
        <w:spacing w:after="0" w:line="198" w:lineRule="exact"/>
        <w:rPr>
          <w:sz w:val="20"/>
          <w:szCs w:val="20"/>
          <w:color w:val="auto"/>
        </w:rPr>
      </w:pPr>
    </w:p>
    <w:p>
      <w:pPr>
        <w:jc w:val="both"/>
        <w:ind w:left="4400" w:right="20"/>
        <w:spacing w:after="0" w:line="280" w:lineRule="auto"/>
        <w:rPr>
          <w:sz w:val="20"/>
          <w:szCs w:val="20"/>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Cashless Exercise</w:t>
      </w:r>
      <w:r>
        <w:rPr>
          <w:rFonts w:ascii="Arial" w:cs="Arial" w:eastAsia="Arial" w:hAnsi="Arial"/>
          <w:sz w:val="15"/>
          <w:szCs w:val="15"/>
          <w:color w:val="auto"/>
        </w:rPr>
        <w:t xml:space="preserv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w:t>
      </w:r>
      <w:r>
        <w:rPr>
          <w:rFonts w:ascii="Arial" w:cs="Arial" w:eastAsia="Arial" w:hAnsi="Arial"/>
          <w:sz w:val="15"/>
          <w:szCs w:val="15"/>
          <w:u w:val="single" w:color="auto"/>
          <w:color w:val="auto"/>
        </w:rPr>
        <w:t>Section 3.3.2</w:t>
      </w:r>
      <w:r>
        <w:rPr>
          <w:rFonts w:ascii="Arial" w:cs="Arial" w:eastAsia="Arial" w:hAnsi="Arial"/>
          <w:sz w:val="15"/>
          <w:szCs w:val="15"/>
          <w:color w:val="auto"/>
        </w:rPr>
        <w:t xml:space="preserve"> of the Warrant Agreement.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undersigned requests that a certificate for such shares be registered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 be delivered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PRINT OR TYPE NAME(S) AND ADDRESS)</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 Warrants be registered in the name of, and delivered to, the registered holder(s) at the address(es) stated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86067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2860675"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IDENTIFICATION NUMBER(S))</w:t>
      </w: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6"/>
          <w:szCs w:val="16"/>
          <w:color w:val="auto"/>
        </w:rPr>
        <w:t>ASSIGNMENT</w:t>
      </w:r>
    </w:p>
    <w:p>
      <w:pPr>
        <w:spacing w:after="0" w:line="198"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To Be Executed by the Registered Holder in Order to Assign Warrants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148195"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(PLEASE TYPE OR PRINT NAME(S)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262890</wp:posOffset>
            </wp:positionV>
            <wp:extent cx="2860675"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(PLEASE PRINT OR TYPE NAME(S)</w:t>
      </w:r>
    </w:p>
    <w:p>
      <w:pPr>
        <w:spacing w:after="0" w:line="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4295140"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95140" cy="1524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TAX IDENTIFICATION NUMBER(S))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286067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NOTICE: THE SIGNATURE(S) TO THIS ASSIGNMENT MUST CORRESPOND WITH THE NAME AS WRITTEN UPON THE FACE OF THE CERTIFICATE IN EVERY PARTICULAR, WITHOUT ALTERATION OR ENLARGEMENT OR ANY CHANGE WHATEVER.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Signature(s) Guaranteed: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9" w:name="page270"/>
    <w:bookmarkEnd w:id="269"/>
    <w:p>
      <w:pPr>
        <w:jc w:val="right"/>
        <w:spacing w:after="0"/>
        <w:rPr>
          <w:sz w:val="20"/>
          <w:szCs w:val="20"/>
          <w:color w:val="auto"/>
        </w:rPr>
      </w:pPr>
      <w:r>
        <w:rPr>
          <w:rFonts w:ascii="Arial" w:cs="Arial" w:eastAsia="Arial" w:hAnsi="Arial"/>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REGISTRATION RIGHTS AGREEMENT</w:t>
      </w:r>
    </w:p>
    <w:p>
      <w:pPr>
        <w:spacing w:after="0" w:line="20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This AMENDED AND RESTATED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 ], 2022, by and among (i) Ventoux CCM Acquisition Corp.,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 (ii) Ventoux Acquisition Holdings LLC, a Delaware limited liability company (“</w:t>
      </w:r>
      <w:r>
        <w:rPr>
          <w:rFonts w:ascii="Arial" w:cs="Arial" w:eastAsia="Arial" w:hAnsi="Arial"/>
          <w:sz w:val="16"/>
          <w:szCs w:val="16"/>
          <w:u w:val="single" w:color="auto"/>
          <w:color w:val="auto"/>
        </w:rPr>
        <w:t>Co-Sponsor</w:t>
      </w:r>
      <w:r>
        <w:rPr>
          <w:rFonts w:ascii="Arial" w:cs="Arial" w:eastAsia="Arial" w:hAnsi="Arial"/>
          <w:sz w:val="16"/>
          <w:szCs w:val="16"/>
          <w:color w:val="auto"/>
        </w:rPr>
        <w:t>”), (iii) Chardan International Investments, LLC, a Delaware limited liability company (together with the Co-Sponsor, the “</w:t>
      </w:r>
      <w:r>
        <w:rPr>
          <w:rFonts w:ascii="Arial" w:cs="Arial" w:eastAsia="Arial" w:hAnsi="Arial"/>
          <w:sz w:val="16"/>
          <w:szCs w:val="16"/>
          <w:u w:val="single" w:color="auto"/>
          <w:color w:val="auto"/>
        </w:rPr>
        <w:t>Sponsors</w:t>
      </w:r>
      <w:r>
        <w:rPr>
          <w:rFonts w:ascii="Arial" w:cs="Arial" w:eastAsia="Arial" w:hAnsi="Arial"/>
          <w:sz w:val="16"/>
          <w:szCs w:val="16"/>
          <w:color w:val="auto"/>
        </w:rPr>
        <w:t>”), (iv) [***] (the “</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 (together with the [***], the “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Investors</w:t>
      </w:r>
      <w:r>
        <w:rPr>
          <w:rFonts w:ascii="Arial" w:cs="Arial" w:eastAsia="Arial" w:hAnsi="Arial"/>
          <w:sz w:val="16"/>
          <w:szCs w:val="16"/>
          <w:color w:val="auto"/>
        </w:rPr>
        <w:t>”), (v) each of the Persons listed on the Schedule of Investors attached hereto as of the date hereof, and (vi) each of the other Persons set forth from time to time on the Schedule of Investors who, at any time, own securities of Pubco and enter into a joinder to this Agreement agreeing to be bound by the terms hereof (each Person identified in the foregoing (ii) through (vi), an “</w:t>
      </w:r>
      <w:r>
        <w:rPr>
          <w:rFonts w:ascii="Arial" w:cs="Arial" w:eastAsia="Arial" w:hAnsi="Arial"/>
          <w:sz w:val="16"/>
          <w:szCs w:val="16"/>
          <w:u w:val="single" w:color="auto"/>
          <w:color w:val="auto"/>
        </w:rPr>
        <w:t>Investor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Unless otherwise provided in this Agreement, capitalized terms used herein shall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hereof.</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Pubco and certain of the Investors (the “</w:t>
      </w:r>
      <w:r>
        <w:rPr>
          <w:rFonts w:ascii="Arial" w:cs="Arial" w:eastAsia="Arial" w:hAnsi="Arial"/>
          <w:sz w:val="16"/>
          <w:szCs w:val="16"/>
          <w:u w:val="single" w:color="auto"/>
          <w:color w:val="auto"/>
        </w:rPr>
        <w:t>Original Holders</w:t>
      </w:r>
      <w:r>
        <w:rPr>
          <w:rFonts w:ascii="Arial" w:cs="Arial" w:eastAsia="Arial" w:hAnsi="Arial"/>
          <w:sz w:val="16"/>
          <w:szCs w:val="16"/>
          <w:color w:val="auto"/>
        </w:rPr>
        <w:t>”) are parties to that certain Registration Rights Agreement, dated as of December 23, 2020 (the “</w:t>
      </w:r>
      <w:r>
        <w:rPr>
          <w:rFonts w:ascii="Arial" w:cs="Arial" w:eastAsia="Arial" w:hAnsi="Arial"/>
          <w:sz w:val="16"/>
          <w:szCs w:val="16"/>
          <w:u w:val="single" w:color="auto"/>
          <w:color w:val="auto"/>
        </w:rPr>
        <w:t>Prior Agreement</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Original Holders currently hold an aggregate of 4,312,500 shares (the “</w:t>
      </w:r>
      <w:r>
        <w:rPr>
          <w:rFonts w:ascii="Arial" w:cs="Arial" w:eastAsia="Arial" w:hAnsi="Arial"/>
          <w:sz w:val="16"/>
          <w:szCs w:val="16"/>
          <w:u w:val="single" w:color="auto"/>
          <w:color w:val="auto"/>
        </w:rPr>
        <w:t>Founder Shares</w:t>
      </w:r>
      <w:r>
        <w:rPr>
          <w:rFonts w:ascii="Arial" w:cs="Arial" w:eastAsia="Arial" w:hAnsi="Arial"/>
          <w:sz w:val="16"/>
          <w:szCs w:val="16"/>
          <w:color w:val="auto"/>
        </w:rPr>
        <w:t>”) of common stock of Pubco, par value $0.0001 per share, issued prior to Pubco’s initial public offering;</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WHEREAS, upon the consummation of the transactions contemplated by the Merger Agreement, the Original Holders will hold an aggregate of 6,075,000 warrants (the “</w:t>
      </w:r>
      <w:r>
        <w:rPr>
          <w:rFonts w:ascii="Arial" w:cs="Arial" w:eastAsia="Arial" w:hAnsi="Arial"/>
          <w:sz w:val="15"/>
          <w:szCs w:val="15"/>
          <w:u w:val="single" w:color="auto"/>
          <w:color w:val="auto"/>
        </w:rPr>
        <w:t>Private Placement Warrants</w:t>
      </w:r>
      <w:r>
        <w:rPr>
          <w:rFonts w:ascii="Arial" w:cs="Arial" w:eastAsia="Arial" w:hAnsi="Arial"/>
          <w:sz w:val="15"/>
          <w:szCs w:val="15"/>
          <w:color w:val="auto"/>
        </w:rPr>
        <w:t>”) to purchase, at an exercise price of $11.50 per share (subject to adjustment), shares of Common Stock;</w:t>
      </w:r>
    </w:p>
    <w:p>
      <w:pPr>
        <w:spacing w:after="0" w:line="129"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WHEREAS, Pubco, Ventoux Merger Sub I, Inc. (“</w:t>
      </w:r>
      <w:r>
        <w:rPr>
          <w:rFonts w:ascii="Arial" w:cs="Arial" w:eastAsia="Arial" w:hAnsi="Arial"/>
          <w:sz w:val="15"/>
          <w:szCs w:val="15"/>
          <w:u w:val="single" w:color="auto"/>
          <w:color w:val="auto"/>
        </w:rPr>
        <w:t>First Merger Sub</w:t>
      </w:r>
      <w:r>
        <w:rPr>
          <w:rFonts w:ascii="Arial" w:cs="Arial" w:eastAsia="Arial" w:hAnsi="Arial"/>
          <w:sz w:val="15"/>
          <w:szCs w:val="15"/>
          <w:color w:val="auto"/>
        </w:rPr>
        <w:t>”), Ventoux Merger Sub II, LLC (“</w:t>
      </w:r>
      <w:r>
        <w:rPr>
          <w:rFonts w:ascii="Arial" w:cs="Arial" w:eastAsia="Arial" w:hAnsi="Arial"/>
          <w:sz w:val="15"/>
          <w:szCs w:val="15"/>
          <w:u w:val="single" w:color="auto"/>
          <w:color w:val="auto"/>
        </w:rPr>
        <w:t>Second Merger Sub</w:t>
      </w:r>
      <w:r>
        <w:rPr>
          <w:rFonts w:ascii="Arial" w:cs="Arial" w:eastAsia="Arial" w:hAnsi="Arial"/>
          <w:sz w:val="15"/>
          <w:szCs w:val="15"/>
          <w:color w:val="auto"/>
        </w:rPr>
        <w:t>”) and E La Carte, Inc. (the “</w:t>
      </w:r>
      <w:r>
        <w:rPr>
          <w:rFonts w:ascii="Arial" w:cs="Arial" w:eastAsia="Arial" w:hAnsi="Arial"/>
          <w:sz w:val="15"/>
          <w:szCs w:val="15"/>
          <w:u w:val="single" w:color="auto"/>
          <w:color w:val="auto"/>
        </w:rPr>
        <w:t>Target”)</w:t>
      </w:r>
      <w:r>
        <w:rPr>
          <w:rFonts w:ascii="Arial" w:cs="Arial" w:eastAsia="Arial" w:hAnsi="Arial"/>
          <w:sz w:val="15"/>
          <w:szCs w:val="15"/>
          <w:color w:val="auto"/>
        </w:rPr>
        <w:t xml:space="preserve"> have entered into that certain Agreement and Plan of Merger, dated as of November 10, 2021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pursuant to which (and subject to the terms and conditions set forth therein) First Merger Sub will merge with and into the Target, with the Target surviving such merger as a wholly-owned subsidiary of Pubco (the “</w:t>
      </w:r>
      <w:r>
        <w:rPr>
          <w:rFonts w:ascii="Arial" w:cs="Arial" w:eastAsia="Arial" w:hAnsi="Arial"/>
          <w:sz w:val="15"/>
          <w:szCs w:val="15"/>
          <w:u w:val="single" w:color="auto"/>
          <w:color w:val="auto"/>
        </w:rPr>
        <w:t>First Merger</w:t>
      </w:r>
      <w:r>
        <w:rPr>
          <w:rFonts w:ascii="Arial" w:cs="Arial" w:eastAsia="Arial" w:hAnsi="Arial"/>
          <w:sz w:val="15"/>
          <w:szCs w:val="15"/>
          <w:color w:val="auto"/>
        </w:rPr>
        <w:t>”), and immediately following the First Merger, the surviving corporation will merge with and into Second Merger Sub, with Second Merger Sub continuing on as the surviving entity as a wholly-owned subsidiary of the Company (the merger transactions collectively referred to as the “</w:t>
      </w:r>
      <w:r>
        <w:rPr>
          <w:rFonts w:ascii="Arial" w:cs="Arial" w:eastAsia="Arial" w:hAnsi="Arial"/>
          <w:sz w:val="15"/>
          <w:szCs w:val="15"/>
          <w:u w:val="single" w:color="auto"/>
          <w:color w:val="auto"/>
        </w:rPr>
        <w:t>Merger</w:t>
      </w:r>
      <w:r>
        <w:rPr>
          <w:rFonts w:ascii="Arial" w:cs="Arial" w:eastAsia="Arial" w:hAnsi="Arial"/>
          <w:sz w:val="15"/>
          <w:szCs w:val="15"/>
          <w:color w:val="auto"/>
        </w:rPr>
        <w:t>”);</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in connection with the execution and delivery of the Merger Agreement, Pubco and the [***] Investors entered into subscription agreements, dated as of 10, 2021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pursuant to which, and subject to the terms and conditions thereof, such [***] Investors have agreed to purchase the Subscribed Shares, the Subscribed Notes and the Subscribed Warrants, each as defined in the Subscription Agreements);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parties to the Prior Agreement desire to amend and restate the Prior Agreement in its entirety on the terms and conditions included herein and to include the recipients of the other Registrable Securities identified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0" w:name="page271"/>
    <w:bookmarkEnd w:id="270"/>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152" w:lineRule="exact"/>
        <w:rPr>
          <w:sz w:val="20"/>
          <w:szCs w:val="20"/>
          <w:color w:val="auto"/>
        </w:rPr>
      </w:pPr>
    </w:p>
    <w:p>
      <w:pPr>
        <w:ind w:left="720" w:hanging="151"/>
        <w:spacing w:after="0"/>
        <w:tabs>
          <w:tab w:leader="none" w:pos="720"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Resale Shelf 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5" w:lineRule="auto"/>
        <w:tabs>
          <w:tab w:leader="none" w:pos="1364" w:val="left"/>
        </w:tabs>
        <w:numPr>
          <w:ilvl w:val="1"/>
          <w:numId w:val="271"/>
        </w:numPr>
        <w:rPr>
          <w:rFonts w:ascii="Arial" w:cs="Arial" w:eastAsia="Arial" w:hAnsi="Arial"/>
          <w:sz w:val="14"/>
          <w:szCs w:val="14"/>
          <w:color w:val="auto"/>
        </w:rPr>
      </w:pPr>
      <w:r>
        <w:rPr>
          <w:rFonts w:ascii="Arial" w:cs="Arial" w:eastAsia="Arial" w:hAnsi="Arial"/>
          <w:sz w:val="14"/>
          <w:szCs w:val="14"/>
          <w:u w:val="single" w:color="auto"/>
          <w:color w:val="auto"/>
        </w:rPr>
        <w:t>Registration Statement Covering Resale of Registrable Securities</w:t>
      </w:r>
      <w:r>
        <w:rPr>
          <w:rFonts w:ascii="Arial" w:cs="Arial" w:eastAsia="Arial" w:hAnsi="Arial"/>
          <w:sz w:val="14"/>
          <w:szCs w:val="14"/>
          <w:color w:val="auto"/>
        </w:rPr>
        <w:t>. Pubco shall use its reasonable best efforts to prepare and file or cause to be prepared and filed with the Commission, no later than thirty (30) days following the consummation of the Mergers (the “</w:t>
      </w:r>
      <w:r>
        <w:rPr>
          <w:rFonts w:ascii="Arial" w:cs="Arial" w:eastAsia="Arial" w:hAnsi="Arial"/>
          <w:sz w:val="14"/>
          <w:szCs w:val="14"/>
          <w:u w:val="single" w:color="auto"/>
          <w:color w:val="auto"/>
        </w:rPr>
        <w:t>Filing Deadline</w:t>
      </w:r>
      <w:r>
        <w:rPr>
          <w:rFonts w:ascii="Arial" w:cs="Arial" w:eastAsia="Arial" w:hAnsi="Arial"/>
          <w:sz w:val="14"/>
          <w:szCs w:val="14"/>
          <w:color w:val="auto"/>
        </w:rPr>
        <w:t>”), a Registration Statement for an offering to be made on a continuous basis pursuant to Rule 415 of the Securities Act registering the resale from time to time by the Investors of all of the Registrable Securities held by the Investors (the “</w:t>
      </w:r>
      <w:r>
        <w:rPr>
          <w:rFonts w:ascii="Arial" w:cs="Arial" w:eastAsia="Arial" w:hAnsi="Arial"/>
          <w:sz w:val="14"/>
          <w:szCs w:val="14"/>
          <w:u w:val="single" w:color="auto"/>
          <w:color w:val="auto"/>
        </w:rPr>
        <w:t>Resale Shelf Registration Statement</w:t>
      </w:r>
      <w:r>
        <w:rPr>
          <w:rFonts w:ascii="Arial" w:cs="Arial" w:eastAsia="Arial" w:hAnsi="Arial"/>
          <w:sz w:val="14"/>
          <w:szCs w:val="14"/>
          <w:color w:val="auto"/>
        </w:rPr>
        <w:t xml:space="preserve">”). The Resale Shelf Registration Statement shall be on Form S-1; </w:t>
      </w:r>
      <w:r>
        <w:rPr>
          <w:rFonts w:ascii="Arial" w:cs="Arial" w:eastAsia="Arial" w:hAnsi="Arial"/>
          <w:sz w:val="14"/>
          <w:szCs w:val="14"/>
          <w:u w:val="single" w:color="auto"/>
          <w:color w:val="auto"/>
        </w:rPr>
        <w:t>provided</w:t>
      </w:r>
      <w:r>
        <w:rPr>
          <w:rFonts w:ascii="Arial" w:cs="Arial" w:eastAsia="Arial" w:hAnsi="Arial"/>
          <w:sz w:val="14"/>
          <w:szCs w:val="14"/>
          <w:color w:val="auto"/>
        </w:rPr>
        <w:t>, that Pubco shall file, within thirty (30) days of such time as Form S-3 (“</w:t>
      </w:r>
      <w:r>
        <w:rPr>
          <w:rFonts w:ascii="Arial" w:cs="Arial" w:eastAsia="Arial" w:hAnsi="Arial"/>
          <w:sz w:val="14"/>
          <w:szCs w:val="14"/>
          <w:u w:val="single" w:color="auto"/>
          <w:color w:val="auto"/>
        </w:rPr>
        <w:t>Form S-3</w:t>
      </w:r>
      <w:r>
        <w:rPr>
          <w:rFonts w:ascii="Arial" w:cs="Arial" w:eastAsia="Arial" w:hAnsi="Arial"/>
          <w:sz w:val="14"/>
          <w:szCs w:val="14"/>
          <w:color w:val="auto"/>
        </w:rPr>
        <w:t>”) is available for the Resale Shelf Registration Statement, a post-effective amendment to the Resale Shelf Registration Statement then in effect, or otherwise file a Registration Statement on Form S-3, registering the Registrable Securities for resale in accordance with the immediately preceding sentence on Form S-3 (provided that Pubco shall maintain the effectiveness of the Registration Statement then in effect until such time as a Registration Statement (or post-effective amendment) on Form S-3 covering such Registrable Securities has been declared effective by the Commission). Pubco shall use reasonable best efforts to cause the Resale Shelf Registration Statement to be declared effective as soon as possible after filing, but in no event later than the earlier of (i) sixty (60) days following the Filing Deadline and (ii) three (3) Business Days after the Commission notifies Pubco that it will not review the Resale Shelf Registration Statement, if applicable (the “</w:t>
      </w:r>
      <w:r>
        <w:rPr>
          <w:rFonts w:ascii="Arial" w:cs="Arial" w:eastAsia="Arial" w:hAnsi="Arial"/>
          <w:sz w:val="14"/>
          <w:szCs w:val="14"/>
          <w:u w:val="single" w:color="auto"/>
          <w:color w:val="auto"/>
        </w:rPr>
        <w:t>Effectiveness Deadline</w:t>
      </w:r>
      <w:r>
        <w:rPr>
          <w:rFonts w:ascii="Arial" w:cs="Arial" w:eastAsia="Arial" w:hAnsi="Arial"/>
          <w:sz w:val="14"/>
          <w:szCs w:val="14"/>
          <w:color w:val="auto"/>
        </w:rPr>
        <w:t>”); provided, that, if the Registration Statement filed pursuant to this Section 1(a) is reviewed by, and Pubco receives comments from, the Commission with respect to such Registration Statement, the Effectiveness Deadline shall be extended to ninety (90) days following the Filing Deadline. Without limiting the foregoing, as soon as practicable, but in no event later than three (3) Business Days, following the resolution or clearance of all Commission comments or, if applicable, following notification by the Commission that any such Registration Statement or any amendment thereto will not be subject to review, Pubco shall file a request for acceleration of effectiveness of such Registration Statement (to the extent required, by declaration or ordering of effectiveness, of such Registration Statement or amendment by the Commission) to a time and date not later than two (2) Business days after the submission of such request. Once effective, Pubco shall use reasonable best efforts to keep the Resale Shelf Registration Statement continuously effective and to be supplemented and amended to the extent necessary to ensure that such Registration Statement is available or, if not available, to ensure that another Registration Statement is available, under the Securities Act at all times for the public resale of all of the Registrable Securities until such date as all Registrable Securities covered by the Resale Shelf Registration Statement have been disposed of in accordance with the intended method(s) of distribution set forth in such Registration Statement. The Resale Shelf Registration Statement shall contain a Prospectus in such form as to permit any Investor to sell such Registrable Securities pursuant to Rule 415 under the Securities Act (or any successor or similar provision adopted by the Commission then in effect) at any time beginning on the effective date for such Registration Statement, and</w:t>
      </w:r>
    </w:p>
    <w:p>
      <w:pPr>
        <w:spacing w:after="0" w:line="13"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Pubco shall file with the Commission the final form of such Prospectus pursuant to Rule 424 (or successor thereto) under the Securities Act no later than the first (1</w:t>
      </w:r>
      <w:r>
        <w:rPr>
          <w:rFonts w:ascii="Arial" w:cs="Arial" w:eastAsia="Arial" w:hAnsi="Arial"/>
          <w:sz w:val="26"/>
          <w:szCs w:val="26"/>
          <w:color w:val="auto"/>
          <w:vertAlign w:val="superscript"/>
        </w:rPr>
        <w:t>st</w:t>
      </w:r>
      <w:r>
        <w:rPr>
          <w:rFonts w:ascii="Arial" w:cs="Arial" w:eastAsia="Arial" w:hAnsi="Arial"/>
          <w:sz w:val="16"/>
          <w:szCs w:val="16"/>
          <w:color w:val="auto"/>
        </w:rPr>
        <w:t>) Business Day after the Resale Shelf Registration Statement becomes effective. The Resale Shelf Registration Statement shall provide that the Registrable Securities may be sold pursuant to any method or combination of methods legally available to, and requested by, the Investors. Without limiting the foregoing, subject to any comments from the Commission, each Registration Statement filed pursuant to this Section 1 shall include a “plan of distribution” approved by the Majority Presto Investors, the Majority [***] Investors and the Sponsors.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1" w:name="page272"/>
    <w:bookmarkEnd w:id="271"/>
    <w:p>
      <w:pPr>
        <w:jc w:val="both"/>
        <w:ind w:firstLine="1143"/>
        <w:spacing w:after="0" w:line="288" w:lineRule="auto"/>
        <w:tabs>
          <w:tab w:leader="none" w:pos="1377" w:val="left"/>
        </w:tabs>
        <w:numPr>
          <w:ilvl w:val="0"/>
          <w:numId w:val="272"/>
        </w:numPr>
        <w:rPr>
          <w:rFonts w:ascii="Arial" w:cs="Arial" w:eastAsia="Arial" w:hAnsi="Arial"/>
          <w:sz w:val="14"/>
          <w:szCs w:val="14"/>
          <w:color w:val="auto"/>
        </w:rPr>
      </w:pPr>
      <w:r>
        <w:rPr>
          <w:rFonts w:ascii="Arial" w:cs="Arial" w:eastAsia="Arial" w:hAnsi="Arial"/>
          <w:sz w:val="14"/>
          <w:szCs w:val="14"/>
          <w:color w:val="auto"/>
        </w:rPr>
        <w:t xml:space="preserve">Notwithstanding the registration obligations set forth in this </w:t>
      </w:r>
      <w:r>
        <w:rPr>
          <w:rFonts w:ascii="Arial" w:cs="Arial" w:eastAsia="Arial" w:hAnsi="Arial"/>
          <w:sz w:val="14"/>
          <w:szCs w:val="14"/>
          <w:u w:val="single" w:color="auto"/>
          <w:color w:val="auto"/>
        </w:rPr>
        <w:t>Section 1</w:t>
      </w:r>
      <w:r>
        <w:rPr>
          <w:rFonts w:ascii="Arial" w:cs="Arial" w:eastAsia="Arial" w:hAnsi="Arial"/>
          <w:sz w:val="14"/>
          <w:szCs w:val="14"/>
          <w:color w:val="auto"/>
        </w:rPr>
        <w:t>, in the event that, despite Pubco’s efforts to include all of the Registrable Securities in any Registration Statement filed pursuant to Section 1(a), the Commission informs Pubco (the “</w:t>
      </w:r>
      <w:r>
        <w:rPr>
          <w:rFonts w:ascii="Arial" w:cs="Arial" w:eastAsia="Arial" w:hAnsi="Arial"/>
          <w:sz w:val="14"/>
          <w:szCs w:val="14"/>
          <w:u w:val="single" w:color="auto"/>
          <w:color w:val="auto"/>
        </w:rPr>
        <w:t>Commission’s Notice</w:t>
      </w:r>
      <w:r>
        <w:rPr>
          <w:rFonts w:ascii="Arial" w:cs="Arial" w:eastAsia="Arial" w:hAnsi="Arial"/>
          <w:sz w:val="14"/>
          <w:szCs w:val="14"/>
          <w:color w:val="auto"/>
        </w:rPr>
        <w:t>”) that all of the Registrable Securities cannot, as a result of the application of Rule 415 or otherwise, be registered for resale as a secondary offering on a single Registration Statement, Pubco agrees to promptly (i) inform each of the holders thereof and use its reasonable best efforts to file amendments to the Resale Shelf Registration Statement as required by the Commission and (ii) as soon as practicable but in no event later than the New Registration Statement Filing Deadline, file an additional Registration Statement (a “</w:t>
      </w:r>
      <w:r>
        <w:rPr>
          <w:rFonts w:ascii="Arial" w:cs="Arial" w:eastAsia="Arial" w:hAnsi="Arial"/>
          <w:sz w:val="14"/>
          <w:szCs w:val="14"/>
          <w:u w:val="single" w:color="auto"/>
          <w:color w:val="auto"/>
        </w:rPr>
        <w:t>New Registration Statement</w:t>
      </w:r>
      <w:r>
        <w:rPr>
          <w:rFonts w:ascii="Arial" w:cs="Arial" w:eastAsia="Arial" w:hAnsi="Arial"/>
          <w:sz w:val="14"/>
          <w:szCs w:val="14"/>
          <w:color w:val="auto"/>
        </w:rPr>
        <w:t>”), on Form S-3, or if Form S-3 is not then available to Pubco for such Registration Statement, on such other form available to register for resale the Registrable Securities as a secondary offering; provided, however, that prior to filing such amendment or New Registration Statement, Pubco shall be obligated to use its reasonable best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4"/>
          <w:szCs w:val="14"/>
          <w:u w:val="single" w:color="auto"/>
          <w:color w:val="auto"/>
        </w:rPr>
        <w:t>SEC Guidance</w:t>
      </w:r>
      <w:r>
        <w:rPr>
          <w:rFonts w:ascii="Arial" w:cs="Arial" w:eastAsia="Arial" w:hAnsi="Arial"/>
          <w:sz w:val="14"/>
          <w:szCs w:val="14"/>
          <w:color w:val="auto"/>
        </w:rPr>
        <w:t>”), including without limitation, the Manual of Publicly Available Telephone Interpretations D.29. The Investors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Investor’s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or otherwise required by the SEC, the number of Registrable Securities to be registered on such Registration Statement will be reduced on a pro rata basis based on the total number of Registrable Securities held by the Investors. In the event Pubco amends the Resale Shelf Registration Statement or files a New Registration Statement, as the case may be, under clauses (i) or (ii) above, Pubco will use its reasonable best efforts to file with the Commission, as promptly as allowed by Commission or SEC Guidance provided to Pubco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 If Pubco shall not be able to register for resale all of the Registrable Securities on the Resale Shelf Registration Statement within three (3) months following the date of Pubco’s receipt of the Commission’s Notice, then, until such Resale Shelf Registration Statement is effective, each of the Majority Presto Investors, the Majority [***] Investors and the Sponsors shall be entitled to demand registration rights pursuant to Section 2 below (the “</w:t>
      </w:r>
      <w:r>
        <w:rPr>
          <w:rFonts w:ascii="Arial" w:cs="Arial" w:eastAsia="Arial" w:hAnsi="Arial"/>
          <w:sz w:val="14"/>
          <w:szCs w:val="14"/>
          <w:u w:val="single" w:color="auto"/>
          <w:color w:val="auto"/>
        </w:rPr>
        <w:t>Shelf Demand Right</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left="1360" w:hanging="217"/>
        <w:spacing w:after="0"/>
        <w:tabs>
          <w:tab w:leader="none" w:pos="13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 xml:space="preserve">Registrations effected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1 shall not be counted as Demand Registrations effected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94" w:lineRule="auto"/>
        <w:tabs>
          <w:tab w:leader="none" w:pos="1376" w:val="left"/>
        </w:tabs>
        <w:numPr>
          <w:ilvl w:val="0"/>
          <w:numId w:val="272"/>
        </w:numPr>
        <w:rPr>
          <w:rFonts w:ascii="Arial" w:cs="Arial" w:eastAsia="Arial" w:hAnsi="Arial"/>
          <w:sz w:val="14"/>
          <w:szCs w:val="14"/>
          <w:color w:val="auto"/>
        </w:rPr>
      </w:pPr>
      <w:r>
        <w:rPr>
          <w:rFonts w:ascii="Arial" w:cs="Arial" w:eastAsia="Arial" w:hAnsi="Arial"/>
          <w:sz w:val="14"/>
          <w:szCs w:val="14"/>
          <w:color w:val="auto"/>
        </w:rPr>
        <w:t>No Investor shall be named as an “underwriter” in any Registration Statement filed pursuant to this Section 1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Pubco, in which case Pubco’s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Majority Presto Investors, the Majority [***] Investors and the Sponsors prior to its filing with, or other submission to, the Commission; provided that, Pubco shall not be deemed to be in breach of any Effectiveness Deadline or other deadline set forth in this Agreement if the failure of Pubco to meet such deadline is the result of an Investor’s failure to approve such Registration Statement or amendment or supplement thereto or request for acceleration thereof.</w:t>
      </w:r>
    </w:p>
    <w:p>
      <w:pPr>
        <w:spacing w:after="0" w:line="143" w:lineRule="exact"/>
        <w:rPr>
          <w:rFonts w:ascii="Arial" w:cs="Arial" w:eastAsia="Arial" w:hAnsi="Arial"/>
          <w:sz w:val="14"/>
          <w:szCs w:val="14"/>
          <w:color w:val="auto"/>
        </w:rPr>
      </w:pPr>
    </w:p>
    <w:p>
      <w:pPr>
        <w:jc w:val="both"/>
        <w:ind w:firstLine="1143"/>
        <w:spacing w:after="0" w:line="270" w:lineRule="auto"/>
        <w:tabs>
          <w:tab w:leader="none" w:pos="1395"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In the event that on any Trading Day (as defined below) (the “</w:t>
      </w:r>
      <w:r>
        <w:rPr>
          <w:rFonts w:ascii="Arial" w:cs="Arial" w:eastAsia="Arial" w:hAnsi="Arial"/>
          <w:sz w:val="15"/>
          <w:szCs w:val="15"/>
          <w:u w:val="single" w:color="auto"/>
          <w:color w:val="auto"/>
        </w:rPr>
        <w:t>Registration Trigger Date</w:t>
      </w:r>
      <w:r>
        <w:rPr>
          <w:rFonts w:ascii="Arial" w:cs="Arial" w:eastAsia="Arial" w:hAnsi="Arial"/>
          <w:sz w:val="15"/>
          <w:szCs w:val="15"/>
          <w:color w:val="auto"/>
        </w:rPr>
        <w:t>”) the number of shares available under the Registration Statements filed pursuant to this Section 1 is insufficient to cover all of the Registrable Securities (without giving effect to any limitations on the exercise or conversion of any securities exercisable for, or convertible into, Registrable Securities and, in the case of Registrable Securities issuable upon the exercise of warrants, assuming the exercise of such warrants for cash), Pubco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Pubco shall use its reasonable best efforts to cause such amendment and/or new Registration Statement to become effective as soon as practicable following the filing thereof, but in any event Pubco shall cause such amendment and/or new Registration Statement to become effective within sixty (60) days of the Registration Trigger Date (or ninety (90) days if the applicable Registration Statement or amendment is reviewed by, and comments are thereto provided from, the Commission) or as promptly as practicable in the event Pubco is required to increase its authorized shares. “</w:t>
      </w:r>
      <w:r>
        <w:rPr>
          <w:rFonts w:ascii="Arial" w:cs="Arial" w:eastAsia="Arial" w:hAnsi="Arial"/>
          <w:sz w:val="15"/>
          <w:szCs w:val="15"/>
          <w:u w:val="single" w:color="auto"/>
          <w:color w:val="auto"/>
        </w:rPr>
        <w:t>Trading Day</w:t>
      </w:r>
      <w:r>
        <w:rPr>
          <w:rFonts w:ascii="Arial" w:cs="Arial" w:eastAsia="Arial" w:hAnsi="Arial"/>
          <w:sz w:val="15"/>
          <w:szCs w:val="15"/>
          <w:color w:val="auto"/>
        </w:rPr>
        <w:t>” shall mean any day on which the Common Stock is traded for any period on the principal securities exchange or other securities market on which the Common Stock is then being traded.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2" w:name="page273"/>
    <w:bookmarkEnd w:id="272"/>
    <w:p>
      <w:pPr>
        <w:ind w:left="720" w:hanging="151"/>
        <w:spacing w:after="0"/>
        <w:tabs>
          <w:tab w:leader="none" w:pos="720"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Demand Registrations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9" w:lineRule="auto"/>
        <w:tabs>
          <w:tab w:leader="none" w:pos="1376" w:val="left"/>
        </w:tabs>
        <w:numPr>
          <w:ilvl w:val="1"/>
          <w:numId w:val="273"/>
        </w:numPr>
        <w:rPr>
          <w:rFonts w:ascii="Arial" w:cs="Arial" w:eastAsia="Arial" w:hAnsi="Arial"/>
          <w:sz w:val="14"/>
          <w:szCs w:val="14"/>
          <w:color w:val="auto"/>
        </w:rPr>
      </w:pPr>
      <w:r>
        <w:rPr>
          <w:rFonts w:ascii="Arial" w:cs="Arial" w:eastAsia="Arial" w:hAnsi="Arial"/>
          <w:sz w:val="14"/>
          <w:szCs w:val="14"/>
          <w:u w:val="single" w:color="auto"/>
          <w:color w:val="auto"/>
        </w:rPr>
        <w:t>Requests for Registration</w:t>
      </w:r>
      <w:r>
        <w:rPr>
          <w:rFonts w:ascii="Arial" w:cs="Arial" w:eastAsia="Arial" w:hAnsi="Arial"/>
          <w:sz w:val="14"/>
          <w:szCs w:val="14"/>
          <w:color w:val="auto"/>
        </w:rPr>
        <w:t>. Subject to the terms and conditions of this Agreement and, as applicable, the lock-up provisions contained in Section 5.3 of Pubco’s Amended and Restated Bylaws (the “</w:t>
      </w:r>
      <w:r>
        <w:rPr>
          <w:rFonts w:ascii="Arial" w:cs="Arial" w:eastAsia="Arial" w:hAnsi="Arial"/>
          <w:sz w:val="14"/>
          <w:szCs w:val="14"/>
          <w:u w:val="single" w:color="auto"/>
          <w:color w:val="auto"/>
        </w:rPr>
        <w:t>Bylaws</w:t>
      </w:r>
      <w:r>
        <w:rPr>
          <w:rFonts w:ascii="Arial" w:cs="Arial" w:eastAsia="Arial" w:hAnsi="Arial"/>
          <w:sz w:val="14"/>
          <w:szCs w:val="14"/>
          <w:color w:val="auto"/>
        </w:rPr>
        <w:t>”) and the Support Agreements (as defined in the Merger Agreement) at any time or from time to time, provided that Pubco does not then have an effective Registration Statement outstanding covering all of the Registrable Securities, the holders of Registrable Securities may request registration under the Securities Act of all or any portion of their Registrable Securities on Form S-1 or any similar long-form registration statement (“</w:t>
      </w:r>
      <w:r>
        <w:rPr>
          <w:rFonts w:ascii="Arial" w:cs="Arial" w:eastAsia="Arial" w:hAnsi="Arial"/>
          <w:sz w:val="14"/>
          <w:szCs w:val="14"/>
          <w:u w:val="single" w:color="auto"/>
          <w:color w:val="auto"/>
        </w:rPr>
        <w:t>Long-Form</w:t>
      </w:r>
      <w:r>
        <w:rPr>
          <w:rFonts w:ascii="Arial" w:cs="Arial" w:eastAsia="Arial" w:hAnsi="Arial"/>
          <w:sz w:val="14"/>
          <w:szCs w:val="14"/>
          <w:color w:val="auto"/>
        </w:rPr>
        <w:t xml:space="preserve"> </w:t>
      </w:r>
      <w:r>
        <w:rPr>
          <w:rFonts w:ascii="Arial" w:cs="Arial" w:eastAsia="Arial" w:hAnsi="Arial"/>
          <w:sz w:val="14"/>
          <w:szCs w:val="14"/>
          <w:u w:val="single" w:color="auto"/>
          <w:color w:val="auto"/>
        </w:rPr>
        <w:t>Registrations</w:t>
      </w:r>
      <w:r>
        <w:rPr>
          <w:rFonts w:ascii="Arial" w:cs="Arial" w:eastAsia="Arial" w:hAnsi="Arial"/>
          <w:sz w:val="14"/>
          <w:szCs w:val="14"/>
          <w:color w:val="auto"/>
        </w:rPr>
        <w:t>”) or, if available, on Form S-3 (including a shelf registration pursuant to Rule 415 under the Securities Act) or any similar short-form registration statement, including an automatic shelf registration statement (as defined in Rule 405) (an “</w:t>
      </w:r>
      <w:r>
        <w:rPr>
          <w:rFonts w:ascii="Arial" w:cs="Arial" w:eastAsia="Arial" w:hAnsi="Arial"/>
          <w:sz w:val="14"/>
          <w:szCs w:val="14"/>
          <w:u w:val="single" w:color="auto"/>
          <w:color w:val="auto"/>
        </w:rPr>
        <w:t>Automatic Shelf Registration Statement</w:t>
      </w:r>
      <w:r>
        <w:rPr>
          <w:rFonts w:ascii="Arial" w:cs="Arial" w:eastAsia="Arial" w:hAnsi="Arial"/>
          <w:sz w:val="14"/>
          <w:szCs w:val="14"/>
          <w:color w:val="auto"/>
        </w:rPr>
        <w:t>”), if available to Pubco (“</w:t>
      </w:r>
      <w:r>
        <w:rPr>
          <w:rFonts w:ascii="Arial" w:cs="Arial" w:eastAsia="Arial" w:hAnsi="Arial"/>
          <w:sz w:val="14"/>
          <w:szCs w:val="14"/>
          <w:u w:val="single" w:color="auto"/>
          <w:color w:val="auto"/>
        </w:rPr>
        <w:t>Short-Form Registrations</w:t>
      </w:r>
      <w:r>
        <w:rPr>
          <w:rFonts w:ascii="Arial" w:cs="Arial" w:eastAsia="Arial" w:hAnsi="Arial"/>
          <w:sz w:val="14"/>
          <w:szCs w:val="14"/>
          <w:color w:val="auto"/>
        </w:rPr>
        <w:t xml:space="preserve">”), in accordance with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2(c)</w:t>
      </w:r>
      <w:r>
        <w:rPr>
          <w:rFonts w:ascii="Arial" w:cs="Arial" w:eastAsia="Arial" w:hAnsi="Arial"/>
          <w:sz w:val="14"/>
          <w:szCs w:val="14"/>
          <w:color w:val="auto"/>
        </w:rPr>
        <w:t xml:space="preserve"> below (such holders being referred to herein as the “</w:t>
      </w:r>
      <w:r>
        <w:rPr>
          <w:rFonts w:ascii="Arial" w:cs="Arial" w:eastAsia="Arial" w:hAnsi="Arial"/>
          <w:sz w:val="14"/>
          <w:szCs w:val="14"/>
          <w:u w:val="single" w:color="auto"/>
          <w:color w:val="auto"/>
        </w:rPr>
        <w:t>Initiating Investors</w:t>
      </w:r>
      <w:r>
        <w:rPr>
          <w:rFonts w:ascii="Arial" w:cs="Arial" w:eastAsia="Arial" w:hAnsi="Arial"/>
          <w:sz w:val="14"/>
          <w:szCs w:val="14"/>
          <w:color w:val="auto"/>
        </w:rPr>
        <w:t>” and all registrations requested by the Initiating Investors being referred to herein as “</w:t>
      </w:r>
      <w:r>
        <w:rPr>
          <w:rFonts w:ascii="Arial" w:cs="Arial" w:eastAsia="Arial" w:hAnsi="Arial"/>
          <w:sz w:val="14"/>
          <w:szCs w:val="14"/>
          <w:u w:val="single" w:color="auto"/>
          <w:color w:val="auto"/>
        </w:rPr>
        <w:t>Demand Registrations</w:t>
      </w:r>
      <w:r>
        <w:rPr>
          <w:rFonts w:ascii="Arial" w:cs="Arial" w:eastAsia="Arial" w:hAnsi="Arial"/>
          <w:sz w:val="14"/>
          <w:szCs w:val="14"/>
          <w:color w:val="auto"/>
        </w:rPr>
        <w:t>”). Each request for a Demand Registration shall specify the approximate number of Registrable Securities requested to be registered and the intended method of distribution. Subject to Sections 10(a) and 10(b) (collectively, the “</w:t>
      </w:r>
      <w:r>
        <w:rPr>
          <w:rFonts w:ascii="Arial" w:cs="Arial" w:eastAsia="Arial" w:hAnsi="Arial"/>
          <w:sz w:val="14"/>
          <w:szCs w:val="14"/>
          <w:u w:val="single" w:color="auto"/>
          <w:color w:val="auto"/>
        </w:rPr>
        <w:t>MNPI Provisions</w:t>
      </w:r>
      <w:r>
        <w:rPr>
          <w:rFonts w:ascii="Arial" w:cs="Arial" w:eastAsia="Arial" w:hAnsi="Arial"/>
          <w:sz w:val="14"/>
          <w:szCs w:val="14"/>
          <w:color w:val="auto"/>
        </w:rPr>
        <w:t>”), within five (5) Business Days after receipt of any such request, Pubco shall give written notice of such requested registration to all other holders of Registrable Securities and, subject to the terms and conditions set forth herein, shall include in such registration (and in all related registrations and qualifications under state blue sky laws or in compliance with other registration requirements and in any related underwriting) all such Registrable Securities with respect to which Pubco has received written requests for inclusion therein within five (5) Business Days after the receipt of Pubco’s notice. Each holder of Registrable Securities agrees that such holder shall treat as confidential the receipt of the notice of Demand Registration and shall not disclose or use the information contained in such notice of Demand Registration without the prior written consent of Pubco until such time as the information contained therein is or becomes available to the public generally, other than as a result of disclosure by the holder in breach of the terms of this Agreement.</w:t>
      </w:r>
    </w:p>
    <w:p>
      <w:pPr>
        <w:spacing w:after="0" w:line="151" w:lineRule="exact"/>
        <w:rPr>
          <w:rFonts w:ascii="Arial" w:cs="Arial" w:eastAsia="Arial" w:hAnsi="Arial"/>
          <w:sz w:val="14"/>
          <w:szCs w:val="14"/>
          <w:color w:val="auto"/>
        </w:rPr>
      </w:pPr>
    </w:p>
    <w:p>
      <w:pPr>
        <w:jc w:val="both"/>
        <w:ind w:firstLine="1143"/>
        <w:spacing w:after="0" w:line="270" w:lineRule="auto"/>
        <w:tabs>
          <w:tab w:leader="none" w:pos="1385" w:val="left"/>
        </w:tabs>
        <w:numPr>
          <w:ilvl w:val="1"/>
          <w:numId w:val="273"/>
        </w:numPr>
        <w:rPr>
          <w:rFonts w:ascii="Arial" w:cs="Arial" w:eastAsia="Arial" w:hAnsi="Arial"/>
          <w:sz w:val="15"/>
          <w:szCs w:val="15"/>
          <w:color w:val="auto"/>
        </w:rPr>
      </w:pPr>
      <w:r>
        <w:rPr>
          <w:rFonts w:ascii="Arial" w:cs="Arial" w:eastAsia="Arial" w:hAnsi="Arial"/>
          <w:sz w:val="15"/>
          <w:szCs w:val="15"/>
          <w:u w:val="single" w:color="auto"/>
          <w:color w:val="auto"/>
        </w:rPr>
        <w:t>Long-Form Registrations</w:t>
      </w:r>
      <w:r>
        <w:rPr>
          <w:rFonts w:ascii="Arial" w:cs="Arial" w:eastAsia="Arial" w:hAnsi="Arial"/>
          <w:sz w:val="15"/>
          <w:szCs w:val="15"/>
          <w:color w:val="auto"/>
        </w:rPr>
        <w:t>. (i) The Majority Presto Investors, on behalf of any and all Presto Investors, may request two (2) Long-Form Registration in which Pubco shall pay all Registration Expenses whether or not any such Long-Form Registration has become effective, (ii) the Majority [***] Investors, on behalf of any and all [***] Investors, may request two (2) Long-Form Registration in which Pubco shall pay all Registration Expenses whether or not any such Long-Form Registration has become effective, and (iii) the Sponsors may request two (2) Long-Form Registration in which Pubco shall pay all Registration Expenses whether or not any such Long-Form Registration has become effective; in each case, provided thatif Pubco has already effected a Demand Registration (which became effective) in the preceding 45-day period; provided, further, that Pubco shall only be obligated to effect, or take any action to effect, two (2) Long-Form Registrations for each of the Majority Presto Investors, the Majority [***] Investors and the Sponsors. A registration shall not count as one of the permitted Long-Form Registrations until it has become effective and unless the holders of Registrable Securities are able to register and sell at least 90% of the Registrable Securities requested to be included in such registration; provided that in any event Pubco shall pay all Registration Expenses in connection with any registration initiated as a Long-Form Registration whether or not it has become effective and whether or not such registration has counted as one of the permitted Long-Form Registrations hereunder.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3" w:name="page274"/>
    <w:bookmarkEnd w:id="273"/>
    <w:p>
      <w:pPr>
        <w:jc w:val="both"/>
        <w:ind w:firstLine="1143"/>
        <w:spacing w:after="0" w:line="268" w:lineRule="auto"/>
        <w:tabs>
          <w:tab w:leader="none" w:pos="1364" w:val="left"/>
        </w:tabs>
        <w:numPr>
          <w:ilvl w:val="0"/>
          <w:numId w:val="274"/>
        </w:numPr>
        <w:rPr>
          <w:rFonts w:ascii="Arial" w:cs="Arial" w:eastAsia="Arial" w:hAnsi="Arial"/>
          <w:sz w:val="15"/>
          <w:szCs w:val="15"/>
          <w:color w:val="auto"/>
        </w:rPr>
      </w:pPr>
      <w:r>
        <w:rPr>
          <w:rFonts w:ascii="Arial" w:cs="Arial" w:eastAsia="Arial" w:hAnsi="Arial"/>
          <w:sz w:val="15"/>
          <w:szCs w:val="15"/>
          <w:u w:val="single" w:color="auto"/>
          <w:color w:val="auto"/>
        </w:rPr>
        <w:t>Short-Form Registrations</w:t>
      </w:r>
      <w:r>
        <w:rPr>
          <w:rFonts w:ascii="Arial" w:cs="Arial" w:eastAsia="Arial" w:hAnsi="Arial"/>
          <w:sz w:val="15"/>
          <w:szCs w:val="15"/>
          <w:color w:val="auto"/>
        </w:rPr>
        <w:t xml:space="preserve">. In addition to the Long-Form Registration provided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each of (i) the Majority Presto Investors, on behalf of any and all Presto Investors, (ii) the Majority [***] Investors, on behalf of any and all [***] Investors, and (iii) the Sponsors, shall be entitled to request Short-Form Registrations in which Pubco shall pay all Registration Expenses whether or not any such Short-Form Registration has become effective; provided, however, that Pubco shall not be obligated to effect any such Short-Form Registration: (x) if Pubco has already effected three (3) Short-Form Registrations (which became effective) for the holders of Registrable Securities requesting a Short-Form Registration pursuant to this </w:t>
      </w:r>
      <w:r>
        <w:rPr>
          <w:rFonts w:ascii="Arial" w:cs="Arial" w:eastAsia="Arial" w:hAnsi="Arial"/>
          <w:sz w:val="15"/>
          <w:szCs w:val="15"/>
          <w:u w:val="single" w:color="auto"/>
          <w:color w:val="auto"/>
        </w:rPr>
        <w:t>Section 2(c)</w:t>
      </w:r>
      <w:r>
        <w:rPr>
          <w:rFonts w:ascii="Arial" w:cs="Arial" w:eastAsia="Arial" w:hAnsi="Arial"/>
          <w:sz w:val="15"/>
          <w:szCs w:val="15"/>
          <w:color w:val="auto"/>
        </w:rPr>
        <w:t>, or (y) if Pubco has already effected a Demand Registration (which became effective) in the preceding 90-day period. Demand Registrations shall be Short-Form Registrations whenever Pubco is permitted to use any applicable short form registration and if the managing underwriters (if any) agree to the use of a Short-Form Registration. For so long as Pubco is subject to the reporting requirements of the Exchange Act, Pubco shall use its reasonable best efforts to make Short-Form Registrations available for the offer and sale of Registrable Securities. If Pubco is qualified to and, pursuant to the request of the holders of a majority of the Registrable Securities, has filed with the Commission a Registration Statement under the Securities Act on Form S-3 pursuant to Rule 415 (a “</w:t>
      </w:r>
      <w:r>
        <w:rPr>
          <w:rFonts w:ascii="Arial" w:cs="Arial" w:eastAsia="Arial" w:hAnsi="Arial"/>
          <w:sz w:val="15"/>
          <w:szCs w:val="15"/>
          <w:u w:val="single" w:color="auto"/>
          <w:color w:val="auto"/>
        </w:rPr>
        <w:t>Shelf Registration</w:t>
      </w:r>
      <w:r>
        <w:rPr>
          <w:rFonts w:ascii="Arial" w:cs="Arial" w:eastAsia="Arial" w:hAnsi="Arial"/>
          <w:sz w:val="15"/>
          <w:szCs w:val="15"/>
          <w:color w:val="auto"/>
        </w:rPr>
        <w:t>”), then Pubco shall use its reasonable best efforts to cause the Shelf Registration to be declared effective under the Securities Act as soon as practicable after filing, and, if Pubco is a WKSI at the time of any such request, to cause such Shelf Registration to be an Automatic Shelf Registration Statement, and once effective, Pubco shall cause such Shelf Registration to remain effective (including by filing a new Shelf Registration, if necessary) for a period ending on the earlier of (i) the date on which all Registrable Securities included in such registration have been sold or distributed pursuant to the Shelf Registration or (ii) the date as of which all of the Registrable Securities included in such registration are able to be sold within a 45-day period in compliance with Rule 144 under the Securities Act (without any restrictions as to volume or the manner of sale or otherwise and without the requirement for Pubco to be in compliance with the current public information required under Rule 144(c)(i) or Rule 144(i)(2) and, in the case of Registrable Securities issuable upon the exercise of warrants, assuming the exercise of such warrants for cash). If for any reason Pubco ceases to be a WKSI or becomes ineligible to utilize Form S-3, Pubco shall prepare and file with the Commission a Registration Statement or Registration Statements on such form that is available for the sale of Registrable Securities.</w:t>
      </w:r>
    </w:p>
    <w:p>
      <w:pPr>
        <w:spacing w:after="0" w:line="165" w:lineRule="exact"/>
        <w:rPr>
          <w:rFonts w:ascii="Arial" w:cs="Arial" w:eastAsia="Arial" w:hAnsi="Arial"/>
          <w:sz w:val="15"/>
          <w:szCs w:val="15"/>
          <w:color w:val="auto"/>
        </w:rPr>
      </w:pPr>
    </w:p>
    <w:p>
      <w:pPr>
        <w:jc w:val="both"/>
        <w:ind w:firstLine="1143"/>
        <w:spacing w:after="0" w:line="288" w:lineRule="auto"/>
        <w:tabs>
          <w:tab w:leader="none" w:pos="1373" w:val="left"/>
        </w:tabs>
        <w:numPr>
          <w:ilvl w:val="0"/>
          <w:numId w:val="274"/>
        </w:numPr>
        <w:rPr>
          <w:rFonts w:ascii="Arial" w:cs="Arial" w:eastAsia="Arial" w:hAnsi="Arial"/>
          <w:sz w:val="14"/>
          <w:szCs w:val="14"/>
          <w:color w:val="auto"/>
        </w:rPr>
      </w:pPr>
      <w:r>
        <w:rPr>
          <w:rFonts w:ascii="Arial" w:cs="Arial" w:eastAsia="Arial" w:hAnsi="Arial"/>
          <w:sz w:val="14"/>
          <w:szCs w:val="14"/>
          <w:u w:val="single" w:color="auto"/>
          <w:color w:val="auto"/>
        </w:rPr>
        <w:t>Shelf Takedowns</w:t>
      </w:r>
      <w:r>
        <w:rPr>
          <w:rFonts w:ascii="Arial" w:cs="Arial" w:eastAsia="Arial" w:hAnsi="Arial"/>
          <w:sz w:val="14"/>
          <w:szCs w:val="14"/>
          <w:color w:val="auto"/>
        </w:rPr>
        <w:t>. At any time when the Resale Shelf Registration Statement or a Shelf Registration for the sale or distribution by holders of Registrable Securities on a delayed or continuous basis pursuant to Rule 415, including by way of an underwritten offering, block sale or other distribution plan (each, a “</w:t>
      </w:r>
      <w:r>
        <w:rPr>
          <w:rFonts w:ascii="Arial" w:cs="Arial" w:eastAsia="Arial" w:hAnsi="Arial"/>
          <w:sz w:val="14"/>
          <w:szCs w:val="14"/>
          <w:u w:val="single" w:color="auto"/>
          <w:color w:val="auto"/>
        </w:rPr>
        <w:t>Resale Shelf</w:t>
      </w:r>
      <w:r>
        <w:rPr>
          <w:rFonts w:ascii="Arial" w:cs="Arial" w:eastAsia="Arial" w:hAnsi="Arial"/>
          <w:sz w:val="14"/>
          <w:szCs w:val="14"/>
          <w:color w:val="auto"/>
        </w:rPr>
        <w:t xml:space="preserv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is effective and its use has not been otherwise suspended by Pubco in accordance with the terms of </w:t>
      </w:r>
      <w:r>
        <w:rPr>
          <w:rFonts w:ascii="Arial" w:cs="Arial" w:eastAsia="Arial" w:hAnsi="Arial"/>
          <w:sz w:val="14"/>
          <w:szCs w:val="14"/>
          <w:u w:val="single" w:color="auto"/>
          <w:color w:val="auto"/>
        </w:rPr>
        <w:t>Section 2(f)</w:t>
      </w:r>
      <w:r>
        <w:rPr>
          <w:rFonts w:ascii="Arial" w:cs="Arial" w:eastAsia="Arial" w:hAnsi="Arial"/>
          <w:sz w:val="14"/>
          <w:szCs w:val="14"/>
          <w:color w:val="auto"/>
        </w:rPr>
        <w:t xml:space="preserve"> below, upon a written demand (a “</w:t>
      </w:r>
      <w:r>
        <w:rPr>
          <w:rFonts w:ascii="Arial" w:cs="Arial" w:eastAsia="Arial" w:hAnsi="Arial"/>
          <w:sz w:val="14"/>
          <w:szCs w:val="14"/>
          <w:u w:val="single" w:color="auto"/>
          <w:color w:val="auto"/>
        </w:rPr>
        <w:t>Takedown</w:t>
      </w:r>
      <w:r>
        <w:rPr>
          <w:rFonts w:ascii="Arial" w:cs="Arial" w:eastAsia="Arial" w:hAnsi="Arial"/>
          <w:sz w:val="14"/>
          <w:szCs w:val="14"/>
          <w:color w:val="auto"/>
        </w:rPr>
        <w:t xml:space="preserve"> </w:t>
      </w:r>
      <w:r>
        <w:rPr>
          <w:rFonts w:ascii="Arial" w:cs="Arial" w:eastAsia="Arial" w:hAnsi="Arial"/>
          <w:sz w:val="14"/>
          <w:szCs w:val="14"/>
          <w:u w:val="single" w:color="auto"/>
          <w:color w:val="auto"/>
        </w:rPr>
        <w:t>Demand</w:t>
      </w:r>
      <w:r>
        <w:rPr>
          <w:rFonts w:ascii="Arial" w:cs="Arial" w:eastAsia="Arial" w:hAnsi="Arial"/>
          <w:sz w:val="14"/>
          <w:szCs w:val="14"/>
          <w:color w:val="auto"/>
        </w:rPr>
        <w:t>”) by any Investor that is, in either case, a Shelf Participant holding Registrable Securities at such time (the “</w:t>
      </w:r>
      <w:r>
        <w:rPr>
          <w:rFonts w:ascii="Arial" w:cs="Arial" w:eastAsia="Arial" w:hAnsi="Arial"/>
          <w:sz w:val="14"/>
          <w:szCs w:val="14"/>
          <w:u w:val="single" w:color="auto"/>
          <w:color w:val="auto"/>
        </w:rPr>
        <w:t>Initiating Holder</w:t>
      </w:r>
      <w:r>
        <w:rPr>
          <w:rFonts w:ascii="Arial" w:cs="Arial" w:eastAsia="Arial" w:hAnsi="Arial"/>
          <w:sz w:val="14"/>
          <w:szCs w:val="14"/>
          <w:color w:val="auto"/>
        </w:rPr>
        <w:t>”), Pubco will facilitate in the manner described in this Agreement a “takedown” of Registrable Securities off of such Resale Shelf Registration (a “</w:t>
      </w:r>
      <w:r>
        <w:rPr>
          <w:rFonts w:ascii="Arial" w:cs="Arial" w:eastAsia="Arial" w:hAnsi="Arial"/>
          <w:sz w:val="14"/>
          <w:szCs w:val="14"/>
          <w:u w:val="single" w:color="auto"/>
          <w:color w:val="auto"/>
        </w:rPr>
        <w:t>take down offering</w:t>
      </w:r>
      <w:r>
        <w:rPr>
          <w:rFonts w:ascii="Arial" w:cs="Arial" w:eastAsia="Arial" w:hAnsi="Arial"/>
          <w:sz w:val="14"/>
          <w:szCs w:val="14"/>
          <w:color w:val="auto"/>
        </w:rPr>
        <w:t>”) and Pubco shall pay all Registration Expenses in connection therewith; provided that, subject to the MNPI Provisions, Pubco will provide (x) in connection with any non-marketed underwritten takedown offering (other than a Block Trade), at least two (2) Business Days’ notice of such Takedown Demand to each holder of Registrable Securities (other than the Initiating Holder) that is a Shelf Participant, (y) in connection with any Block Trade initiated prior to the three (3) year anniversary of the consummation of the Mergers, notice of such Takedown Demand to each holder of Registrable Securities (other than the Initiating Holder) that is a Shelf Participant no later than noon Eastern time on the Business Day prior to the requested Takedown Demand and (z) in connection with any marketed underwritten takedown offering, at least five (5) Business Days’ notice of such Takedown Demand to each holder of Registrable Securities (other than the Initiating Holder) that is a Shelf Participant. In connection with (x) any non-marketed underwritten takedown offering initiated prior to the three (3) year anniversary of the consummation of the Mergers and (y) any marketed underwritten takedown offering, if any Shelf Participants entitled to receive a notice pursuant to the preceding sentence request inclusion of their Registrable Securities (by notice to Pubco, which notice must be received by Pubco no later than (A) in the case of a non-marketed underwritten takedown offering (other than a Block Trade), the Business Day following the date notice is given to such participant, (B) in the case of a Block Trade, by 10:00 p.m. Eastern time on the date notice is given to such participant and (C) in the case of a marketed underwritten takedown offering, three (3) Business Days following the date notice is given to such participant), the Initiating Holder and the other Shelf Participants that request inclusion of their Registrable Securities shall be entitled to sell their Registrable Securities in such offering. Each holder of Registrable Securities that is a Shelf Participant agrees that such holder shall treat as confidential the receipt of the notice of a Takedown Demand and shall not disclose or use the information contained in such notice without the prior written consent of Pubco until such time as the information contained therein is or becomes available to the public generally, other than as a result of disclosure by the holder in breach of the terms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4" w:name="page275"/>
    <w:bookmarkEnd w:id="274"/>
    <w:p>
      <w:pPr>
        <w:jc w:val="both"/>
        <w:ind w:firstLine="1143"/>
        <w:spacing w:after="0" w:line="253" w:lineRule="auto"/>
        <w:tabs>
          <w:tab w:leader="none" w:pos="1376"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Priority on Demand Registrations and Takedown Offerings</w:t>
      </w:r>
      <w:r>
        <w:rPr>
          <w:rFonts w:ascii="Arial" w:cs="Arial" w:eastAsia="Arial" w:hAnsi="Arial"/>
          <w:sz w:val="16"/>
          <w:szCs w:val="16"/>
          <w:color w:val="auto"/>
        </w:rPr>
        <w:t>. Pubco shall not include in any Demand Registration that is an underwritten offering any securities that are not Registrable Securities without the prior written consent of the managing underwriters and the holders of a majority of the Registrable Securities then outstanding. If a Demand Registration or a takedown offering is an underwritten offering and the managing underwriters advise Pubco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holders of a majority of the Registrable Securities included in such underwritten offering, Pubco shall include in such offering, prior to the inclusion of any securities which are not Registrable Securities, the Registrable Securities requested to be included in such registration (pro rata among the holders of such Registrable Securities on the basis of the number of Registrable Securities owned by each such holder).</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70" w:val="left"/>
        </w:tabs>
        <w:numPr>
          <w:ilvl w:val="0"/>
          <w:numId w:val="275"/>
        </w:numPr>
        <w:rPr>
          <w:rFonts w:ascii="Arial" w:cs="Arial" w:eastAsia="Arial" w:hAnsi="Arial"/>
          <w:sz w:val="16"/>
          <w:szCs w:val="16"/>
          <w:color w:val="auto"/>
        </w:rPr>
      </w:pPr>
      <w:r>
        <w:rPr>
          <w:rFonts w:ascii="Arial" w:cs="Arial" w:eastAsia="Arial" w:hAnsi="Arial"/>
          <w:sz w:val="16"/>
          <w:szCs w:val="16"/>
          <w:u w:val="single" w:color="auto"/>
          <w:color w:val="auto"/>
        </w:rPr>
        <w:t>Restrictions on Demand Registrations and Takedown Offerings</w:t>
      </w:r>
      <w:r>
        <w:rPr>
          <w:rFonts w:ascii="Arial" w:cs="Arial" w:eastAsia="Arial" w:hAnsi="Arial"/>
          <w:sz w:val="16"/>
          <w:szCs w:val="16"/>
          <w:color w:val="auto"/>
        </w:rPr>
        <w:t>. Any demand for the filing of a Registration Statement or for a registered offering (including a takedown offering) hereunder will be subject to the constraints of any applicable lock-up arrangements to which any demanding Investor is party, and any such demand must be deferred until such lock-up arrangements no longer apply.</w:t>
      </w:r>
    </w:p>
    <w:p>
      <w:pPr>
        <w:spacing w:after="0" w:line="162" w:lineRule="exact"/>
        <w:rPr>
          <w:rFonts w:ascii="Arial" w:cs="Arial" w:eastAsia="Arial" w:hAnsi="Arial"/>
          <w:sz w:val="16"/>
          <w:szCs w:val="16"/>
          <w:color w:val="auto"/>
        </w:rPr>
      </w:pPr>
    </w:p>
    <w:p>
      <w:pPr>
        <w:jc w:val="both"/>
        <w:ind w:left="560" w:firstLine="1156"/>
        <w:spacing w:after="0" w:line="269" w:lineRule="auto"/>
        <w:tabs>
          <w:tab w:leader="none" w:pos="1915" w:val="left"/>
        </w:tabs>
        <w:numPr>
          <w:ilvl w:val="1"/>
          <w:numId w:val="275"/>
        </w:numPr>
        <w:rPr>
          <w:rFonts w:ascii="Arial" w:cs="Arial" w:eastAsia="Arial" w:hAnsi="Arial"/>
          <w:sz w:val="15"/>
          <w:szCs w:val="15"/>
          <w:color w:val="auto"/>
        </w:rPr>
      </w:pPr>
      <w:r>
        <w:rPr>
          <w:rFonts w:ascii="Arial" w:cs="Arial" w:eastAsia="Arial" w:hAnsi="Arial"/>
          <w:sz w:val="15"/>
          <w:szCs w:val="15"/>
          <w:color w:val="auto"/>
        </w:rPr>
        <w:t xml:space="preserve">Pubco shall not be obligated to effect any Demand Registration within 60 days prior to Pubco’s good faith estimate of the date of filing of a Registration Statement in respect of an underwritten public offering of Pubco’s securities and for such a period of time after such a filing as the managing underwriters request, provided that such period shall not exceed 120 days from the date of the underwriting agreement entered into in respect of such underwritten public offering. Pubco may postpone, for up to 60 days from the date of the request, the filing or the effectiveness of a Registration Statement for a Demand Registration or suspend the use of a prospectus that is part of any Resale Shelf Registration Statement (and therefore suspend sales of the Registrable Securities included therein pursuant to such Resale Shelf Registration Statement) by providing written notice to the holders of Registrable Securities in accordance with </w:t>
      </w:r>
      <w:r>
        <w:rPr>
          <w:rFonts w:ascii="Arial" w:cs="Arial" w:eastAsia="Arial" w:hAnsi="Arial"/>
          <w:sz w:val="15"/>
          <w:szCs w:val="15"/>
          <w:u w:val="single" w:color="auto"/>
          <w:color w:val="auto"/>
        </w:rPr>
        <w:t>Section 2(f)(ii)</w:t>
      </w:r>
      <w:r>
        <w:rPr>
          <w:rFonts w:ascii="Arial" w:cs="Arial" w:eastAsia="Arial" w:hAnsi="Arial"/>
          <w:sz w:val="15"/>
          <w:szCs w:val="15"/>
          <w:color w:val="auto"/>
        </w:rPr>
        <w:t xml:space="preserve"> if the board of directors of Pubco reasonably determines in good faith that the offer or sale of Registrable Securities would be expected to have a detrimental effect on any proposal or plan by Pubco or any subsidiary thereof to engage in any material acquisition or disposition of assets or stock (other than in the ordinary course of business) or any material merger, consolidation, tender offer, recapitalization, reorganization or similar transaction or would require Pubco to disclose any material nonpublic information which would reasonably be likely to be detrimental to Pubco and its subsidiaries; provided that in such event, the holders of Registrable Securities initially requesting such Demand Registration or Takedown Demand shall be entitled to withdraw such request. Pubco may delay or suspend the effectiveness of a Registration Statement filed hereunder or takedown offering pursuant to this </w:t>
      </w:r>
      <w:r>
        <w:rPr>
          <w:rFonts w:ascii="Arial" w:cs="Arial" w:eastAsia="Arial" w:hAnsi="Arial"/>
          <w:sz w:val="15"/>
          <w:szCs w:val="15"/>
          <w:u w:val="single" w:color="auto"/>
          <w:color w:val="auto"/>
        </w:rPr>
        <w:t>Section 2(f)(i)</w:t>
      </w:r>
      <w:r>
        <w:rPr>
          <w:rFonts w:ascii="Arial" w:cs="Arial" w:eastAsia="Arial" w:hAnsi="Arial"/>
          <w:sz w:val="15"/>
          <w:szCs w:val="15"/>
          <w:color w:val="auto"/>
        </w:rPr>
        <w:t xml:space="preserve"> twice in any consecutive twelve-month period; provided that, for the avoidance of doubt, Pubco may in any event delay or suspend the effectiveness of Demand Registration or takedown offering in the case of an event described under </w:t>
      </w:r>
      <w:r>
        <w:rPr>
          <w:rFonts w:ascii="Arial" w:cs="Arial" w:eastAsia="Arial" w:hAnsi="Arial"/>
          <w:sz w:val="15"/>
          <w:szCs w:val="15"/>
          <w:u w:val="single" w:color="auto"/>
          <w:color w:val="auto"/>
        </w:rPr>
        <w:t>Section 5(g)</w:t>
      </w:r>
      <w:r>
        <w:rPr>
          <w:rFonts w:ascii="Arial" w:cs="Arial" w:eastAsia="Arial" w:hAnsi="Arial"/>
          <w:sz w:val="15"/>
          <w:szCs w:val="15"/>
          <w:color w:val="auto"/>
        </w:rPr>
        <w:t xml:space="preserve"> to enable it to comply with its obligations set forth in </w:t>
      </w:r>
      <w:r>
        <w:rPr>
          <w:rFonts w:ascii="Arial" w:cs="Arial" w:eastAsia="Arial" w:hAnsi="Arial"/>
          <w:sz w:val="15"/>
          <w:szCs w:val="15"/>
          <w:u w:val="single" w:color="auto"/>
          <w:color w:val="auto"/>
        </w:rPr>
        <w:t>Section 5(f)</w:t>
      </w:r>
      <w:r>
        <w:rPr>
          <w:rFonts w:ascii="Arial" w:cs="Arial" w:eastAsia="Arial" w:hAnsi="Arial"/>
          <w:sz w:val="15"/>
          <w:szCs w:val="15"/>
          <w:color w:val="auto"/>
        </w:rPr>
        <w: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5" w:name="page276"/>
    <w:bookmarkEnd w:id="275"/>
    <w:p>
      <w:pPr>
        <w:jc w:val="both"/>
        <w:ind w:left="560" w:firstLine="1156"/>
        <w:spacing w:after="0" w:line="289" w:lineRule="auto"/>
        <w:tabs>
          <w:tab w:leader="none" w:pos="1945" w:val="left"/>
        </w:tabs>
        <w:numPr>
          <w:ilvl w:val="1"/>
          <w:numId w:val="276"/>
        </w:numPr>
        <w:rPr>
          <w:rFonts w:ascii="Arial" w:cs="Arial" w:eastAsia="Arial" w:hAnsi="Arial"/>
          <w:sz w:val="14"/>
          <w:szCs w:val="14"/>
          <w:color w:val="auto"/>
        </w:rPr>
      </w:pPr>
      <w:r>
        <w:rPr>
          <w:rFonts w:ascii="Arial" w:cs="Arial" w:eastAsia="Arial" w:hAnsi="Arial"/>
          <w:sz w:val="14"/>
          <w:szCs w:val="14"/>
          <w:color w:val="auto"/>
        </w:rPr>
        <w:t xml:space="preserve">In the case of an event that causes Pubco to suspend the use of any Resale Shelf Registration as set forth in </w:t>
      </w:r>
      <w:r>
        <w:rPr>
          <w:rFonts w:ascii="Arial" w:cs="Arial" w:eastAsia="Arial" w:hAnsi="Arial"/>
          <w:sz w:val="14"/>
          <w:szCs w:val="14"/>
          <w:u w:val="single" w:color="auto"/>
          <w:color w:val="auto"/>
        </w:rPr>
        <w:t>Section 2(f)(i)</w:t>
      </w:r>
      <w:r>
        <w:rPr>
          <w:rFonts w:ascii="Arial" w:cs="Arial" w:eastAsia="Arial" w:hAnsi="Arial"/>
          <w:sz w:val="14"/>
          <w:szCs w:val="14"/>
          <w:color w:val="auto"/>
        </w:rPr>
        <w:t xml:space="preserve"> or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5(g)</w:t>
      </w:r>
      <w:r>
        <w:rPr>
          <w:rFonts w:ascii="Arial" w:cs="Arial" w:eastAsia="Arial" w:hAnsi="Arial"/>
          <w:sz w:val="14"/>
          <w:szCs w:val="14"/>
          <w:color w:val="auto"/>
        </w:rPr>
        <w:t xml:space="preserve"> (a “</w:t>
      </w:r>
      <w:r>
        <w:rPr>
          <w:rFonts w:ascii="Arial" w:cs="Arial" w:eastAsia="Arial" w:hAnsi="Arial"/>
          <w:sz w:val="14"/>
          <w:szCs w:val="14"/>
          <w:u w:val="single" w:color="auto"/>
          <w:color w:val="auto"/>
        </w:rPr>
        <w:t>Suspension Event</w:t>
      </w:r>
      <w:r>
        <w:rPr>
          <w:rFonts w:ascii="Arial" w:cs="Arial" w:eastAsia="Arial" w:hAnsi="Arial"/>
          <w:sz w:val="14"/>
          <w:szCs w:val="14"/>
          <w:color w:val="auto"/>
        </w:rPr>
        <w:t>”), Pubco shall give a notice to the holders of Registrable Securities registered pursuant to such Shelf Registration (a “</w:t>
      </w:r>
      <w:r>
        <w:rPr>
          <w:rFonts w:ascii="Arial" w:cs="Arial" w:eastAsia="Arial" w:hAnsi="Arial"/>
          <w:sz w:val="14"/>
          <w:szCs w:val="14"/>
          <w:u w:val="single" w:color="auto"/>
          <w:color w:val="auto"/>
        </w:rPr>
        <w:t>Suspension Notice</w:t>
      </w:r>
      <w:r>
        <w:rPr>
          <w:rFonts w:ascii="Arial" w:cs="Arial" w:eastAsia="Arial" w:hAnsi="Arial"/>
          <w:sz w:val="14"/>
          <w:szCs w:val="14"/>
          <w:color w:val="auto"/>
        </w:rPr>
        <w:t>”), no later than three (3) Business Days from the date of such Suspension Event, to suspend sales of the Registrable Securities and, subject to the MNPI Provisions, such notice shall state that such suspension shall continue only for so long as the Suspension Event or its effect is continuing (provided that in each notice Pubco shall not disclose the basis for such suspension or any material non-public information to any Investor unless otherwise requested in writing by such Investor). Pubco shall use commercially reasonable efforts to make the Resale Shelf Registration Statement available for the sale by Investors of Registrable Securities as soon as practicable following a Suspension Event. A holder of Registrable Securities shall not effect any sales of the Registrable Securities pursuant to such Resale Shelf Registration (or such filings) at any time after it has received a Suspension Notice from Pubco and prior to receipt of an End of Suspension Notice (as defined below); provided, for the avoidance of doubt, that the foregoing shall not restrict or otherwise affect the consummation of any sale pursuant to a contract entered into, or order placed, by any holder prior to the delivery the Suspension Notice. Each holder of Registrable Securities agrees that such holder shall treat as confidential the receipt of the Suspension Notice and shall not disclose the information contained in such Suspension Notice without the prior written consent of Pubco until such time as the information contained therein is or becomes available to the public generally, other than as a result of disclosure by such holder in breach of the terms of this Agreement. The holders of Registrable Securities may recommence effecting sales of the Registrable Securities pursuant to the Resale Shelf Registration (or such filings) following further written notice to such effect (an “</w:t>
      </w:r>
      <w:r>
        <w:rPr>
          <w:rFonts w:ascii="Arial" w:cs="Arial" w:eastAsia="Arial" w:hAnsi="Arial"/>
          <w:sz w:val="14"/>
          <w:szCs w:val="14"/>
          <w:u w:val="single" w:color="auto"/>
          <w:color w:val="auto"/>
        </w:rPr>
        <w:t>End of Suspension Notice</w:t>
      </w:r>
      <w:r>
        <w:rPr>
          <w:rFonts w:ascii="Arial" w:cs="Arial" w:eastAsia="Arial" w:hAnsi="Arial"/>
          <w:sz w:val="14"/>
          <w:szCs w:val="14"/>
          <w:color w:val="auto"/>
        </w:rPr>
        <w:t>”) from Pubco, which End of Suspension Notice shall be given by Pubco to the holders of Registrable Securities and to such holders’ counsel, if any, promptly following the conclusion of any Suspension Event.</w:t>
      </w:r>
    </w:p>
    <w:p>
      <w:pPr>
        <w:spacing w:after="0" w:line="151" w:lineRule="exact"/>
        <w:rPr>
          <w:rFonts w:ascii="Arial" w:cs="Arial" w:eastAsia="Arial" w:hAnsi="Arial"/>
          <w:sz w:val="14"/>
          <w:szCs w:val="14"/>
          <w:color w:val="auto"/>
        </w:rPr>
      </w:pPr>
    </w:p>
    <w:p>
      <w:pPr>
        <w:jc w:val="both"/>
        <w:ind w:left="560" w:firstLine="1156"/>
        <w:spacing w:after="0" w:line="254" w:lineRule="auto"/>
        <w:tabs>
          <w:tab w:leader="none" w:pos="2003"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Notwithstanding any provision herein to the contrary, if Pubco shall give a Suspension Notice with respect to any Resale Shelf Registration pursuant to this </w:t>
      </w:r>
      <w:r>
        <w:rPr>
          <w:rFonts w:ascii="Arial" w:cs="Arial" w:eastAsia="Arial" w:hAnsi="Arial"/>
          <w:sz w:val="16"/>
          <w:szCs w:val="16"/>
          <w:u w:val="single" w:color="auto"/>
          <w:color w:val="auto"/>
        </w:rPr>
        <w:t>Section 2(f)</w:t>
      </w:r>
      <w:r>
        <w:rPr>
          <w:rFonts w:ascii="Arial" w:cs="Arial" w:eastAsia="Arial" w:hAnsi="Arial"/>
          <w:sz w:val="16"/>
          <w:szCs w:val="16"/>
          <w:color w:val="auto"/>
        </w:rPr>
        <w:t>, Pubco agrees that it shall extend the period of time during which such Resale Shelf Registration shall be maintained effective pursuant to this Agreement by the number of days during the period from the date of receipt by the holders of the Suspension Notice to and including the date of receipt by the holders of the End of Suspension Notice and provide copies of the supplemented or amended prospectus necessary to resume sales, with respect to each Suspension Event; provided that such period of time shall not be extended beyond the date that Common Stock covered by such Resale Shelf Registration are no longer Registrable Securities.</w:t>
      </w:r>
    </w:p>
    <w:p>
      <w:pPr>
        <w:spacing w:after="0" w:line="170" w:lineRule="exact"/>
        <w:rPr>
          <w:rFonts w:ascii="Arial" w:cs="Arial" w:eastAsia="Arial" w:hAnsi="Arial"/>
          <w:sz w:val="16"/>
          <w:szCs w:val="16"/>
          <w:color w:val="auto"/>
        </w:rPr>
      </w:pPr>
    </w:p>
    <w:p>
      <w:pPr>
        <w:jc w:val="both"/>
        <w:ind w:firstLine="1143"/>
        <w:spacing w:after="0" w:line="295" w:lineRule="auto"/>
        <w:tabs>
          <w:tab w:leader="none" w:pos="1385"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t>Selection of Underwriters</w:t>
      </w:r>
      <w:r>
        <w:rPr>
          <w:rFonts w:ascii="Arial" w:cs="Arial" w:eastAsia="Arial" w:hAnsi="Arial"/>
          <w:sz w:val="14"/>
          <w:szCs w:val="14"/>
          <w:color w:val="auto"/>
        </w:rPr>
        <w:t>. In connection with any Demand Registration, the Applicable Approving Party shall have the right to select the investment banker(s) and manager(s) to administer the offering; provided that such selection shall be subject to the written consent of Pubco, which consent will not be unreasonably withheld, conditioned or delayed. If any takedown offering is an underwritten offering, the Applicable Approving Party shall have the right to select the investment banker(s) and manager(s) to administer such takedown offering, provided that such selection shall be subject to the written consent of Pubco, which consent will not be unreasonably withheld, conditioned or delayed. In each case, Pubco and the Applicable Approving Party shall have the right to approve the underwriting arrangements with such investment banker(s) and manager(s) on behalf of all holders of Registrable Securities participating in such offering. All Investors proposing to distribute their securities through underwriting shall (together with Pubco) enter into an underwriting agreement in customary form with the underwriter or underwriters selected for such underwriting.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6" w:name="page277"/>
    <w:bookmarkEnd w:id="276"/>
    <w:p>
      <w:pPr>
        <w:jc w:val="both"/>
        <w:ind w:right="20" w:firstLine="1143"/>
        <w:spacing w:after="0" w:line="258" w:lineRule="auto"/>
        <w:tabs>
          <w:tab w:leader="none" w:pos="1373"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Pubco represents and warrants to each holder of Registrable Securities that the registration rights granted in this Agreement do not conflict with any other registration rights granted by Pubco. Except as provided in this Agreement, Pubco shall not grant to any Persons the right to request Pubco to register any equity securities of Pubco, or any securities, options or rights convertible or exchangeable into or exercisable for such securities, without the prior written consent of the holders of a majority of the Registrable Securities then outstanding.</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37" w:val="left"/>
        </w:tabs>
        <w:numPr>
          <w:ilvl w:val="1"/>
          <w:numId w:val="278"/>
        </w:numPr>
        <w:rPr>
          <w:rFonts w:ascii="Arial" w:cs="Arial" w:eastAsia="Arial" w:hAnsi="Arial"/>
          <w:sz w:val="15"/>
          <w:szCs w:val="15"/>
          <w:color w:val="auto"/>
        </w:rPr>
      </w:pPr>
      <w:r>
        <w:rPr>
          <w:rFonts w:ascii="Arial" w:cs="Arial" w:eastAsia="Arial" w:hAnsi="Arial"/>
          <w:sz w:val="15"/>
          <w:szCs w:val="15"/>
          <w:u w:val="single" w:color="auto"/>
          <w:color w:val="auto"/>
        </w:rPr>
        <w:t>Revocation of Demand Notice or Takedown Notice</w:t>
      </w:r>
      <w:r>
        <w:rPr>
          <w:rFonts w:ascii="Arial" w:cs="Arial" w:eastAsia="Arial" w:hAnsi="Arial"/>
          <w:sz w:val="15"/>
          <w:szCs w:val="15"/>
          <w:color w:val="auto"/>
        </w:rPr>
        <w:t>. At any time prior to the effective date of the Registration Statement relating to a Demand Registration or the “pricing” of any offering relating to a Takedown Demand, the holders of Registrable Securities that requested such Demand Registration or takedown offering may revoke such request for a Demand Registration or takedown offering on behalf of all holders of Registrable Securities participating in such Demand Registration or takedown offering without liability to such holders of Registrable Securities, in each case by providing written notice to Pubco.</w:t>
      </w:r>
    </w:p>
    <w:p>
      <w:pPr>
        <w:spacing w:after="0" w:line="151" w:lineRule="exact"/>
        <w:rPr>
          <w:rFonts w:ascii="Arial" w:cs="Arial" w:eastAsia="Arial" w:hAnsi="Arial"/>
          <w:sz w:val="15"/>
          <w:szCs w:val="15"/>
          <w:color w:val="auto"/>
        </w:rPr>
      </w:pPr>
    </w:p>
    <w:p>
      <w:pPr>
        <w:ind w:left="720" w:hanging="151"/>
        <w:spacing w:after="0"/>
        <w:tabs>
          <w:tab w:leader="none" w:pos="720" w:val="left"/>
        </w:tabs>
        <w:numPr>
          <w:ilvl w:val="0"/>
          <w:numId w:val="279"/>
        </w:numPr>
        <w:rPr>
          <w:rFonts w:ascii="Arial" w:cs="Arial" w:eastAsia="Arial" w:hAnsi="Arial"/>
          <w:sz w:val="16"/>
          <w:szCs w:val="16"/>
          <w:color w:val="auto"/>
        </w:rPr>
      </w:pPr>
      <w:r>
        <w:rPr>
          <w:rFonts w:ascii="Arial" w:cs="Arial" w:eastAsia="Arial" w:hAnsi="Arial"/>
          <w:sz w:val="16"/>
          <w:szCs w:val="16"/>
          <w:u w:val="single" w:color="auto"/>
          <w:color w:val="auto"/>
        </w:rPr>
        <w:t>Piggyback Registrations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0" w:lineRule="auto"/>
        <w:tabs>
          <w:tab w:leader="none" w:pos="1364" w:val="left"/>
        </w:tabs>
        <w:numPr>
          <w:ilvl w:val="1"/>
          <w:numId w:val="279"/>
        </w:numPr>
        <w:rPr>
          <w:rFonts w:ascii="Arial" w:cs="Arial" w:eastAsia="Arial" w:hAnsi="Arial"/>
          <w:sz w:val="15"/>
          <w:szCs w:val="15"/>
          <w:color w:val="auto"/>
        </w:rPr>
      </w:pPr>
      <w:r>
        <w:rPr>
          <w:rFonts w:ascii="Arial" w:cs="Arial" w:eastAsia="Arial" w:hAnsi="Arial"/>
          <w:sz w:val="15"/>
          <w:szCs w:val="15"/>
          <w:u w:val="single" w:color="auto"/>
          <w:color w:val="auto"/>
        </w:rPr>
        <w:t>Right to Piggyback</w:t>
      </w:r>
      <w:r>
        <w:rPr>
          <w:rFonts w:ascii="Arial" w:cs="Arial" w:eastAsia="Arial" w:hAnsi="Arial"/>
          <w:sz w:val="15"/>
          <w:szCs w:val="15"/>
          <w:color w:val="auto"/>
        </w:rPr>
        <w:t xml:space="preserve">. Whenever Pubco proposes to register under the Securities Act an offering of any of its securities on behalf of any holders thereof or otherwise effect an underwritten offering of securities (other than (i) pursuant to the Resale Shelf Registration Statement, (ii) pursuant to a Demand Registration (which, for the avoidance of doubt, is addressed in and subject to the rights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(iii) pursuant to a Takedown Demand (which, for the avoidance of doubt, is addressed in and subject to the rights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 (iv) in connection with registrations on Form S-4 or S-8 promulgated by the Commission or any successor forms, (v) pursuant to a registration relating solely to employment benefit plans, or (vi) in connection with a registration the primary purpose of which is to register debt securities) and the registration form to be used may be used for the registration of Registrable Securities (a “</w:t>
      </w:r>
      <w:r>
        <w:rPr>
          <w:rFonts w:ascii="Arial" w:cs="Arial" w:eastAsia="Arial" w:hAnsi="Arial"/>
          <w:sz w:val="15"/>
          <w:szCs w:val="15"/>
          <w:u w:val="single" w:color="auto"/>
          <w:color w:val="auto"/>
        </w:rPr>
        <w:t>Piggyback Registration</w:t>
      </w:r>
      <w:r>
        <w:rPr>
          <w:rFonts w:ascii="Arial" w:cs="Arial" w:eastAsia="Arial" w:hAnsi="Arial"/>
          <w:sz w:val="15"/>
          <w:szCs w:val="15"/>
          <w:color w:val="auto"/>
        </w:rPr>
        <w:t xml:space="preserve">”), Pubco shall give prompt written notice to all holders of Registrable Securities of its intention to effect such a Piggyback Registration and, subject to the terms of </w:t>
      </w:r>
      <w:r>
        <w:rPr>
          <w:rFonts w:ascii="Arial" w:cs="Arial" w:eastAsia="Arial" w:hAnsi="Arial"/>
          <w:sz w:val="15"/>
          <w:szCs w:val="15"/>
          <w:u w:val="single" w:color="auto"/>
          <w:color w:val="auto"/>
        </w:rPr>
        <w:t>Sections 3(c)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3(d)</w:t>
      </w:r>
      <w:r>
        <w:rPr>
          <w:rFonts w:ascii="Arial" w:cs="Arial" w:eastAsia="Arial" w:hAnsi="Arial"/>
          <w:sz w:val="15"/>
          <w:szCs w:val="15"/>
          <w:color w:val="auto"/>
        </w:rPr>
        <w:t xml:space="preserve"> hereof, shall include in such Piggyback Registration (and in all related registrations or qualifications under blue sky laws or in compliance with other registration requirements and in any related underwriting) all Registrable Securities with respect to which Pubco has received written requests for inclusion therein within ten (10) Business Days after the delivery of Pubco’s notice; provided that any such other holder may withdraw its request for inclusion at any time prior to executing the underwriting agreement or, if none, prior to the applicable Registration Statement becoming effective (if applicable).</w:t>
      </w:r>
    </w:p>
    <w:p>
      <w:pPr>
        <w:spacing w:after="0" w:line="159" w:lineRule="exact"/>
        <w:rPr>
          <w:rFonts w:ascii="Arial" w:cs="Arial" w:eastAsia="Arial" w:hAnsi="Arial"/>
          <w:sz w:val="15"/>
          <w:szCs w:val="15"/>
          <w:color w:val="auto"/>
        </w:rPr>
      </w:pPr>
    </w:p>
    <w:p>
      <w:pPr>
        <w:ind w:firstLine="1143"/>
        <w:spacing w:after="0" w:line="275" w:lineRule="auto"/>
        <w:tabs>
          <w:tab w:leader="none" w:pos="1373"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Piggyback Expenses</w:t>
      </w:r>
      <w:r>
        <w:rPr>
          <w:rFonts w:ascii="Arial" w:cs="Arial" w:eastAsia="Arial" w:hAnsi="Arial"/>
          <w:sz w:val="16"/>
          <w:szCs w:val="16"/>
          <w:color w:val="auto"/>
        </w:rPr>
        <w:t>. The Registration Expenses of the holders of Registrable Securities shall be paid by Pubco in all Piggyback Registrations, whether or not any such registration became effective.</w:t>
      </w:r>
    </w:p>
    <w:p>
      <w:pPr>
        <w:spacing w:after="0" w:line="151" w:lineRule="exact"/>
        <w:rPr>
          <w:rFonts w:ascii="Arial" w:cs="Arial" w:eastAsia="Arial" w:hAnsi="Arial"/>
          <w:sz w:val="16"/>
          <w:szCs w:val="16"/>
          <w:color w:val="auto"/>
        </w:rPr>
      </w:pPr>
    </w:p>
    <w:p>
      <w:pPr>
        <w:jc w:val="both"/>
        <w:ind w:firstLine="1143"/>
        <w:spacing w:after="0" w:line="253" w:lineRule="auto"/>
        <w:tabs>
          <w:tab w:leader="none" w:pos="1364"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Priority on Primary Registrations</w:t>
      </w:r>
      <w:r>
        <w:rPr>
          <w:rFonts w:ascii="Arial" w:cs="Arial" w:eastAsia="Arial" w:hAnsi="Arial"/>
          <w:sz w:val="16"/>
          <w:szCs w:val="16"/>
          <w:color w:val="auto"/>
        </w:rPr>
        <w:t>. If a Piggyback Registration is an underwritten primary registration on behalf of Pubco,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Pubco proposes to sell, (ii) 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7" w:name="page278"/>
    <w:bookmarkEnd w:id="277"/>
    <w:p>
      <w:pPr>
        <w:jc w:val="both"/>
        <w:ind w:left="4" w:firstLine="1143"/>
        <w:spacing w:after="0" w:line="289" w:lineRule="auto"/>
        <w:tabs>
          <w:tab w:leader="none" w:pos="1377" w:val="left"/>
        </w:tabs>
        <w:numPr>
          <w:ilvl w:val="2"/>
          <w:numId w:val="280"/>
        </w:numPr>
        <w:rPr>
          <w:rFonts w:ascii="Arial" w:cs="Arial" w:eastAsia="Arial" w:hAnsi="Arial"/>
          <w:sz w:val="14"/>
          <w:szCs w:val="14"/>
          <w:color w:val="auto"/>
        </w:rPr>
      </w:pPr>
      <w:r>
        <w:rPr>
          <w:rFonts w:ascii="Arial" w:cs="Arial" w:eastAsia="Arial" w:hAnsi="Arial"/>
          <w:sz w:val="14"/>
          <w:szCs w:val="14"/>
          <w:u w:val="single" w:color="auto"/>
          <w:color w:val="auto"/>
        </w:rPr>
        <w:t>Priority on Secondary Registrations</w:t>
      </w:r>
      <w:r>
        <w:rPr>
          <w:rFonts w:ascii="Arial" w:cs="Arial" w:eastAsia="Arial" w:hAnsi="Arial"/>
          <w:sz w:val="14"/>
          <w:szCs w:val="14"/>
          <w:color w:val="auto"/>
        </w:rPr>
        <w:t>. If a Piggyback Registration is an underwritten secondary registration on behalf of holders of Pubco’s securities other than holders of Registrable Securities, and the managing underwriters advise Pubco in writing that in their opinion the number of securities requested to be included in such registration exceeds the number of securities which can be sold in such offering without adversely affecting the marketability, proposed offering price, timing or method of distribution of the offering, Pubco shall include in such registration (i) first, the securities requested to be included therein by the holders initially requesting such registration,</w:t>
      </w:r>
    </w:p>
    <w:p>
      <w:pPr>
        <w:spacing w:after="0" w:line="2" w:lineRule="exact"/>
        <w:rPr>
          <w:rFonts w:ascii="Arial" w:cs="Arial" w:eastAsia="Arial" w:hAnsi="Arial"/>
          <w:sz w:val="14"/>
          <w:szCs w:val="14"/>
          <w:color w:val="auto"/>
        </w:rPr>
      </w:pPr>
    </w:p>
    <w:p>
      <w:pPr>
        <w:jc w:val="both"/>
        <w:ind w:left="4" w:right="20" w:hanging="4"/>
        <w:spacing w:after="0" w:line="279" w:lineRule="auto"/>
        <w:tabs>
          <w:tab w:leader="none" w:pos="248" w:val="left"/>
        </w:tabs>
        <w:numPr>
          <w:ilvl w:val="0"/>
          <w:numId w:val="281"/>
        </w:numPr>
        <w:rPr>
          <w:rFonts w:ascii="Arial" w:cs="Arial" w:eastAsia="Arial" w:hAnsi="Arial"/>
          <w:sz w:val="15"/>
          <w:szCs w:val="15"/>
          <w:color w:val="auto"/>
        </w:rPr>
      </w:pPr>
      <w:r>
        <w:rPr>
          <w:rFonts w:ascii="Arial" w:cs="Arial" w:eastAsia="Arial" w:hAnsi="Arial"/>
          <w:sz w:val="15"/>
          <w:szCs w:val="15"/>
          <w:color w:val="auto"/>
        </w:rPr>
        <w:t>second, the Registrable Securities requested to be included in such registration by the Investors which, in the opinion of such underwriters, can be sold, without any such adverse effect (pro rata among the holders of such Registrable Securities on the basis of the number of Registrable Securities owned by each such holder), and (iii) third, other securities requested to be included in such registration which, in the opinion of such underwriters, can be sold, without any such adverse effect.</w:t>
      </w:r>
    </w:p>
    <w:p>
      <w:pPr>
        <w:spacing w:after="0" w:line="150" w:lineRule="exact"/>
        <w:rPr>
          <w:rFonts w:ascii="Arial" w:cs="Arial" w:eastAsia="Arial" w:hAnsi="Arial"/>
          <w:sz w:val="15"/>
          <w:szCs w:val="15"/>
          <w:color w:val="auto"/>
        </w:rPr>
      </w:pPr>
    </w:p>
    <w:p>
      <w:pPr>
        <w:jc w:val="both"/>
        <w:ind w:left="4" w:firstLine="1143"/>
        <w:spacing w:after="0" w:line="297" w:lineRule="auto"/>
        <w:tabs>
          <w:tab w:leader="none" w:pos="1368" w:val="left"/>
        </w:tabs>
        <w:numPr>
          <w:ilvl w:val="2"/>
          <w:numId w:val="281"/>
        </w:numPr>
        <w:rPr>
          <w:rFonts w:ascii="Arial" w:cs="Arial" w:eastAsia="Arial" w:hAnsi="Arial"/>
          <w:sz w:val="14"/>
          <w:szCs w:val="14"/>
          <w:color w:val="auto"/>
        </w:rPr>
      </w:pPr>
      <w:r>
        <w:rPr>
          <w:rFonts w:ascii="Arial" w:cs="Arial" w:eastAsia="Arial" w:hAnsi="Arial"/>
          <w:sz w:val="14"/>
          <w:szCs w:val="14"/>
          <w:u w:val="single" w:color="auto"/>
          <w:color w:val="auto"/>
        </w:rPr>
        <w:t>Other Registrations</w:t>
      </w:r>
      <w:r>
        <w:rPr>
          <w:rFonts w:ascii="Arial" w:cs="Arial" w:eastAsia="Arial" w:hAnsi="Arial"/>
          <w:sz w:val="14"/>
          <w:szCs w:val="14"/>
          <w:color w:val="auto"/>
        </w:rPr>
        <w:t xml:space="preserve">. If Pubco has previously filed a Registration Statement with respect to Registrable Securities pursuant to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or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and if such previous registration has not been withdrawn or abandoned, then Pubco shall not be required to file or cause to be effected any other registration of any of its equity securities or securities convertible or exchangeable into or exercisable for its equity securities under the Securities Act (except on Form S-8 or any successor form or the Resale Shelf Registration Statement or a New Registration Statement) at the request of any holder or holders of such Registrable Securities until a period of at least 90 days has elapsed from the effective date of such previous registration; provided, however, that Pubco shall at all times remain obligated to file, supplement and/or amend, as applicable, each Registration Statement required to be filed pursuant to Section 1 in accordance with Sections 1(a) and 1(b), as applicable.</w:t>
      </w:r>
    </w:p>
    <w:p>
      <w:pPr>
        <w:spacing w:after="0" w:line="143" w:lineRule="exact"/>
        <w:rPr>
          <w:rFonts w:ascii="Arial" w:cs="Arial" w:eastAsia="Arial" w:hAnsi="Arial"/>
          <w:sz w:val="14"/>
          <w:szCs w:val="14"/>
          <w:color w:val="auto"/>
        </w:rPr>
      </w:pPr>
    </w:p>
    <w:p>
      <w:pPr>
        <w:jc w:val="both"/>
        <w:ind w:left="4" w:right="20" w:firstLine="1143"/>
        <w:spacing w:after="0" w:line="262" w:lineRule="auto"/>
        <w:tabs>
          <w:tab w:leader="none" w:pos="1350" w:val="left"/>
        </w:tabs>
        <w:numPr>
          <w:ilvl w:val="2"/>
          <w:numId w:val="281"/>
        </w:numPr>
        <w:rPr>
          <w:rFonts w:ascii="Arial" w:cs="Arial" w:eastAsia="Arial" w:hAnsi="Arial"/>
          <w:sz w:val="16"/>
          <w:szCs w:val="16"/>
          <w:color w:val="auto"/>
        </w:rPr>
      </w:pPr>
      <w:r>
        <w:rPr>
          <w:rFonts w:ascii="Arial" w:cs="Arial" w:eastAsia="Arial" w:hAnsi="Arial"/>
          <w:sz w:val="16"/>
          <w:szCs w:val="16"/>
          <w:u w:val="single" w:color="auto"/>
          <w:color w:val="auto"/>
        </w:rPr>
        <w:t>Right to Terminate Registration</w:t>
      </w:r>
      <w:r>
        <w:rPr>
          <w:rFonts w:ascii="Arial" w:cs="Arial" w:eastAsia="Arial" w:hAnsi="Arial"/>
          <w:sz w:val="16"/>
          <w:szCs w:val="16"/>
          <w:color w:val="auto"/>
        </w:rPr>
        <w:t xml:space="preserve">. Pubco shall have the right to terminate or withdraw any registration initiated by it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3 whether or not any holder of Registrable Securities has elected to include securities in such registration. The Registration Expenses of such withdrawn registration shall be borne by Pubco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724" w:hanging="151"/>
        <w:spacing w:after="0"/>
        <w:tabs>
          <w:tab w:leader="none" w:pos="724" w:val="left"/>
        </w:tabs>
        <w:numPr>
          <w:ilvl w:val="1"/>
          <w:numId w:val="281"/>
        </w:numPr>
        <w:rPr>
          <w:rFonts w:ascii="Arial" w:cs="Arial" w:eastAsia="Arial" w:hAnsi="Arial"/>
          <w:sz w:val="16"/>
          <w:szCs w:val="16"/>
          <w:color w:val="auto"/>
        </w:rPr>
      </w:pPr>
      <w:r>
        <w:rPr>
          <w:rFonts w:ascii="Arial" w:cs="Arial" w:eastAsia="Arial" w:hAnsi="Arial"/>
          <w:sz w:val="16"/>
          <w:szCs w:val="16"/>
          <w:u w:val="single" w:color="auto"/>
          <w:color w:val="auto"/>
        </w:rPr>
        <w:t>Agreements of Certain Holders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3"/>
        <w:spacing w:after="0" w:line="269" w:lineRule="auto"/>
        <w:tabs>
          <w:tab w:leader="none" w:pos="1373" w:val="left"/>
        </w:tabs>
        <w:numPr>
          <w:ilvl w:val="2"/>
          <w:numId w:val="282"/>
        </w:numPr>
        <w:rPr>
          <w:rFonts w:ascii="Arial" w:cs="Arial" w:eastAsia="Arial" w:hAnsi="Arial"/>
          <w:sz w:val="15"/>
          <w:szCs w:val="15"/>
          <w:color w:val="auto"/>
        </w:rPr>
      </w:pPr>
      <w:r>
        <w:rPr>
          <w:rFonts w:ascii="Arial" w:cs="Arial" w:eastAsia="Arial" w:hAnsi="Arial"/>
          <w:sz w:val="15"/>
          <w:szCs w:val="15"/>
          <w:color w:val="auto"/>
        </w:rPr>
        <w:t xml:space="preserve">If required by the managing underwriter(s), in connection with any underwritten Public Offering on or after the date hereof, any Investor that beneficially owns 1% or more of the outstanding Common Stock on the date of such underwritten Public Offering shall enter into lock-up agreements with the managing underwriter(s) of such underwritten Public Offering in such form as agreed to by such managing underwriter(s). In no event shall any Investor holding Registrable Securities that is not a director or executive officer of Pubco on the date of such underwritten Public Offering be required to enter into any such lock-up agreement (i) that contains less favorable terms than the terms offered to any other Investor, or (ii) unless such Investor has requested its Registrable Securities be included in such underwritten registration, after the first anniversary of the Closing Date (as defined in the Merger Agreement) if it owns less than 5% of the outstanding Common Stock on the date of such underwritten Public Offering. In addition, (i) in no event shall any Investor that is not a director or executive officer of Pubco on the date of such underwritten Public Offering be required to enter into lock-up agreements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on more than two (2) occasions (unless such Investor is including its Registrable Securities in an underwritten registration and such lock-up is requested by the managing underwriter(s) in connection therewith), (ii) any lock-up agreement into which any Investor enters into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4(a)</w:t>
      </w:r>
      <w:r>
        <w:rPr>
          <w:rFonts w:ascii="Arial" w:cs="Arial" w:eastAsia="Arial" w:hAnsi="Arial"/>
          <w:sz w:val="15"/>
          <w:szCs w:val="15"/>
          <w:color w:val="auto"/>
        </w:rPr>
        <w:t xml:space="preserve"> shall be for a period of not more than sixty (60) days, (iii) the obligations of the Investors to enter into lockup agreements pursuant to this Section 4(a) shall terminate on the second anniversary of the Closing Date, (iv) no Investor shall be required to enter into a lock-up agreement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within six (6) months following the expiration of a previous lock-up agreement entered into by such Investor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(v) no Investor shall be required to be subject to a lock-up agreement pursuant to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during the sixty (60) day period commencing immediately following the date that shares of Common Stock are first released from the Lock-up (as defined in the Support Agreements, respectively).</w:t>
      </w:r>
    </w:p>
    <w:p>
      <w:pPr>
        <w:spacing w:after="0" w:line="3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8" w:name="page279"/>
    <w:bookmarkEnd w:id="278"/>
    <w:p>
      <w:pPr>
        <w:jc w:val="both"/>
        <w:ind w:firstLine="1143"/>
        <w:spacing w:after="0" w:line="288" w:lineRule="auto"/>
        <w:tabs>
          <w:tab w:leader="none" w:pos="1378" w:val="left"/>
        </w:tabs>
        <w:numPr>
          <w:ilvl w:val="0"/>
          <w:numId w:val="283"/>
        </w:numPr>
        <w:rPr>
          <w:rFonts w:ascii="Arial" w:cs="Arial" w:eastAsia="Arial" w:hAnsi="Arial"/>
          <w:sz w:val="14"/>
          <w:szCs w:val="14"/>
          <w:color w:val="auto"/>
        </w:rPr>
      </w:pPr>
      <w:r>
        <w:rPr>
          <w:rFonts w:ascii="Arial" w:cs="Arial" w:eastAsia="Arial" w:hAnsi="Arial"/>
          <w:sz w:val="14"/>
          <w:szCs w:val="14"/>
          <w:color w:val="auto"/>
        </w:rPr>
        <w:t xml:space="preserve">The holders of Registrable Securities shall use commercially reasonable efforts to provide such information as may reasonably be requested by Pubco, or the managing underwriter, if any, in connection with the preparation of any Registration Statement in which the Registrable Securities of such holder are to be included, including amendments and supplements thereto, in order to effect the Registration Statement, including amendments and supplements thereto, in order to effect the Registration of any Registrable Securities under the Securities Act pursuant to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Notwithstanding anything else in this Agreement, Pubco shall not be obligated to include such holder’s Registrable Securities to the extent Pubco has not received such information, and received any other reasonably requested selling stockholder questionnaires, on or</w:t>
      </w:r>
    </w:p>
    <w:p>
      <w:pPr>
        <w:spacing w:after="0" w:line="3" w:lineRule="exact"/>
        <w:rPr>
          <w:sz w:val="20"/>
          <w:szCs w:val="20"/>
          <w:color w:val="auto"/>
        </w:rPr>
      </w:pPr>
    </w:p>
    <w:p>
      <w:pPr>
        <w:spacing w:after="0" w:line="207" w:lineRule="auto"/>
        <w:rPr>
          <w:sz w:val="20"/>
          <w:szCs w:val="20"/>
          <w:color w:val="auto"/>
        </w:rPr>
      </w:pPr>
      <w:r>
        <w:rPr>
          <w:rFonts w:ascii="Arial" w:cs="Arial" w:eastAsia="Arial" w:hAnsi="Arial"/>
          <w:sz w:val="16"/>
          <w:szCs w:val="16"/>
          <w:color w:val="auto"/>
        </w:rPr>
        <w:t>prior to the later of (i) the tenth (10</w:t>
      </w:r>
      <w:r>
        <w:rPr>
          <w:rFonts w:ascii="Arial" w:cs="Arial" w:eastAsia="Arial" w:hAnsi="Arial"/>
          <w:sz w:val="26"/>
          <w:szCs w:val="26"/>
          <w:color w:val="auto"/>
          <w:vertAlign w:val="superscript"/>
        </w:rPr>
        <w:t>th</w:t>
      </w:r>
      <w:r>
        <w:rPr>
          <w:rFonts w:ascii="Arial" w:cs="Arial" w:eastAsia="Arial" w:hAnsi="Arial"/>
          <w:sz w:val="16"/>
          <w:szCs w:val="16"/>
          <w:color w:val="auto"/>
        </w:rPr>
        <w:t>) Business Day following the date on which such information is requested from such holder and (ii)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prior to the first anticipated filing date of a Registration Statement pursuant to this Agreement.</w:t>
      </w:r>
    </w:p>
    <w:p>
      <w:pPr>
        <w:spacing w:after="0" w:line="180" w:lineRule="exact"/>
        <w:rPr>
          <w:sz w:val="20"/>
          <w:szCs w:val="20"/>
          <w:color w:val="auto"/>
        </w:rPr>
      </w:pPr>
    </w:p>
    <w:p>
      <w:pPr>
        <w:jc w:val="both"/>
        <w:ind w:firstLine="569"/>
        <w:spacing w:after="0" w:line="258" w:lineRule="auto"/>
        <w:tabs>
          <w:tab w:leader="none" w:pos="757"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In connection with the Registration to be effected pursuant to the Resale Shelf Registration Statement, and whenever the holders of Registrable Securities have requested that any Registrable Securities be registered pursuant to this Agreement or have initiated a takedown offering, Pubco shall use its reasonable best efforts to effect the registration and the sale of such Registrable Securities in accordance with the intended method of disposition thereof, and pursuant thereto Pubco shall as expeditiously as reasonably possible:</w:t>
      </w:r>
    </w:p>
    <w:p>
      <w:pPr>
        <w:spacing w:after="0" w:line="164" w:lineRule="exact"/>
        <w:rPr>
          <w:rFonts w:ascii="Arial" w:cs="Arial" w:eastAsia="Arial" w:hAnsi="Arial"/>
          <w:sz w:val="16"/>
          <w:szCs w:val="16"/>
          <w:color w:val="auto"/>
        </w:rPr>
      </w:pPr>
    </w:p>
    <w:p>
      <w:pPr>
        <w:jc w:val="both"/>
        <w:ind w:right="20" w:firstLine="1143"/>
        <w:spacing w:after="0" w:line="254" w:lineRule="auto"/>
        <w:tabs>
          <w:tab w:leader="none" w:pos="136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prepare in accordance with the Securities Act and all applicable rules and regulations promulgated thereunder and file with the Commission a Registration Statement, and all amendments and supplements thereto and related prospectuses as may be necessary to comply with applicable securities laws, with respect to such Registrable Securities and use its reasonable best efforts to cause such Registration Statement to become effective (provided that at least two (2) Business Days before filing a Registration Statement or prospectus or any amendments or supplements thereto, Pubco shall furnish to counsel selected by the Applicable Approving Party copies of all such documents proposed to be filed, which documents shall be subject to the review and comment of such counsel, and no such document shall be filed with the Commission to which any Investor or its counsel reasonably objects);</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8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notify each holder of Registrable Securities of (A) the issuance by the Commission of any stop order suspending the effectiveness of any Registration Statement or the initiation of any proceedings for that purpose, (B) the receipt by Pubco or its counsel of any notification with respect to the suspension of the qualification of the Registrable Securities for sale in any jurisdiction or the initiation or threatening of any proceeding for such purpose, and (C) the effectiveness of each Registration Statement filed hereunder;</w:t>
      </w:r>
    </w:p>
    <w:p>
      <w:pPr>
        <w:spacing w:after="0" w:line="164" w:lineRule="exact"/>
        <w:rPr>
          <w:rFonts w:ascii="Arial" w:cs="Arial" w:eastAsia="Arial" w:hAnsi="Arial"/>
          <w:sz w:val="16"/>
          <w:szCs w:val="16"/>
          <w:color w:val="auto"/>
        </w:rPr>
      </w:pPr>
    </w:p>
    <w:p>
      <w:pPr>
        <w:jc w:val="both"/>
        <w:ind w:right="20" w:firstLine="1143"/>
        <w:spacing w:after="0" w:line="272" w:lineRule="auto"/>
        <w:tabs>
          <w:tab w:leader="none" w:pos="1369" w:val="left"/>
        </w:tabs>
        <w:numPr>
          <w:ilvl w:val="1"/>
          <w:numId w:val="284"/>
        </w:numPr>
        <w:rPr>
          <w:rFonts w:ascii="Arial" w:cs="Arial" w:eastAsia="Arial" w:hAnsi="Arial"/>
          <w:sz w:val="15"/>
          <w:szCs w:val="15"/>
          <w:color w:val="auto"/>
        </w:rPr>
      </w:pPr>
      <w:r>
        <w:rPr>
          <w:rFonts w:ascii="Arial" w:cs="Arial" w:eastAsia="Arial" w:hAnsi="Arial"/>
          <w:sz w:val="15"/>
          <w:szCs w:val="15"/>
          <w:color w:val="auto"/>
        </w:rPr>
        <w:t>prepare and file with the Commission such amendments and supplements to such Registration Statement and the prospectus used in connection therewith as may be necessary to keep such Registration Statement and the prospectus used in connection therewith current, effective and available for the resale of all of the Registrable Securities required to be covered thereby for a period ending when all of the securities covered by such Registration Statement have been disposed of in accordance with the intended methods of distribution by the sellers thereof set forth in such Registration Statement (but not in any event before the expiration of any longer period required under the Securities Act or, if such Registration Statement relates to an underwritten Public Offering, such longer period as in the opinion of counsel for the underwriters a prospectus is required by law to be delivered in connection with sale of Registrable Securities by an underwriter or dealer)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9" w:name="page280"/>
    <w:bookmarkEnd w:id="279"/>
    <w:p>
      <w:pPr>
        <w:jc w:val="both"/>
        <w:ind w:left="4" w:firstLine="1143"/>
        <w:spacing w:after="0" w:line="262" w:lineRule="auto"/>
        <w:tabs>
          <w:tab w:leader="none" w:pos="137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furnish to each seller of Registrable Securities thereunder such number of copies of such Registration Statement, each amendment and supplement thereto, the prospectus included in such Registration Statement (including each preliminary prospectus), each Free-Writing Prospectus and such other documents as such seller may reasonably request in order to facilitate the disposition of the Registrable Securities owned by such seller;</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83" w:val="left"/>
        </w:tabs>
        <w:numPr>
          <w:ilvl w:val="1"/>
          <w:numId w:val="285"/>
        </w:numPr>
        <w:rPr>
          <w:rFonts w:ascii="Arial" w:cs="Arial" w:eastAsia="Arial" w:hAnsi="Arial"/>
          <w:sz w:val="16"/>
          <w:szCs w:val="16"/>
          <w:color w:val="auto"/>
        </w:rPr>
      </w:pPr>
      <w:r>
        <w:rPr>
          <w:rFonts w:ascii="Arial" w:cs="Arial" w:eastAsia="Arial" w:hAnsi="Arial"/>
          <w:sz w:val="16"/>
          <w:szCs w:val="16"/>
          <w:color w:val="auto"/>
        </w:rPr>
        <w:t>during any period in which a prospectus is required to be delivered under the Securities Act, promptly file all documents required to be filed with the Commission, including pursuant to Sections 13(a), 13(c), 14 or 15(d) of the Securities Act;</w:t>
      </w:r>
    </w:p>
    <w:p>
      <w:pPr>
        <w:spacing w:after="0" w:line="151" w:lineRule="exact"/>
        <w:rPr>
          <w:rFonts w:ascii="Arial" w:cs="Arial" w:eastAsia="Arial" w:hAnsi="Arial"/>
          <w:sz w:val="16"/>
          <w:szCs w:val="16"/>
          <w:color w:val="auto"/>
        </w:rPr>
      </w:pPr>
    </w:p>
    <w:p>
      <w:pPr>
        <w:jc w:val="both"/>
        <w:ind w:left="4" w:firstLine="1143"/>
        <w:spacing w:after="0" w:line="289" w:lineRule="auto"/>
        <w:tabs>
          <w:tab w:leader="none" w:pos="1353" w:val="left"/>
        </w:tabs>
        <w:numPr>
          <w:ilvl w:val="1"/>
          <w:numId w:val="285"/>
        </w:numPr>
        <w:rPr>
          <w:rFonts w:ascii="Arial" w:cs="Arial" w:eastAsia="Arial" w:hAnsi="Arial"/>
          <w:sz w:val="14"/>
          <w:szCs w:val="14"/>
          <w:color w:val="auto"/>
        </w:rPr>
      </w:pPr>
      <w:r>
        <w:rPr>
          <w:rFonts w:ascii="Arial" w:cs="Arial" w:eastAsia="Arial" w:hAnsi="Arial"/>
          <w:sz w:val="14"/>
          <w:szCs w:val="14"/>
          <w:color w:val="auto"/>
        </w:rPr>
        <w:t xml:space="preserve">use its reasonable best efforts to register or qualify such Registrable Securities under such other securities or blue sky laws of such jurisdictions as the lead underwriter or the Applicable Approving Party reasonably requests and do any and all other acts and things which may be reasonably necessary or advisable to enable such seller to consummate the disposition in such jurisdictions of the Registrable Securities owned by such seller (provided that Pubco shall not be required to (i) qualify generally to do business in any jurisdiction where it would not otherwise be required to qualify but for this </w:t>
      </w:r>
      <w:r>
        <w:rPr>
          <w:rFonts w:ascii="Arial" w:cs="Arial" w:eastAsia="Arial" w:hAnsi="Arial"/>
          <w:sz w:val="14"/>
          <w:szCs w:val="14"/>
          <w:u w:val="single" w:color="auto"/>
          <w:color w:val="auto"/>
        </w:rPr>
        <w:t>Section 5(f)</w:t>
      </w:r>
      <w:r>
        <w:rPr>
          <w:rFonts w:ascii="Arial" w:cs="Arial" w:eastAsia="Arial" w:hAnsi="Arial"/>
          <w:sz w:val="14"/>
          <w:szCs w:val="14"/>
          <w:color w:val="auto"/>
        </w:rPr>
        <w:t>, (ii) consent to general service of process in any such jurisdiction or</w:t>
      </w:r>
    </w:p>
    <w:p>
      <w:pPr>
        <w:spacing w:after="0" w:line="2" w:lineRule="exact"/>
        <w:rPr>
          <w:rFonts w:ascii="Arial" w:cs="Arial" w:eastAsia="Arial" w:hAnsi="Arial"/>
          <w:sz w:val="14"/>
          <w:szCs w:val="14"/>
          <w:color w:val="auto"/>
        </w:rPr>
      </w:pPr>
    </w:p>
    <w:p>
      <w:pPr>
        <w:ind w:left="284" w:hanging="284"/>
        <w:spacing w:after="0"/>
        <w:tabs>
          <w:tab w:leader="none" w:pos="284"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itself to taxation in any such jurisdiction);</w:t>
      </w:r>
    </w:p>
    <w:p>
      <w:pPr>
        <w:spacing w:after="0" w:line="185" w:lineRule="exact"/>
        <w:rPr>
          <w:rFonts w:ascii="Arial" w:cs="Arial" w:eastAsia="Arial" w:hAnsi="Arial"/>
          <w:sz w:val="16"/>
          <w:szCs w:val="16"/>
          <w:color w:val="auto"/>
        </w:rPr>
      </w:pPr>
    </w:p>
    <w:p>
      <w:pPr>
        <w:jc w:val="both"/>
        <w:ind w:left="4" w:firstLine="1143"/>
        <w:spacing w:after="0" w:line="271" w:lineRule="auto"/>
        <w:tabs>
          <w:tab w:leader="none" w:pos="1400" w:val="left"/>
        </w:tabs>
        <w:numPr>
          <w:ilvl w:val="1"/>
          <w:numId w:val="286"/>
        </w:numPr>
        <w:rPr>
          <w:rFonts w:ascii="Arial" w:cs="Arial" w:eastAsia="Arial" w:hAnsi="Arial"/>
          <w:sz w:val="15"/>
          <w:szCs w:val="15"/>
          <w:color w:val="auto"/>
        </w:rPr>
      </w:pPr>
      <w:r>
        <w:rPr>
          <w:rFonts w:ascii="Arial" w:cs="Arial" w:eastAsia="Arial" w:hAnsi="Arial"/>
          <w:sz w:val="15"/>
          <w:szCs w:val="15"/>
          <w:color w:val="auto"/>
        </w:rPr>
        <w:t>promptly notify in writing each seller of such Registrable Securities (i)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(ii) subject to the MNPI Provisions after receipt thereof, of any request by the Commission for the amendment or supplementing of such Registration Statement or prospectus or for additional information, and (iii)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Pubco promptly shall prepare, file with the Commission and furnish to each such seller a reasonable number of copies of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59" w:lineRule="exact"/>
        <w:rPr>
          <w:rFonts w:ascii="Arial" w:cs="Arial" w:eastAsia="Arial" w:hAnsi="Arial"/>
          <w:sz w:val="15"/>
          <w:szCs w:val="15"/>
          <w:color w:val="auto"/>
        </w:rPr>
      </w:pPr>
    </w:p>
    <w:p>
      <w:pPr>
        <w:jc w:val="both"/>
        <w:ind w:left="4" w:right="20" w:firstLine="1143"/>
        <w:spacing w:after="0" w:line="262" w:lineRule="auto"/>
        <w:tabs>
          <w:tab w:leader="none" w:pos="139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cause all such Registrable Securities to be listed on each securities exchange on which similar securities issued by Pubco are then listed and, if similar securities are not so listed, to be listed on a securities exchange and, without limiting the generality of the foregoing, to arrange for at least two market makers to register as such with respect to such Registrable Securities with FINRA;</w:t>
      </w:r>
    </w:p>
    <w:p>
      <w:pPr>
        <w:spacing w:after="0" w:line="162" w:lineRule="exact"/>
        <w:rPr>
          <w:rFonts w:ascii="Arial" w:cs="Arial" w:eastAsia="Arial" w:hAnsi="Arial"/>
          <w:sz w:val="16"/>
          <w:szCs w:val="16"/>
          <w:color w:val="auto"/>
        </w:rPr>
      </w:pPr>
    </w:p>
    <w:p>
      <w:pPr>
        <w:jc w:val="both"/>
        <w:ind w:left="4" w:right="20" w:firstLine="1143"/>
        <w:spacing w:after="0" w:line="317" w:lineRule="auto"/>
        <w:tabs>
          <w:tab w:leader="none" w:pos="1344" w:val="left"/>
        </w:tabs>
        <w:numPr>
          <w:ilvl w:val="1"/>
          <w:numId w:val="286"/>
        </w:numPr>
        <w:rPr>
          <w:rFonts w:ascii="Arial" w:cs="Arial" w:eastAsia="Arial" w:hAnsi="Arial"/>
          <w:sz w:val="14"/>
          <w:szCs w:val="14"/>
          <w:color w:val="auto"/>
        </w:rPr>
      </w:pPr>
      <w:r>
        <w:rPr>
          <w:rFonts w:ascii="Arial" w:cs="Arial" w:eastAsia="Arial" w:hAnsi="Arial"/>
          <w:sz w:val="14"/>
          <w:szCs w:val="14"/>
          <w:color w:val="auto"/>
        </w:rPr>
        <w:t>if applicable, promptly effect a filing with FINRA pursuant to FINRA Rule 5110 (or successor thereto) with respect to the public offering contemplated by resales of securities under the Resale Shelf Registration Statement (an “</w:t>
      </w:r>
      <w:r>
        <w:rPr>
          <w:rFonts w:ascii="Arial" w:cs="Arial" w:eastAsia="Arial" w:hAnsi="Arial"/>
          <w:sz w:val="14"/>
          <w:szCs w:val="14"/>
          <w:u w:val="single" w:color="auto"/>
          <w:color w:val="auto"/>
        </w:rPr>
        <w:t>Issuer Filing</w:t>
      </w:r>
      <w:r>
        <w:rPr>
          <w:rFonts w:ascii="Arial" w:cs="Arial" w:eastAsia="Arial" w:hAnsi="Arial"/>
          <w:sz w:val="14"/>
          <w:szCs w:val="14"/>
          <w:color w:val="auto"/>
        </w:rPr>
        <w:t>”), pay the filing fee required by such Issuer Filing and use its reasonable best efforts to pursue the Issuer Filing until FINRA issues a letter confirming that it does not object to the terms of the offering contemplated by the Resale Shelf Registration Statement.</w:t>
      </w:r>
    </w:p>
    <w:p>
      <w:pPr>
        <w:spacing w:after="0" w:line="126" w:lineRule="exact"/>
        <w:rPr>
          <w:rFonts w:ascii="Arial" w:cs="Arial" w:eastAsia="Arial" w:hAnsi="Arial"/>
          <w:sz w:val="14"/>
          <w:szCs w:val="14"/>
          <w:color w:val="auto"/>
        </w:rPr>
      </w:pPr>
    </w:p>
    <w:p>
      <w:pPr>
        <w:ind w:left="1344" w:hanging="197"/>
        <w:spacing w:after="0"/>
        <w:tabs>
          <w:tab w:leader="none" w:pos="1344" w:val="left"/>
        </w:tabs>
        <w:numPr>
          <w:ilvl w:val="1"/>
          <w:numId w:val="286"/>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not later than the effective date of such Registration Statement;</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80" w:name="page281"/>
    <w:bookmarkEnd w:id="280"/>
    <w:p>
      <w:pPr>
        <w:jc w:val="both"/>
        <w:ind w:firstLine="1143"/>
        <w:spacing w:after="0" w:line="317" w:lineRule="auto"/>
        <w:tabs>
          <w:tab w:leader="none" w:pos="1406" w:val="left"/>
        </w:tabs>
        <w:numPr>
          <w:ilvl w:val="0"/>
          <w:numId w:val="287"/>
        </w:numPr>
        <w:rPr>
          <w:rFonts w:ascii="Arial" w:cs="Arial" w:eastAsia="Arial" w:hAnsi="Arial"/>
          <w:sz w:val="14"/>
          <w:szCs w:val="14"/>
          <w:color w:val="auto"/>
        </w:rPr>
      </w:pPr>
      <w:r>
        <w:rPr>
          <w:rFonts w:ascii="Arial" w:cs="Arial" w:eastAsia="Arial" w:hAnsi="Arial"/>
          <w:sz w:val="14"/>
          <w:szCs w:val="14"/>
          <w:color w:val="auto"/>
        </w:rPr>
        <w:t>enter into and perform such customary agreements (including underwriting agreements in customary form) and take all such other actions as the Applicable Approving Party or the underwriters, if any, reasonably request in order to expedite or facilitate the disposition of such Registrable Securities (including, without limitation, participating in such number of “road shows”, investor presentations and marketing events as the underwriters managing such offering may reasonably request);</w:t>
      </w:r>
    </w:p>
    <w:p>
      <w:pPr>
        <w:spacing w:after="0" w:line="126" w:lineRule="exact"/>
        <w:rPr>
          <w:rFonts w:ascii="Arial" w:cs="Arial" w:eastAsia="Arial" w:hAnsi="Arial"/>
          <w:sz w:val="14"/>
          <w:szCs w:val="14"/>
          <w:color w:val="auto"/>
        </w:rPr>
      </w:pPr>
    </w:p>
    <w:p>
      <w:pPr>
        <w:jc w:val="both"/>
        <w:ind w:firstLine="1143"/>
        <w:spacing w:after="0" w:line="273" w:lineRule="auto"/>
        <w:tabs>
          <w:tab w:leader="none" w:pos="1341" w:val="left"/>
        </w:tabs>
        <w:numPr>
          <w:ilvl w:val="0"/>
          <w:numId w:val="287"/>
        </w:numPr>
        <w:rPr>
          <w:rFonts w:ascii="Arial" w:cs="Arial" w:eastAsia="Arial" w:hAnsi="Arial"/>
          <w:sz w:val="15"/>
          <w:szCs w:val="15"/>
          <w:color w:val="auto"/>
        </w:rPr>
      </w:pPr>
      <w:r>
        <w:rPr>
          <w:rFonts w:ascii="Arial" w:cs="Arial" w:eastAsia="Arial" w:hAnsi="Arial"/>
          <w:sz w:val="15"/>
          <w:szCs w:val="15"/>
          <w:color w:val="auto"/>
        </w:rPr>
        <w:t>make available for inspection by a representative of the Investors, other than the Majority [***] Investors and Sponsors (such representative to be selected by the Majority Presto Investors), a representative of the Sponsors, a representative of the[***] Investors, any underwriter participating in any disposition pursuant to such Registration Statement and any attorney, accountant or other agent retained by any such representative or underwriter, all financial and other records, pertinent corporate and business documents and properties of Pubco as shall be reasonably requested to enable them to exercise their due diligence responsibility, and cause Pubco’s officers, managers, directors, employees, agents, representatives and independent accountants to supply all information reasonably requested by any such representative, underwriter, attorney, accountant or agent in connection with such Registration Statement; provided, however, that any such representative or underwriter enters into a confidentiality agreement, in form and substance reasonably satisfactory to Pubco, prior to the release or disclosure of any such information;</w:t>
      </w:r>
    </w:p>
    <w:p>
      <w:pPr>
        <w:spacing w:after="0" w:line="156" w:lineRule="exact"/>
        <w:rPr>
          <w:rFonts w:ascii="Arial" w:cs="Arial" w:eastAsia="Arial" w:hAnsi="Arial"/>
          <w:sz w:val="15"/>
          <w:szCs w:val="15"/>
          <w:color w:val="auto"/>
        </w:rPr>
      </w:pPr>
    </w:p>
    <w:p>
      <w:pPr>
        <w:jc w:val="both"/>
        <w:ind w:firstLine="1143"/>
        <w:spacing w:after="0" w:line="306" w:lineRule="auto"/>
        <w:tabs>
          <w:tab w:leader="none" w:pos="1449" w:val="left"/>
        </w:tabs>
        <w:numPr>
          <w:ilvl w:val="0"/>
          <w:numId w:val="287"/>
        </w:numPr>
        <w:rPr>
          <w:rFonts w:ascii="Arial" w:cs="Arial" w:eastAsia="Arial" w:hAnsi="Arial"/>
          <w:sz w:val="14"/>
          <w:szCs w:val="14"/>
          <w:color w:val="auto"/>
        </w:rPr>
      </w:pPr>
      <w:r>
        <w:rPr>
          <w:rFonts w:ascii="Arial" w:cs="Arial" w:eastAsia="Arial" w:hAnsi="Arial"/>
          <w:sz w:val="14"/>
          <w:szCs w:val="14"/>
          <w:color w:val="auto"/>
        </w:rPr>
        <w:t>take all reasonable actions to ensure that any Free-Writing Prospectus utilized in connection with any Demand Registration (including any Shelf Registration)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otherwise use its reasonable best efforts to comply with all applicable rules and regulations of the Commission;</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7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permit any holder of Registrable Securities who, in its good faith judgment (based on the advice of counsel), could reasonably be expected to be deemed to be an underwriter or a controlling Person of Pubco to participate in the preparation of such registration or comparable statement and to require the insertion therein of material furnished to Pubco in writing, which in the reasonable judgment of such holder and its counsel should be included;</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7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in the event of the issuance of any stop order suspending the effectiveness of a Registration Statement, or of any order suspending or preventing the use of any related prospectus or suspending the qualification of any Common Stock included in such Registration Statement for sale in any jurisdiction, use its reasonable best efforts promptly to obtain the withdrawal of such order;</w:t>
      </w:r>
    </w:p>
    <w:p>
      <w:pPr>
        <w:spacing w:after="0" w:line="162" w:lineRule="exact"/>
        <w:rPr>
          <w:rFonts w:ascii="Arial" w:cs="Arial" w:eastAsia="Arial" w:hAnsi="Arial"/>
          <w:sz w:val="16"/>
          <w:szCs w:val="16"/>
          <w:color w:val="auto"/>
        </w:rPr>
      </w:pPr>
    </w:p>
    <w:p>
      <w:pPr>
        <w:ind w:firstLine="1143"/>
        <w:spacing w:after="0" w:line="309" w:lineRule="auto"/>
        <w:tabs>
          <w:tab w:leader="none" w:pos="1376" w:val="left"/>
        </w:tabs>
        <w:numPr>
          <w:ilvl w:val="0"/>
          <w:numId w:val="287"/>
        </w:numPr>
        <w:rPr>
          <w:rFonts w:ascii="Arial" w:cs="Arial" w:eastAsia="Arial" w:hAnsi="Arial"/>
          <w:sz w:val="15"/>
          <w:szCs w:val="15"/>
          <w:color w:val="auto"/>
        </w:rPr>
      </w:pPr>
      <w:r>
        <w:rPr>
          <w:rFonts w:ascii="Arial" w:cs="Arial" w:eastAsia="Arial" w:hAnsi="Arial"/>
          <w:sz w:val="15"/>
          <w:szCs w:val="15"/>
          <w:color w:val="auto"/>
        </w:rPr>
        <w:t>use its reasonable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29" w:lineRule="exact"/>
        <w:rPr>
          <w:rFonts w:ascii="Arial" w:cs="Arial" w:eastAsia="Arial" w:hAnsi="Arial"/>
          <w:sz w:val="15"/>
          <w:szCs w:val="15"/>
          <w:color w:val="auto"/>
        </w:rPr>
      </w:pPr>
    </w:p>
    <w:p>
      <w:pPr>
        <w:jc w:val="both"/>
        <w:ind w:right="20" w:firstLine="1143"/>
        <w:spacing w:after="0" w:line="287" w:lineRule="auto"/>
        <w:tabs>
          <w:tab w:leader="none" w:pos="1353" w:val="left"/>
        </w:tabs>
        <w:numPr>
          <w:ilvl w:val="0"/>
          <w:numId w:val="287"/>
        </w:numPr>
        <w:rPr>
          <w:rFonts w:ascii="Arial" w:cs="Arial" w:eastAsia="Arial" w:hAnsi="Arial"/>
          <w:sz w:val="15"/>
          <w:szCs w:val="15"/>
          <w:color w:val="auto"/>
        </w:rPr>
      </w:pPr>
      <w:r>
        <w:rPr>
          <w:rFonts w:ascii="Arial" w:cs="Arial" w:eastAsia="Arial" w:hAnsi="Arial"/>
          <w:sz w:val="15"/>
          <w:szCs w:val="15"/>
          <w:color w:val="auto"/>
        </w:rPr>
        <w:t>cooperate with the holders of Registrable Securities covered by the Registration Statement and the managing underwriter or agent, if any, to facilitate the timely preparation and delivery of certificates (not bearing any restrictive legends) representing securities to be sold under the Registration Statement and enable such securities to be in such denominations and registered in such names as the managing underwriter, or agent, if any, or such holders may request;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1" w:name="page282"/>
    <w:bookmarkEnd w:id="281"/>
    <w:p>
      <w:pPr>
        <w:ind w:right="20" w:firstLine="1143"/>
        <w:spacing w:after="0" w:line="275" w:lineRule="auto"/>
        <w:tabs>
          <w:tab w:leader="none" w:pos="135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cooperate with each holder of Registrable Securities covered by the Registration Statement and each underwriter or agent participating in the disposition of such Registrable Securities and their respective counsel in connection with any filings required to be made with FINRA;</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such registration includes an underwritten public offering, use its reasonable best efforts to obtain a cold comfort letter from Pubco’s independent public accountants and addressed to the underwriters, in customary form and covering such matters of the type customarily covered by cold comfort letters as the underwriters in such registration reasonably request;</w:t>
      </w:r>
    </w:p>
    <w:p>
      <w:pPr>
        <w:spacing w:after="0" w:line="162" w:lineRule="exact"/>
        <w:rPr>
          <w:rFonts w:ascii="Arial" w:cs="Arial" w:eastAsia="Arial" w:hAnsi="Arial"/>
          <w:sz w:val="16"/>
          <w:szCs w:val="16"/>
          <w:color w:val="auto"/>
        </w:rPr>
      </w:pPr>
    </w:p>
    <w:p>
      <w:pPr>
        <w:jc w:val="both"/>
        <w:ind w:firstLine="1143"/>
        <w:spacing w:after="0" w:line="280" w:lineRule="auto"/>
        <w:tabs>
          <w:tab w:leader="none" w:pos="1407" w:val="left"/>
        </w:tabs>
        <w:numPr>
          <w:ilvl w:val="0"/>
          <w:numId w:val="288"/>
        </w:numPr>
        <w:rPr>
          <w:rFonts w:ascii="Arial" w:cs="Arial" w:eastAsia="Arial" w:hAnsi="Arial"/>
          <w:sz w:val="15"/>
          <w:szCs w:val="15"/>
          <w:color w:val="auto"/>
        </w:rPr>
      </w:pPr>
      <w:r>
        <w:rPr>
          <w:rFonts w:ascii="Arial" w:cs="Arial" w:eastAsia="Arial" w:hAnsi="Arial"/>
          <w:sz w:val="15"/>
          <w:szCs w:val="15"/>
          <w:color w:val="auto"/>
        </w:rPr>
        <w:t>provide a legal opinion of Pubco’s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 which opinion shall be addressed to the underwriters;</w:t>
      </w:r>
    </w:p>
    <w:p>
      <w:pPr>
        <w:spacing w:after="0" w:line="151" w:lineRule="exact"/>
        <w:rPr>
          <w:rFonts w:ascii="Arial" w:cs="Arial" w:eastAsia="Arial" w:hAnsi="Arial"/>
          <w:sz w:val="15"/>
          <w:szCs w:val="15"/>
          <w:color w:val="auto"/>
        </w:rPr>
      </w:pPr>
    </w:p>
    <w:p>
      <w:pPr>
        <w:ind w:right="20" w:firstLine="1143"/>
        <w:spacing w:after="0" w:line="309" w:lineRule="auto"/>
        <w:tabs>
          <w:tab w:leader="none" w:pos="1383" w:val="left"/>
        </w:tabs>
        <w:numPr>
          <w:ilvl w:val="0"/>
          <w:numId w:val="288"/>
        </w:numPr>
        <w:rPr>
          <w:rFonts w:ascii="Arial" w:cs="Arial" w:eastAsia="Arial" w:hAnsi="Arial"/>
          <w:sz w:val="15"/>
          <w:szCs w:val="15"/>
          <w:color w:val="auto"/>
        </w:rPr>
      </w:pPr>
      <w:r>
        <w:rPr>
          <w:rFonts w:ascii="Arial" w:cs="Arial" w:eastAsia="Arial" w:hAnsi="Arial"/>
          <w:sz w:val="15"/>
          <w:szCs w:val="15"/>
          <w:color w:val="auto"/>
        </w:rPr>
        <w:t>if Pubco files an Automatic Shelf Registration Statement covering any Registrable Securities, use its reasonable best efforts to remain a WKSI (and not become an ineligible issuer (as defined in Rule 405)) during the period during which such Automatic Shelf Registration Statement is required to remain effective;</w:t>
      </w:r>
    </w:p>
    <w:p>
      <w:pPr>
        <w:spacing w:after="0" w:line="129" w:lineRule="exact"/>
        <w:rPr>
          <w:rFonts w:ascii="Arial" w:cs="Arial" w:eastAsia="Arial" w:hAnsi="Arial"/>
          <w:sz w:val="15"/>
          <w:szCs w:val="15"/>
          <w:color w:val="auto"/>
        </w:rPr>
      </w:pPr>
    </w:p>
    <w:p>
      <w:pPr>
        <w:ind w:firstLine="1143"/>
        <w:spacing w:after="0" w:line="275" w:lineRule="auto"/>
        <w:tabs>
          <w:tab w:leader="none" w:pos="1409"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if Pubco does not pay the filing fee covering the Registrable Securities at the time an Automatic Shelf Registration Statement is filed, pay such fee at such time or times as the Registrable Securities are to be sold;</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7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2(d)</w:t>
      </w:r>
      <w:r>
        <w:rPr>
          <w:rFonts w:ascii="Arial" w:cs="Arial" w:eastAsia="Arial" w:hAnsi="Arial"/>
          <w:sz w:val="16"/>
          <w:szCs w:val="16"/>
          <w:color w:val="auto"/>
        </w:rPr>
        <w:t>, if an Automatic Shelf Registration Statement has been outstanding for at least three (3) years, at the end of the third year, refile a new Automatic Shelf Registration Statement covering the Registrable Securities, and, if at any time when Pubco is required to re-evaluate its WKSI status Pubco determines that it is not a WKSI, use its reasonable best efforts to refile the Registration Statement on Form S-3 and keep such Registration Statement effective (including by filing a new Resale Shelf Registration or Shelf Registration, if necessary) during the period throughout which such Registration Statement is required to be kept effective;</w:t>
      </w:r>
    </w:p>
    <w:p>
      <w:pPr>
        <w:spacing w:after="0" w:line="169" w:lineRule="exact"/>
        <w:rPr>
          <w:rFonts w:ascii="Arial" w:cs="Arial" w:eastAsia="Arial" w:hAnsi="Arial"/>
          <w:sz w:val="16"/>
          <w:szCs w:val="16"/>
          <w:color w:val="auto"/>
        </w:rPr>
      </w:pPr>
    </w:p>
    <w:p>
      <w:pPr>
        <w:jc w:val="both"/>
        <w:ind w:firstLine="1143"/>
        <w:spacing w:after="0" w:line="254" w:lineRule="auto"/>
        <w:tabs>
          <w:tab w:leader="none" w:pos="138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cooperate with each Investor that holds Registrable Securities being offered and the managing underwriter or underwriters with respect to an applicable Registration Statement, if any, to facilitate the timely (i) preparation and delivery of certificates (not bearing any restrictive legends) representing Registrable Securities to be offered pursuant to such Registration Statement, and enable such certificates to be registered in such names and in such denominations or amounts, as the case may be, or (ii) crediting of the Registrable Securities to be offered pursuant to a Registration Statement to the applicable account (or accounts) with The Depository Trust Company (“DTC”) through its Deposit/Withdrawal At Custodian (“DWAC”) system, in any such case as such Investor or the managing underwriter or underwriters, if any, may reasonably request; and</w:t>
      </w:r>
    </w:p>
    <w:p>
      <w:pPr>
        <w:spacing w:after="0" w:line="170" w:lineRule="exact"/>
        <w:rPr>
          <w:rFonts w:ascii="Arial" w:cs="Arial" w:eastAsia="Arial" w:hAnsi="Arial"/>
          <w:sz w:val="16"/>
          <w:szCs w:val="16"/>
          <w:color w:val="auto"/>
        </w:rPr>
      </w:pPr>
    </w:p>
    <w:p>
      <w:pPr>
        <w:jc w:val="both"/>
        <w:ind w:right="20" w:firstLine="1143"/>
        <w:spacing w:after="0" w:line="274" w:lineRule="auto"/>
        <w:tabs>
          <w:tab w:leader="none" w:pos="1371" w:val="left"/>
        </w:tabs>
        <w:numPr>
          <w:ilvl w:val="0"/>
          <w:numId w:val="288"/>
        </w:numPr>
        <w:rPr>
          <w:rFonts w:ascii="Arial" w:cs="Arial" w:eastAsia="Arial" w:hAnsi="Arial"/>
          <w:sz w:val="15"/>
          <w:szCs w:val="15"/>
          <w:color w:val="auto"/>
        </w:rPr>
      </w:pPr>
      <w:r>
        <w:rPr>
          <w:rFonts w:ascii="Arial" w:cs="Arial" w:eastAsia="Arial" w:hAnsi="Arial"/>
          <w:sz w:val="15"/>
          <w:szCs w:val="15"/>
          <w:color w:val="auto"/>
        </w:rPr>
        <w:t>for so long as this Agreement remains effective, (a) cause the Common Stock to be eligible for clearing through DTC, through its DWAC system; (b) be eligible and participating in the Direct Registration System (DRS) of DTC with respect to the Common Stock; (c) ensure that the transfer agent for the Common Stock is a participant in, and that the Common Stock is eligible for transfer pursuant to, DTC’s Fast Automated Securities Transfer Program (or successor thereto); and (d) use its reasonable best efforts to cause the Common Stock to not at any time be subject to any DTC “chill,” “freeze” or similar restriction with respect to any DTC services, including the clearing of shares of Common Stock through DTC, and, in the event the Common Stock becomes subject to any DTC “chill,” “freeze” or similar restriction with respect to any DTC services, use its reasonable best efforts to cause any such “chill,” “freeze” or similar restriction to be removed at the earliest possible time.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2" w:name="page283"/>
    <w:bookmarkEnd w:id="282"/>
    <w:p>
      <w:pPr>
        <w:jc w:val="both"/>
        <w:ind w:firstLine="569"/>
        <w:spacing w:after="0" w:line="270" w:lineRule="auto"/>
        <w:tabs>
          <w:tab w:leader="none" w:pos="757"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Termination of Rights</w:t>
      </w:r>
      <w:r>
        <w:rPr>
          <w:rFonts w:ascii="Arial" w:cs="Arial" w:eastAsia="Arial" w:hAnsi="Arial"/>
          <w:sz w:val="15"/>
          <w:szCs w:val="15"/>
          <w:color w:val="auto"/>
        </w:rPr>
        <w:t xml:space="preserve">. Notwithstanding anything contained herein to the contrary, the right of any Investor to include Registrable Securities in any Demand Registration or any Piggyback Registration shall terminate on such date that (i) such Investor (together with its affiliates) beneficially owns less than 1% of the outstanding Common Stock, (ii) has held the securities for one year and (iii) may sell all of the Registrable Securities owned by such Investor pursuant to Rule 144 of the Securities Act without any restrictions as to volume or the manner of sale or otherwise and without the requirement for Pubco to be in compliance with the current public information required under Rule 144(c)(i) or Rule 144(i)(2); provided, however, that with respect to any Investor whose rights have terminated pursuant to this </w:t>
      </w:r>
      <w:r>
        <w:rPr>
          <w:rFonts w:ascii="Arial" w:cs="Arial" w:eastAsia="Arial" w:hAnsi="Arial"/>
          <w:sz w:val="15"/>
          <w:szCs w:val="15"/>
          <w:u w:val="single" w:color="auto"/>
          <w:color w:val="auto"/>
        </w:rPr>
        <w:t>Section 6</w:t>
      </w:r>
      <w:r>
        <w:rPr>
          <w:rFonts w:ascii="Arial" w:cs="Arial" w:eastAsia="Arial" w:hAnsi="Arial"/>
          <w:sz w:val="15"/>
          <w:szCs w:val="15"/>
          <w:color w:val="auto"/>
        </w:rPr>
        <w:t>, if following such a termination, such Investor loses the ability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 due to a change in interpretive guidance by the Commission or otherwise, then such Investor’s right to include Registrable Securities in any Demand Registration or any Piggyback Registration shall be reinstated until such time as the Investor is once again able to sell all of its Registrable Securities pursuant to Rule 144 of the Securities Act without any restrictions as to volume or the manner of sale or otherwise and without the requirement for the Company to be in compliance with the current public information required under Rule 144(c)(i) or Rule 144(i)(2).</w:t>
      </w:r>
    </w:p>
    <w:p>
      <w:pPr>
        <w:spacing w:after="0" w:line="159" w:lineRule="exact"/>
        <w:rPr>
          <w:rFonts w:ascii="Arial" w:cs="Arial" w:eastAsia="Arial" w:hAnsi="Arial"/>
          <w:sz w:val="15"/>
          <w:szCs w:val="15"/>
          <w:color w:val="auto"/>
        </w:rPr>
      </w:pPr>
    </w:p>
    <w:p>
      <w:pPr>
        <w:ind w:left="720" w:hanging="151"/>
        <w:spacing w:after="0"/>
        <w:tabs>
          <w:tab w:leader="none" w:pos="720"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1" w:lineRule="auto"/>
        <w:tabs>
          <w:tab w:leader="none" w:pos="1367" w:val="left"/>
        </w:tabs>
        <w:numPr>
          <w:ilvl w:val="1"/>
          <w:numId w:val="289"/>
        </w:numPr>
        <w:rPr>
          <w:rFonts w:ascii="Arial" w:cs="Arial" w:eastAsia="Arial" w:hAnsi="Arial"/>
          <w:sz w:val="15"/>
          <w:szCs w:val="15"/>
          <w:color w:val="auto"/>
        </w:rPr>
      </w:pPr>
      <w:r>
        <w:rPr>
          <w:rFonts w:ascii="Arial" w:cs="Arial" w:eastAsia="Arial" w:hAnsi="Arial"/>
          <w:sz w:val="15"/>
          <w:szCs w:val="15"/>
          <w:color w:val="auto"/>
        </w:rPr>
        <w:t>All expenses incident to Pubco’s performance of or compliance with this Agreement, including, without limitation, all registration, qualification and filing fees, listing fees, fees and expenses of compliance with securities or blue sky laws, stock exchange rules and filings, printing expenses, messenger and delivery expenses, fees and disbursements of custodians, and fees and disbursements of counsel for Pubco and all independent certified public accountants, underwriters (excluding underwriting discounts and commissions) and other Persons retained by Pubco (all such expenses being herein called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shall be borne by Pubco as provided in this Agreement and, for the avoidance of doubt, Pubco also shall pay all of its internal expenses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similar securities issued by Pubco are then listed. Each Person that sells securities hereunder shall bear and pay all underwriting discounts and commissions, underwriter marketing costs, brokerage fees and transfer taxes applicable to the securities sold for such Person’s account and all reasonable fees and expenses of any legal counsel representing any such Person.</w:t>
      </w:r>
    </w:p>
    <w:p>
      <w:pPr>
        <w:spacing w:after="0" w:line="159" w:lineRule="exact"/>
        <w:rPr>
          <w:rFonts w:ascii="Arial" w:cs="Arial" w:eastAsia="Arial" w:hAnsi="Arial"/>
          <w:sz w:val="15"/>
          <w:szCs w:val="15"/>
          <w:color w:val="auto"/>
        </w:rPr>
      </w:pPr>
    </w:p>
    <w:p>
      <w:pPr>
        <w:ind w:right="20" w:firstLine="1143"/>
        <w:spacing w:after="0" w:line="275" w:lineRule="auto"/>
        <w:tabs>
          <w:tab w:leader="none" w:pos="137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Pubco shall reimburse the holders of Registrable Securities included in such registration for the reasonable fees and disbursements of one counsel chosen by the Applicable Approving Party in connection with any underwritten Demand Registration.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3" w:name="page284"/>
    <w:bookmarkEnd w:id="283"/>
    <w:p>
      <w:pPr>
        <w:ind w:left="720" w:hanging="151"/>
        <w:spacing w:after="0"/>
        <w:tabs>
          <w:tab w:leader="none" w:pos="720"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88" w:lineRule="auto"/>
        <w:tabs>
          <w:tab w:leader="none" w:pos="1378" w:val="left"/>
        </w:tabs>
        <w:numPr>
          <w:ilvl w:val="1"/>
          <w:numId w:val="290"/>
        </w:numPr>
        <w:rPr>
          <w:rFonts w:ascii="Arial" w:cs="Arial" w:eastAsia="Arial" w:hAnsi="Arial"/>
          <w:sz w:val="14"/>
          <w:szCs w:val="14"/>
          <w:color w:val="auto"/>
        </w:rPr>
      </w:pPr>
      <w:r>
        <w:rPr>
          <w:rFonts w:ascii="Arial" w:cs="Arial" w:eastAsia="Arial" w:hAnsi="Arial"/>
          <w:sz w:val="14"/>
          <w:szCs w:val="14"/>
          <w:color w:val="auto"/>
        </w:rPr>
        <w:t>Pubco agrees to (i) indemnify, defend and hold harmless, to the fullest extent permitted by law, each Investor, each Person who controls such Investor (within the meaning of the Securities Act or the Exchange Act) each Investor’s and control Person’s respective officers, directors, members, partners, managers, agents, affiliates and employees from and against all losses, claims, actions, damages, liabilities and expenses (“</w:t>
      </w:r>
      <w:r>
        <w:rPr>
          <w:rFonts w:ascii="Arial" w:cs="Arial" w:eastAsia="Arial" w:hAnsi="Arial"/>
          <w:sz w:val="14"/>
          <w:szCs w:val="14"/>
          <w:u w:val="single" w:color="auto"/>
          <w:color w:val="auto"/>
        </w:rPr>
        <w:t>Losses</w:t>
      </w:r>
      <w:r>
        <w:rPr>
          <w:rFonts w:ascii="Arial" w:cs="Arial" w:eastAsia="Arial" w:hAnsi="Arial"/>
          <w:sz w:val="14"/>
          <w:szCs w:val="14"/>
          <w:color w:val="auto"/>
        </w:rPr>
        <w:t xml:space="preserve">”) caused by any untrue or alleged untrue statement of material fact contained in any Registration Statement, prospectus, preliminary prospectus, free writing prospectus or any amendment thereof or supplement thereto or any omission or alleged omission of a material fact required to be stated therein or necessary to make the statements therein not misleading (in the case of a prospectus, in light of the circumstances under which the statements therein were made), and (ii) pay to each Investor and their respective officers, directors, members, partners, managers, agents, affiliates and employees and each Person who controls such Investor (within the meaning of the Securities Act or the Exchange Act), as incurred, any legal and any other expenses reasonably incurred in connection with investigating, preparing or defending any such claim, loss, damage, liability or action, except in each case of (i) or (ii) insofar as the same are caused by or contained in any information furnished in writing to Pubco or any managing underwriter by or on behalf of such Investor expressly for use therein; provided, however, that the indemnity agreement contained in this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shall not apply to amounts paid in settlement of any such claim, loss, damage, liability or action if such settlement is effected without the consent of Pubco (which consent shall not be unreasonably withheld, conditioned or delayed), nor shall Pubco be liable in any such case for any such claim, loss, damage, liability or action to the extent that it arises out of or is based upon an untrue or alleged untrue statement of any material fact contained in the Registration Statement, prospectus, preliminary prospectus, free writing prospectus or any amendment thereof or supplement thereto or omission or alleged omission to state therein a material fact required to be stated therein or necessary to make the statements therein not misleading, in each case to the extent that such untrue statement or alleged untrue statement or omission or alleged omission was made in the Registration Statement, prospectus, preliminary prospectus, free writing prospectus or any amendment thereof or supplement thereto, in reliance upon and in conformity with written information furnished by or on behalf of such Investor expressly for use in connection with such Registration Statement or to the extent that such Loss results from an Investor’s initiation of a transaction pursuant to a Registration Statement during a Suspension Event noticed to such Investor by Pubco in accordance with Section 2(f)(ii) hereof. In connection with an underwritten offering, Pubco shall indemnify any underwriters or deemed underwriters, their officers and directors and each Person who controls such underwriters (within the meaning of the Securities Act or the Exchange Act) to the same extent as provided above with respect to the indemnification of the holders of Registrable Securities.</w:t>
      </w:r>
    </w:p>
    <w:p>
      <w:pPr>
        <w:spacing w:after="0" w:line="344" w:lineRule="exact"/>
        <w:rPr>
          <w:rFonts w:ascii="Arial" w:cs="Arial" w:eastAsia="Arial" w:hAnsi="Arial"/>
          <w:sz w:val="14"/>
          <w:szCs w:val="14"/>
          <w:color w:val="auto"/>
        </w:rPr>
      </w:pPr>
    </w:p>
    <w:p>
      <w:pPr>
        <w:jc w:val="both"/>
        <w:ind w:firstLine="1143"/>
        <w:spacing w:after="0" w:line="270" w:lineRule="auto"/>
        <w:tabs>
          <w:tab w:leader="none" w:pos="1391" w:val="left"/>
        </w:tabs>
        <w:numPr>
          <w:ilvl w:val="1"/>
          <w:numId w:val="290"/>
        </w:numPr>
        <w:rPr>
          <w:rFonts w:ascii="Arial" w:cs="Arial" w:eastAsia="Arial" w:hAnsi="Arial"/>
          <w:sz w:val="15"/>
          <w:szCs w:val="15"/>
          <w:color w:val="auto"/>
        </w:rPr>
      </w:pPr>
      <w:r>
        <w:rPr>
          <w:rFonts w:ascii="Arial" w:cs="Arial" w:eastAsia="Arial" w:hAnsi="Arial"/>
          <w:sz w:val="15"/>
          <w:szCs w:val="15"/>
          <w:color w:val="auto"/>
        </w:rPr>
        <w:t>In connection with any Registration Statement in which a holder of Registrable Securities is participating, each such holder shall furnish to Pubco in writing such information relating to such holder as Pubco reasonably requests for use in connection with any such Registration Statement or prospectus and, to the extent permitted by law, shall indemnify Pubco, its officers, directors, employees, agents and representatives and each Person who controls Pubco (within the meaning of the Securities Act) against any losses, claims, damages, liabilities and expenses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or alleged untrue statement or omission is contained in any information so furnished in writing by or on behalf of such holder or to the extent that such Loss results from an Investor’s initiation of a transaction pursuant to a Registration Statement during a Suspension Event noticed to such Investor by Pubco in accordance with Section 2(f)(ii) hereof; provided that the obligation to indemnify shall be individual, not joint and several, for each holder and shall be limited to the net amount of proceeds actually received by such holder from the sale of Registrable Securities pursuant to such Registration Statement.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4" w:name="page285"/>
    <w:bookmarkEnd w:id="284"/>
    <w:p>
      <w:pPr>
        <w:jc w:val="both"/>
        <w:ind w:firstLine="1143"/>
        <w:spacing w:after="0" w:line="289" w:lineRule="auto"/>
        <w:tabs>
          <w:tab w:leader="none" w:pos="1366" w:val="left"/>
        </w:tabs>
        <w:numPr>
          <w:ilvl w:val="0"/>
          <w:numId w:val="291"/>
        </w:numPr>
        <w:rPr>
          <w:rFonts w:ascii="Arial" w:cs="Arial" w:eastAsia="Arial" w:hAnsi="Arial"/>
          <w:sz w:val="14"/>
          <w:szCs w:val="14"/>
          <w:color w:val="auto"/>
        </w:rPr>
      </w:pPr>
      <w:r>
        <w:rPr>
          <w:rFonts w:ascii="Arial" w:cs="Arial" w:eastAsia="Arial" w:hAnsi="Arial"/>
          <w:sz w:val="14"/>
          <w:szCs w:val="14"/>
          <w:color w:val="auto"/>
        </w:rPr>
        <w:t>Any Person entitled to indemnification hereunder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(as well as one local counsel for each applicable jurisdiction)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shall have a right to retain one separate counsel, chosen by the holders of a majority of the Registrable Securities included in the registration, at the expense of the indemnifying party. Notwithstanding anything to the contrary contained herein, Pubco shall not, without the prior written consent of the Person entitled to indemnification, consent to entry of any judgment or enter into any settlement or other compromise with respect to any claim in respect of which indemnification or contribution may be or has been sought hereunder (whether or not any such indemnified Person is an actual or potential party to such action or claim) which does not include as an unconditional term thereof the giving by the claimant or plaintiff to the indemnified Persons of a full release from all liability with respect to such claim or which includes any admission as to fault or culpability or failure to act on the part of any indemnified Person.</w:t>
      </w:r>
    </w:p>
    <w:p>
      <w:pPr>
        <w:spacing w:after="0" w:line="153" w:lineRule="exact"/>
        <w:rPr>
          <w:rFonts w:ascii="Arial" w:cs="Arial" w:eastAsia="Arial" w:hAnsi="Arial"/>
          <w:sz w:val="14"/>
          <w:szCs w:val="14"/>
          <w:color w:val="auto"/>
        </w:rPr>
      </w:pPr>
    </w:p>
    <w:p>
      <w:pPr>
        <w:jc w:val="both"/>
        <w:ind w:firstLine="1143"/>
        <w:spacing w:after="0" w:line="289" w:lineRule="auto"/>
        <w:tabs>
          <w:tab w:leader="none" w:pos="1381" w:val="left"/>
        </w:tabs>
        <w:numPr>
          <w:ilvl w:val="0"/>
          <w:numId w:val="291"/>
        </w:numPr>
        <w:rPr>
          <w:rFonts w:ascii="Arial" w:cs="Arial" w:eastAsia="Arial" w:hAnsi="Arial"/>
          <w:sz w:val="14"/>
          <w:szCs w:val="14"/>
          <w:color w:val="auto"/>
        </w:rPr>
      </w:pPr>
      <w:r>
        <w:rPr>
          <w:rFonts w:ascii="Arial" w:cs="Arial" w:eastAsia="Arial" w:hAnsi="Arial"/>
          <w:sz w:val="14"/>
          <w:szCs w:val="14"/>
          <w:color w:val="auto"/>
        </w:rPr>
        <w:t xml:space="preserve">Each party hereto agrees that, if for any reason the indemnification provisions contemplated by </w:t>
      </w:r>
      <w:r>
        <w:rPr>
          <w:rFonts w:ascii="Arial" w:cs="Arial" w:eastAsia="Arial" w:hAnsi="Arial"/>
          <w:sz w:val="14"/>
          <w:szCs w:val="14"/>
          <w:u w:val="single" w:color="auto"/>
          <w:color w:val="auto"/>
        </w:rPr>
        <w:t>Sections 8(a)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8(b)</w:t>
      </w:r>
      <w:r>
        <w:rPr>
          <w:rFonts w:ascii="Arial" w:cs="Arial" w:eastAsia="Arial" w:hAnsi="Arial"/>
          <w:sz w:val="14"/>
          <w:szCs w:val="14"/>
          <w:color w:val="auto"/>
        </w:rPr>
        <w:t xml:space="preserve"> are unavailable to or insufficient to hold harmless an indemnified party in respect of any losses, claims, damages, liabilities or expenses (or actions in respect thereof) referred to therein, then each indemnifying party, in lieu of indemnifying such indemnified party, shall contribute to the amount paid or payable by such indemnified party as a result of such losses, claims, damages, liabilities or expenses (or actions in respect thereof) in such proportion as is appropriate to reflect the relative fault of the indemnifying party and the indemnified party in connection with the actions which resulted in such losses, claims, damages, liabilities or expenses,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to state a material fact, relates to information supplied by or on behalf of such indemnifying party or indemnified party, and the parties’ relative intent, knowledge, access to information and opportunity to correct or prevent such statement or omission. The parties hereto agree that it would not be just or equitable if contribution pursuant to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were determined by pro rata allocation (even if the holders or any underwriters or all of them were treated as one entity for such purpose) or by any other method of allocation which does not take account of the equitable considerations referred to in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Arial" w:cs="Arial" w:eastAsia="Arial" w:hAnsi="Arial"/>
          <w:sz w:val="14"/>
          <w:szCs w:val="14"/>
          <w:u w:val="single" w:color="auto"/>
          <w:color w:val="auto"/>
        </w:rPr>
        <w:t>Section 8(c)</w:t>
      </w:r>
      <w:r>
        <w:rPr>
          <w:rFonts w:ascii="Arial" w:cs="Arial" w:eastAsia="Arial" w:hAnsi="Arial"/>
          <w:sz w:val="14"/>
          <w:szCs w:val="14"/>
          <w:color w:val="auto"/>
        </w:rPr>
        <w:t xml:space="preserve">, defending any such action or claim. No Person guilty of fraudulent misrepresentation (within the meaning of Section 11(f) of the Securities Act) shall be entitled to contribution from any Person who was not guilty of such fraudulent misrepresentation. The sellers’ obligations in this </w:t>
      </w:r>
      <w:r>
        <w:rPr>
          <w:rFonts w:ascii="Arial" w:cs="Arial" w:eastAsia="Arial" w:hAnsi="Arial"/>
          <w:sz w:val="14"/>
          <w:szCs w:val="14"/>
          <w:u w:val="single" w:color="auto"/>
          <w:color w:val="auto"/>
        </w:rPr>
        <w:t>Section 8(d)</w:t>
      </w:r>
      <w:r>
        <w:rPr>
          <w:rFonts w:ascii="Arial" w:cs="Arial" w:eastAsia="Arial" w:hAnsi="Arial"/>
          <w:sz w:val="14"/>
          <w:szCs w:val="14"/>
          <w:color w:val="auto"/>
        </w:rPr>
        <w:t xml:space="preserve"> to contribute shall be several in proportion to the amount of securities registered by them and not joint and shall be limited to an amount equal to the net proceeds actually received by such seller from the sale of Registrable Securities effected pursuant to such registration (less the aggregate amount of any damages or other amounts such Investor has otherwise been required to pay (pursuant to </w:t>
      </w:r>
      <w:r>
        <w:rPr>
          <w:rFonts w:ascii="Arial" w:cs="Arial" w:eastAsia="Arial" w:hAnsi="Arial"/>
          <w:sz w:val="14"/>
          <w:szCs w:val="14"/>
          <w:u w:val="single" w:color="auto"/>
          <w:color w:val="auto"/>
        </w:rPr>
        <w:t>Section 8(b)</w:t>
      </w:r>
      <w:r>
        <w:rPr>
          <w:rFonts w:ascii="Arial" w:cs="Arial" w:eastAsia="Arial" w:hAnsi="Arial"/>
          <w:sz w:val="14"/>
          <w:szCs w:val="14"/>
          <w:color w:val="auto"/>
        </w:rPr>
        <w:t xml:space="preserve"> or otherwise) as a result of any untrue statements, alleged untrue statements, omissions or alleged omissions in connection with such registration).</w:t>
      </w:r>
    </w:p>
    <w:p>
      <w:pPr>
        <w:spacing w:after="0" w:line="145" w:lineRule="exact"/>
        <w:rPr>
          <w:rFonts w:ascii="Arial" w:cs="Arial" w:eastAsia="Arial" w:hAnsi="Arial"/>
          <w:sz w:val="14"/>
          <w:szCs w:val="14"/>
          <w:color w:val="auto"/>
        </w:rPr>
      </w:pPr>
    </w:p>
    <w:p>
      <w:pPr>
        <w:jc w:val="both"/>
        <w:ind w:right="20" w:firstLine="1143"/>
        <w:spacing w:after="0" w:line="262" w:lineRule="auto"/>
        <w:tabs>
          <w:tab w:leader="none" w:pos="136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indemnification and contribution provided for under this Agreement shall remain in full force and effect regardless of any investigation made by or on behalf of the indemnified party or any officer, director, manager, agent, representative or controlling Person of such indemnified party and shall survive the transfer of Registrable Securities and the termination or expiration of this Agreement.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5" w:name="page286"/>
    <w:bookmarkEnd w:id="285"/>
    <w:p>
      <w:pPr>
        <w:jc w:val="both"/>
        <w:ind w:firstLine="569"/>
        <w:spacing w:after="0" w:line="290" w:lineRule="auto"/>
        <w:tabs>
          <w:tab w:leader="none" w:pos="733"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Participation in Underwritten Registrations</w:t>
      </w:r>
      <w:r>
        <w:rPr>
          <w:rFonts w:ascii="Arial" w:cs="Arial" w:eastAsia="Arial" w:hAnsi="Arial"/>
          <w:sz w:val="14"/>
          <w:szCs w:val="14"/>
          <w:color w:val="auto"/>
        </w:rPr>
        <w:t xml:space="preserve">. No Person may participate in any registration hereunder which is underwritten unless such Person (a) agrees to sell such Person’s securities on the basis provided in any underwriting arrangements approved by the Person or Persons entitled hereunder to approve such arrangements (including, without limitation, pursuant to any over-allotment or “green shoe” option requested by the underwriters; provided that no holder of Registrable Securities shall be required to sell more than the number of Registrable Securities such holder has requested to include) and (b) completes and executes all questionnaires, powers of attorney, custody agreements, stock powers, indemnities, underwriting agreements and other documents required under the terms of such underwriting arrangements; provided that no holder of Registrable Securities included in any underwritten registration shall be required to make any representations or warranties to Pubco or the underwriters (other than representations and warranties regarding such holder, such holder’s title to the securities, such Person’s authority to sell such securities and such holder’s intended method of distribution) or to undertake any indemnification obligations to Pubco or the underwriters with respect thereto that are materially more burdensome than those provided in </w:t>
      </w:r>
      <w:r>
        <w:rPr>
          <w:rFonts w:ascii="Arial" w:cs="Arial" w:eastAsia="Arial" w:hAnsi="Arial"/>
          <w:sz w:val="14"/>
          <w:szCs w:val="14"/>
          <w:u w:val="single" w:color="auto"/>
          <w:color w:val="auto"/>
        </w:rPr>
        <w:t>Section 8</w:t>
      </w:r>
      <w:r>
        <w:rPr>
          <w:rFonts w:ascii="Arial" w:cs="Arial" w:eastAsia="Arial" w:hAnsi="Arial"/>
          <w:sz w:val="14"/>
          <w:szCs w:val="14"/>
          <w:color w:val="auto"/>
        </w:rPr>
        <w:t xml:space="preserve">. Each holder of Registrable Securities shall execute and deliver such other agreements as may be reasonably requested by Pubco and the lead managing underwriter(s) that are consistent with such holder’s obligations under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or that are necessary to give further effect thereto, and Pubco shall execute and deliver such other agreements as may be reasonably requested by the lead managing underwriter(s) (if applicable) in order to effect any registration required hereunder. To the extent that any such agreement is entered into pursuant to, and consistent with,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and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the respective rights and obligations created under such agreement shall supersede the respective rights and obligations of the holders, Pubco and the underwriters created pursuant to this </w:t>
      </w:r>
      <w:r>
        <w:rPr>
          <w:rFonts w:ascii="Arial" w:cs="Arial" w:eastAsia="Arial" w:hAnsi="Arial"/>
          <w:sz w:val="14"/>
          <w:szCs w:val="14"/>
          <w:u w:val="single" w:color="auto"/>
          <w:color w:val="auto"/>
        </w:rPr>
        <w:t>Section 9</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800" w:hanging="231"/>
        <w:spacing w:after="0"/>
        <w:tabs>
          <w:tab w:leader="none" w:pos="800"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Other Agreements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95" w:lineRule="auto"/>
        <w:tabs>
          <w:tab w:leader="none" w:pos="1379" w:val="left"/>
        </w:tabs>
        <w:numPr>
          <w:ilvl w:val="1"/>
          <w:numId w:val="292"/>
        </w:numPr>
        <w:rPr>
          <w:rFonts w:ascii="Arial" w:cs="Arial" w:eastAsia="Arial" w:hAnsi="Arial"/>
          <w:sz w:val="14"/>
          <w:szCs w:val="14"/>
          <w:color w:val="auto"/>
        </w:rPr>
      </w:pPr>
      <w:r>
        <w:rPr>
          <w:rFonts w:ascii="Arial" w:cs="Arial" w:eastAsia="Arial" w:hAnsi="Arial"/>
          <w:sz w:val="14"/>
          <w:szCs w:val="14"/>
          <w:color w:val="auto"/>
        </w:rPr>
        <w:t>For so long as any Investor holds Registrable Securities that may be sold pursuant to Rule 144 only if Pubco is in compliance with the current public information requirement under Rule 144(c)(1) (or Rule 144(i)(2), if applicable), Pubco will use its commercially reasonable efforts to make and keep public information available, as those terms are understood and defined in Rule 144 and, in furtherance thereof, (i) remain subject to the reporting requirements of Section 13 or 15(d) of the Exchange Act; and (ii) timely (without giving effect to any extensions pursuant to Rule 12b-25 under the Exchange Act, as applicable) file all reports and other materials required to be filed by Section 13 or 15(d) of the Exchange Act, as applicable (provided, that the failure to file Current Reports on Form 8-K, other than the Form 8-K filed on the Form 10 Disclosure Filing Date, shall not be deemed to violate this Section 10(b) to the extent that Rule 144 remains available for the resale of Registrable Securities). Upon reasonable prior written request, Pubco shall deliver to the Investors a customary written statement as to whether it has complied with such requirements.</w:t>
      </w:r>
    </w:p>
    <w:p>
      <w:pPr>
        <w:spacing w:after="0" w:line="144" w:lineRule="exact"/>
        <w:rPr>
          <w:rFonts w:ascii="Arial" w:cs="Arial" w:eastAsia="Arial" w:hAnsi="Arial"/>
          <w:sz w:val="14"/>
          <w:szCs w:val="14"/>
          <w:color w:val="auto"/>
        </w:rPr>
      </w:pPr>
    </w:p>
    <w:p>
      <w:pPr>
        <w:jc w:val="both"/>
        <w:ind w:firstLine="1143"/>
        <w:spacing w:after="0" w:line="270" w:lineRule="auto"/>
        <w:tabs>
          <w:tab w:leader="none" w:pos="1390" w:val="left"/>
        </w:tabs>
        <w:numPr>
          <w:ilvl w:val="1"/>
          <w:numId w:val="292"/>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and subject to (and without limiting) Section 8(s) of the Subscription Agreements, in the event that Pubco believes that a notice or communication required by this Agreement to be delivered to any Investor contains material, nonpublic information relating to Pubco, its securities, any of its affiliates or any other Person, Pubco shall so indicate to such Investor prior to delivery of such notice or communication, and such indication shall provide such Investor the means to refuse to receive such notice or communication; and in the absence of any such indication, the Investors and their respective affiliates, agents and representatives shall be allowed to presume that all matters relating to such notice or communication do not constitute material, nonpublic information relating to Pubco, its securities, any of its affiliates or any other Person. In the event of a breach of any of the foregoing covenants by Pubco, any of its affiliates, or any of its or their respective officers, directors (or equivalent persons), employees, attorneys, agents or representatives, in addition to any other remedies otherwise available at law or in equity, each of the Investors shall have the right to make a public disclosure in the form of a press release or otherwise, of the applicable material nonpublic information without the prior approval by Pubco or any of its affiliates, officers, directors (or equivalent persons), employees, stockholders, attorneys, agents or representatives, and no Investor (nor any of its affiliates, agents or representatives) shall have any liability to Pubco, any of its affiliates or any of its or their respective officers, directors (or equivalent persons), employees, stockholders, attorneys, agents or representatives for any such disclosure.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6" w:name="page287"/>
    <w:bookmarkEnd w:id="286"/>
    <w:p>
      <w:pPr>
        <w:jc w:val="both"/>
        <w:ind w:firstLine="1143"/>
        <w:spacing w:after="0" w:line="270" w:lineRule="auto"/>
        <w:tabs>
          <w:tab w:leader="none" w:pos="1379" w:val="left"/>
        </w:tabs>
        <w:numPr>
          <w:ilvl w:val="0"/>
          <w:numId w:val="293"/>
        </w:numPr>
        <w:rPr>
          <w:rFonts w:ascii="Arial" w:cs="Arial" w:eastAsia="Arial" w:hAnsi="Arial"/>
          <w:sz w:val="15"/>
          <w:szCs w:val="15"/>
          <w:color w:val="auto"/>
        </w:rPr>
      </w:pPr>
      <w:r>
        <w:rPr>
          <w:rFonts w:ascii="Arial" w:cs="Arial" w:eastAsia="Arial" w:hAnsi="Arial"/>
          <w:sz w:val="15"/>
          <w:szCs w:val="15"/>
          <w:color w:val="auto"/>
        </w:rPr>
        <w:t>Notwithstanding the foregoing and Section 8(s) of the Subscription Agreements, to the extent Pubco reasonably and in good faith determines that it is necessary to disclose material non-public information to an Investor in order to comply with its obligations hereunder (a “</w:t>
      </w:r>
      <w:r>
        <w:rPr>
          <w:rFonts w:ascii="Arial" w:cs="Arial" w:eastAsia="Arial" w:hAnsi="Arial"/>
          <w:sz w:val="15"/>
          <w:szCs w:val="15"/>
          <w:u w:val="single" w:color="auto"/>
          <w:color w:val="auto"/>
        </w:rPr>
        <w:t>Necessary Disclosure</w:t>
      </w:r>
      <w:r>
        <w:rPr>
          <w:rFonts w:ascii="Arial" w:cs="Arial" w:eastAsia="Arial" w:hAnsi="Arial"/>
          <w:sz w:val="15"/>
          <w:szCs w:val="15"/>
          <w:color w:val="auto"/>
        </w:rPr>
        <w:t>”), Pubco shall inform counsel to such Investor of such determination without disclosing the applicable material non-public information, and Pubco and such counsel on behalf of the applicable Investor shall endeavor to agree upon a process for making such Necessary Disclosure to the applicable Investor or its representatives that is mutually acceptable to such Investor and Pubco (an “</w:t>
      </w:r>
      <w:r>
        <w:rPr>
          <w:rFonts w:ascii="Arial" w:cs="Arial" w:eastAsia="Arial" w:hAnsi="Arial"/>
          <w:sz w:val="15"/>
          <w:szCs w:val="15"/>
          <w:u w:val="single" w:color="auto"/>
          <w:color w:val="auto"/>
        </w:rPr>
        <w:t>Agreed Disclosure Process</w:t>
      </w:r>
      <w:r>
        <w:rPr>
          <w:rFonts w:ascii="Arial" w:cs="Arial" w:eastAsia="Arial" w:hAnsi="Arial"/>
          <w:sz w:val="15"/>
          <w:szCs w:val="15"/>
          <w:color w:val="auto"/>
        </w:rPr>
        <w:t>”). Thereafter, Pubco shall be permitted to make such Necessary Disclosure (only) in accordance with the Agreed Disclosure Process. In furtherance of (but without limiting) the foregoing or Section 8(s) of the Subscription Agreements, at any time on or after the effective date of the Resale Shelf Registration Statement, any Investor may deliver written notice (an “</w:t>
      </w:r>
      <w:r>
        <w:rPr>
          <w:rFonts w:ascii="Arial" w:cs="Arial" w:eastAsia="Arial" w:hAnsi="Arial"/>
          <w:sz w:val="15"/>
          <w:szCs w:val="15"/>
          <w:u w:val="single" w:color="auto"/>
          <w:color w:val="auto"/>
        </w:rPr>
        <w:t>Opt-Out Notice</w:t>
      </w:r>
      <w:r>
        <w:rPr>
          <w:rFonts w:ascii="Arial" w:cs="Arial" w:eastAsia="Arial" w:hAnsi="Arial"/>
          <w:sz w:val="15"/>
          <w:szCs w:val="15"/>
          <w:color w:val="auto"/>
        </w:rPr>
        <w:t>”) to Pubco requesting that such Investor thereafter not receive notices from Pubco otherwise required by Section 10 of this Agreement, other than Suspension Notices to the extent applicable to such Investor; provided, however, that such Investor may later revoke any such Opt-Out Notice in writing. Following receipt of an Opt-Out Notice from any Investor (unless such Opt-Out Notice is subsequently revoked), Pubco shall not deliver any such notices to such Investor, and such Investor shall no longer be entitled to the rights associated with any such notice or conditioned upon the receipt of or response to any such notice.</w:t>
      </w:r>
    </w:p>
    <w:p>
      <w:pPr>
        <w:spacing w:after="0" w:line="159" w:lineRule="exact"/>
        <w:rPr>
          <w:rFonts w:ascii="Arial" w:cs="Arial" w:eastAsia="Arial" w:hAnsi="Arial"/>
          <w:sz w:val="15"/>
          <w:szCs w:val="15"/>
          <w:color w:val="auto"/>
        </w:rPr>
      </w:pPr>
    </w:p>
    <w:p>
      <w:pPr>
        <w:jc w:val="both"/>
        <w:ind w:firstLine="1143"/>
        <w:spacing w:after="0" w:line="288" w:lineRule="auto"/>
        <w:tabs>
          <w:tab w:leader="none" w:pos="1385" w:val="left"/>
        </w:tabs>
        <w:numPr>
          <w:ilvl w:val="0"/>
          <w:numId w:val="293"/>
        </w:numPr>
        <w:rPr>
          <w:rFonts w:ascii="Arial" w:cs="Arial" w:eastAsia="Arial" w:hAnsi="Arial"/>
          <w:sz w:val="14"/>
          <w:szCs w:val="14"/>
          <w:color w:val="auto"/>
        </w:rPr>
      </w:pPr>
      <w:r>
        <w:rPr>
          <w:rFonts w:ascii="Arial" w:cs="Arial" w:eastAsia="Arial" w:hAnsi="Arial"/>
          <w:sz w:val="14"/>
          <w:szCs w:val="14"/>
          <w:color w:val="auto"/>
        </w:rPr>
        <w:t>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and no Investor shall be required to delivery any documentation affixed with a medallion guarantee in connection therewith: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Pubco and that such Investor’s holding period for purposes of Rule 144 in respect of such Registrable Securities is at least six (6) months, or (E) if such legend is not required under applicable requirements of the Securities Act (including judicial interpretations and pronouncements issued by the staff of the Commission) as determined in good faith by counsel to Pubco or set forth in a legal opinion delivered by nationally recognized counsel to the Initiating Holder (collectively, the “</w:t>
      </w:r>
      <w:r>
        <w:rPr>
          <w:rFonts w:ascii="Arial" w:cs="Arial" w:eastAsia="Arial" w:hAnsi="Arial"/>
          <w:sz w:val="14"/>
          <w:szCs w:val="14"/>
          <w:u w:val="single" w:color="auto"/>
          <w:color w:val="auto"/>
        </w:rPr>
        <w:t>Unrestricted Conditions</w:t>
      </w:r>
      <w:r>
        <w:rPr>
          <w:rFonts w:ascii="Arial" w:cs="Arial" w:eastAsia="Arial" w:hAnsi="Arial"/>
          <w:sz w:val="14"/>
          <w:szCs w:val="14"/>
          <w:color w:val="auto"/>
        </w:rPr>
        <w:t>”). Pubco agrees that following the Registration Date or at such time as any of the Unrestricted Conditions is met or such legend is otherwise no longer required it will, no later than two (2) Business Days following the delivery by an Investor to Pubco or Pubco’s transfer agent of a certificate representing any Registrable Securities, issued with a restrictive legend, (or, in the case of Registrable Securities represented by book entries, delivery by an Investor to Pubco or Pubco’s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and without the requirement for any Investor to deliver any documentation affixed with a medallion guarantee. For purposes hereof, “</w:t>
      </w:r>
      <w:r>
        <w:rPr>
          <w:rFonts w:ascii="Arial" w:cs="Arial" w:eastAsia="Arial" w:hAnsi="Arial"/>
          <w:sz w:val="14"/>
          <w:szCs w:val="14"/>
          <w:u w:val="single" w:color="auto"/>
          <w:color w:val="auto"/>
        </w:rPr>
        <w:t>Registration Date</w:t>
      </w:r>
      <w:r>
        <w:rPr>
          <w:rFonts w:ascii="Arial" w:cs="Arial" w:eastAsia="Arial" w:hAnsi="Arial"/>
          <w:sz w:val="14"/>
          <w:szCs w:val="14"/>
          <w:color w:val="auto"/>
        </w:rPr>
        <w:t>” shall mean the date that the Resale Shelf Registration Statement covering the Registration Statement has been declared effective by the Commission.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Pubco’s failure to timely deliver shares of Common Stock without legend as required pursuant to the terms hereof.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7" w:name="page288"/>
    <w:bookmarkEnd w:id="287"/>
    <w:p>
      <w:pPr>
        <w:ind w:left="804" w:hanging="231"/>
        <w:spacing w:after="0"/>
        <w:tabs>
          <w:tab w:leader="none" w:pos="804" w:val="left"/>
        </w:tabs>
        <w:numPr>
          <w:ilvl w:val="0"/>
          <w:numId w:val="29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4" w:right="20" w:firstLine="1143"/>
        <w:spacing w:after="0" w:line="309" w:lineRule="auto"/>
        <w:tabs>
          <w:tab w:leader="none" w:pos="1380" w:val="left"/>
        </w:tabs>
        <w:numPr>
          <w:ilvl w:val="1"/>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Approving Party</w:t>
      </w:r>
      <w:r>
        <w:rPr>
          <w:rFonts w:ascii="Arial" w:cs="Arial" w:eastAsia="Arial" w:hAnsi="Arial"/>
          <w:sz w:val="15"/>
          <w:szCs w:val="15"/>
          <w:color w:val="auto"/>
        </w:rPr>
        <w:t xml:space="preserve">” means the holders of a majority of the Registrable Securities participating in the applicable offering or, in the case of a Short-Form Registration effected pursuant to </w:t>
      </w:r>
      <w:r>
        <w:rPr>
          <w:rFonts w:ascii="Arial" w:cs="Arial" w:eastAsia="Arial" w:hAnsi="Arial"/>
          <w:sz w:val="15"/>
          <w:szCs w:val="15"/>
          <w:u w:val="single" w:color="auto"/>
          <w:color w:val="auto"/>
        </w:rPr>
        <w:t>Section 2(c)</w:t>
      </w:r>
      <w:r>
        <w:rPr>
          <w:rFonts w:ascii="Arial" w:cs="Arial" w:eastAsia="Arial" w:hAnsi="Arial"/>
          <w:sz w:val="15"/>
          <w:szCs w:val="15"/>
          <w:color w:val="auto"/>
        </w:rPr>
        <w:t>, the holders of a majority of the type of Registrable Securities that initiated such Short-Form Registration.</w:t>
      </w:r>
    </w:p>
    <w:p>
      <w:pPr>
        <w:spacing w:after="0" w:line="129" w:lineRule="exact"/>
        <w:rPr>
          <w:rFonts w:ascii="Arial" w:cs="Arial" w:eastAsia="Arial" w:hAnsi="Arial"/>
          <w:sz w:val="15"/>
          <w:szCs w:val="15"/>
          <w:color w:val="auto"/>
        </w:rPr>
      </w:pPr>
    </w:p>
    <w:p>
      <w:pPr>
        <w:ind w:left="1364" w:hanging="217"/>
        <w:spacing w:after="0"/>
        <w:tabs>
          <w:tab w:leader="none" w:pos="1364" w:val="left"/>
        </w:tabs>
        <w:numPr>
          <w:ilvl w:val="1"/>
          <w:numId w:val="29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 Trade</w:t>
      </w:r>
      <w:r>
        <w:rPr>
          <w:rFonts w:ascii="Arial" w:cs="Arial" w:eastAsia="Arial" w:hAnsi="Arial"/>
          <w:sz w:val="15"/>
          <w:szCs w:val="15"/>
          <w:color w:val="auto"/>
        </w:rPr>
        <w:t>” means any non-marketed underwritten takedown offering taking the form of a bought deal or block sale to a financial institution.</w:t>
      </w:r>
    </w:p>
    <w:p>
      <w:pPr>
        <w:spacing w:after="0" w:line="209" w:lineRule="exact"/>
        <w:rPr>
          <w:rFonts w:ascii="Arial" w:cs="Arial" w:eastAsia="Arial" w:hAnsi="Arial"/>
          <w:sz w:val="15"/>
          <w:szCs w:val="15"/>
          <w:color w:val="auto"/>
        </w:rPr>
      </w:pPr>
    </w:p>
    <w:p>
      <w:pPr>
        <w:ind w:left="1364" w:hanging="217"/>
        <w:spacing w:after="0"/>
        <w:tabs>
          <w:tab w:leader="none" w:pos="136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that is not a Saturday or Sunday or a legal holiday in the state in which Pubco’s chief executive office is located or in New</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York, NY.</w:t>
      </w:r>
    </w:p>
    <w:p>
      <w:pPr>
        <w:spacing w:after="0" w:line="185" w:lineRule="exact"/>
        <w:rPr>
          <w:rFonts w:ascii="Arial" w:cs="Arial" w:eastAsia="Arial" w:hAnsi="Arial"/>
          <w:sz w:val="14"/>
          <w:szCs w:val="14"/>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U.S. Securities and Exchange Commission.</w:t>
      </w:r>
    </w:p>
    <w:p>
      <w:pPr>
        <w:spacing w:after="0" w:line="198"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Pubco, par value $0.0001 per share.</w:t>
      </w:r>
    </w:p>
    <w:p>
      <w:pPr>
        <w:spacing w:after="0" w:line="198" w:lineRule="exact"/>
        <w:rPr>
          <w:rFonts w:ascii="Arial" w:cs="Arial" w:eastAsia="Arial" w:hAnsi="Arial"/>
          <w:sz w:val="16"/>
          <w:szCs w:val="16"/>
          <w:color w:val="auto"/>
        </w:rPr>
      </w:pPr>
    </w:p>
    <w:p>
      <w:pPr>
        <w:ind w:left="4" w:firstLine="1143"/>
        <w:spacing w:after="0" w:line="275" w:lineRule="auto"/>
        <w:tabs>
          <w:tab w:leader="none" w:pos="135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 or any successor federal law then in force, together with all rules and regulations promulgated thereunder.</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means the Financial Industry Regulatory Authority or any successor thereto.</w:t>
      </w:r>
    </w:p>
    <w:p>
      <w:pPr>
        <w:spacing w:after="0" w:line="198"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Free-Writing Prospectus</w:t>
      </w:r>
      <w:r>
        <w:rPr>
          <w:rFonts w:ascii="Arial" w:cs="Arial" w:eastAsia="Arial" w:hAnsi="Arial"/>
          <w:sz w:val="16"/>
          <w:szCs w:val="16"/>
          <w:color w:val="auto"/>
        </w:rPr>
        <w:t>” means a free-writing prospectus, as defined in Rule 405 of the Securities Act.</w:t>
      </w:r>
    </w:p>
    <w:p>
      <w:pPr>
        <w:spacing w:after="0" w:line="198" w:lineRule="exact"/>
        <w:rPr>
          <w:rFonts w:ascii="Arial" w:cs="Arial" w:eastAsia="Arial" w:hAnsi="Arial"/>
          <w:sz w:val="16"/>
          <w:szCs w:val="16"/>
          <w:color w:val="auto"/>
        </w:rPr>
      </w:pPr>
    </w:p>
    <w:p>
      <w:pPr>
        <w:jc w:val="both"/>
        <w:ind w:left="4" w:firstLine="1143"/>
        <w:spacing w:after="0" w:line="262" w:lineRule="auto"/>
        <w:tabs>
          <w:tab w:leader="none" w:pos="1354"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10 Disclosure Filing Date</w:t>
      </w:r>
      <w:r>
        <w:rPr>
          <w:rFonts w:ascii="Arial" w:cs="Arial" w:eastAsia="Arial" w:hAnsi="Arial"/>
          <w:sz w:val="16"/>
          <w:szCs w:val="16"/>
          <w:color w:val="auto"/>
        </w:rPr>
        <w:t>” means the date on which Pubco shall file with the Commission a Current Report on Form 8-K that includes current “Form 10 information” (within the meaning of Rule 144) reflecting Pubco’s status as an entity that is no longer an issuer described in paragraph (i)(1)(i) of Rule 144, which in no event shall occur later than four business days following the consummation of the Mergers.</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4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Presto Investors</w:t>
      </w:r>
      <w:r>
        <w:rPr>
          <w:rFonts w:ascii="Arial" w:cs="Arial" w:eastAsia="Arial" w:hAnsi="Arial"/>
          <w:sz w:val="16"/>
          <w:szCs w:val="16"/>
          <w:color w:val="auto"/>
        </w:rPr>
        <w:t>” means, as of any date of determination, the holders of a majority of the Registrable Securities held by the Presto Investors and their successors and assigns.</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Majority [***] Investors”</w:t>
      </w:r>
      <w:r>
        <w:rPr>
          <w:rFonts w:ascii="Arial" w:cs="Arial" w:eastAsia="Arial" w:hAnsi="Arial"/>
          <w:sz w:val="14"/>
          <w:szCs w:val="14"/>
          <w:color w:val="auto"/>
        </w:rPr>
        <w:t xml:space="preserve"> means, as of any date of determination, the holders of a majority of the Registrable Securities held by the [***] Investors as of</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such date.</w:t>
      </w:r>
    </w:p>
    <w:p>
      <w:pPr>
        <w:spacing w:after="0" w:line="185" w:lineRule="exact"/>
        <w:rPr>
          <w:rFonts w:ascii="Arial" w:cs="Arial" w:eastAsia="Arial" w:hAnsi="Arial"/>
          <w:sz w:val="14"/>
          <w:szCs w:val="14"/>
          <w:color w:val="auto"/>
        </w:rPr>
      </w:pPr>
    </w:p>
    <w:p>
      <w:pPr>
        <w:ind w:left="1344" w:hanging="197"/>
        <w:spacing w:after="0"/>
        <w:tabs>
          <w:tab w:leader="none" w:pos="1344" w:val="left"/>
        </w:tabs>
        <w:numPr>
          <w:ilvl w:val="1"/>
          <w:numId w:val="29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Registration Statement Filing Deadline</w:t>
      </w:r>
      <w:r>
        <w:rPr>
          <w:rFonts w:ascii="Arial" w:cs="Arial" w:eastAsia="Arial" w:hAnsi="Arial"/>
          <w:sz w:val="14"/>
          <w:szCs w:val="14"/>
          <w:color w:val="auto"/>
        </w:rPr>
        <w:t>” means, with respect to any New Registration Statements that may be required pursuant to Section 1(b), (i)</w:t>
      </w:r>
    </w:p>
    <w:p>
      <w:pPr>
        <w:spacing w:after="0" w:line="43" w:lineRule="exact"/>
        <w:rPr>
          <w:sz w:val="20"/>
          <w:szCs w:val="20"/>
          <w:color w:val="auto"/>
        </w:rPr>
      </w:pPr>
    </w:p>
    <w:p>
      <w:pPr>
        <w:ind w:left="4"/>
        <w:spacing w:after="0" w:line="235" w:lineRule="auto"/>
        <w:rPr>
          <w:sz w:val="20"/>
          <w:szCs w:val="20"/>
          <w:color w:val="auto"/>
        </w:rPr>
      </w:pPr>
      <w:r>
        <w:rPr>
          <w:rFonts w:ascii="Arial" w:cs="Arial" w:eastAsia="Arial" w:hAnsi="Arial"/>
          <w:sz w:val="14"/>
          <w:szCs w:val="14"/>
          <w:color w:val="auto"/>
        </w:rPr>
        <w:t>the tenth (10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first date on which such Registrable Securities may then be included in a Registration Statement if such Registration Statement is required to be filed because the Commission shall have informed Pubco that certain Registrable Securities were not eligible for inclusion in a previously filed Registration Statement, or</w:t>
      </w:r>
    </w:p>
    <w:p>
      <w:pPr>
        <w:spacing w:after="0" w:line="2" w:lineRule="exact"/>
        <w:rPr>
          <w:sz w:val="20"/>
          <w:szCs w:val="20"/>
          <w:color w:val="auto"/>
        </w:rPr>
      </w:pPr>
    </w:p>
    <w:p>
      <w:pPr>
        <w:ind w:left="4" w:right="20" w:hanging="4"/>
        <w:spacing w:after="0" w:line="207" w:lineRule="auto"/>
        <w:tabs>
          <w:tab w:leader="none" w:pos="258" w:val="left"/>
        </w:tabs>
        <w:numPr>
          <w:ilvl w:val="0"/>
          <w:numId w:val="295"/>
        </w:numPr>
        <w:rPr>
          <w:rFonts w:ascii="Arial" w:cs="Arial" w:eastAsia="Arial" w:hAnsi="Arial"/>
          <w:sz w:val="16"/>
          <w:szCs w:val="16"/>
          <w:color w:val="auto"/>
        </w:rPr>
      </w:pPr>
      <w:r>
        <w:rPr>
          <w:rFonts w:ascii="Arial" w:cs="Arial" w:eastAsia="Arial" w:hAnsi="Arial"/>
          <w:sz w:val="16"/>
          <w:szCs w:val="16"/>
          <w:color w:val="auto"/>
        </w:rPr>
        <w:t>if such New Registration Statement is required for a reason other than as described in clause (i) of this definition, the fifteenth (15</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date on which Pubco first knows that such New Registration Statement is required.</w:t>
      </w:r>
    </w:p>
    <w:p>
      <w:pPr>
        <w:spacing w:after="0" w:line="180" w:lineRule="exact"/>
        <w:rPr>
          <w:rFonts w:ascii="Arial" w:cs="Arial" w:eastAsia="Arial" w:hAnsi="Arial"/>
          <w:sz w:val="16"/>
          <w:szCs w:val="16"/>
          <w:color w:val="auto"/>
        </w:rPr>
      </w:pPr>
    </w:p>
    <w:p>
      <w:pPr>
        <w:jc w:val="both"/>
        <w:ind w:left="4" w:right="20" w:firstLine="1143"/>
        <w:spacing w:after="0" w:line="306" w:lineRule="auto"/>
        <w:tabs>
          <w:tab w:leader="none" w:pos="1421" w:val="left"/>
        </w:tabs>
        <w:numPr>
          <w:ilvl w:val="1"/>
          <w:numId w:val="2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Transferees</w:t>
      </w:r>
      <w:r>
        <w:rPr>
          <w:rFonts w:ascii="Arial" w:cs="Arial" w:eastAsia="Arial" w:hAnsi="Arial"/>
          <w:sz w:val="14"/>
          <w:szCs w:val="14"/>
          <w:color w:val="auto"/>
        </w:rPr>
        <w:t>” means any Person to whom an Investor transfers Registrable Securities; provided, however, that, with respect to any transfer of Registrable Securities that constitute Lock-up Shares (as defined in the Bylaws), during the applicable Lock-up Period (as defined in the Bylaws and the Support Agreements), the transferee thereof shall only constitute a Permitted Transferee if such transferee is a Person to whom such Registrable Securities are permitted to be transferred by the transferring Investor during the applicable Lock-up Period (as defined in per Bylaws and the Support Agreements) under the Bylaws and the Support Agreements.</w:t>
      </w: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88" w:name="page289"/>
    <w:bookmarkEnd w:id="288"/>
    <w:p>
      <w:pPr>
        <w:ind w:right="20" w:firstLine="1143"/>
        <w:spacing w:after="0" w:line="309" w:lineRule="auto"/>
        <w:tabs>
          <w:tab w:leader="none" w:pos="1373"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a partnership, a corporation, a limited liability company, an association, a joint stock company, a trust, a joint venture, an unincorporated organization, any other legal entity or business organization and a governmental entity or any department, agency or political subdivision thereof.</w:t>
      </w:r>
    </w:p>
    <w:p>
      <w:pPr>
        <w:spacing w:after="0" w:line="12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Presto Investors</w:t>
      </w:r>
      <w:r>
        <w:rPr>
          <w:rFonts w:ascii="Arial" w:cs="Arial" w:eastAsia="Arial" w:hAnsi="Arial"/>
          <w:sz w:val="16"/>
          <w:szCs w:val="16"/>
          <w:color w:val="auto"/>
        </w:rPr>
        <w:t xml:space="preserve">” means the Investors set forth on the Schedule of Investors as of the date hereof and their direct and indirect transferees, if any, who become a party to this Agreement pursuant to </w:t>
      </w:r>
      <w:r>
        <w:rPr>
          <w:rFonts w:ascii="Arial" w:cs="Arial" w:eastAsia="Arial" w:hAnsi="Arial"/>
          <w:sz w:val="16"/>
          <w:szCs w:val="16"/>
          <w:u w:val="single" w:color="auto"/>
          <w:color w:val="auto"/>
        </w:rPr>
        <w:t>Section 12(f)</w:t>
      </w:r>
      <w:r>
        <w:rPr>
          <w:rFonts w:ascii="Arial" w:cs="Arial" w:eastAsia="Arial" w:hAnsi="Arial"/>
          <w:sz w:val="16"/>
          <w:szCs w:val="16"/>
          <w:color w:val="auto"/>
        </w:rPr>
        <w:t xml:space="preserve"> of this Agreement.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(i) the prospectus included in any Registration Statement, as supplemented by any and all prospectus supplements and as amended by any and all post-effective amendments and including all material incorporated by reference in such prospectus and (ii) any free writing prospectus (within the meaning of Rule 405 under the Securities Act) relating to any offering of Registrable Securities pursuant to a Registration Statement.</w:t>
      </w:r>
    </w:p>
    <w:p>
      <w:pPr>
        <w:spacing w:after="0" w:line="162"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any sale or distribution by Pubco and/or holders of Registrable Securities to the public of Common Stock pursuant to an offering registered under the Securities Act.</w:t>
      </w:r>
    </w:p>
    <w:p>
      <w:pPr>
        <w:spacing w:after="0" w:line="151" w:lineRule="exact"/>
        <w:rPr>
          <w:rFonts w:ascii="Arial" w:cs="Arial" w:eastAsia="Arial" w:hAnsi="Arial"/>
          <w:sz w:val="16"/>
          <w:szCs w:val="16"/>
          <w:color w:val="auto"/>
        </w:rPr>
      </w:pPr>
    </w:p>
    <w:p>
      <w:pPr>
        <w:ind w:right="20" w:firstLine="1143"/>
        <w:spacing w:after="0" w:line="349" w:lineRule="auto"/>
        <w:tabs>
          <w:tab w:leader="none" w:pos="1382" w:val="left"/>
        </w:tabs>
        <w:numPr>
          <w:ilvl w:val="0"/>
          <w:numId w:val="29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Register</w:t>
      </w:r>
      <w:r>
        <w:rPr>
          <w:rFonts w:ascii="Arial" w:cs="Arial" w:eastAsia="Arial" w:hAnsi="Arial"/>
          <w:sz w:val="14"/>
          <w:szCs w:val="14"/>
          <w:color w:val="auto"/>
        </w:rPr>
        <w:t>,” “</w:t>
      </w:r>
      <w:r>
        <w:rPr>
          <w:rFonts w:ascii="Arial" w:cs="Arial" w:eastAsia="Arial" w:hAnsi="Arial"/>
          <w:sz w:val="14"/>
          <w:szCs w:val="14"/>
          <w:u w:val="single" w:color="auto"/>
          <w:color w:val="auto"/>
        </w:rPr>
        <w:t>Registered</w:t>
      </w:r>
      <w:r>
        <w:rPr>
          <w:rFonts w:ascii="Arial" w:cs="Arial" w:eastAsia="Arial" w:hAnsi="Arial"/>
          <w:sz w:val="14"/>
          <w:szCs w:val="14"/>
          <w:color w:val="auto"/>
        </w:rPr>
        <w:t>” and “</w:t>
      </w:r>
      <w:r>
        <w:rPr>
          <w:rFonts w:ascii="Arial" w:cs="Arial" w:eastAsia="Arial" w:hAnsi="Arial"/>
          <w:sz w:val="14"/>
          <w:szCs w:val="14"/>
          <w:u w:val="single" w:color="auto"/>
          <w:color w:val="auto"/>
        </w:rPr>
        <w:t>Registration</w:t>
      </w:r>
      <w:r>
        <w:rPr>
          <w:rFonts w:ascii="Arial" w:cs="Arial" w:eastAsia="Arial" w:hAnsi="Arial"/>
          <w:sz w:val="14"/>
          <w:szCs w:val="14"/>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5" w:lineRule="exact"/>
        <w:rPr>
          <w:rFonts w:ascii="Arial" w:cs="Arial" w:eastAsia="Arial" w:hAnsi="Arial"/>
          <w:sz w:val="14"/>
          <w:szCs w:val="14"/>
          <w:color w:val="auto"/>
        </w:rPr>
      </w:pPr>
    </w:p>
    <w:p>
      <w:pPr>
        <w:jc w:val="both"/>
        <w:ind w:firstLine="1143"/>
        <w:spacing w:after="0" w:line="269" w:lineRule="auto"/>
        <w:tabs>
          <w:tab w:leader="none" w:pos="1367" w:val="left"/>
        </w:tabs>
        <w:numPr>
          <w:ilvl w:val="0"/>
          <w:numId w:val="2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means (i) any Founder Shares held by the Investors, (ii) any shares of Common Stock issued to an Investor, or issuable upon exercise of warrants issued to an Investor, in Pubco’s initial public offering, (iii) any Private Placement Warrants (or underlying securities) held by the Investors, (iv) any shares of Common Stock issued to an Investor pursuant to the terms of the Merger Agreement, (v) any Subscribed Notes, Subscribed Shares, Subscribed Warrants and Underlying Securities (as defined in the Subscription Agreements), (vi) any other shares of Common Stock or warrants to purchase shares of Common Stock held or later acquired by an Investor, (vii) any shares of Common Stock issued or issuable upon the exercise, conversion or exchange of, or pursuant to anti-dilution provisions applicable to, securities hereafter issued in exchange or substitution for, or otherwise with respect to, securities referred to in clauses (i) through (v) by way of reclassification, exchange or otherwise, and (viii) any Common Stock issued or issuable with respect to the securities referred to in the preceding clauses (i) through (vii) by way of a stock dividend or stock split or in connection with a combination of shares, recapitalization, merger, consolidation or other reorganization. As to any particular Registrable Securities, such securities shall cease to be Registrable Securities when they have been sold or distributed to the public pursuant to an offering registered under the Securities Act or sold to the public through a broker, dealer or market maker in compliance with Rule 144 following the consummation of the Mergers or repurchased by Pubco or any of its subsidiaries.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9" w:name="page290"/>
    <w:bookmarkEnd w:id="289"/>
    <w:p>
      <w:pPr>
        <w:jc w:val="both"/>
        <w:ind w:firstLine="1143"/>
        <w:spacing w:after="0" w:line="258" w:lineRule="auto"/>
        <w:tabs>
          <w:tab w:leader="none" w:pos="134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any registration statement filed by Pubco with the Commission in compliance with the Securities Act and the rules and regulations promulgated thereunder for a public offering and sale of Common Stock or Registrable Securities,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64" w:lineRule="exact"/>
        <w:rPr>
          <w:rFonts w:ascii="Arial" w:cs="Arial" w:eastAsia="Arial" w:hAnsi="Arial"/>
          <w:sz w:val="16"/>
          <w:szCs w:val="16"/>
          <w:color w:val="auto"/>
        </w:rPr>
      </w:pPr>
    </w:p>
    <w:p>
      <w:pPr>
        <w:ind w:right="20" w:firstLine="1143"/>
        <w:spacing w:after="0" w:line="275" w:lineRule="auto"/>
        <w:tabs>
          <w:tab w:leader="none" w:pos="139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w:t>
      </w:r>
      <w:r>
        <w:rPr>
          <w:rFonts w:ascii="Arial" w:cs="Arial" w:eastAsia="Arial" w:hAnsi="Arial"/>
          <w:sz w:val="16"/>
          <w:szCs w:val="16"/>
          <w:u w:val="single" w:color="auto"/>
          <w:color w:val="auto"/>
        </w:rPr>
        <w:t>Rule 405</w:t>
      </w:r>
      <w:r>
        <w:rPr>
          <w:rFonts w:ascii="Arial" w:cs="Arial" w:eastAsia="Arial" w:hAnsi="Arial"/>
          <w:sz w:val="16"/>
          <w:szCs w:val="16"/>
          <w:color w:val="auto"/>
        </w:rPr>
        <w:t>” and “</w:t>
      </w:r>
      <w:r>
        <w:rPr>
          <w:rFonts w:ascii="Arial" w:cs="Arial" w:eastAsia="Arial" w:hAnsi="Arial"/>
          <w:sz w:val="16"/>
          <w:szCs w:val="16"/>
          <w:u w:val="single" w:color="auto"/>
          <w:color w:val="auto"/>
        </w:rPr>
        <w:t>Rule 415</w:t>
      </w:r>
      <w:r>
        <w:rPr>
          <w:rFonts w:ascii="Arial" w:cs="Arial" w:eastAsia="Arial" w:hAnsi="Arial"/>
          <w:sz w:val="16"/>
          <w:szCs w:val="16"/>
          <w:color w:val="auto"/>
        </w:rPr>
        <w:t>” mean, in each case, such rule promulgated under the Securities Act (or any successor provision) by the Commission, as the same shall be amended from time to time, or any successor rule then in force.</w:t>
      </w:r>
    </w:p>
    <w:p>
      <w:pPr>
        <w:spacing w:after="0" w:line="151" w:lineRule="exact"/>
        <w:rPr>
          <w:rFonts w:ascii="Arial" w:cs="Arial" w:eastAsia="Arial" w:hAnsi="Arial"/>
          <w:sz w:val="16"/>
          <w:szCs w:val="16"/>
          <w:color w:val="auto"/>
        </w:rPr>
      </w:pPr>
    </w:p>
    <w:p>
      <w:pPr>
        <w:ind w:right="20" w:firstLine="1143"/>
        <w:spacing w:after="0" w:line="275" w:lineRule="auto"/>
        <w:tabs>
          <w:tab w:leader="none" w:pos="137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 or any successor federal law then in force, together with all rules and regulations promulgated thereunder.</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40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Participant</w:t>
      </w:r>
      <w:r>
        <w:rPr>
          <w:rFonts w:ascii="Arial" w:cs="Arial" w:eastAsia="Arial" w:hAnsi="Arial"/>
          <w:sz w:val="16"/>
          <w:szCs w:val="16"/>
          <w:color w:val="auto"/>
        </w:rPr>
        <w:t>” means any holder of Registrable Securities listed as a potential selling stockholder in connection with the Resale Shelf Registration Statement or the Shelf Registration or any such holder that could be added to such Resale Shelf Registration Statement or Shelf Registration without the need for a post-effective amendment thereto or added by means of an automatic post-effective amendment thereto.</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1"/>
          <w:numId w:val="29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WKSI</w:t>
      </w:r>
      <w:r>
        <w:rPr>
          <w:rFonts w:ascii="Arial" w:cs="Arial" w:eastAsia="Arial" w:hAnsi="Arial"/>
          <w:sz w:val="16"/>
          <w:szCs w:val="16"/>
          <w:color w:val="auto"/>
        </w:rPr>
        <w:t>” means a “well-known seasoned issuer” as defined under Rule 405.</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right="20" w:firstLine="1143"/>
        <w:spacing w:after="0" w:line="275" w:lineRule="auto"/>
        <w:tabs>
          <w:tab w:leader="none" w:pos="1364"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Pubco shall not hereafter enter into any agreement with respect to its securities which is inconsistent with or violates or in any way impairs the rights granted to the Investors in this Agreement.</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of the parties hereto with respect to the subject matter hereof and supersedes all prior agreements, understandings, negotiations and discussions among the parties hereto, written or oral, with respect to the subject matter hereof, and amends and restates the Prior Agreement its entirety.</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64" w:val="left"/>
        </w:tabs>
        <w:numPr>
          <w:ilvl w:val="1"/>
          <w:numId w:val="298"/>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Any Person having rights under any provision of this Agreement shall be entitled to enforce such rights specifically (without posting a bond or other security), to recover damages caused by reason of any breach of any provision of this Agreement and to exercise all other rights granted by law. The parties hereto agree and acknowledge that money damages would not be an adequate remedy for any breach of the provisions of this Agreement and that, in addition to any other rights and remedies existing in its favor,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55" w:lineRule="exact"/>
        <w:rPr>
          <w:rFonts w:ascii="Arial" w:cs="Arial" w:eastAsia="Arial" w:hAnsi="Arial"/>
          <w:sz w:val="15"/>
          <w:szCs w:val="15"/>
          <w:color w:val="auto"/>
        </w:rPr>
      </w:pPr>
    </w:p>
    <w:p>
      <w:pPr>
        <w:jc w:val="both"/>
        <w:ind w:firstLine="1143"/>
        <w:spacing w:after="0" w:line="273" w:lineRule="auto"/>
        <w:tabs>
          <w:tab w:leader="none" w:pos="1373" w:val="left"/>
        </w:tabs>
        <w:numPr>
          <w:ilvl w:val="1"/>
          <w:numId w:val="298"/>
        </w:numPr>
        <w:rPr>
          <w:rFonts w:ascii="Arial" w:cs="Arial" w:eastAsia="Arial" w:hAnsi="Arial"/>
          <w:sz w:val="15"/>
          <w:szCs w:val="15"/>
          <w:color w:val="auto"/>
        </w:rPr>
      </w:pPr>
      <w:r>
        <w:rPr>
          <w:rFonts w:ascii="Arial" w:cs="Arial" w:eastAsia="Arial" w:hAnsi="Arial"/>
          <w:sz w:val="15"/>
          <w:szCs w:val="15"/>
          <w:u w:val="single" w:color="auto"/>
          <w:color w:val="auto"/>
        </w:rPr>
        <w:t>Amendments and Waivers</w:t>
      </w:r>
      <w:r>
        <w:rPr>
          <w:rFonts w:ascii="Arial" w:cs="Arial" w:eastAsia="Arial" w:hAnsi="Arial"/>
          <w:sz w:val="15"/>
          <w:szCs w:val="15"/>
          <w:color w:val="auto"/>
        </w:rPr>
        <w:t xml:space="preserve">. Except as otherwise provided herein, the provisions of this Agreement may be amended or waived only with the prior written consent of Pubco and the holders of a majority of the Registrable Securities then outstanding; provided, that such majority shall include the Majority Presto Investors for so long as the Presto Investors hold at least 5% of the outstanding Common Stock on the date of such amendment or waiver,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no amendment may materially and disproportionately adversely affect the rights of any holder of Registrable Securities compared to other holders of Registrable Securities without the consent of such adversely affected holder. Any amendment or waiver effected in accordance with this </w:t>
      </w:r>
      <w:r>
        <w:rPr>
          <w:rFonts w:ascii="Arial" w:cs="Arial" w:eastAsia="Arial" w:hAnsi="Arial"/>
          <w:sz w:val="15"/>
          <w:szCs w:val="15"/>
          <w:u w:val="single" w:color="auto"/>
          <w:color w:val="auto"/>
        </w:rPr>
        <w:t>Section 12(d)</w:t>
      </w:r>
      <w:r>
        <w:rPr>
          <w:rFonts w:ascii="Arial" w:cs="Arial" w:eastAsia="Arial" w:hAnsi="Arial"/>
          <w:sz w:val="15"/>
          <w:szCs w:val="15"/>
          <w:color w:val="auto"/>
        </w:rPr>
        <w:t xml:space="preserve"> shall be binding upon each Investor and Pubco. The failure of any party to enforce any of the provisions of this Agreement shall in no way be construed as a waiver of such provisions and shall not affect the right of such party thereafter to enforce each and every provision of this Agreement in accordance with its terms.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0" w:name="page291"/>
    <w:bookmarkEnd w:id="290"/>
    <w:p>
      <w:pPr>
        <w:jc w:val="both"/>
        <w:ind w:firstLine="1143"/>
        <w:spacing w:after="0" w:line="276" w:lineRule="auto"/>
        <w:tabs>
          <w:tab w:leader="none" w:pos="1364"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All covenants and agreements in this Agreement by or on behalf of any of the parties hereto shall bind and inure to the benefit of the respective successors and permitted assigns of the parties hereto whether so expressed or not. In addition, whether or not any express assignment has been made, the provisions of this Agreement which are for the benefit of purchasers or holders of Registrable Securities are also for the benefit of, and enforceable by, any subsequent holder of Registrable Securities and any subsequent holder of securities that are convertible into, or exercisable or exchangeable for, Registrable Securities. Pubco shall not assign its obligations hereunder without the prior written consent of the holders of a majority of the Registrable Securities then outstanding.</w:t>
      </w:r>
    </w:p>
    <w:p>
      <w:pPr>
        <w:spacing w:after="0" w:line="155" w:lineRule="exact"/>
        <w:rPr>
          <w:rFonts w:ascii="Arial" w:cs="Arial" w:eastAsia="Arial" w:hAnsi="Arial"/>
          <w:sz w:val="15"/>
          <w:szCs w:val="15"/>
          <w:color w:val="auto"/>
        </w:rPr>
      </w:pPr>
    </w:p>
    <w:p>
      <w:pPr>
        <w:jc w:val="both"/>
        <w:ind w:firstLine="1143"/>
        <w:spacing w:after="0" w:line="291" w:lineRule="auto"/>
        <w:tabs>
          <w:tab w:leader="none" w:pos="1370" w:val="left"/>
        </w:tabs>
        <w:numPr>
          <w:ilvl w:val="0"/>
          <w:numId w:val="299"/>
        </w:numPr>
        <w:rPr>
          <w:rFonts w:ascii="Arial" w:cs="Arial" w:eastAsia="Arial" w:hAnsi="Arial"/>
          <w:sz w:val="14"/>
          <w:szCs w:val="14"/>
          <w:color w:val="auto"/>
        </w:rPr>
      </w:pPr>
      <w:r>
        <w:rPr>
          <w:rFonts w:ascii="Arial" w:cs="Arial" w:eastAsia="Arial" w:hAnsi="Arial"/>
          <w:sz w:val="14"/>
          <w:szCs w:val="14"/>
          <w:u w:val="single" w:color="auto"/>
          <w:color w:val="auto"/>
        </w:rPr>
        <w:t>Transfer of Rights</w:t>
      </w:r>
      <w:r>
        <w:rPr>
          <w:rFonts w:ascii="Arial" w:cs="Arial" w:eastAsia="Arial" w:hAnsi="Arial"/>
          <w:sz w:val="14"/>
          <w:szCs w:val="14"/>
          <w:color w:val="auto"/>
        </w:rPr>
        <w:t xml:space="preserve">. An Investor may transfer or assign, in whole or from time to time in part, to one or more Permitted Transferees, its rights and obligations under this Agreement and such rights will be transferred to such transferee effective upon receipt by Pubco of (A) written notice from such Investor stating the name and address of the transferee and identifying the number of Registrable Securities with respect to which rights under this Agreement are being transferred and the nature of the rights so transferred, and (B) except in the case of a transfer to an existing Investor, a written agreement from such transferee to be bound by the terms of this Agreement. A transferee of Registrable Securities who satisfies the conditions set forth in this </w:t>
      </w:r>
      <w:r>
        <w:rPr>
          <w:rFonts w:ascii="Arial" w:cs="Arial" w:eastAsia="Arial" w:hAnsi="Arial"/>
          <w:sz w:val="14"/>
          <w:szCs w:val="14"/>
          <w:u w:val="single" w:color="auto"/>
          <w:color w:val="auto"/>
        </w:rPr>
        <w:t>Section 12(f)</w:t>
      </w:r>
      <w:r>
        <w:rPr>
          <w:rFonts w:ascii="Arial" w:cs="Arial" w:eastAsia="Arial" w:hAnsi="Arial"/>
          <w:sz w:val="14"/>
          <w:szCs w:val="14"/>
          <w:color w:val="auto"/>
        </w:rPr>
        <w:t xml:space="preserve"> shall henceforth be an “Investor” for purposes of this Agreement and in the case of a transfer from a Presto Investor, [***] Investor or the Sponsors, a transferee shall be considered a Presto Investor, a [***] Investor or a Sponsor as shall be applicable. In the event a holder transfers Registrable Securities included on a Registration Statement and such Registrable Securities remain Registrable Securities following such transfer, at the request of such holder, Pubco shall use its reasonable best efforts to amend or supplement the Resale Shelf Registration Statement as may be necessary in order to enable such transferee to offer and sell such Registrable Securities pursuant to such Resale Shelf Registration Statement; provided that in no event shall Pubco be required to file a post-effective amendment to the Resale Shelf Registration Statement unless Pubco receives a written request from the subsequent transferee, requesting that its shares of Common Stock be included in the Resale Shelf Registration Statement, with all information reasonably requested by Pubco.</w:t>
      </w:r>
    </w:p>
    <w:p>
      <w:pPr>
        <w:spacing w:after="0" w:line="147" w:lineRule="exact"/>
        <w:rPr>
          <w:rFonts w:ascii="Arial" w:cs="Arial" w:eastAsia="Arial" w:hAnsi="Arial"/>
          <w:sz w:val="14"/>
          <w:szCs w:val="14"/>
          <w:color w:val="auto"/>
        </w:rPr>
      </w:pPr>
    </w:p>
    <w:p>
      <w:pPr>
        <w:jc w:val="both"/>
        <w:ind w:firstLine="1143"/>
        <w:spacing w:after="0" w:line="287" w:lineRule="auto"/>
        <w:tabs>
          <w:tab w:leader="none" w:pos="1373"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Whenever possible, each provision of this Agreement shall be interpreted in such manner as to be effective and valid under applicable law, but if any provision of this Agreement is held to be prohibited by or invalid, illegal or unenforceable in any respect under any applicable law, such provision shall be ineffective only to the extent of such prohibition, invalidity, illegality or unenforceability, without invalidating the remainder of this Agreement.</w:t>
      </w:r>
    </w:p>
    <w:p>
      <w:pPr>
        <w:spacing w:after="0" w:line="146" w:lineRule="exact"/>
        <w:rPr>
          <w:rFonts w:ascii="Arial" w:cs="Arial" w:eastAsia="Arial" w:hAnsi="Arial"/>
          <w:sz w:val="15"/>
          <w:szCs w:val="15"/>
          <w:color w:val="auto"/>
        </w:rPr>
      </w:pPr>
    </w:p>
    <w:p>
      <w:pPr>
        <w:jc w:val="both"/>
        <w:ind w:firstLine="1143"/>
        <w:spacing w:after="0" w:line="262" w:lineRule="auto"/>
        <w:tabs>
          <w:tab w:leader="none" w:pos="1385"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simultaneously in counterparts (including by means of facsimile, electronic mail, portable data format (PDF) or other electronic signature pages), any one of which need not contain the signatures of more than one party, but all such counterparts taken together shall constitute one and the same Agreement.</w:t>
      </w:r>
    </w:p>
    <w:p>
      <w:pPr>
        <w:spacing w:after="0" w:line="162" w:lineRule="exact"/>
        <w:rPr>
          <w:rFonts w:ascii="Arial" w:cs="Arial" w:eastAsia="Arial" w:hAnsi="Arial"/>
          <w:sz w:val="16"/>
          <w:szCs w:val="16"/>
          <w:color w:val="auto"/>
        </w:rPr>
      </w:pPr>
    </w:p>
    <w:p>
      <w:pPr>
        <w:jc w:val="both"/>
        <w:ind w:right="20" w:firstLine="1143"/>
        <w:spacing w:after="0" w:line="280" w:lineRule="auto"/>
        <w:tabs>
          <w:tab w:leader="none" w:pos="1349"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t>Descriptive Headings; Interpretation</w:t>
      </w:r>
      <w:r>
        <w:rPr>
          <w:rFonts w:ascii="Arial" w:cs="Arial" w:eastAsia="Arial" w:hAnsi="Arial"/>
          <w:sz w:val="15"/>
          <w:szCs w:val="15"/>
          <w:color w:val="auto"/>
        </w:rPr>
        <w:t>. The descriptive headings of this Agreement are inserted for convenience only and do not constitute a part of this Agreement. Unless the context otherwise required: (i) the use of the word “including” herein shall mean “including without limitation,” (ii) all references to Sections, Schedules or Exhibits are to Sections, Schedules or Exhibits contained in or attached to this Agreement, and (iii) words in the singular or plural include the singular and plural, and pronouns stated in either the masculine, the feminine or neuter gender shall include the masculine, feminine and neuter.</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337"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1" w:name="page292"/>
    <w:bookmarkEnd w:id="291"/>
    <w:p>
      <w:pPr>
        <w:jc w:val="both"/>
        <w:ind w:firstLine="1143"/>
        <w:spacing w:after="0" w:line="258" w:lineRule="auto"/>
        <w:tabs>
          <w:tab w:leader="none" w:pos="1373"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demands or other communications to be given or delivered under or by reason of the provisions of this Agreement shall be in writing and shall be given (and shall be deemed to have been duly given upon receipt) by delivery in person, by or email or by registered or certified mail (postage prepaid, return receipt requested) to each Investor at the address indicated on the Schedule of Investors attached hereto and to Pubco at the address indicated below (or at such other address as shall be specified in a notice given in accordance with this </w:t>
      </w:r>
      <w:r>
        <w:rPr>
          <w:rFonts w:ascii="Arial" w:cs="Arial" w:eastAsia="Arial" w:hAnsi="Arial"/>
          <w:sz w:val="16"/>
          <w:szCs w:val="16"/>
          <w:u w:val="single" w:color="auto"/>
          <w:color w:val="auto"/>
        </w:rPr>
        <w:t>Section 12(k)</w:t>
      </w:r>
      <w:r>
        <w:rPr>
          <w:rFonts w:ascii="Arial" w:cs="Arial" w:eastAsia="Arial" w:hAnsi="Arial"/>
          <w:sz w:val="16"/>
          <w:szCs w:val="16"/>
          <w:color w:val="auto"/>
        </w:rPr>
        <w:t>):</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 La Carte, Inc. d/b/a Presto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810 Hamilton St.</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raj@presto.com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Rajat Suri</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cdiamond@whitecase.com</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laurakatherine.mann@whitecase.com</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emery.choi@whitecase.com</w:t>
      </w:r>
    </w:p>
    <w:p>
      <w:pPr>
        <w:spacing w:after="0" w:line="7" w:lineRule="exact"/>
        <w:rPr>
          <w:sz w:val="20"/>
          <w:szCs w:val="20"/>
          <w:color w:val="auto"/>
        </w:rPr>
      </w:pPr>
    </w:p>
    <w:p>
      <w:pPr>
        <w:ind w:left="1140"/>
        <w:spacing w:after="0"/>
        <w:tabs>
          <w:tab w:leader="none" w:pos="202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Colin Diamond</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Laura Katherine Mann</w:t>
      </w:r>
    </w:p>
    <w:p>
      <w:pPr>
        <w:spacing w:after="0" w:line="7"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Emery Choi</w:t>
      </w:r>
    </w:p>
    <w:p>
      <w:pPr>
        <w:spacing w:after="0" w:line="186" w:lineRule="exact"/>
        <w:rPr>
          <w:sz w:val="20"/>
          <w:szCs w:val="20"/>
          <w:color w:val="auto"/>
        </w:rPr>
      </w:pPr>
    </w:p>
    <w:p>
      <w:pPr>
        <w:jc w:val="both"/>
        <w:ind w:firstLine="1143"/>
        <w:spacing w:after="0" w:line="258" w:lineRule="auto"/>
        <w:tabs>
          <w:tab w:leader="none" w:pos="1349"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Mutual Waiver of Jury Trial</w:t>
      </w:r>
      <w:r>
        <w:rPr>
          <w:rFonts w:ascii="Arial" w:cs="Arial" w:eastAsia="Arial" w:hAnsi="Arial"/>
          <w:sz w:val="16"/>
          <w:szCs w:val="16"/>
          <w:color w:val="auto"/>
        </w:rPr>
        <w:t>. As a specifically bargained inducement for each of the parties to enter into this Agreement (with each party having had opportunity to consult counsel), each party hereto expressly and irrevocably waives the right to trial by jury in any lawsuit or legal proceeding relating to or arising in any way from this Agreement or the transactions contemplated herein, and any lawsuit or legal proceeding relating to or arising in any way to this Agreement or the transactions contemplated herein shall be tried in a court of competent jurisdiction by a judge sitting without a jury.</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429"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62" w:lineRule="exact"/>
        <w:rPr>
          <w:rFonts w:ascii="Arial" w:cs="Arial" w:eastAsia="Arial" w:hAnsi="Arial"/>
          <w:sz w:val="16"/>
          <w:szCs w:val="16"/>
          <w:color w:val="auto"/>
        </w:rPr>
      </w:pPr>
    </w:p>
    <w:p>
      <w:pPr>
        <w:ind w:left="5340"/>
        <w:spacing w:after="0"/>
        <w:rPr>
          <w:rFonts w:ascii="Arial" w:cs="Arial" w:eastAsia="Arial" w:hAnsi="Arial"/>
          <w:sz w:val="16"/>
          <w:szCs w:val="16"/>
          <w:color w:val="auto"/>
        </w:rPr>
      </w:pPr>
      <w:r>
        <w:rPr>
          <w:rFonts w:ascii="Arial" w:cs="Arial" w:eastAsia="Arial" w:hAnsi="Arial"/>
          <w:sz w:val="16"/>
          <w:szCs w:val="16"/>
          <w:color w:val="auto"/>
        </w:rPr>
        <w:t>* * * * *</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color w:val="auto"/>
        </w:rPr>
        <w:t>IN WITNESS WHEREOF, the parties hereto have executed this Amended and Restated Registration Rights Agreement as of the date first written above.</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INVESTORS:</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VENTOUX ACQUISITION HOLDINGS LLC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CHARDAN INTERNATIONAL INVESTMENTS, LLC</w:t>
      </w:r>
    </w:p>
    <w:p>
      <w:pPr>
        <w:spacing w:after="0" w:line="210"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820"/>
          </w:cols>
          <w:pgMar w:left="880" w:top="820" w:right="1199" w:bottom="1440" w:gutter="0" w:footer="0" w:header="0"/>
        </w:sectPr>
      </w:pPr>
    </w:p>
    <w:bookmarkStart w:id="293" w:name="page294"/>
    <w:bookmarkEnd w:id="293"/>
    <w:p>
      <w:pPr>
        <w:ind w:left="5640"/>
        <w:spacing w:after="0"/>
        <w:rPr>
          <w:sz w:val="20"/>
          <w:szCs w:val="20"/>
          <w:color w:val="auto"/>
        </w:rPr>
      </w:pPr>
      <w:r>
        <w:rPr>
          <w:rFonts w:ascii="Arial" w:cs="Arial" w:eastAsia="Arial" w:hAnsi="Arial"/>
          <w:sz w:val="16"/>
          <w:szCs w:val="16"/>
          <w:color w:val="auto"/>
        </w:rPr>
        <w:t>CINDAT USA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BLIND 1212, LLC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JULIE ATKINSON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CHRISTIAN AHRENS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ROMULUS CAPITAL 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ROMULUS CAPITAL III,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ROMULUS ELC B3 SPECIAL OPPORTUNITY, L.P.</w:t>
      </w:r>
    </w:p>
    <w:p>
      <w:pPr>
        <w:spacing w:after="0" w:line="3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4445</wp:posOffset>
            </wp:positionV>
            <wp:extent cx="249682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120"/>
          </w:cols>
          <w:pgMar w:left="1440" w:top="1059" w:right="1339" w:bottom="1440" w:gutter="0" w:footer="0" w:header="0"/>
        </w:sectPr>
      </w:pPr>
    </w:p>
    <w:bookmarkStart w:id="294" w:name="page295"/>
    <w:bookmarkEnd w:id="294"/>
    <w:p>
      <w:pPr>
        <w:ind w:left="5640"/>
        <w:spacing w:after="0"/>
        <w:rPr>
          <w:sz w:val="20"/>
          <w:szCs w:val="20"/>
          <w:color w:val="auto"/>
        </w:rPr>
      </w:pPr>
      <w:r>
        <w:rPr>
          <w:rFonts w:ascii="Arial" w:cs="Arial" w:eastAsia="Arial" w:hAnsi="Arial"/>
          <w:sz w:val="16"/>
          <w:szCs w:val="16"/>
          <w:color w:val="auto"/>
        </w:rPr>
        <w:t>RAJAT SURI</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ASHISH GUPTA</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DANIEL DREYMAN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WILLIAM HEALEY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DAN MOSHER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KRISHNA GUPTA</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ILYA GOLUBOVICH</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KIM AXEL LOPDRUP</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BLYTHE MCGARVIE</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ED SCHEETZ</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1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GAIL ZAUDER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44" w:right="1440" w:bottom="1440" w:gutter="0" w:footer="0" w:header="0"/>
        </w:sectPr>
      </w:pPr>
    </w:p>
    <w:bookmarkStart w:id="295" w:name="page296"/>
    <w:bookmarkEnd w:id="295"/>
    <w:tbl>
      <w:tblPr>
        <w:tblLayout w:type="fixed"/>
        <w:tblInd w:w="14" w:type="dxa"/>
        <w:tblCellMar>
          <w:top w:w="0" w:type="dxa"/>
          <w:left w:w="0" w:type="dxa"/>
          <w:bottom w:w="0" w:type="dxa"/>
          <w:right w:w="0" w:type="dxa"/>
        </w:tblCellMar>
      </w:tblPr>
      <w:tr>
        <w:trPr>
          <w:trHeight w:val="350"/>
        </w:trPr>
        <w:tc>
          <w:tcPr>
            <w:tcW w:w="2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tcPr>
          <w:p>
            <w:pPr>
              <w:ind w:left="1040"/>
              <w:spacing w:after="0"/>
              <w:rPr>
                <w:sz w:val="20"/>
                <w:szCs w:val="20"/>
                <w:color w:val="auto"/>
              </w:rPr>
            </w:pPr>
            <w:r>
              <w:rPr>
                <w:rFonts w:ascii="Arial" w:cs="Arial" w:eastAsia="Arial" w:hAnsi="Arial"/>
                <w:sz w:val="16"/>
                <w:szCs w:val="16"/>
                <w:b w:val="1"/>
                <w:bCs w:val="1"/>
                <w:color w:val="auto"/>
              </w:rPr>
              <w:t>SCHEDULE OF INVESTORS</w:t>
            </w:r>
            <w:r>
              <w:rPr>
                <w:rFonts w:ascii="Arial" w:cs="Arial" w:eastAsia="Arial" w:hAnsi="Arial"/>
                <w:sz w:val="26"/>
                <w:szCs w:val="26"/>
                <w:b w:val="1"/>
                <w:bCs w:val="1"/>
                <w:color w:val="auto"/>
                <w:vertAlign w:val="superscript"/>
              </w:rPr>
              <w:t>1</w:t>
            </w:r>
          </w:p>
        </w:tc>
      </w:tr>
      <w:tr>
        <w:trPr>
          <w:trHeight w:val="81"/>
        </w:trPr>
        <w:tc>
          <w:tcPr>
            <w:tcW w:w="28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7760" w:type="dxa"/>
            <w:vAlign w:val="bottom"/>
            <w:tcBorders>
              <w:bottom w:val="single" w:sz="8" w:color="auto"/>
            </w:tcBorders>
          </w:tcPr>
          <w:p>
            <w:pPr>
              <w:spacing w:after="0"/>
              <w:rPr>
                <w:sz w:val="7"/>
                <w:szCs w:val="7"/>
                <w:color w:val="auto"/>
              </w:rPr>
            </w:pPr>
          </w:p>
        </w:tc>
      </w:tr>
      <w:tr>
        <w:trPr>
          <w:trHeight w:val="200"/>
        </w:trPr>
        <w:tc>
          <w:tcPr>
            <w:tcW w:w="35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Investor</w:t>
            </w: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b w:val="1"/>
                <w:bCs w:val="1"/>
                <w:color w:val="auto"/>
              </w:rPr>
              <w:t>Address</w:t>
            </w:r>
          </w:p>
        </w:tc>
      </w:tr>
      <w:tr>
        <w:trPr>
          <w:trHeight w:val="127"/>
        </w:trPr>
        <w:tc>
          <w:tcPr>
            <w:tcW w:w="2820" w:type="dxa"/>
            <w:vAlign w:val="bottom"/>
            <w:tcBorders>
              <w:left w:val="single" w:sz="8" w:color="auto"/>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7760" w:type="dxa"/>
            <w:vAlign w:val="bottom"/>
            <w:tcBorders>
              <w:bottom w:val="single" w:sz="8" w:color="auto"/>
              <w:right w:val="single" w:sz="8" w:color="auto"/>
            </w:tcBorders>
          </w:tcPr>
          <w:p>
            <w:pPr>
              <w:spacing w:after="0"/>
              <w:rPr>
                <w:sz w:val="11"/>
                <w:szCs w:val="11"/>
                <w:color w:val="auto"/>
              </w:rPr>
            </w:pPr>
          </w:p>
        </w:tc>
      </w:tr>
      <w:tr>
        <w:trPr>
          <w:trHeight w:val="171"/>
        </w:trPr>
        <w:tc>
          <w:tcPr>
            <w:tcW w:w="3500" w:type="dxa"/>
            <w:vAlign w:val="bottom"/>
            <w:tcBorders>
              <w:left w:val="single" w:sz="8" w:color="auto"/>
              <w:right w:val="single" w:sz="8" w:color="auto"/>
            </w:tcBorders>
            <w:gridSpan w:val="2"/>
          </w:tcPr>
          <w:p>
            <w:pPr>
              <w:ind w:left="100"/>
              <w:spacing w:after="0" w:line="171" w:lineRule="exact"/>
              <w:rPr>
                <w:sz w:val="20"/>
                <w:szCs w:val="20"/>
                <w:color w:val="auto"/>
              </w:rPr>
            </w:pPr>
            <w:r>
              <w:rPr>
                <w:rFonts w:ascii="Arial" w:cs="Arial" w:eastAsia="Arial" w:hAnsi="Arial"/>
                <w:sz w:val="16"/>
                <w:szCs w:val="16"/>
                <w:b w:val="1"/>
                <w:bCs w:val="1"/>
                <w:color w:val="auto"/>
              </w:rPr>
              <w:t>Ventoux Acquisition Holdings LLC</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Ventoux Acquisition Holdings LLC</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211 North Street</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Northampton, MA 01060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Ed Scheetz</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ed@ventouxccm.com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2820" w:type="dxa"/>
            <w:vAlign w:val="bottom"/>
            <w:tcBorders>
              <w:left w:val="single" w:sz="8" w:color="auto"/>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4"/>
        </w:trPr>
        <w:tc>
          <w:tcPr>
            <w:tcW w:w="3500" w:type="dxa"/>
            <w:vAlign w:val="bottom"/>
            <w:tcBorders>
              <w:left w:val="single" w:sz="8" w:color="auto"/>
              <w:right w:val="single" w:sz="8" w:color="auto"/>
            </w:tcBorders>
            <w:gridSpan w:val="2"/>
          </w:tcPr>
          <w:p>
            <w:pPr>
              <w:ind w:left="100"/>
              <w:spacing w:after="0" w:line="175" w:lineRule="exact"/>
              <w:rPr>
                <w:sz w:val="20"/>
                <w:szCs w:val="20"/>
                <w:color w:val="auto"/>
              </w:rPr>
            </w:pPr>
            <w:r>
              <w:rPr>
                <w:rFonts w:ascii="Arial" w:cs="Arial" w:eastAsia="Arial" w:hAnsi="Arial"/>
                <w:sz w:val="16"/>
                <w:szCs w:val="16"/>
                <w:b w:val="1"/>
                <w:bCs w:val="1"/>
                <w:color w:val="auto"/>
              </w:rPr>
              <w:t>Chardan International Investments, LLC</w:t>
            </w:r>
          </w:p>
        </w:tc>
        <w:tc>
          <w:tcPr>
            <w:tcW w:w="77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Chardan International Investments LLC</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80"/>
              <w:spacing w:after="0" w:line="223" w:lineRule="exact"/>
              <w:rPr>
                <w:sz w:val="20"/>
                <w:szCs w:val="20"/>
                <w:color w:val="auto"/>
              </w:rPr>
            </w:pPr>
            <w:r>
              <w:rPr>
                <w:rFonts w:ascii="Arial" w:cs="Arial" w:eastAsia="Arial" w:hAnsi="Arial"/>
                <w:sz w:val="15"/>
                <w:szCs w:val="15"/>
                <w:color w:val="auto"/>
              </w:rPr>
              <w:t>17 State Street 21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Floor</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10004</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282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282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370"/>
        </w:trPr>
        <w:tc>
          <w:tcPr>
            <w:tcW w:w="282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282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2820" w:type="dxa"/>
            <w:vAlign w:val="bottom"/>
            <w:tcBorders>
              <w:left w:val="single" w:sz="8" w:color="auto"/>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211"/>
        </w:trPr>
        <w:tc>
          <w:tcPr>
            <w:tcW w:w="28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760" w:type="dxa"/>
            <w:vAlign w:val="bottom"/>
          </w:tcPr>
          <w:p>
            <w:pPr>
              <w:spacing w:after="0"/>
              <w:rPr>
                <w:sz w:val="18"/>
                <w:szCs w:val="18"/>
                <w:color w:val="auto"/>
              </w:rPr>
            </w:pPr>
          </w:p>
        </w:tc>
      </w:tr>
    </w:tbl>
    <w:p>
      <w:pPr>
        <w:ind w:left="104" w:hanging="104"/>
        <w:spacing w:after="0" w:line="191" w:lineRule="auto"/>
        <w:tabs>
          <w:tab w:leader="none" w:pos="104" w:val="left"/>
        </w:tabs>
        <w:numPr>
          <w:ilvl w:val="0"/>
          <w:numId w:val="302"/>
        </w:numPr>
        <w:rPr>
          <w:rFonts w:ascii="Arial" w:cs="Arial" w:eastAsia="Arial" w:hAnsi="Arial"/>
          <w:sz w:val="27"/>
          <w:szCs w:val="27"/>
          <w:color w:val="auto"/>
          <w:vertAlign w:val="superscript"/>
        </w:rPr>
      </w:pPr>
      <w:r>
        <w:rPr>
          <w:rFonts w:ascii="Arial" w:cs="Arial" w:eastAsia="Arial" w:hAnsi="Arial"/>
          <w:sz w:val="19"/>
          <w:szCs w:val="19"/>
          <w:b w:val="1"/>
          <w:bCs w:val="1"/>
          <w:u w:val="single" w:color="auto"/>
          <w:color w:val="auto"/>
        </w:rPr>
        <w:t>Note to Draft:</w:t>
      </w:r>
      <w:r>
        <w:rPr>
          <w:rFonts w:ascii="Arial" w:cs="Arial" w:eastAsia="Arial" w:hAnsi="Arial"/>
          <w:sz w:val="19"/>
          <w:szCs w:val="19"/>
          <w:b w:val="1"/>
          <w:bCs w:val="1"/>
          <w:color w:val="auto"/>
        </w:rPr>
        <w:t xml:space="preserve"> </w:t>
      </w:r>
      <w:r>
        <w:rPr>
          <w:rFonts w:ascii="Arial" w:cs="Arial" w:eastAsia="Arial" w:hAnsi="Arial"/>
          <w:sz w:val="19"/>
          <w:szCs w:val="19"/>
          <w:color w:val="auto"/>
        </w:rPr>
        <w:t>W&amp;C to confirm Presto D&amp;O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148195"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96" w:name="page297"/>
    <w:bookmarkEnd w:id="296"/>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Cindat USA LLC</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Cindat USA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Seagram Building, 375 Park Avenue #3703</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10152</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Blind 1212, LLC</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Blind 1212,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Julie Atkinson</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Christian Ahrens</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11260"/>
          </w:cols>
          <w:pgMar w:left="320" w:top="836" w:right="319" w:bottom="1440" w:gutter="0" w:footer="0" w:header="0"/>
        </w:sectPr>
      </w:pPr>
    </w:p>
    <w:bookmarkStart w:id="297" w:name="page298"/>
    <w:bookmarkEnd w:id="2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Romulus Capital II, L.P.</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Romulus Capital III, L.P.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Romulus ELC B3 Special Opportunity, L.P.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Krishna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krishnakgupta20@gmail.com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Rajat Suri</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Rajat Suri</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raj@presto.com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836" w:right="319" w:bottom="1440" w:gutter="0" w:footer="0" w:header="0"/>
        </w:sectPr>
      </w:pPr>
    </w:p>
    <w:bookmarkStart w:id="298" w:name="page299"/>
    <w:bookmarkEnd w:id="2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Ashish Gupta</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Ashish Gupta</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ashish@presto.com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Daniel Dreyman</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William Healey</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Dan Mosher</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4</w:t>
            </w:r>
          </w:p>
        </w:tc>
      </w:tr>
    </w:tbl>
    <w:p>
      <w:pPr>
        <w:sectPr>
          <w:pgSz w:w="11900" w:h="16838" w:orient="portrait"/>
          <w:cols w:equalWidth="0" w:num="1">
            <w:col w:w="11260"/>
          </w:cols>
          <w:pgMar w:left="320" w:top="836" w:right="319" w:bottom="1440" w:gutter="0" w:footer="0" w:header="0"/>
        </w:sectPr>
      </w:pPr>
    </w:p>
    <w:bookmarkStart w:id="299" w:name="page300"/>
    <w:bookmarkEnd w:id="2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Krishna Gupta</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Ilya Golubovich</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Kim Axel Lopdrup</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Blythe McGarvie</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93"/>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260"/>
          </w:cols>
          <w:pgMar w:left="320" w:top="837" w:right="319" w:bottom="1440" w:gutter="0" w:footer="0" w:header="0"/>
        </w:sectPr>
      </w:pPr>
    </w:p>
    <w:bookmarkStart w:id="300" w:name="page301"/>
    <w:bookmarkEnd w:id="3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Ed Scheetz</w:t>
            </w:r>
          </w:p>
        </w:tc>
        <w:tc>
          <w:tcPr>
            <w:tcW w:w="77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Ventoux Acquisition Holdings LLC</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211 North Street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Northampton, MA 01060</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Ed Scheetz</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ed@ventouxccm.com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Dentons LLP</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1221 Avenue of the Americas</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New York, NY 10020</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Brian Lee</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brian.lee@dentons.com</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Woolery &amp; Co.</w:t>
            </w:r>
          </w:p>
        </w:tc>
      </w:tr>
      <w:tr>
        <w:trPr>
          <w:trHeight w:val="195"/>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 Pier 76</w:t>
            </w:r>
          </w:p>
        </w:tc>
      </w:tr>
      <w:tr>
        <w:trPr>
          <w:trHeight w:val="223"/>
        </w:trPr>
        <w:tc>
          <w:tcPr>
            <w:tcW w:w="3500" w:type="dxa"/>
            <w:vAlign w:val="bottom"/>
            <w:tcBorders>
              <w:left w:val="single" w:sz="8" w:color="auto"/>
              <w:right w:val="single" w:sz="8" w:color="auto"/>
            </w:tcBorders>
          </w:tcPr>
          <w:p>
            <w:pPr>
              <w:spacing w:after="0"/>
              <w:rPr>
                <w:sz w:val="19"/>
                <w:szCs w:val="19"/>
                <w:color w:val="auto"/>
              </w:rPr>
            </w:pPr>
          </w:p>
        </w:tc>
        <w:tc>
          <w:tcPr>
            <w:tcW w:w="776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15"/>
                <w:szCs w:val="15"/>
                <w:color w:val="auto"/>
              </w:rPr>
              <w:t>408 12</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Ave</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New York, NY 10018</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Attn: Matthew J. Saur</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mathew@wooleryco.com</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171"/>
        </w:trPr>
        <w:tc>
          <w:tcPr>
            <w:tcW w:w="35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b w:val="1"/>
                <w:bCs w:val="1"/>
                <w:color w:val="auto"/>
              </w:rPr>
              <w:t>Gail Zauder</w:t>
            </w:r>
          </w:p>
        </w:tc>
        <w:tc>
          <w:tcPr>
            <w:tcW w:w="776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382"/>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with a copy (which shall not constitute notice) to:</w:t>
            </w:r>
          </w:p>
        </w:tc>
      </w:tr>
      <w:tr>
        <w:trPr>
          <w:trHeight w:val="370"/>
        </w:trPr>
        <w:tc>
          <w:tcPr>
            <w:tcW w:w="3500" w:type="dxa"/>
            <w:vAlign w:val="bottom"/>
            <w:tcBorders>
              <w:left w:val="single" w:sz="8" w:color="auto"/>
              <w:right w:val="single" w:sz="8" w:color="auto"/>
            </w:tcBorders>
          </w:tcPr>
          <w:p>
            <w:pPr>
              <w:spacing w:after="0"/>
              <w:rPr>
                <w:sz w:val="24"/>
                <w:szCs w:val="24"/>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t>
            </w:r>
          </w:p>
        </w:tc>
      </w:tr>
      <w:tr>
        <w:trPr>
          <w:trHeight w:val="191"/>
        </w:trPr>
        <w:tc>
          <w:tcPr>
            <w:tcW w:w="3500" w:type="dxa"/>
            <w:vAlign w:val="bottom"/>
            <w:tcBorders>
              <w:left w:val="single" w:sz="8" w:color="auto"/>
              <w:right w:val="single" w:sz="8" w:color="auto"/>
            </w:tcBorders>
          </w:tcPr>
          <w:p>
            <w:pPr>
              <w:spacing w:after="0"/>
              <w:rPr>
                <w:sz w:val="16"/>
                <w:szCs w:val="16"/>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Attn: [●]</w:t>
            </w:r>
          </w:p>
        </w:tc>
      </w:tr>
      <w:tr>
        <w:trPr>
          <w:trHeight w:val="204"/>
        </w:trPr>
        <w:tc>
          <w:tcPr>
            <w:tcW w:w="3500" w:type="dxa"/>
            <w:vAlign w:val="bottom"/>
            <w:tcBorders>
              <w:left w:val="single" w:sz="8" w:color="auto"/>
              <w:right w:val="single" w:sz="8" w:color="auto"/>
            </w:tcBorders>
          </w:tcPr>
          <w:p>
            <w:pPr>
              <w:spacing w:after="0"/>
              <w:rPr>
                <w:sz w:val="17"/>
                <w:szCs w:val="17"/>
                <w:color w:val="auto"/>
              </w:rPr>
            </w:pPr>
          </w:p>
        </w:tc>
        <w:tc>
          <w:tcPr>
            <w:tcW w:w="7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E-mail: [●]</w:t>
            </w:r>
          </w:p>
        </w:tc>
      </w:tr>
      <w:tr>
        <w:trPr>
          <w:trHeight w:val="191"/>
        </w:trPr>
        <w:tc>
          <w:tcPr>
            <w:tcW w:w="3500" w:type="dxa"/>
            <w:vAlign w:val="bottom"/>
            <w:tcBorders>
              <w:left w:val="single" w:sz="8" w:color="auto"/>
              <w:bottom w:val="single" w:sz="8" w:color="auto"/>
              <w:right w:val="single" w:sz="8" w:color="auto"/>
            </w:tcBorders>
          </w:tcPr>
          <w:p>
            <w:pPr>
              <w:spacing w:after="0"/>
              <w:rPr>
                <w:sz w:val="16"/>
                <w:szCs w:val="16"/>
                <w:color w:val="auto"/>
              </w:rPr>
            </w:pPr>
          </w:p>
        </w:tc>
        <w:tc>
          <w:tcPr>
            <w:tcW w:w="7760" w:type="dxa"/>
            <w:vAlign w:val="bottom"/>
            <w:tcBorders>
              <w:bottom w:val="single" w:sz="8" w:color="auto"/>
              <w:right w:val="single" w:sz="8" w:color="auto"/>
            </w:tcBorders>
          </w:tcPr>
          <w:p>
            <w:pPr>
              <w:spacing w:after="0"/>
              <w:rPr>
                <w:sz w:val="16"/>
                <w:szCs w:val="16"/>
                <w:color w:val="auto"/>
              </w:rPr>
            </w:pPr>
          </w:p>
        </w:tc>
      </w:tr>
      <w:tr>
        <w:trPr>
          <w:trHeight w:val="569"/>
        </w:trPr>
        <w:tc>
          <w:tcPr>
            <w:tcW w:w="350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6</w:t>
            </w:r>
          </w:p>
        </w:tc>
      </w:tr>
    </w:tbl>
    <w:p>
      <w:pPr>
        <w:sectPr>
          <w:pgSz w:w="11900" w:h="16838" w:orient="portrait"/>
          <w:cols w:equalWidth="0" w:num="1">
            <w:col w:w="11260"/>
          </w:cols>
          <w:pgMar w:left="320" w:top="836" w:right="319" w:bottom="1440" w:gutter="0" w:footer="0" w:header="0"/>
        </w:sectPr>
      </w:pPr>
    </w:p>
    <w:bookmarkStart w:id="301" w:name="page302"/>
    <w:bookmarkEnd w:id="301"/>
    <w:p>
      <w:pPr>
        <w:jc w:val="center"/>
        <w:ind w:right="20"/>
        <w:spacing w:after="0"/>
        <w:rPr>
          <w:sz w:val="20"/>
          <w:szCs w:val="20"/>
          <w:color w:val="auto"/>
        </w:rPr>
      </w:pPr>
      <w:r>
        <w:rPr>
          <w:rFonts w:ascii="Arial" w:cs="Arial" w:eastAsia="Arial" w:hAnsi="Arial"/>
          <w:sz w:val="16"/>
          <w:szCs w:val="16"/>
          <w:b w:val="1"/>
          <w:bCs w:val="1"/>
          <w:color w:val="auto"/>
        </w:rPr>
        <w:t>AMENDED AND RESTATED REGISTRATION RIGHTS AGREEMENT JOINDER</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undersigned is executing and delivering this Joinder pursuant to the Amended and Restated Registration Rights Agreement dated as of _______________ (as the</w:t>
      </w:r>
    </w:p>
    <w:p>
      <w:pPr>
        <w:spacing w:after="0" w:line="4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same may hereafter be amended,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among Ventoux CCM Acquisition Corp.,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 and the other persons named as parties therein.</w:t>
      </w:r>
    </w:p>
    <w:p>
      <w:pPr>
        <w:spacing w:after="0" w:line="165" w:lineRule="exact"/>
        <w:rPr>
          <w:sz w:val="20"/>
          <w:szCs w:val="20"/>
          <w:color w:val="auto"/>
        </w:rPr>
      </w:pPr>
    </w:p>
    <w:p>
      <w:pPr>
        <w:ind w:right="20" w:firstLine="574"/>
        <w:spacing w:after="0" w:line="349" w:lineRule="auto"/>
        <w:rPr>
          <w:sz w:val="20"/>
          <w:szCs w:val="20"/>
          <w:color w:val="auto"/>
        </w:rPr>
      </w:pPr>
      <w:r>
        <w:rPr>
          <w:rFonts w:ascii="Arial" w:cs="Arial" w:eastAsia="Arial" w:hAnsi="Arial"/>
          <w:sz w:val="14"/>
          <w:szCs w:val="14"/>
          <w:color w:val="auto"/>
        </w:rPr>
        <w:t>By executing and delivering this Joinder to Pubco,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Accordingly, the undersigned has executed and delivered this Joinder as of the ___ day of ________, 20__.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INVESTOR:</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Its:</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Notices: [●]</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t>
      </w:r>
    </w:p>
    <w:p>
      <w:pPr>
        <w:spacing w:after="0" w:line="18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Agreed and Accepted as of_________________</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2" w:name="page303"/>
    <w:bookmarkEnd w:id="302"/>
    <w:p>
      <w:pPr>
        <w:jc w:val="right"/>
        <w:spacing w:after="0"/>
        <w:rPr>
          <w:sz w:val="20"/>
          <w:szCs w:val="20"/>
          <w:color w:val="auto"/>
        </w:rPr>
      </w:pPr>
      <w:r>
        <w:rPr>
          <w:rFonts w:ascii="Arial" w:cs="Arial" w:eastAsia="Arial" w:hAnsi="Arial"/>
          <w:sz w:val="16"/>
          <w:szCs w:val="16"/>
          <w:b w:val="1"/>
          <w:bCs w:val="1"/>
          <w:color w:val="auto"/>
        </w:rPr>
        <w:t>Exhibit 10.5</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SPONSOR SUPPORT AGREEMENT</w:t>
      </w:r>
    </w:p>
    <w:p>
      <w:pPr>
        <w:spacing w:after="0" w:line="202"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This Sponsor Support Agreement (this “</w:t>
      </w:r>
      <w:r>
        <w:rPr>
          <w:rFonts w:ascii="Arial" w:cs="Arial" w:eastAsia="Arial" w:hAnsi="Arial"/>
          <w:sz w:val="16"/>
          <w:szCs w:val="16"/>
          <w:u w:val="single" w:color="auto"/>
          <w:color w:val="auto"/>
        </w:rPr>
        <w:t>Sponsor Agreement</w:t>
      </w:r>
      <w:r>
        <w:rPr>
          <w:rFonts w:ascii="Arial" w:cs="Arial" w:eastAsia="Arial" w:hAnsi="Arial"/>
          <w:sz w:val="16"/>
          <w:szCs w:val="16"/>
          <w:color w:val="auto"/>
        </w:rPr>
        <w:t>”) is dated as of 10 November, 2021, by and among Ventoux Acquisition Holdings LLC, a Delaware limited liability company (“</w:t>
      </w:r>
      <w:r>
        <w:rPr>
          <w:rFonts w:ascii="Arial" w:cs="Arial" w:eastAsia="Arial" w:hAnsi="Arial"/>
          <w:sz w:val="16"/>
          <w:szCs w:val="16"/>
          <w:u w:val="single" w:color="auto"/>
          <w:color w:val="auto"/>
        </w:rPr>
        <w:t>Ventoux Acquisition</w:t>
      </w:r>
      <w:r>
        <w:rPr>
          <w:rFonts w:ascii="Arial" w:cs="Arial" w:eastAsia="Arial" w:hAnsi="Arial"/>
          <w:sz w:val="16"/>
          <w:szCs w:val="16"/>
          <w:color w:val="auto"/>
        </w:rPr>
        <w:t>”), Chardan International Investments, LLC, a Delaware limited liability company (together with Ventoux Acquisition, each, a “</w:t>
      </w:r>
      <w:r>
        <w:rPr>
          <w:rFonts w:ascii="Arial" w:cs="Arial" w:eastAsia="Arial" w:hAnsi="Arial"/>
          <w:sz w:val="16"/>
          <w:szCs w:val="16"/>
          <w:u w:val="single" w:color="auto"/>
          <w:color w:val="auto"/>
        </w:rPr>
        <w:t>Sponsor</w:t>
      </w:r>
      <w:r>
        <w:rPr>
          <w:rFonts w:ascii="Arial" w:cs="Arial" w:eastAsia="Arial" w:hAnsi="Arial"/>
          <w:sz w:val="16"/>
          <w:szCs w:val="16"/>
          <w:color w:val="auto"/>
        </w:rPr>
        <w:t>” and, together, the “</w:t>
      </w:r>
      <w:r>
        <w:rPr>
          <w:rFonts w:ascii="Arial" w:cs="Arial" w:eastAsia="Arial" w:hAnsi="Arial"/>
          <w:sz w:val="16"/>
          <w:szCs w:val="16"/>
          <w:u w:val="single" w:color="auto"/>
          <w:color w:val="auto"/>
        </w:rPr>
        <w:t>Sponsors</w:t>
      </w:r>
      <w:r>
        <w:rPr>
          <w:rFonts w:ascii="Arial" w:cs="Arial" w:eastAsia="Arial" w:hAnsi="Arial"/>
          <w:sz w:val="16"/>
          <w:szCs w:val="16"/>
          <w:color w:val="auto"/>
        </w:rPr>
        <w:t>”), Ventoux CCM Acquisition Corp., a Delaware corporation (“</w:t>
      </w:r>
      <w:r>
        <w:rPr>
          <w:rFonts w:ascii="Arial" w:cs="Arial" w:eastAsia="Arial" w:hAnsi="Arial"/>
          <w:sz w:val="16"/>
          <w:szCs w:val="16"/>
          <w:u w:val="single" w:color="auto"/>
          <w:color w:val="auto"/>
        </w:rPr>
        <w:t>Acquiror</w:t>
      </w:r>
      <w:r>
        <w:rPr>
          <w:rFonts w:ascii="Arial" w:cs="Arial" w:eastAsia="Arial" w:hAnsi="Arial"/>
          <w:sz w:val="16"/>
          <w:szCs w:val="16"/>
          <w:color w:val="auto"/>
        </w:rPr>
        <w:t>”), E La Carte,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directors, executive officers and affiliates of the Sponsors whose names appear on the signature pages of this Sponsor Agreement (such stockholders and affiliates, the “</w:t>
      </w:r>
      <w:r>
        <w:rPr>
          <w:rFonts w:ascii="Arial" w:cs="Arial" w:eastAsia="Arial" w:hAnsi="Arial"/>
          <w:sz w:val="16"/>
          <w:szCs w:val="16"/>
          <w:u w:val="single" w:color="auto"/>
          <w:color w:val="auto"/>
        </w:rPr>
        <w:t>Insiders</w:t>
      </w:r>
      <w:r>
        <w:rPr>
          <w:rFonts w:ascii="Arial" w:cs="Arial" w:eastAsia="Arial" w:hAnsi="Arial"/>
          <w:sz w:val="16"/>
          <w:szCs w:val="16"/>
          <w:color w:val="auto"/>
        </w:rPr>
        <w:t>”, and together with the “</w:t>
      </w:r>
      <w:r>
        <w:rPr>
          <w:rFonts w:ascii="Arial" w:cs="Arial" w:eastAsia="Arial" w:hAnsi="Arial"/>
          <w:sz w:val="16"/>
          <w:szCs w:val="16"/>
          <w:u w:val="single" w:color="auto"/>
          <w:color w:val="auto"/>
        </w:rPr>
        <w:t>Sponsors</w:t>
      </w:r>
      <w:r>
        <w:rPr>
          <w:rFonts w:ascii="Arial" w:cs="Arial" w:eastAsia="Arial" w:hAnsi="Arial"/>
          <w:sz w:val="16"/>
          <w:szCs w:val="16"/>
          <w:color w:val="auto"/>
        </w:rPr>
        <w:t>”, the “</w:t>
      </w:r>
      <w:r>
        <w:rPr>
          <w:rFonts w:ascii="Arial" w:cs="Arial" w:eastAsia="Arial" w:hAnsi="Arial"/>
          <w:sz w:val="16"/>
          <w:szCs w:val="16"/>
          <w:u w:val="single" w:color="auto"/>
          <w:color w:val="auto"/>
        </w:rPr>
        <w:t>Sponsor Parties</w:t>
      </w:r>
      <w:r>
        <w:rPr>
          <w:rFonts w:ascii="Arial" w:cs="Arial" w:eastAsia="Arial" w:hAnsi="Arial"/>
          <w:sz w:val="16"/>
          <w:szCs w:val="16"/>
          <w:color w:val="auto"/>
        </w:rPr>
        <w:t>” and individually, a “</w:t>
      </w:r>
      <w:r>
        <w:rPr>
          <w:rFonts w:ascii="Arial" w:cs="Arial" w:eastAsia="Arial" w:hAnsi="Arial"/>
          <w:sz w:val="16"/>
          <w:szCs w:val="16"/>
          <w:u w:val="single" w:color="auto"/>
          <w:color w:val="auto"/>
        </w:rPr>
        <w:t>Sponsor Party</w:t>
      </w:r>
      <w:r>
        <w:rPr>
          <w:rFonts w:ascii="Arial" w:cs="Arial" w:eastAsia="Arial" w:hAnsi="Arial"/>
          <w:sz w:val="16"/>
          <w:szCs w:val="16"/>
          <w:color w:val="auto"/>
        </w:rPr>
        <w:t>”). Capitalized terms used but not defined herein shall have the respective meanings ascribed to such terms in the Merger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of the date hereof, the Sponsor Parties are the holders of record and the “beneficial owners” (within the meaning of Rule 13d-3 under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 of 4,312,500 shares of Acquiror Common Stock and 6,675,000 Acquiror Private Placement Warrants in the aggregate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attached hereto (collectively, the “</w:t>
      </w:r>
      <w:r>
        <w:rPr>
          <w:rFonts w:ascii="Arial" w:cs="Arial" w:eastAsia="Arial" w:hAnsi="Arial"/>
          <w:sz w:val="16"/>
          <w:szCs w:val="16"/>
          <w:u w:val="single" w:color="auto"/>
          <w:color w:val="auto"/>
        </w:rPr>
        <w:t>Subject Securities</w:t>
      </w:r>
      <w:r>
        <w:rPr>
          <w:rFonts w:ascii="Arial" w:cs="Arial" w:eastAsia="Arial" w:hAnsi="Arial"/>
          <w:sz w:val="16"/>
          <w:szCs w:val="16"/>
          <w:color w:val="auto"/>
        </w:rPr>
        <w:t>”);</w:t>
      </w:r>
    </w:p>
    <w:p>
      <w:pPr>
        <w:spacing w:after="0" w:line="155"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Ventoux Merger Sub I Inc., a Delaware corporation and wholly-owned subsidiary of Acquiror (“</w:t>
      </w:r>
      <w:r>
        <w:rPr>
          <w:rFonts w:ascii="Arial" w:cs="Arial" w:eastAsia="Arial" w:hAnsi="Arial"/>
          <w:sz w:val="16"/>
          <w:szCs w:val="16"/>
          <w:u w:val="single" w:color="auto"/>
          <w:color w:val="auto"/>
        </w:rPr>
        <w:t>First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Merger Sub</w:t>
      </w:r>
      <w:r>
        <w:rPr>
          <w:rFonts w:ascii="Arial" w:cs="Arial" w:eastAsia="Arial" w:hAnsi="Arial"/>
          <w:sz w:val="16"/>
          <w:szCs w:val="16"/>
          <w:color w:val="auto"/>
        </w:rPr>
        <w:t>”) and Ventoux Merger Sub II LLC, a Delaware limited liability company and wholly-owned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Sponsor Agreement shall have the meanings ascribed to them in the Merger Agreement), pursuant to which (and subject to the terms and conditions set forth therein)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 and</w:t>
      </w:r>
    </w:p>
    <w:p>
      <w:pPr>
        <w:spacing w:after="0" w:line="16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an inducement to Acquiror and the Company to enter into the Merger Agreement and to consummate the transactions contemplated therein,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desire to agree to certain matters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6"/>
          <w:szCs w:val="16"/>
          <w:b w:val="1"/>
          <w:bCs w:val="1"/>
          <w:color w:val="auto"/>
        </w:rPr>
        <w:t>AGREEMENT</w:t>
      </w:r>
    </w:p>
    <w:p>
      <w:pPr>
        <w:spacing w:after="0" w:line="20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NOW, THEREFORE, in consideration of the foregoing and the mutual agreements contained herein, and intending to be legally bound hereby, the parties hereto hereby agree as follows:</w:t>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SPONSOR SUPPORT AGREEMENT; COVENANTS</w:t>
      </w:r>
    </w:p>
    <w:p>
      <w:pPr>
        <w:spacing w:after="0" w:line="186" w:lineRule="exact"/>
        <w:rPr>
          <w:sz w:val="20"/>
          <w:szCs w:val="20"/>
          <w:color w:val="auto"/>
        </w:rPr>
      </w:pPr>
    </w:p>
    <w:p>
      <w:pPr>
        <w:jc w:val="both"/>
        <w:ind w:right="20" w:firstLine="1721"/>
        <w:spacing w:after="0" w:line="25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Binding Effect of Merger Agreement</w:t>
      </w:r>
      <w:r>
        <w:rPr>
          <w:rFonts w:ascii="Arial" w:cs="Arial" w:eastAsia="Arial" w:hAnsi="Arial"/>
          <w:sz w:val="16"/>
          <w:szCs w:val="16"/>
          <w:color w:val="auto"/>
        </w:rPr>
        <w:t>. Each Sponsor Party hereby acknowledges that it has read the Merger Agreement and this Sponsor Agreement and has had the opportunity to consult with its tax and legal advisors. Each Sponsor Party shall be bound by and comply with Sections 7.11 (</w:t>
      </w:r>
      <w:r>
        <w:rPr>
          <w:rFonts w:ascii="Arial" w:cs="Arial" w:eastAsia="Arial" w:hAnsi="Arial"/>
          <w:sz w:val="16"/>
          <w:szCs w:val="16"/>
          <w:i w:val="1"/>
          <w:iCs w:val="1"/>
          <w:color w:val="auto"/>
        </w:rPr>
        <w:t>No Solicitation</w:t>
      </w:r>
      <w:r>
        <w:rPr>
          <w:rFonts w:ascii="Arial" w:cs="Arial" w:eastAsia="Arial" w:hAnsi="Arial"/>
          <w:sz w:val="16"/>
          <w:szCs w:val="16"/>
          <w:color w:val="auto"/>
        </w:rPr>
        <w:t>) and 8.05 (</w:t>
      </w:r>
      <w:r>
        <w:rPr>
          <w:rFonts w:ascii="Arial" w:cs="Arial" w:eastAsia="Arial" w:hAnsi="Arial"/>
          <w:sz w:val="16"/>
          <w:szCs w:val="16"/>
          <w:i w:val="1"/>
          <w:iCs w:val="1"/>
          <w:color w:val="auto"/>
        </w:rPr>
        <w:t>Confidentiality; Publicity</w:t>
      </w:r>
      <w:r>
        <w:rPr>
          <w:rFonts w:ascii="Arial" w:cs="Arial" w:eastAsia="Arial" w:hAnsi="Arial"/>
          <w:sz w:val="16"/>
          <w:szCs w:val="16"/>
          <w:color w:val="auto"/>
        </w:rPr>
        <w:t>) of the Merger Agreement (and any relevant definitions contained in any such Sections) as if such Sponsor Party was an original signatory to the Merger Agreement solely with respect to such provisions.</w:t>
      </w:r>
    </w:p>
    <w:p>
      <w:pPr>
        <w:spacing w:after="0" w:line="165" w:lineRule="exact"/>
        <w:rPr>
          <w:sz w:val="20"/>
          <w:szCs w:val="20"/>
          <w:color w:val="auto"/>
        </w:rPr>
      </w:pPr>
    </w:p>
    <w:p>
      <w:pPr>
        <w:jc w:val="both"/>
        <w:ind w:firstLine="1721"/>
        <w:spacing w:after="0" w:line="27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No Transfer</w:t>
      </w:r>
      <w:r>
        <w:rPr>
          <w:rFonts w:ascii="Arial" w:cs="Arial" w:eastAsia="Arial" w:hAnsi="Arial"/>
          <w:sz w:val="15"/>
          <w:szCs w:val="15"/>
          <w:color w:val="auto"/>
        </w:rPr>
        <w:t>. During the period commencing on the date hereof and ending on the earliest of (a) the Effective Time, (b) such date and time as the Merger Agreement shall be terminated in accordance with Section 10.01 thereof (the earlier of (a) and (b), the “</w:t>
      </w:r>
      <w:r>
        <w:rPr>
          <w:rFonts w:ascii="Arial" w:cs="Arial" w:eastAsia="Arial" w:hAnsi="Arial"/>
          <w:sz w:val="15"/>
          <w:szCs w:val="15"/>
          <w:u w:val="single" w:color="auto"/>
          <w:color w:val="auto"/>
        </w:rPr>
        <w:t>Expiration Time</w:t>
      </w:r>
      <w:r>
        <w:rPr>
          <w:rFonts w:ascii="Arial" w:cs="Arial" w:eastAsia="Arial" w:hAnsi="Arial"/>
          <w:sz w:val="15"/>
          <w:szCs w:val="15"/>
          <w:color w:val="auto"/>
        </w:rPr>
        <w:t>”) and (c) the liquidation of Acquiror, each Sponsor Party shall not, without the prior written consent of the Company, (i) sell, publicly offer to sell, enter into contract or agree to sell, hypothecate, pledge, grant any option to purchase or otherwise dispose of or agree to dispose of, directly or indirectly, file (or participate in the filing of) a registration statement with the SEC (other than the Proxy Statement/Registration Statement) or establish or increase a put equivalent position or liquidate or decrease a call equivalent position within the meaning of Section 16 of the Exchange Act, with respect to any Subject Securities owned by such Sponsor Party (unless the transferee agrees to be bound by this Sponsor Agreement), (ii) enter into any swap or other arrangement that transfers to another, in whole or in part, any of the economic consequences of ownership of any Subject Securities owned by such Sponsor Party or (iii) publicly announce any intention to effect any transaction specified in clause (i) or (ii). The preceding sentence does not apply to the exercise by Cindat USA LLC of its rights under that certain letter agreement, dated December 13, 2020, among Cindat USA LLC, Ventoux Acquisition, and (with respect to certain provisions) Edward Scheetz.</w:t>
      </w:r>
    </w:p>
    <w:p>
      <w:pPr>
        <w:spacing w:after="0" w:line="163" w:lineRule="exact"/>
        <w:rPr>
          <w:sz w:val="20"/>
          <w:szCs w:val="20"/>
          <w:color w:val="auto"/>
        </w:rPr>
      </w:pPr>
    </w:p>
    <w:p>
      <w:pPr>
        <w:jc w:val="both"/>
        <w:ind w:firstLine="1721"/>
        <w:spacing w:after="0" w:line="271" w:lineRule="auto"/>
        <w:rPr>
          <w:sz w:val="20"/>
          <w:szCs w:val="20"/>
          <w:color w:val="auto"/>
        </w:rPr>
      </w:pPr>
      <w:r>
        <w:rPr>
          <w:rFonts w:ascii="Arial" w:cs="Arial" w:eastAsia="Arial" w:hAnsi="Arial"/>
          <w:sz w:val="15"/>
          <w:szCs w:val="15"/>
          <w:color w:val="auto"/>
        </w:rPr>
        <w:t xml:space="preserve">Section 1.3 </w:t>
      </w:r>
      <w:r>
        <w:rPr>
          <w:rFonts w:ascii="Arial" w:cs="Arial" w:eastAsia="Arial" w:hAnsi="Arial"/>
          <w:sz w:val="15"/>
          <w:szCs w:val="15"/>
          <w:u w:val="single" w:color="auto"/>
          <w:color w:val="auto"/>
        </w:rPr>
        <w:t>New Shares</w:t>
      </w:r>
      <w:r>
        <w:rPr>
          <w:rFonts w:ascii="Arial" w:cs="Arial" w:eastAsia="Arial" w:hAnsi="Arial"/>
          <w:sz w:val="15"/>
          <w:szCs w:val="15"/>
          <w:color w:val="auto"/>
        </w:rPr>
        <w:t>. In the event that (a) any Acquiror Common Stock, Acquiror Warrants, Acquiror Private Placement Warrants, Acquiror Rights or other equity securities of Acquiror are issued to a Sponsor Party after the date of this Sponsor Agreement pursuant to any stock dividend, stock split, recapitalization, reclassification, combination or exchange of Acquiror Common Stock, Acquiror Warrants or Acquiror Rights of, on or affecting the Acquiror Common Stock, Acquiror Warrants or Acquiror Rights owned by such Sponsor Party or otherwise, (b) a Sponsor Party purchases or otherwise acquires beneficial ownership of any Acquiror Common Stock, Acquiror Warrants, Acquiror Rights or other equity securities of Acquiror after the date of this Sponsor Agreement, or (c) a Sponsor Party acquires the right to vote or share in the voting of any Acquiror Common Stock or other equity securities of Acquiror after the date of this Sponsor Agreement (such Acquiror Common Stock, Acquiror Warrants or other equity securities of Acquiror,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to the extent of such Sponsor Party’s control of such New Securities, such New Securities acquired or purchased by such Sponsor Party shall be subject to the terms of this Sponsor Agreement to the same extent as if they constituted the Subject Securities owned by such Sponsor Party as of the date hereof.</w:t>
      </w:r>
    </w:p>
    <w:p>
      <w:pPr>
        <w:spacing w:after="0" w:line="159" w:lineRule="exact"/>
        <w:rPr>
          <w:sz w:val="20"/>
          <w:szCs w:val="20"/>
          <w:color w:val="auto"/>
        </w:rPr>
      </w:pPr>
    </w:p>
    <w:p>
      <w:pPr>
        <w:jc w:val="both"/>
        <w:ind w:firstLine="1721"/>
        <w:spacing w:after="0" w:line="306"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Closing Date Deliverables</w:t>
      </w:r>
      <w:r>
        <w:rPr>
          <w:rFonts w:ascii="Arial" w:cs="Arial" w:eastAsia="Arial" w:hAnsi="Arial"/>
          <w:sz w:val="14"/>
          <w:szCs w:val="14"/>
          <w:color w:val="auto"/>
        </w:rPr>
        <w:t>. On the Closing Date, (a) Ventoux Acquisition shall deliver to Acquiror and the Company a duly executed copy of that certain Amended and Restated Registration Rights Agreement, by and among Acquiror, the Company, the Sponsor Parties, certain Affiliates of the Sponsor Parties and certain of the Company’s stockholders or their respective affiliates, as applicable, in substantially the form attached as Exhibit F to the Merger Agreement (the “</w:t>
      </w:r>
      <w:r>
        <w:rPr>
          <w:rFonts w:ascii="Arial" w:cs="Arial" w:eastAsia="Arial" w:hAnsi="Arial"/>
          <w:sz w:val="14"/>
          <w:szCs w:val="14"/>
          <w:u w:val="single" w:color="auto"/>
          <w:color w:val="auto"/>
        </w:rPr>
        <w:t>Registration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Rights Agreement</w:t>
      </w:r>
      <w:r>
        <w:rPr>
          <w:rFonts w:ascii="Arial" w:cs="Arial" w:eastAsia="Arial" w:hAnsi="Arial"/>
          <w:sz w:val="14"/>
          <w:szCs w:val="14"/>
          <w:color w:val="auto"/>
        </w:rPr>
        <w:t>”) and (b) Acquiror shall deliver to the Sponsors (and the Insiders, as applicable) a duly executed copy of the Registration Rights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4" w:name="page305"/>
    <w:bookmarkEnd w:id="304"/>
    <w:p>
      <w:pPr>
        <w:ind w:left="172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Sponsor Party Agreements</w:t>
      </w:r>
      <w:r>
        <w:rPr>
          <w:rFonts w:ascii="Arial" w:cs="Arial" w:eastAsia="Arial" w:hAnsi="Arial"/>
          <w:sz w:val="16"/>
          <w:szCs w:val="16"/>
          <w:color w:val="auto"/>
        </w:rPr>
        <w:t>.</w:t>
      </w:r>
    </w:p>
    <w:p>
      <w:pPr>
        <w:spacing w:after="0" w:line="198" w:lineRule="exact"/>
        <w:rPr>
          <w:sz w:val="20"/>
          <w:szCs w:val="20"/>
          <w:color w:val="auto"/>
        </w:rPr>
      </w:pPr>
    </w:p>
    <w:p>
      <w:pPr>
        <w:jc w:val="both"/>
        <w:ind w:firstLine="1716"/>
        <w:spacing w:after="0" w:line="255" w:lineRule="auto"/>
        <w:tabs>
          <w:tab w:leader="none" w:pos="1949" w:val="left"/>
        </w:tabs>
        <w:numPr>
          <w:ilvl w:val="0"/>
          <w:numId w:val="303"/>
        </w:numPr>
        <w:rPr>
          <w:rFonts w:ascii="Arial" w:cs="Arial" w:eastAsia="Arial" w:hAnsi="Arial"/>
          <w:sz w:val="16"/>
          <w:szCs w:val="16"/>
          <w:color w:val="auto"/>
        </w:rPr>
      </w:pPr>
      <w:r>
        <w:rPr>
          <w:rFonts w:ascii="Arial" w:cs="Arial" w:eastAsia="Arial" w:hAnsi="Arial"/>
          <w:sz w:val="16"/>
          <w:szCs w:val="16"/>
          <w:color w:val="auto"/>
        </w:rPr>
        <w:t>Prior to the Expiration Time, at any meeting of the shareholders of Acquiror, however called, or at any adjournment thereof, or in any other circumstance in which the vote, consent or other approval of the shareholders of Acquiror is sought, each Sponsor Party shall, solely in its capacity as a record owner of common stock of Acquiror, (i) appear at each such meeting or otherwise cause all of its Acquiror Common Stock to be counted as present thereat for purposes of calculating a quorum and (ii) vote (or cause to be voted), or execute and deliver a written consent (or cause a written consent to be executed and delivered) covering, all of its Acquiror Common Stock:</w:t>
      </w:r>
    </w:p>
    <w:p>
      <w:pPr>
        <w:spacing w:after="0" w:line="169" w:lineRule="exact"/>
        <w:rPr>
          <w:rFonts w:ascii="Arial" w:cs="Arial" w:eastAsia="Arial" w:hAnsi="Arial"/>
          <w:sz w:val="16"/>
          <w:szCs w:val="16"/>
          <w:color w:val="auto"/>
        </w:rPr>
      </w:pPr>
    </w:p>
    <w:p>
      <w:pPr>
        <w:ind w:left="2760" w:hanging="183"/>
        <w:spacing w:after="0"/>
        <w:tabs>
          <w:tab w:leader="none" w:pos="2760"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in favor of each Proposal;</w:t>
      </w:r>
    </w:p>
    <w:p>
      <w:pPr>
        <w:spacing w:after="0" w:line="198" w:lineRule="exact"/>
        <w:rPr>
          <w:rFonts w:ascii="Arial" w:cs="Arial" w:eastAsia="Arial" w:hAnsi="Arial"/>
          <w:sz w:val="16"/>
          <w:szCs w:val="16"/>
          <w:color w:val="auto"/>
        </w:rPr>
      </w:pPr>
    </w:p>
    <w:p>
      <w:pPr>
        <w:ind w:left="2820" w:hanging="243"/>
        <w:spacing w:after="0"/>
        <w:tabs>
          <w:tab w:leader="none" w:pos="2820" w:val="left"/>
        </w:tabs>
        <w:numPr>
          <w:ilvl w:val="1"/>
          <w:numId w:val="303"/>
        </w:numPr>
        <w:rPr>
          <w:rFonts w:ascii="Arial" w:cs="Arial" w:eastAsia="Arial" w:hAnsi="Arial"/>
          <w:sz w:val="15"/>
          <w:szCs w:val="15"/>
          <w:color w:val="auto"/>
        </w:rPr>
      </w:pPr>
      <w:r>
        <w:rPr>
          <w:rFonts w:ascii="Arial" w:cs="Arial" w:eastAsia="Arial" w:hAnsi="Arial"/>
          <w:sz w:val="15"/>
          <w:szCs w:val="15"/>
          <w:color w:val="auto"/>
        </w:rPr>
        <w:t>against any Business Combination Proposal or any proposal relating to a Business Combination Proposal (in each case,</w:t>
      </w:r>
    </w:p>
    <w:p>
      <w:pPr>
        <w:spacing w:after="0" w:line="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than the Proposals);</w:t>
      </w:r>
    </w:p>
    <w:p>
      <w:pPr>
        <w:spacing w:after="0" w:line="186" w:lineRule="exact"/>
        <w:rPr>
          <w:sz w:val="20"/>
          <w:szCs w:val="20"/>
          <w:color w:val="auto"/>
        </w:rPr>
      </w:pPr>
    </w:p>
    <w:p>
      <w:pPr>
        <w:ind w:left="560" w:right="580" w:firstLine="2017"/>
        <w:spacing w:after="0" w:line="275" w:lineRule="auto"/>
        <w:tabs>
          <w:tab w:leader="none" w:pos="2846"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merger agreement or merger (other than the Merger Agreement and the Mergers), consolidation, combination, sale of substantial assets, reorganization, recapitalization, dissolution, liquidation or winding up of or by Acquiror;</w:t>
      </w:r>
    </w:p>
    <w:p>
      <w:pPr>
        <w:spacing w:after="0" w:line="151" w:lineRule="exact"/>
        <w:rPr>
          <w:rFonts w:ascii="Arial" w:cs="Arial" w:eastAsia="Arial" w:hAnsi="Arial"/>
          <w:sz w:val="16"/>
          <w:szCs w:val="16"/>
          <w:color w:val="auto"/>
        </w:rPr>
      </w:pPr>
    </w:p>
    <w:p>
      <w:pPr>
        <w:ind w:left="2860" w:hanging="283"/>
        <w:spacing w:after="0"/>
        <w:tabs>
          <w:tab w:leader="none" w:pos="286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change in the business, management or Board of Directors of Acquiror (other than in connection with the</w:t>
      </w:r>
    </w:p>
    <w:p>
      <w:pPr>
        <w:spacing w:after="0" w:line="1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Proposals); and</w:t>
      </w:r>
    </w:p>
    <w:p>
      <w:pPr>
        <w:spacing w:after="0" w:line="185" w:lineRule="exact"/>
        <w:rPr>
          <w:rFonts w:ascii="Arial" w:cs="Arial" w:eastAsia="Arial" w:hAnsi="Arial"/>
          <w:sz w:val="16"/>
          <w:szCs w:val="16"/>
          <w:color w:val="auto"/>
        </w:rPr>
      </w:pPr>
    </w:p>
    <w:p>
      <w:pPr>
        <w:jc w:val="both"/>
        <w:ind w:left="560" w:right="580" w:firstLine="2017"/>
        <w:spacing w:after="0" w:line="255" w:lineRule="auto"/>
        <w:tabs>
          <w:tab w:leader="none" w:pos="2793"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against any proposal, action or agreement that would (A) impede, frustrate, prevent or nullify any provision of this Sponsor Agreement, the Merger Agreement or the Mergers, (B) result in a breach in any respect of any covenant, representation, warranty or any other obligation or agreement of Acquiror, First Merger Sub or Second Merger Sub under the Merger Agreement, (C) result in any of the conditions set forth in Article IX of the Merger Agreement not being fulfilled or (D) change in any manner the dividend policy or capitalization of, including the voting rights of any class of capital stock of, Acquiror.</w:t>
      </w:r>
    </w:p>
    <w:p>
      <w:pPr>
        <w:spacing w:after="0" w:line="170" w:lineRule="exact"/>
        <w:rPr>
          <w:sz w:val="20"/>
          <w:szCs w:val="20"/>
          <w:color w:val="auto"/>
        </w:rPr>
      </w:pPr>
    </w:p>
    <w:p>
      <w:pPr>
        <w:ind w:firstLine="574"/>
        <w:spacing w:after="0" w:line="309" w:lineRule="auto"/>
        <w:rPr>
          <w:sz w:val="20"/>
          <w:szCs w:val="20"/>
          <w:color w:val="auto"/>
        </w:rPr>
      </w:pPr>
      <w:r>
        <w:rPr>
          <w:rFonts w:ascii="Arial" w:cs="Arial" w:eastAsia="Arial" w:hAnsi="Arial"/>
          <w:sz w:val="15"/>
          <w:szCs w:val="15"/>
          <w:color w:val="auto"/>
        </w:rPr>
        <w:t xml:space="preserve">Each Sponsor Party hereby agrees, in such Person’s capacity as a record owner of, or owner of interests representing the economic benefits of, common stock of Acquiror, that such Sponsor Party shall not commit or agree to take any action inconsistent with the foregoing obligation set forth in </w:t>
      </w:r>
      <w:r>
        <w:rPr>
          <w:rFonts w:ascii="Arial" w:cs="Arial" w:eastAsia="Arial" w:hAnsi="Arial"/>
          <w:sz w:val="15"/>
          <w:szCs w:val="15"/>
          <w:u w:val="single" w:color="auto"/>
          <w:color w:val="auto"/>
        </w:rPr>
        <w:t>Section 1.5(a)</w:t>
      </w:r>
      <w:r>
        <w:rPr>
          <w:rFonts w:ascii="Arial" w:cs="Arial" w:eastAsia="Arial" w:hAnsi="Arial"/>
          <w:sz w:val="15"/>
          <w:szCs w:val="15"/>
          <w:color w:val="auto"/>
        </w:rPr>
        <w:t>.</w:t>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 Each Sponsor Party shall comply with, and fully perform all of its obligations, covenants and agreements set forth in, the Insider Letter (as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defined below).</w:t>
      </w:r>
    </w:p>
    <w:p>
      <w:pPr>
        <w:spacing w:after="0" w:line="186" w:lineRule="exact"/>
        <w:rPr>
          <w:sz w:val="20"/>
          <w:szCs w:val="20"/>
          <w:color w:val="auto"/>
        </w:rPr>
      </w:pPr>
    </w:p>
    <w:p>
      <w:pPr>
        <w:ind w:left="1940" w:hanging="224"/>
        <w:spacing w:after="0"/>
        <w:tabs>
          <w:tab w:leader="none" w:pos="194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Sponsor Party agrees not to redeem any of its, his or her shares of Acquiror Common Stock in connection with the Mergers.</w:t>
      </w:r>
    </w:p>
    <w:p>
      <w:pPr>
        <w:spacing w:after="0" w:line="198" w:lineRule="exact"/>
        <w:rPr>
          <w:rFonts w:ascii="Arial" w:cs="Arial" w:eastAsia="Arial" w:hAnsi="Arial"/>
          <w:sz w:val="16"/>
          <w:szCs w:val="16"/>
          <w:color w:val="auto"/>
        </w:rPr>
      </w:pPr>
    </w:p>
    <w:p>
      <w:pPr>
        <w:ind w:right="20" w:firstLine="1716"/>
        <w:spacing w:after="0" w:line="349" w:lineRule="auto"/>
        <w:tabs>
          <w:tab w:leader="none" w:pos="1954" w:val="left"/>
        </w:tabs>
        <w:numPr>
          <w:ilvl w:val="0"/>
          <w:numId w:val="305"/>
        </w:numPr>
        <w:rPr>
          <w:rFonts w:ascii="Arial" w:cs="Arial" w:eastAsia="Arial" w:hAnsi="Arial"/>
          <w:sz w:val="14"/>
          <w:szCs w:val="14"/>
          <w:color w:val="auto"/>
        </w:rPr>
      </w:pPr>
      <w:r>
        <w:rPr>
          <w:rFonts w:ascii="Arial" w:cs="Arial" w:eastAsia="Arial" w:hAnsi="Arial"/>
          <w:sz w:val="14"/>
          <w:szCs w:val="14"/>
          <w:color w:val="auto"/>
        </w:rPr>
        <w:t xml:space="preserve">During the period commencing on the date hereof and ending on the earlier of the Effective Date and the termination of the Merger Agreement pursuant to Section 10.01 thereof, without the prior written consent of the Company, each Sponsor Party shall not modify or amend any Contract listed on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05" w:name="page306"/>
    <w:bookmarkEnd w:id="305"/>
    <w:p>
      <w:pPr>
        <w:ind w:left="172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Lock-up.</w:t>
      </w:r>
    </w:p>
    <w:p>
      <w:pPr>
        <w:spacing w:after="0" w:line="198" w:lineRule="exact"/>
        <w:rPr>
          <w:sz w:val="20"/>
          <w:szCs w:val="20"/>
          <w:color w:val="auto"/>
        </w:rPr>
      </w:pPr>
    </w:p>
    <w:p>
      <w:pPr>
        <w:jc w:val="both"/>
        <w:ind w:firstLine="1716"/>
        <w:spacing w:after="0" w:line="295" w:lineRule="auto"/>
        <w:tabs>
          <w:tab w:leader="none" w:pos="1937" w:val="left"/>
        </w:tabs>
        <w:numPr>
          <w:ilvl w:val="0"/>
          <w:numId w:val="306"/>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1.6(c)</w:t>
      </w:r>
      <w:r>
        <w:rPr>
          <w:rFonts w:ascii="Arial" w:cs="Arial" w:eastAsia="Arial" w:hAnsi="Arial"/>
          <w:sz w:val="14"/>
          <w:szCs w:val="14"/>
          <w:color w:val="auto"/>
        </w:rPr>
        <w:t>, each Sponsor Party agrees that it shall not Transfer any of its, his or her shares of Acquiror Common Stock as set forth opposite such Sponsor Party’s name on Schedule I attached hereto (in respect of each Sponsor Party, the “</w:t>
      </w:r>
      <w:r>
        <w:rPr>
          <w:rFonts w:ascii="Arial" w:cs="Arial" w:eastAsia="Arial" w:hAnsi="Arial"/>
          <w:sz w:val="14"/>
          <w:szCs w:val="14"/>
          <w:u w:val="single" w:color="auto"/>
          <w:color w:val="auto"/>
        </w:rPr>
        <w:t>Founder Shares</w:t>
      </w:r>
      <w:r>
        <w:rPr>
          <w:rFonts w:ascii="Arial" w:cs="Arial" w:eastAsia="Arial" w:hAnsi="Arial"/>
          <w:sz w:val="14"/>
          <w:szCs w:val="14"/>
          <w:color w:val="auto"/>
        </w:rPr>
        <w:t>”) during the period beginning on the Closing Date until (i) in respect of 50% of its, his or her Founder Shares that are owned immediately after the Closing, the date that is six (6) months from and after the Closing Date, and (ii) in respect of the remaining 50% of its, his or her Founder Shares that are owned immediately after the Closing, the date that is one (1) year from and after the Closing Date (such period, the “</w:t>
      </w:r>
      <w:r>
        <w:rPr>
          <w:rFonts w:ascii="Arial" w:cs="Arial" w:eastAsia="Arial" w:hAnsi="Arial"/>
          <w:sz w:val="14"/>
          <w:szCs w:val="14"/>
          <w:u w:val="single" w:color="auto"/>
          <w:color w:val="auto"/>
        </w:rPr>
        <w:t>Lock-Up Period</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prohibition shall not apply to Transfers (x) permitted pursuant to </w:t>
      </w:r>
      <w:r>
        <w:rPr>
          <w:rFonts w:ascii="Arial" w:cs="Arial" w:eastAsia="Arial" w:hAnsi="Arial"/>
          <w:sz w:val="14"/>
          <w:szCs w:val="14"/>
          <w:u w:val="single" w:color="auto"/>
          <w:color w:val="auto"/>
        </w:rPr>
        <w:t>Section 1.6(c)</w:t>
      </w:r>
      <w:r>
        <w:rPr>
          <w:rFonts w:ascii="Arial" w:cs="Arial" w:eastAsia="Arial" w:hAnsi="Arial"/>
          <w:sz w:val="14"/>
          <w:szCs w:val="14"/>
          <w:color w:val="auto"/>
        </w:rPr>
        <w:t xml:space="preserve"> or (y) permitted pursuant to the organizational documents of Acquiror, as in effect on the Closing Date, as the same may be amended from time to time (the “</w:t>
      </w:r>
      <w:r>
        <w:rPr>
          <w:rFonts w:ascii="Arial" w:cs="Arial" w:eastAsia="Arial" w:hAnsi="Arial"/>
          <w:sz w:val="14"/>
          <w:szCs w:val="14"/>
          <w:u w:val="single" w:color="auto"/>
          <w:color w:val="auto"/>
        </w:rPr>
        <w:t>Governing Documents</w:t>
      </w:r>
      <w:r>
        <w:rPr>
          <w:rFonts w:ascii="Arial" w:cs="Arial" w:eastAsia="Arial" w:hAnsi="Arial"/>
          <w:sz w:val="14"/>
          <w:szCs w:val="14"/>
          <w:color w:val="auto"/>
        </w:rPr>
        <w:t xml:space="preserve">”). For clarity, Acquiror Common Stock issued in connection with a Subscription Agreement shall not constitute Founder Shares and shall not be subject to this </w:t>
      </w:r>
      <w:r>
        <w:rPr>
          <w:rFonts w:ascii="Arial" w:cs="Arial" w:eastAsia="Arial" w:hAnsi="Arial"/>
          <w:sz w:val="14"/>
          <w:szCs w:val="14"/>
          <w:u w:val="single" w:color="auto"/>
          <w:color w:val="auto"/>
        </w:rPr>
        <w:t>Section 1.6</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ind w:right="20" w:firstLine="1716"/>
        <w:spacing w:after="0" w:line="275" w:lineRule="auto"/>
        <w:tabs>
          <w:tab w:leader="none" w:pos="19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Sponsor Party agrees that it shall not Transfer any Acquiror Warrants during the applicable Lock-Up Period (i.e., for 100% during the first six (6) months following the Closing Date and for 50% during the following six (6) months).</w:t>
      </w:r>
    </w:p>
    <w:p>
      <w:pPr>
        <w:spacing w:after="0" w:line="151" w:lineRule="exact"/>
        <w:rPr>
          <w:rFonts w:ascii="Arial" w:cs="Arial" w:eastAsia="Arial" w:hAnsi="Arial"/>
          <w:sz w:val="16"/>
          <w:szCs w:val="16"/>
          <w:color w:val="auto"/>
        </w:rPr>
      </w:pPr>
    </w:p>
    <w:p>
      <w:pPr>
        <w:jc w:val="both"/>
        <w:ind w:firstLine="1716"/>
        <w:spacing w:after="0" w:line="276" w:lineRule="auto"/>
        <w:tabs>
          <w:tab w:leader="none" w:pos="1937" w:val="left"/>
        </w:tabs>
        <w:numPr>
          <w:ilvl w:val="0"/>
          <w:numId w:val="306"/>
        </w:numPr>
        <w:rPr>
          <w:rFonts w:ascii="Arial" w:cs="Arial" w:eastAsia="Arial" w:hAnsi="Arial"/>
          <w:sz w:val="15"/>
          <w:szCs w:val="15"/>
          <w:color w:val="auto"/>
        </w:rPr>
      </w:pPr>
      <w:r>
        <w:rPr>
          <w:rFonts w:ascii="Arial" w:cs="Arial" w:eastAsia="Arial" w:hAnsi="Arial"/>
          <w:sz w:val="15"/>
          <w:szCs w:val="15"/>
          <w:color w:val="auto"/>
        </w:rPr>
        <w:t xml:space="preserve">Notwithstanding the provisions set forth in </w:t>
      </w:r>
      <w:r>
        <w:rPr>
          <w:rFonts w:ascii="Arial" w:cs="Arial" w:eastAsia="Arial" w:hAnsi="Arial"/>
          <w:sz w:val="15"/>
          <w:szCs w:val="15"/>
          <w:u w:val="single" w:color="auto"/>
          <w:color w:val="auto"/>
        </w:rPr>
        <w:t>Section 1.6(a)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Transfers of the Founder Shares and Acquiror Warrants that are that are held by a Sponsor Party or any of its permitted transferees (that have complied with this </w:t>
      </w:r>
      <w:r>
        <w:rPr>
          <w:rFonts w:ascii="Arial" w:cs="Arial" w:eastAsia="Arial" w:hAnsi="Arial"/>
          <w:sz w:val="15"/>
          <w:szCs w:val="15"/>
          <w:u w:val="single" w:color="auto"/>
          <w:color w:val="auto"/>
        </w:rPr>
        <w:t>Section 1.6(c)</w:t>
      </w:r>
      <w:r>
        <w:rPr>
          <w:rFonts w:ascii="Arial" w:cs="Arial" w:eastAsia="Arial" w:hAnsi="Arial"/>
          <w:sz w:val="15"/>
          <w:szCs w:val="15"/>
          <w:color w:val="auto"/>
        </w:rPr>
        <w:t xml:space="preserve">) are permitted in accordance with the Governing Documents;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such Transfer shall be permitted only if, as a precondition to such Transfer, the transferee agrees in a writing, reasonably satisfactory in form and substance to Acquiror, to assume all of the obligations of the Sponsor Party under, and be bound by all of the terms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Transfer permitted under this </w:t>
      </w:r>
      <w:r>
        <w:rPr>
          <w:rFonts w:ascii="Arial" w:cs="Arial" w:eastAsia="Arial" w:hAnsi="Arial"/>
          <w:sz w:val="15"/>
          <w:szCs w:val="15"/>
          <w:u w:val="single" w:color="auto"/>
          <w:color w:val="auto"/>
        </w:rPr>
        <w:t>Section 1.6(c)</w:t>
      </w:r>
      <w:r>
        <w:rPr>
          <w:rFonts w:ascii="Arial" w:cs="Arial" w:eastAsia="Arial" w:hAnsi="Arial"/>
          <w:sz w:val="15"/>
          <w:szCs w:val="15"/>
          <w:color w:val="auto"/>
        </w:rPr>
        <w:t xml:space="preserve"> shall not relieve the Sponsor Party of its obligations under this Sponsor Agreement.</w:t>
      </w:r>
    </w:p>
    <w:p>
      <w:pPr>
        <w:spacing w:after="0" w:line="155" w:lineRule="exact"/>
        <w:rPr>
          <w:rFonts w:ascii="Arial" w:cs="Arial" w:eastAsia="Arial" w:hAnsi="Arial"/>
          <w:sz w:val="15"/>
          <w:szCs w:val="15"/>
          <w:color w:val="auto"/>
        </w:rPr>
      </w:pPr>
    </w:p>
    <w:p>
      <w:pPr>
        <w:ind w:firstLine="1716"/>
        <w:spacing w:after="0" w:line="275" w:lineRule="auto"/>
        <w:tabs>
          <w:tab w:leader="none" w:pos="194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During the applicable Lock-Up Period for the respective Sponsor Parties, any purported Transfer of applicable Founder Shares not in accordance with this Sponsor Agreement shall be null and void, and Acquiror shall refuse to recognize any such Transfer for any purpose.</w:t>
      </w:r>
    </w:p>
    <w:p>
      <w:pPr>
        <w:spacing w:after="0" w:line="151" w:lineRule="exact"/>
        <w:rPr>
          <w:rFonts w:ascii="Arial" w:cs="Arial" w:eastAsia="Arial" w:hAnsi="Arial"/>
          <w:sz w:val="16"/>
          <w:szCs w:val="16"/>
          <w:color w:val="auto"/>
        </w:rPr>
      </w:pPr>
    </w:p>
    <w:p>
      <w:pPr>
        <w:jc w:val="both"/>
        <w:ind w:firstLine="1716"/>
        <w:spacing w:after="0" w:line="262" w:lineRule="auto"/>
        <w:tabs>
          <w:tab w:leader="none" w:pos="1949" w:val="left"/>
        </w:tabs>
        <w:numPr>
          <w:ilvl w:val="0"/>
          <w:numId w:val="306"/>
        </w:numPr>
        <w:rPr>
          <w:rFonts w:ascii="Arial" w:cs="Arial" w:eastAsia="Arial" w:hAnsi="Arial"/>
          <w:sz w:val="16"/>
          <w:szCs w:val="16"/>
          <w:color w:val="auto"/>
        </w:rPr>
      </w:pPr>
      <w:r>
        <w:rPr>
          <w:rFonts w:ascii="Arial" w:cs="Arial" w:eastAsia="Arial" w:hAnsi="Arial"/>
          <w:sz w:val="16"/>
          <w:szCs w:val="16"/>
          <w:color w:val="auto"/>
        </w:rPr>
        <w:t>The Sponsor Parties acknowledge and agree that, notwithstanding anything to the contrary contained in this Agreement, the Founder Shares beneficially owned or otherwise held by such Person shall remain subject to any restrictions on Transfer under applicable securities Laws of any Governmental Authority, including all applicable holding periods under the Securities Act and other rules of the SEC.</w:t>
      </w:r>
    </w:p>
    <w:p>
      <w:pPr>
        <w:spacing w:after="0" w:line="16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Vesting Provisions Applicable to Founder Shares.</w:t>
      </w:r>
    </w:p>
    <w:p>
      <w:pPr>
        <w:spacing w:after="0" w:line="198" w:lineRule="exact"/>
        <w:rPr>
          <w:sz w:val="20"/>
          <w:szCs w:val="20"/>
          <w:color w:val="auto"/>
        </w:rPr>
      </w:pPr>
    </w:p>
    <w:p>
      <w:pPr>
        <w:jc w:val="both"/>
        <w:ind w:firstLine="1716"/>
        <w:spacing w:after="0" w:line="271" w:lineRule="auto"/>
        <w:tabs>
          <w:tab w:leader="none" w:pos="1937"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Unvested Founder Shares</w:t>
      </w:r>
      <w:r>
        <w:rPr>
          <w:rFonts w:ascii="Arial" w:cs="Arial" w:eastAsia="Arial" w:hAnsi="Arial"/>
          <w:sz w:val="15"/>
          <w:szCs w:val="15"/>
          <w:color w:val="auto"/>
        </w:rPr>
        <w:t xml:space="preserve">. Each </w:t>
      </w:r>
      <w:r>
        <w:rPr>
          <w:rFonts w:ascii="Arial" w:cs="Arial" w:eastAsia="Arial" w:hAnsi="Arial"/>
          <w:sz w:val="15"/>
          <w:szCs w:val="15"/>
          <w:u w:val="single" w:color="auto"/>
          <w:color w:val="auto"/>
        </w:rPr>
        <w:t>Sponsor</w:t>
      </w:r>
      <w:r>
        <w:rPr>
          <w:rFonts w:ascii="Arial" w:cs="Arial" w:eastAsia="Arial" w:hAnsi="Arial"/>
          <w:sz w:val="15"/>
          <w:szCs w:val="15"/>
          <w:color w:val="auto"/>
        </w:rPr>
        <w:t xml:space="preserve"> agrees that, as of immediately prior to the Closing, the Applicable Percentage of its Founder Shares shall be unvested and shall be subject to the vesting and forfeiture provisions set forth in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The “Applicable Percentage” shall be calculated as follows: (A) in the event that 90% to 100% of Acquiror Common Stock is redeemed pursuant to the Offer, the “Applicable Percentage” will be 15% of the Founder Shares that are owned by the Sponsor immediately after the Closing, (B) in the event that 80-90% of Acquiror Common Stock is redeemed pursuant to the Offer, 10% of the Founder Shares that are owned by the Sponsor immediately after the Closing, (C) in the event that 70-80% of Acquiror Common Stock is redeemed pursuant to the Offer, 5% of the Founder Shares that are owned by the Sponsor immediately after the Closing, and (D) in the event that less than 70% of Acquiror Common Stock is redeemed pursuant to the Offer, 0%. Each Sponsor agrees that it shall not Transfer any unvested Founder Shares prior to the date such Founder Shares become vested pursuant to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except to the extent permitted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1.6(c)</w:t>
      </w:r>
      <w:r>
        <w:rPr>
          <w:rFonts w:ascii="Arial" w:cs="Arial" w:eastAsia="Arial" w:hAnsi="Arial"/>
          <w:sz w:val="15"/>
          <w:szCs w:val="15"/>
          <w:color w:val="auto"/>
        </w:rPr>
        <w:t xml:space="preserve">. For the avoidance of doubt, the parties acknowledge that the remaining percentage (i.e. 100% </w:t>
      </w:r>
      <w:r>
        <w:rPr>
          <w:rFonts w:ascii="Arial" w:cs="Arial" w:eastAsia="Arial" w:hAnsi="Arial"/>
          <w:sz w:val="15"/>
          <w:szCs w:val="15"/>
          <w:i w:val="1"/>
          <w:iCs w:val="1"/>
          <w:color w:val="auto"/>
        </w:rPr>
        <w:t>minus</w:t>
      </w:r>
      <w:r>
        <w:rPr>
          <w:rFonts w:ascii="Arial" w:cs="Arial" w:eastAsia="Arial" w:hAnsi="Arial"/>
          <w:sz w:val="15"/>
          <w:szCs w:val="15"/>
          <w:color w:val="auto"/>
        </w:rPr>
        <w:t xml:space="preserve"> the Applicable Percentage) of the applicable Founder Shares will be fully vested as of the Closing.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6" w:name="page307"/>
    <w:bookmarkEnd w:id="306"/>
    <w:p>
      <w:pPr>
        <w:jc w:val="both"/>
        <w:ind w:right="20" w:firstLine="1716"/>
        <w:spacing w:after="0" w:line="258" w:lineRule="auto"/>
        <w:tabs>
          <w:tab w:leader="none" w:pos="1958"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Vesting; Forfeiture</w:t>
      </w:r>
      <w:r>
        <w:rPr>
          <w:rFonts w:ascii="Arial" w:cs="Arial" w:eastAsia="Arial" w:hAnsi="Arial"/>
          <w:sz w:val="16"/>
          <w:szCs w:val="16"/>
          <w:color w:val="auto"/>
        </w:rPr>
        <w:t>. 100% of the unvested Founder Shares owned by the Sponsors shall vest at such time as a $12.50 Stock Price Level (as defined below) is achieved on or before the date that is five (5) years after the Closing Date. For the avoidance of doubt, if a $12.50 Stock Price Level is not achieved on or prior to the date that is five (5) years after the Closing Date, the unvested Founder Shares shall not vest and shall be automatically forfeited and cancelled for no consideration. For clarity, the applicable Trading Day period for such Stock Price Level shall commence on the date hereof.</w:t>
      </w:r>
    </w:p>
    <w:p>
      <w:pPr>
        <w:spacing w:after="0" w:line="164" w:lineRule="exact"/>
        <w:rPr>
          <w:rFonts w:ascii="Arial" w:cs="Arial" w:eastAsia="Arial" w:hAnsi="Arial"/>
          <w:sz w:val="16"/>
          <w:szCs w:val="16"/>
          <w:color w:val="auto"/>
        </w:rPr>
      </w:pPr>
    </w:p>
    <w:p>
      <w:pPr>
        <w:jc w:val="both"/>
        <w:ind w:firstLine="1716"/>
        <w:spacing w:after="0" w:line="258" w:lineRule="auto"/>
        <w:tabs>
          <w:tab w:leader="none" w:pos="1937"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Stock Price Level</w:t>
      </w:r>
      <w:r>
        <w:rPr>
          <w:rFonts w:ascii="Arial" w:cs="Arial" w:eastAsia="Arial" w:hAnsi="Arial"/>
          <w:sz w:val="16"/>
          <w:szCs w:val="16"/>
          <w:color w:val="auto"/>
        </w:rPr>
        <w:t>. For purposes of this Sponsor Agreement, the applicable “Stock Price Level” will be considered achieved only when the VWAP of Acquiror Common Stock quoted on the NASDAQ is greater than or equal to the applicable threshold for any forty (40) Trading Days within any sixty (60) Trading Day period. The Stock Price Levels will be equitably adjusted for any stock dividend, subdivision, reclassification, recapitalization, split, combination or exchange of shares, or any similar event affecting the Acquiror Common Stock after the date of the Merger Agreement.</w:t>
      </w:r>
    </w:p>
    <w:p>
      <w:pPr>
        <w:spacing w:after="0" w:line="165" w:lineRule="exact"/>
        <w:rPr>
          <w:sz w:val="20"/>
          <w:szCs w:val="20"/>
          <w:color w:val="auto"/>
        </w:rPr>
      </w:pPr>
    </w:p>
    <w:p>
      <w:pPr>
        <w:jc w:val="both"/>
        <w:ind w:firstLine="1721"/>
        <w:spacing w:after="0" w:line="255"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Outstanding Acquiror Expenses</w:t>
      </w:r>
      <w:r>
        <w:rPr>
          <w:rFonts w:ascii="Arial" w:cs="Arial" w:eastAsia="Arial" w:hAnsi="Arial"/>
          <w:sz w:val="16"/>
          <w:szCs w:val="16"/>
          <w:color w:val="auto"/>
        </w:rPr>
        <w:t>. In accordance with Section 3.09(b) of the Merger Agreement, on the Closing Date following the Closing, Acquiror shall pay or cause to paid by wire transfer of immediately available funds all such Outstanding Acquiror Expenses. If the Outstanding Acquiror Expenses exceed $12,000,000, the Acquiror shall provide the Sponsors with a written report setting forth the list of Outstanding Acquiror Expenses, and each of the Sponsors, severally and not jointly and on a pro rata basis (i.e. Ventoux Acquisition: 67%; Chardan International Investments, LLC: 33%), shall reimburse Acquiror for such excess amounts, by wire transfer of immediately available funds, within 10 Business Days following the Closing Date.</w:t>
      </w:r>
    </w:p>
    <w:p>
      <w:pPr>
        <w:spacing w:after="0" w:line="170" w:lineRule="exact"/>
        <w:rPr>
          <w:sz w:val="20"/>
          <w:szCs w:val="20"/>
          <w:color w:val="auto"/>
        </w:rPr>
      </w:pPr>
    </w:p>
    <w:p>
      <w:pPr>
        <w:jc w:val="both"/>
        <w:ind w:firstLine="1721"/>
        <w:spacing w:after="0" w:line="254"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In addition to the obligations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Sponsor Agreement, each Sponsor Party shall use its reasonable best efforts to take, or cause to be taken, all actions and do, or cause to be done, all things reasonably necessary under applicable Laws to consummate the Mergers and the other transactions contemplated by the Merger Agreement on the terms and subject to the conditions set forth therein and herein. Notwithstanding anything to the contrary in this Sponsor Agreement, no Sponsor Party shall be obligated to bear any expense, pay any amount or grant any concession in connection with any action required to be taken by this Sponsor Agreement, except for cash expenses incurred incidental to actions required to be taken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Sponsor Agreement.</w:t>
      </w:r>
    </w:p>
    <w:p>
      <w:pPr>
        <w:spacing w:after="0" w:line="170" w:lineRule="exact"/>
        <w:rPr>
          <w:sz w:val="20"/>
          <w:szCs w:val="20"/>
          <w:color w:val="auto"/>
        </w:rPr>
      </w:pPr>
    </w:p>
    <w:p>
      <w:pPr>
        <w:jc w:val="both"/>
        <w:ind w:right="20" w:firstLine="1721"/>
        <w:spacing w:after="0" w:line="275"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No Inconsistent Agreement</w:t>
      </w:r>
      <w:r>
        <w:rPr>
          <w:rFonts w:ascii="Arial" w:cs="Arial" w:eastAsia="Arial" w:hAnsi="Arial"/>
          <w:sz w:val="16"/>
          <w:szCs w:val="16"/>
          <w:color w:val="auto"/>
        </w:rPr>
        <w:t>. Each Sponsor Party hereby represents and covenants that such Sponsor Party has not entered into, and shall not enter into, any agreement that would restrict, limit or interfere with the performance of such Sponsor Party’s obligations hereunder.</w:t>
      </w:r>
    </w:p>
    <w:p>
      <w:pPr>
        <w:spacing w:after="0" w:line="152" w:lineRule="exact"/>
        <w:rPr>
          <w:sz w:val="20"/>
          <w:szCs w:val="20"/>
          <w:color w:val="auto"/>
        </w:rPr>
      </w:pPr>
    </w:p>
    <w:p>
      <w:pPr>
        <w:jc w:val="both"/>
        <w:ind w:right="20" w:firstLine="1721"/>
        <w:spacing w:after="0" w:line="309" w:lineRule="auto"/>
        <w:rPr>
          <w:sz w:val="20"/>
          <w:szCs w:val="20"/>
          <w:color w:val="auto"/>
        </w:rPr>
      </w:pPr>
      <w:r>
        <w:rPr>
          <w:rFonts w:ascii="Arial" w:cs="Arial" w:eastAsia="Arial" w:hAnsi="Arial"/>
          <w:sz w:val="15"/>
          <w:szCs w:val="15"/>
          <w:u w:val="single" w:color="auto"/>
          <w:color w:val="auto"/>
        </w:rPr>
        <w:t>Section 1.11 No Amendment to Insider Letter</w:t>
      </w:r>
      <w:r>
        <w:rPr>
          <w:rFonts w:ascii="Arial" w:cs="Arial" w:eastAsia="Arial" w:hAnsi="Arial"/>
          <w:sz w:val="15"/>
          <w:szCs w:val="15"/>
          <w:color w:val="auto"/>
        </w:rPr>
        <w:t>. Neither the Sponsor Parties nor Acquiror shall amend, terminate or otherwise modify that certain letter agreement, dated as of December 23, 2020, by and among the Acquiror and the Sponsor Parties (the “</w:t>
      </w:r>
      <w:r>
        <w:rPr>
          <w:rFonts w:ascii="Arial" w:cs="Arial" w:eastAsia="Arial" w:hAnsi="Arial"/>
          <w:sz w:val="15"/>
          <w:szCs w:val="15"/>
          <w:u w:val="single" w:color="auto"/>
          <w:color w:val="auto"/>
        </w:rPr>
        <w:t>Insider Letter</w:t>
      </w:r>
      <w:r>
        <w:rPr>
          <w:rFonts w:ascii="Arial" w:cs="Arial" w:eastAsia="Arial" w:hAnsi="Arial"/>
          <w:sz w:val="15"/>
          <w:szCs w:val="15"/>
          <w:color w:val="auto"/>
        </w:rPr>
        <w:t>”), without the Company’s prior written consent.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7" w:name="page308"/>
    <w:bookmarkEnd w:id="307"/>
    <w:p>
      <w:pPr>
        <w:jc w:val="center"/>
        <w:ind w:right="40"/>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REPRESENTATIONS AND WARRANTIES</w:t>
      </w:r>
    </w:p>
    <w:p>
      <w:pPr>
        <w:spacing w:after="0" w:line="186" w:lineRule="exact"/>
        <w:rPr>
          <w:sz w:val="20"/>
          <w:szCs w:val="20"/>
          <w:color w:val="auto"/>
        </w:rPr>
      </w:pPr>
    </w:p>
    <w:p>
      <w:pPr>
        <w:ind w:right="20" w:firstLine="1721"/>
        <w:spacing w:after="0" w:line="275"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Representations and Warranties of each Sponsor Party</w:t>
      </w:r>
      <w:r>
        <w:rPr>
          <w:rFonts w:ascii="Arial" w:cs="Arial" w:eastAsia="Arial" w:hAnsi="Arial"/>
          <w:sz w:val="16"/>
          <w:szCs w:val="16"/>
          <w:color w:val="auto"/>
        </w:rPr>
        <w:t>. Each Sponsor Party represents and warrants as of the date hereof to Acquiror and the Company (solely with respect to itself, himself or herself and not with respect to any other Sponsor Party) as follows:</w:t>
      </w:r>
    </w:p>
    <w:p>
      <w:pPr>
        <w:spacing w:after="0" w:line="152" w:lineRule="exact"/>
        <w:rPr>
          <w:sz w:val="20"/>
          <w:szCs w:val="20"/>
          <w:color w:val="auto"/>
        </w:rPr>
      </w:pPr>
    </w:p>
    <w:p>
      <w:pPr>
        <w:jc w:val="both"/>
        <w:ind w:firstLine="1716"/>
        <w:spacing w:after="0" w:line="270" w:lineRule="auto"/>
        <w:tabs>
          <w:tab w:leader="none" w:pos="1937"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Organization; Due Authorization</w:t>
      </w:r>
      <w:r>
        <w:rPr>
          <w:rFonts w:ascii="Arial" w:cs="Arial" w:eastAsia="Arial" w:hAnsi="Arial"/>
          <w:sz w:val="15"/>
          <w:szCs w:val="15"/>
          <w:color w:val="auto"/>
        </w:rPr>
        <w:t>. If such Sponsor Party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Sponsor Party’s corporate, limited liability company or organizational powers and have been duly authorized by all necessary corporate, limited liability company or organizational actions on the part of such Sponsor Party. If such Sponsor Party is an individual, such Sponsor Party has full legal capacity, right and authority to execute and deliver this Sponsor Agreement and to perform his or her obligations hereunder. This Sponsor Agreement has been duly executed and delivered by such Sponsor Party and, assuming due authorization, execution and delivery by the other parties to this Sponsor Agreement, this Sponsor Agreement constitutes a legally valid and binding obligation of such Sponsor Party, enforceable against such Sponsor Party in accordance with the terms hereof (except as enforceability may be limited by bankruptcy Laws, other similar Laws affecting creditors’ rights and general principles of equity affecting the availability of specific performance and other equitable remedies). If this Sponsor Agreement is being executed in a representative or fiduciary capacity, the Person signing this Sponsor Agreement has full power and authority to enter into this Sponsor Agreement on behalf of the applicable Sponsor Party.</w:t>
      </w:r>
    </w:p>
    <w:p>
      <w:pPr>
        <w:spacing w:after="0" w:line="162" w:lineRule="exact"/>
        <w:rPr>
          <w:rFonts w:ascii="Arial" w:cs="Arial" w:eastAsia="Arial" w:hAnsi="Arial"/>
          <w:sz w:val="15"/>
          <w:szCs w:val="15"/>
          <w:color w:val="auto"/>
        </w:rPr>
      </w:pPr>
    </w:p>
    <w:p>
      <w:pPr>
        <w:jc w:val="both"/>
        <w:ind w:firstLine="1716"/>
        <w:spacing w:after="0" w:line="271" w:lineRule="auto"/>
        <w:tabs>
          <w:tab w:leader="none" w:pos="1958"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Ownership</w:t>
      </w:r>
      <w:r>
        <w:rPr>
          <w:rFonts w:ascii="Arial" w:cs="Arial" w:eastAsia="Arial" w:hAnsi="Arial"/>
          <w:sz w:val="15"/>
          <w:szCs w:val="15"/>
          <w:color w:val="auto"/>
        </w:rPr>
        <w:t xml:space="preserve">. The Sponsor Party is the record and beneficial owner of, and has good title to, all of the Sponsor Party’s Subject Securities listed across from the Sponsor Party’s name on </w:t>
      </w: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and there exist no Liens or any other limitation or restriction (including any restriction on the right to vote, sell or otherwise dispose of such Subject Securities (other than transfer restrictions under the Securities Act)) affecting any such Subject Securities owned by the Sponsor Party, other than Liens pursuant to (i) this Sponsor Agreement, (ii) the Acquiror Organizational Documents, (iii) the Merger Agreement, (iv) the Insider Letter or (v) any applicable securities Laws. The Sponsor Party’s Subject Securities are the only equity securities in Acquiror owned of record or beneficially by the Sponsor Party on the date of this Sponsor Agreement, and none of the Sponsor Party’s Subject Securities are subject to any proxy, voting trust or other agreement or arrangement with respect to the voting of such Subject Securities, except as provided hereunder and under the Insider Letter. Other than the Acquiror Private Placement Warrants held by such Sponsor Party and the Subscription Agreement to which the Sponsor Party is a party, such Sponsor Party does not hold or own any rights to acquire (directly or indirectly) any equity securities of Acquiror or any equity securities convertible into, or which can be exchanged for, equity securities of Acquiror.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08" w:name="page309"/>
    <w:bookmarkEnd w:id="308"/>
    <w:p>
      <w:pPr>
        <w:jc w:val="both"/>
        <w:ind w:right="20" w:firstLine="1716"/>
        <w:spacing w:after="0" w:line="276" w:lineRule="auto"/>
        <w:tabs>
          <w:tab w:leader="none" w:pos="1937"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and delivery of this Sponsor Agreement by such Sponsor Party does not, and the performance by such Sponsor Party of his, her or its obligations hereunder will not, (i) if such Sponsor Party is not an individual, conflict with or result in a violation of the organizational documents of such Sponsor Party or (ii) require any consent or approval that has not been given or other action that has not been taken by any Person (including under any Contract binding upon such Sponsor Party or such Sponsor Party’s Subject Securities), in each case, to the extent such consent, approval or other action would prevent, enjoin or materially delay the performance by such Sponsor Party of its, his or her obligations under this Sponsor Agreement.</w:t>
      </w:r>
    </w:p>
    <w:p>
      <w:pPr>
        <w:spacing w:after="0" w:line="155" w:lineRule="exact"/>
        <w:rPr>
          <w:rFonts w:ascii="Arial" w:cs="Arial" w:eastAsia="Arial" w:hAnsi="Arial"/>
          <w:sz w:val="15"/>
          <w:szCs w:val="15"/>
          <w:color w:val="auto"/>
        </w:rPr>
      </w:pPr>
    </w:p>
    <w:p>
      <w:pPr>
        <w:jc w:val="both"/>
        <w:ind w:right="20" w:firstLine="1716"/>
        <w:spacing w:after="0" w:line="287" w:lineRule="auto"/>
        <w:tabs>
          <w:tab w:leader="none" w:pos="1946"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There are no Actions pending against such Sponsor Party, or to the knowledge of such Sponsor Party threatened against such Sponsor Party, before (or, in the case of threatened Actions, that would be before) any arbitrator or any Governmental Authority, which in any manner challenges or seeks to prevent, enjoin or materially delay the performance by such Sponsor Party of its, his or her obligations under this Sponsor Agreement.</w:t>
      </w:r>
    </w:p>
    <w:p>
      <w:pPr>
        <w:spacing w:after="0" w:line="146" w:lineRule="exact"/>
        <w:rPr>
          <w:rFonts w:ascii="Arial" w:cs="Arial" w:eastAsia="Arial" w:hAnsi="Arial"/>
          <w:sz w:val="15"/>
          <w:szCs w:val="15"/>
          <w:color w:val="auto"/>
        </w:rPr>
      </w:pPr>
    </w:p>
    <w:p>
      <w:pPr>
        <w:jc w:val="both"/>
        <w:ind w:firstLine="1716"/>
        <w:spacing w:after="0" w:line="287" w:lineRule="auto"/>
        <w:tabs>
          <w:tab w:leader="none" w:pos="1949" w:val="left"/>
        </w:tabs>
        <w:numPr>
          <w:ilvl w:val="0"/>
          <w:numId w:val="310"/>
        </w:numPr>
        <w:rPr>
          <w:rFonts w:ascii="Arial" w:cs="Arial" w:eastAsia="Arial" w:hAnsi="Arial"/>
          <w:sz w:val="15"/>
          <w:szCs w:val="15"/>
          <w:color w:val="auto"/>
        </w:rPr>
      </w:pPr>
      <w:r>
        <w:rPr>
          <w:rFonts w:ascii="Arial" w:cs="Arial" w:eastAsia="Arial" w:hAnsi="Arial"/>
          <w:sz w:val="15"/>
          <w:szCs w:val="15"/>
          <w:u w:val="single" w:color="auto"/>
          <w:color w:val="auto"/>
        </w:rPr>
        <w:t>Brokerage Fees</w:t>
      </w:r>
      <w:r>
        <w:rPr>
          <w:rFonts w:ascii="Arial" w:cs="Arial" w:eastAsia="Arial" w:hAnsi="Arial"/>
          <w:sz w:val="15"/>
          <w:szCs w:val="15"/>
          <w:color w:val="auto"/>
        </w:rPr>
        <w:t>. Except as described in Section 5.09 of the Merger Agreement (or the corresponding section of the disclosure schedules), no broker, finder, investment banker or other Person is entitled to any brokerage fee, finders’ fee or other commission in connection with the transactions contemplated by the Merger Agreement based upon arrangements made by such Sponsor Party, for which Acquiror or any of its Subsidiaries may become liable.</w:t>
      </w:r>
    </w:p>
    <w:p>
      <w:pPr>
        <w:spacing w:after="0" w:line="146" w:lineRule="exact"/>
        <w:rPr>
          <w:rFonts w:ascii="Arial" w:cs="Arial" w:eastAsia="Arial" w:hAnsi="Arial"/>
          <w:sz w:val="15"/>
          <w:szCs w:val="15"/>
          <w:color w:val="auto"/>
        </w:rPr>
      </w:pPr>
    </w:p>
    <w:p>
      <w:pPr>
        <w:jc w:val="both"/>
        <w:ind w:firstLine="1716"/>
        <w:spacing w:after="0" w:line="254" w:lineRule="auto"/>
        <w:tabs>
          <w:tab w:leader="none" w:pos="1999"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Fees; Loan Repayments</w:t>
      </w:r>
      <w:r>
        <w:rPr>
          <w:rFonts w:ascii="Arial" w:cs="Arial" w:eastAsia="Arial" w:hAnsi="Arial"/>
          <w:sz w:val="16"/>
          <w:szCs w:val="16"/>
          <w:color w:val="auto"/>
        </w:rPr>
        <w:t>. Except as disclosed in the registration statement on Form S-1 and prospectus filed by Acquiror with the U.S. Securities and Exchange Commission in connection with the underwritten initial public offering of 15,000,000 of Acquiror’s units (plus 2,250,000 Acquiror’s units issued upon exercise of the over-allotment option), neither the Sponsor Parties nor any of their respective Affiliates, nor any of their respective directors or officers, shall receive from Acquiror any finder’s fee, reimbursement, consulting fee, non-cash payments, monies in respect of any repayment of a loan or other compensation prior to, or in connection with any services rendered in order to effectuate, the consummation of Acquiror’s initial Business Combination (regardless of the type of transaction that it is, but including, for the avoidance of doubt, the Mergers).</w:t>
      </w:r>
    </w:p>
    <w:p>
      <w:pPr>
        <w:spacing w:after="0" w:line="170" w:lineRule="exact"/>
        <w:rPr>
          <w:rFonts w:ascii="Arial" w:cs="Arial" w:eastAsia="Arial" w:hAnsi="Arial"/>
          <w:sz w:val="16"/>
          <w:szCs w:val="16"/>
          <w:color w:val="auto"/>
        </w:rPr>
      </w:pPr>
    </w:p>
    <w:p>
      <w:pPr>
        <w:jc w:val="both"/>
        <w:ind w:firstLine="1716"/>
        <w:spacing w:after="0" w:line="258" w:lineRule="auto"/>
        <w:tabs>
          <w:tab w:leader="none" w:pos="1958"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Affiliate Arrangements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attached hereto or any registration statements, reports, schedules, forms, statements and other documents filed or furnished with the SEC by Acquiror, neither such Sponsor Party nor any anyone related by blood, marriage or adoption to such Sponsor Party or, to the knowledge of such Sponsor Party, any Person in which such Sponsor Party has a direct or indirect legal, contractual or beneficial ownership of 5% or greater is party to, or has any rights with respect to or arising from, any Contract with Acquiror or its Subsidiaries.</w:t>
      </w:r>
    </w:p>
    <w:p>
      <w:pPr>
        <w:spacing w:after="0" w:line="164" w:lineRule="exact"/>
        <w:rPr>
          <w:rFonts w:ascii="Arial" w:cs="Arial" w:eastAsia="Arial" w:hAnsi="Arial"/>
          <w:sz w:val="16"/>
          <w:szCs w:val="16"/>
          <w:color w:val="auto"/>
        </w:rPr>
      </w:pPr>
    </w:p>
    <w:p>
      <w:pPr>
        <w:ind w:right="20" w:firstLine="1716"/>
        <w:spacing w:after="0" w:line="275" w:lineRule="auto"/>
        <w:tabs>
          <w:tab w:leader="none" w:pos="197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Acknowledgment</w:t>
      </w:r>
      <w:r>
        <w:rPr>
          <w:rFonts w:ascii="Arial" w:cs="Arial" w:eastAsia="Arial" w:hAnsi="Arial"/>
          <w:sz w:val="16"/>
          <w:szCs w:val="16"/>
          <w:color w:val="auto"/>
        </w:rPr>
        <w:t>. Such Sponsor Party understands and acknowledges that each of Acquiror and the Company is entering into the Merger Agreement in reliance upon such Sponsor Party’s execution and delivery of this Sponsor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9" w:name="page310"/>
    <w:bookmarkEnd w:id="309"/>
    <w:p>
      <w:pPr>
        <w:ind w:left="5140"/>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ind w:left="4920"/>
        <w:spacing w:after="0"/>
        <w:rPr>
          <w:sz w:val="20"/>
          <w:szCs w:val="20"/>
          <w:color w:val="auto"/>
        </w:rPr>
      </w:pPr>
      <w:r>
        <w:rPr>
          <w:rFonts w:ascii="Arial" w:cs="Arial" w:eastAsia="Arial" w:hAnsi="Arial"/>
          <w:sz w:val="16"/>
          <w:szCs w:val="16"/>
          <w:b w:val="1"/>
          <w:bCs w:val="1"/>
          <w:u w:val="single" w:color="auto"/>
          <w:color w:val="auto"/>
        </w:rPr>
        <w:t>MISCELLANEOUS</w:t>
      </w:r>
    </w:p>
    <w:p>
      <w:pPr>
        <w:spacing w:after="0" w:line="186" w:lineRule="exact"/>
        <w:rPr>
          <w:sz w:val="20"/>
          <w:szCs w:val="20"/>
          <w:color w:val="auto"/>
        </w:rPr>
      </w:pPr>
    </w:p>
    <w:p>
      <w:pPr>
        <w:jc w:val="both"/>
        <w:ind w:firstLine="1721"/>
        <w:spacing w:after="0" w:line="25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Sponsor Agreement and all of its provisions (except for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Sponsor Agreement) shall terminate and be of no further force or effect upon the earliest of (a) the Expiration Time, (b) the liquidation of Acquiror and (c) the written agreement of each Sponsor, Acquiror, and the Company. Upon such termination of this Sponsor Agreement, all obligations of the parties under this Sponsor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termination of this Sponsor Agreement shall not relieve any party hereto from liability arising from any actual fraud in respect of this Sponsor Agreement occurring prior to such termination. Notwithstanding the foregoing,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survive the termination of this Sponsor Agreement.</w:t>
      </w:r>
    </w:p>
    <w:p>
      <w:pPr>
        <w:spacing w:after="0" w:line="169" w:lineRule="exact"/>
        <w:rPr>
          <w:sz w:val="20"/>
          <w:szCs w:val="20"/>
          <w:color w:val="auto"/>
        </w:rPr>
      </w:pPr>
    </w:p>
    <w:p>
      <w:pPr>
        <w:jc w:val="both"/>
        <w:ind w:firstLine="1721"/>
        <w:spacing w:after="0" w:line="271"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xml:space="preserve">. Any Action based upon, arising out of or related to this Sponsor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EACH OF THE PARTIES HERETO HEREBY IRREVOCABLY WAIVES ANY AND ALL RIGHT TO TRIAL BY JURY IN ANY ACTION BASED UPON, ARISING OUT OF OR RELATED TO THIS SPONSOR AGREEMENT OR THE TRANSACTIONS CONTEMPLATED HEREBY.</w:t>
      </w:r>
    </w:p>
    <w:p>
      <w:pPr>
        <w:spacing w:after="0" w:line="159" w:lineRule="exact"/>
        <w:rPr>
          <w:sz w:val="20"/>
          <w:szCs w:val="20"/>
          <w:color w:val="auto"/>
        </w:rPr>
      </w:pPr>
    </w:p>
    <w:p>
      <w:pPr>
        <w:jc w:val="both"/>
        <w:ind w:right="20" w:firstLine="1721"/>
        <w:spacing w:after="0" w:line="317"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Sponsor Agreement and all of the provisions hereof will be binding upon and inure to the benefit of the parties hereto and their respective heirs, successors and permitted assigns. Neither this Sponsor Agreement nor any of the rights, interests or obligations hereunder will be assigned (including by operation of law) without the prior written consent of the parties hereto. Any purported assignment or delegation not permitted under this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shall be null and void.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0" w:name="page311"/>
    <w:bookmarkEnd w:id="310"/>
    <w:p>
      <w:pPr>
        <w:jc w:val="both"/>
        <w:ind w:left="4" w:firstLine="1721"/>
        <w:spacing w:after="0" w:line="306"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Specific Performance</w:t>
      </w:r>
      <w:r>
        <w:rPr>
          <w:rFonts w:ascii="Arial" w:cs="Arial" w:eastAsia="Arial" w:hAnsi="Arial"/>
          <w:sz w:val="14"/>
          <w:szCs w:val="14"/>
          <w:color w:val="auto"/>
        </w:rPr>
        <w:t>. The parties hereto agree that irreparable damage may occur in the event that any of the provisions of this Sponsor Agreement were not performed in accordance with their specific terms or were otherwise breached. It is accordingly agreed that the parties hereto shall be entitled to seek an injunction or injunctions to prevent breaches of this Sponsor Agreement and to enforce specifically the terms and provisions of this Sponsor Agreement in the chancery court or any other state or federal court within the State of Delaware, this being in addition to any other remedy to which such party is entitled at law or in equity.</w:t>
      </w:r>
    </w:p>
    <w:p>
      <w:pPr>
        <w:spacing w:after="0" w:line="135" w:lineRule="exact"/>
        <w:rPr>
          <w:sz w:val="20"/>
          <w:szCs w:val="20"/>
          <w:color w:val="auto"/>
        </w:rPr>
      </w:pPr>
    </w:p>
    <w:p>
      <w:pPr>
        <w:jc w:val="both"/>
        <w:ind w:left="4" w:firstLine="1721"/>
        <w:spacing w:after="0" w:line="275"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Amendment</w:t>
      </w:r>
      <w:r>
        <w:rPr>
          <w:rFonts w:ascii="Arial" w:cs="Arial" w:eastAsia="Arial" w:hAnsi="Arial"/>
          <w:sz w:val="16"/>
          <w:szCs w:val="16"/>
          <w:color w:val="auto"/>
        </w:rPr>
        <w:t>. This Sponsor Agreement may not be amended, changed, supplemented, waived or otherwise modified or terminated, except upon the execution and delivery of a written agreement executed by Acquiror, the Company and the Sponsors.</w:t>
      </w:r>
    </w:p>
    <w:p>
      <w:pPr>
        <w:spacing w:after="0" w:line="152" w:lineRule="exact"/>
        <w:rPr>
          <w:sz w:val="20"/>
          <w:szCs w:val="20"/>
          <w:color w:val="auto"/>
        </w:rPr>
      </w:pPr>
    </w:p>
    <w:p>
      <w:pPr>
        <w:jc w:val="both"/>
        <w:ind w:left="4" w:firstLine="1721"/>
        <w:spacing w:after="0" w:line="26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Sponsor Agreement is held invalid or unenforceable by any court of competent jurisdiction, the other provisions of this Sponsor Agreement will remain in full force and effect. Any provision of this Sponsor Agreement held invalid or unenforceable only in part or degree will remain in full force and effect to the extent not held invalid or unenforceable.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among the parties hereto shall be in writing and shall be deemed to have been duly given</w:t>
      </w:r>
    </w:p>
    <w:p>
      <w:pPr>
        <w:spacing w:after="0" w:line="20" w:lineRule="exact"/>
        <w:rPr>
          <w:sz w:val="20"/>
          <w:szCs w:val="20"/>
          <w:color w:val="auto"/>
        </w:rPr>
      </w:pPr>
    </w:p>
    <w:p>
      <w:pPr>
        <w:ind w:left="224" w:hanging="224"/>
        <w:spacing w:after="0"/>
        <w:tabs>
          <w:tab w:leader="none" w:pos="224" w:val="left"/>
        </w:tabs>
        <w:numPr>
          <w:ilvl w:val="0"/>
          <w:numId w:val="311"/>
        </w:numPr>
        <w:rPr>
          <w:rFonts w:ascii="Arial" w:cs="Arial" w:eastAsia="Arial" w:hAnsi="Arial"/>
          <w:sz w:val="14"/>
          <w:szCs w:val="14"/>
          <w:color w:val="auto"/>
        </w:rPr>
      </w:pPr>
      <w:r>
        <w:rPr>
          <w:rFonts w:ascii="Arial" w:cs="Arial" w:eastAsia="Arial" w:hAnsi="Arial"/>
          <w:sz w:val="14"/>
          <w:szCs w:val="14"/>
          <w:color w:val="auto"/>
        </w:rPr>
        <w:t>when delivered in person, (b) when delivered after posting in the United States mail having been sent registered or certified mail return receipt requested, postage prepaid,</w:t>
      </w:r>
    </w:p>
    <w:p>
      <w:pPr>
        <w:spacing w:after="0" w:line="30" w:lineRule="exact"/>
        <w:rPr>
          <w:rFonts w:ascii="Arial" w:cs="Arial" w:eastAsia="Arial" w:hAnsi="Arial"/>
          <w:sz w:val="14"/>
          <w:szCs w:val="14"/>
          <w:color w:val="auto"/>
        </w:rPr>
      </w:pPr>
    </w:p>
    <w:p>
      <w:pPr>
        <w:ind w:left="4" w:hanging="4"/>
        <w:spacing w:after="0" w:line="258" w:lineRule="auto"/>
        <w:tabs>
          <w:tab w:leader="none" w:pos="22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when delivered by FedEx or other nationally recognized overnight delivery service or (d) when e-mailed during normal business hours (and otherwise as of the immediately following Business Day), addressed as follows:</w:t>
      </w:r>
    </w:p>
    <w:p>
      <w:pPr>
        <w:spacing w:after="0" w:line="165" w:lineRule="exact"/>
        <w:rPr>
          <w:sz w:val="20"/>
          <w:szCs w:val="20"/>
          <w:color w:val="auto"/>
        </w:rPr>
      </w:pPr>
    </w:p>
    <w:p>
      <w:pPr>
        <w:ind w:left="1144"/>
        <w:spacing w:after="0"/>
        <w:rPr>
          <w:sz w:val="20"/>
          <w:szCs w:val="20"/>
          <w:color w:val="auto"/>
        </w:rPr>
      </w:pPr>
      <w:r>
        <w:rPr>
          <w:rFonts w:ascii="Arial" w:cs="Arial" w:eastAsia="Arial" w:hAnsi="Arial"/>
          <w:sz w:val="16"/>
          <w:szCs w:val="16"/>
          <w:u w:val="single" w:color="auto"/>
          <w:color w:val="auto"/>
        </w:rPr>
        <w:t>If to Acquiror</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Ventoux CCM Acquisition Corp.</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 East Putnam Avenue, Floor 4</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Edward Scheetz</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ed.scheetz@gmail.com</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with a copy to (which will not constitute notice):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Email: ilan.katz@dentons.com and brian.lee@dentons.com</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9" w:right="339" w:bottom="1440" w:gutter="0" w:footer="0" w:header="0"/>
        </w:sectPr>
      </w:pPr>
    </w:p>
    <w:bookmarkStart w:id="311" w:name="page312"/>
    <w:bookmarkEnd w:id="311"/>
    <w:p>
      <w:pPr>
        <w:ind w:left="20"/>
        <w:spacing w:after="0"/>
        <w:rPr>
          <w:sz w:val="20"/>
          <w:szCs w:val="20"/>
          <w:color w:val="auto"/>
        </w:rPr>
      </w:pPr>
      <w:r>
        <w:rPr>
          <w:rFonts w:ascii="Arial" w:cs="Arial" w:eastAsia="Arial" w:hAnsi="Arial"/>
          <w:sz w:val="16"/>
          <w:szCs w:val="16"/>
          <w:u w:val="single" w:color="auto"/>
          <w:color w:val="auto"/>
        </w:rPr>
        <w:t>If to the Company</w:t>
      </w:r>
      <w:r>
        <w:rPr>
          <w:rFonts w:ascii="Arial" w:cs="Arial" w:eastAsia="Arial" w:hAnsi="Arial"/>
          <w:sz w:val="16"/>
          <w:szCs w:val="16"/>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colin.diamond@whitecase.com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Tezas 77007</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Emery Choi</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emery.choi@whitecase.com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If to a Sponsor Party</w:t>
      </w:r>
      <w:r>
        <w:rPr>
          <w:rFonts w:ascii="Arial" w:cs="Arial" w:eastAsia="Arial" w:hAnsi="Arial"/>
          <w:sz w:val="16"/>
          <w:szCs w:val="16"/>
          <w:color w:val="auto"/>
        </w:rPr>
        <w: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To such Sponsor Party’s address set forth in </w:t>
      </w:r>
      <w:r>
        <w:rPr>
          <w:rFonts w:ascii="Arial" w:cs="Arial" w:eastAsia="Arial" w:hAnsi="Arial"/>
          <w:sz w:val="16"/>
          <w:szCs w:val="16"/>
          <w:u w:val="single" w:color="auto"/>
          <w:color w:val="auto"/>
        </w:rPr>
        <w:t>Schedule I</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 a copy to (which will not constitute notice):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Email: ilan.katz@dentons.com and brian.lee@dentons.com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27305</wp:posOffset>
            </wp:positionV>
            <wp:extent cx="7148195"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312" w:name="page313"/>
    <w:bookmarkEnd w:id="312"/>
    <w:p>
      <w:pPr>
        <w:jc w:val="both"/>
        <w:ind w:right="20" w:firstLine="1721"/>
        <w:spacing w:after="0" w:line="275"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Counterparts</w:t>
      </w:r>
      <w:r>
        <w:rPr>
          <w:rFonts w:ascii="Arial" w:cs="Arial" w:eastAsia="Arial" w:hAnsi="Arial"/>
          <w:sz w:val="16"/>
          <w:szCs w:val="16"/>
          <w:color w:val="auto"/>
        </w:rPr>
        <w:t>. This Sponsor Agreement may be executed in two or more counterparts (any of which may be delivered by electronic transmission), each of which shall constitute an original, and all of which taken together shall constitute one and the same instrument.</w:t>
      </w:r>
    </w:p>
    <w:p>
      <w:pPr>
        <w:spacing w:after="0" w:line="152" w:lineRule="exact"/>
        <w:rPr>
          <w:sz w:val="20"/>
          <w:szCs w:val="20"/>
          <w:color w:val="auto"/>
        </w:rPr>
      </w:pPr>
    </w:p>
    <w:p>
      <w:pPr>
        <w:ind w:left="1720"/>
        <w:spacing w:after="0"/>
        <w:rPr>
          <w:sz w:val="20"/>
          <w:szCs w:val="20"/>
          <w:color w:val="auto"/>
        </w:rPr>
      </w:pPr>
      <w:r>
        <w:rPr>
          <w:rFonts w:ascii="Arial" w:cs="Arial" w:eastAsia="Arial" w:hAnsi="Arial"/>
          <w:sz w:val="14"/>
          <w:szCs w:val="14"/>
          <w:u w:val="single" w:color="auto"/>
          <w:color w:val="auto"/>
        </w:rPr>
        <w:t>Section 3.9 Trust Account Waiver</w:t>
      </w:r>
      <w:r>
        <w:rPr>
          <w:rFonts w:ascii="Arial" w:cs="Arial" w:eastAsia="Arial" w:hAnsi="Arial"/>
          <w:sz w:val="14"/>
          <w:szCs w:val="14"/>
          <w:color w:val="auto"/>
        </w:rPr>
        <w:t xml:space="preserve">. Section 6.05 of the Merger Agreement is hereby incorporated into this Sponsor Agreement,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221" w:lineRule="exact"/>
        <w:rPr>
          <w:sz w:val="20"/>
          <w:szCs w:val="20"/>
          <w:color w:val="auto"/>
        </w:rPr>
      </w:pPr>
    </w:p>
    <w:p>
      <w:pPr>
        <w:jc w:val="both"/>
        <w:ind w:firstLine="1721"/>
        <w:spacing w:after="0" w:line="262"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Sponsor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62" w:lineRule="exact"/>
        <w:rPr>
          <w:sz w:val="20"/>
          <w:szCs w:val="20"/>
          <w:color w:val="auto"/>
        </w:rPr>
      </w:pPr>
    </w:p>
    <w:p>
      <w:pPr>
        <w:jc w:val="both"/>
        <w:ind w:right="20" w:firstLine="1721"/>
        <w:spacing w:after="0" w:line="262" w:lineRule="auto"/>
        <w:rPr>
          <w:sz w:val="20"/>
          <w:szCs w:val="20"/>
          <w:color w:val="auto"/>
        </w:rPr>
      </w:pPr>
      <w:r>
        <w:rPr>
          <w:rFonts w:ascii="Arial" w:cs="Arial" w:eastAsia="Arial" w:hAnsi="Arial"/>
          <w:sz w:val="16"/>
          <w:szCs w:val="16"/>
          <w:u w:val="single" w:color="auto"/>
          <w:color w:val="auto"/>
        </w:rPr>
        <w:t>Section 3.11 Publicity</w:t>
      </w:r>
      <w:r>
        <w:rPr>
          <w:rFonts w:ascii="Arial" w:cs="Arial" w:eastAsia="Arial" w:hAnsi="Arial"/>
          <w:sz w:val="16"/>
          <w:szCs w:val="16"/>
          <w:color w:val="auto"/>
        </w:rPr>
        <w:t>. Except to the extent required by applicable Law or legal process, neither Acquiror nor the Company may disclose the identities of any direct or indirect members or investors of the Sponsor Parties or their direct or indirect interests in the Sponsor Parties without the relevant Sponsor Party’s prior written consent.</w:t>
      </w:r>
    </w:p>
    <w:p>
      <w:pPr>
        <w:spacing w:after="0" w:line="162" w:lineRule="exact"/>
        <w:rPr>
          <w:sz w:val="20"/>
          <w:szCs w:val="20"/>
          <w:color w:val="auto"/>
        </w:rPr>
      </w:pPr>
    </w:p>
    <w:p>
      <w:pPr>
        <w:jc w:val="both"/>
        <w:ind w:firstLine="1721"/>
        <w:spacing w:after="0" w:line="274" w:lineRule="auto"/>
        <w:rPr>
          <w:sz w:val="20"/>
          <w:szCs w:val="20"/>
          <w:color w:val="auto"/>
        </w:rPr>
      </w:pPr>
      <w:r>
        <w:rPr>
          <w:rFonts w:ascii="Arial" w:cs="Arial" w:eastAsia="Arial" w:hAnsi="Arial"/>
          <w:sz w:val="15"/>
          <w:szCs w:val="15"/>
          <w:u w:val="single" w:color="auto"/>
          <w:color w:val="auto"/>
        </w:rPr>
        <w:t>Section 3.12 Capacity as a Stockholder</w:t>
      </w:r>
      <w:r>
        <w:rPr>
          <w:rFonts w:ascii="Arial" w:cs="Arial" w:eastAsia="Arial" w:hAnsi="Arial"/>
          <w:sz w:val="15"/>
          <w:szCs w:val="15"/>
          <w:color w:val="auto"/>
        </w:rPr>
        <w:t>. Notwithstanding anything herein to the contrary, each Sponsor Party signs this Sponsor Agreement solely in such Person’s capacity as a record owner of, common stock of Acquiror, and not in any other capacity and this Sponsor Agreement shall not limit, prevent or otherwise affect the actions of any Sponsor Party or any Affiliate, employee or designee of the Sponsor Party, or any of their respective Affiliates in his or her capacity, if applicable, as an officer or director of Acquiror, First Merger Sub, Second Merger Sub or any other Person, including in the exercise of his or her fiduciary duties as a director or officer of Acquiror. No Sponsor Party shall be liable or responsible for any breach, default, or violation of any representation, warranty, covenant or agreement by any other Sponsor Party that is also a party hereto and each Sponsor Party shall solely be required to perform its obligations hereunder in its individual capacity.</w:t>
      </w:r>
    </w:p>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REMAINDER OF THIS PAGE IS INTENTIONALLY BLANK]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13" w:name="page314"/>
    <w:bookmarkEnd w:id="313"/>
    <w:p>
      <w:pPr>
        <w:ind w:firstLine="574"/>
        <w:spacing w:after="0" w:line="275" w:lineRule="auto"/>
        <w:rPr>
          <w:sz w:val="20"/>
          <w:szCs w:val="20"/>
          <w:color w:val="auto"/>
        </w:rPr>
      </w:pPr>
      <w:r>
        <w:rPr>
          <w:rFonts w:ascii="Arial" w:cs="Arial" w:eastAsia="Arial" w:hAnsi="Arial"/>
          <w:sz w:val="16"/>
          <w:szCs w:val="16"/>
          <w:color w:val="auto"/>
        </w:rPr>
        <w:t>IN WITNESS WHEREOF, the Sponsor Parties, Acquiror, and the Company have each caused this Sponsor Support Agreement to be duly executed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SPONSORS: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ACQUISITION HOLDINGS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CHARDAN INTERNATIONAL INVESTMENTS LLC</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6"/>
          <w:szCs w:val="16"/>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Jonas Grossman</w:t>
      </w:r>
    </w:p>
    <w:p>
      <w:pPr>
        <w:spacing w:after="0" w:line="20"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6"/>
          <w:szCs w:val="16"/>
          <w:color w:val="auto"/>
        </w:rPr>
        <w:t>Title:</w:t>
        <w:tab/>
        <w:t>Managing Member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14" w:name="page315"/>
    <w:bookmarkEnd w:id="314"/>
    <w:p>
      <w:pPr>
        <w:ind w:left="5640"/>
        <w:spacing w:after="0"/>
        <w:rPr>
          <w:sz w:val="20"/>
          <w:szCs w:val="20"/>
          <w:color w:val="auto"/>
        </w:rPr>
      </w:pPr>
      <w:r>
        <w:rPr>
          <w:rFonts w:ascii="Arial" w:cs="Arial" w:eastAsia="Arial" w:hAnsi="Arial"/>
          <w:sz w:val="16"/>
          <w:szCs w:val="16"/>
          <w:b w:val="1"/>
          <w:bCs w:val="1"/>
          <w:color w:val="auto"/>
        </w:rPr>
        <w:t>INSIDERS:</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Christian Ahrens</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Woodrow H. Levin</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Julie Atkinson</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7"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b w:val="1"/>
          <w:bCs w:val="1"/>
          <w:color w:val="auto"/>
        </w:rPr>
        <w:t>Edward Scheetz</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Cindat USA LLC</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jc w:val="right"/>
        <w:ind w:right="899"/>
        <w:spacing w:after="0"/>
        <w:tabs>
          <w:tab w:leader="none" w:pos="14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Bernard Van der Lande</w:t>
      </w:r>
    </w:p>
    <w:p>
      <w:pPr>
        <w:spacing w:after="0" w:line="20"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Managing Member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15" w:name="page316"/>
    <w:bookmarkEnd w:id="315"/>
    <w:p>
      <w:pPr>
        <w:ind w:left="5640"/>
        <w:spacing w:after="0"/>
        <w:rPr>
          <w:sz w:val="20"/>
          <w:szCs w:val="20"/>
          <w:color w:val="auto"/>
        </w:rPr>
      </w:pPr>
      <w:r>
        <w:rPr>
          <w:rFonts w:ascii="Arial" w:cs="Arial" w:eastAsia="Arial" w:hAnsi="Arial"/>
          <w:sz w:val="16"/>
          <w:szCs w:val="16"/>
          <w:b w:val="1"/>
          <w:bCs w:val="1"/>
          <w:color w:val="auto"/>
        </w:rPr>
        <w:t>ACQUIROR: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Edward Scheetz</w:t>
      </w:r>
    </w:p>
    <w:p>
      <w:pPr>
        <w:spacing w:after="0" w:line="20"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5" w:right="1440" w:bottom="1440" w:gutter="0" w:footer="0" w:header="0"/>
        </w:sectPr>
      </w:pPr>
    </w:p>
    <w:bookmarkStart w:id="316" w:name="page317"/>
    <w:bookmarkEnd w:id="316"/>
    <w:p>
      <w:pPr>
        <w:ind w:left="5640"/>
        <w:spacing w:after="0"/>
        <w:rPr>
          <w:sz w:val="20"/>
          <w:szCs w:val="20"/>
          <w:color w:val="auto"/>
        </w:rPr>
      </w:pPr>
      <w:r>
        <w:rPr>
          <w:rFonts w:ascii="Arial" w:cs="Arial" w:eastAsia="Arial" w:hAnsi="Arial"/>
          <w:sz w:val="16"/>
          <w:szCs w:val="16"/>
          <w:b w:val="1"/>
          <w:bCs w:val="1"/>
          <w:color w:val="auto"/>
        </w:rPr>
        <w:t>COMPANY:</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 LA CARTE, INC.</w:t>
      </w:r>
    </w:p>
    <w:p>
      <w:pPr>
        <w:spacing w:after="0" w:line="202"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6"/>
          <w:szCs w:val="16"/>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Rajat Suri</w:t>
      </w:r>
    </w:p>
    <w:p>
      <w:pPr>
        <w:spacing w:after="0" w:line="20" w:lineRule="exact"/>
        <w:rPr>
          <w:sz w:val="20"/>
          <w:szCs w:val="20"/>
          <w:color w:val="auto"/>
        </w:rPr>
      </w:pPr>
    </w:p>
    <w:p>
      <w:pPr>
        <w:jc w:val="both"/>
        <w:ind w:left="6080"/>
        <w:spacing w:after="0"/>
        <w:tabs>
          <w:tab w:leader="none" w:pos="662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17" w:name="page318"/>
    <w:bookmarkEnd w:id="317"/>
    <w:p>
      <w:pPr>
        <w:jc w:val="center"/>
        <w:ind w:right="20"/>
        <w:spacing w:after="0"/>
        <w:rPr>
          <w:sz w:val="20"/>
          <w:szCs w:val="20"/>
          <w:color w:val="auto"/>
        </w:rPr>
      </w:pPr>
      <w:r>
        <w:rPr>
          <w:rFonts w:ascii="Arial" w:cs="Arial" w:eastAsia="Arial" w:hAnsi="Arial"/>
          <w:sz w:val="16"/>
          <w:szCs w:val="16"/>
          <w:b w:val="1"/>
          <w:bCs w:val="1"/>
          <w:u w:val="single" w:color="auto"/>
          <w:color w:val="auto"/>
        </w:rPr>
        <w:t>Schedule I</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Sponsor Subject Securities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5300" w:type="dxa"/>
            <w:vAlign w:val="bottom"/>
            <w:tcBorders>
              <w:top w:val="single" w:sz="8" w:color="auto"/>
              <w:left w:val="single" w:sz="8" w:color="auto"/>
              <w:right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Sponsor Party</w:t>
            </w:r>
          </w:p>
        </w:tc>
        <w:tc>
          <w:tcPr>
            <w:tcW w:w="380" w:type="dxa"/>
            <w:vAlign w:val="bottom"/>
            <w:tcBorders>
              <w:top w:val="single" w:sz="8" w:color="auto"/>
            </w:tcBorders>
          </w:tcPr>
          <w:p>
            <w:pPr>
              <w:spacing w:after="0"/>
              <w:rPr>
                <w:sz w:val="14"/>
                <w:szCs w:val="14"/>
                <w:color w:val="auto"/>
              </w:rPr>
            </w:pPr>
          </w:p>
        </w:tc>
        <w:tc>
          <w:tcPr>
            <w:tcW w:w="2100" w:type="dxa"/>
            <w:vAlign w:val="bottom"/>
            <w:tcBorders>
              <w:top w:val="single" w:sz="8" w:color="auto"/>
              <w:right w:val="single" w:sz="8" w:color="auto"/>
            </w:tcBorders>
            <w:gridSpan w:val="2"/>
          </w:tcPr>
          <w:p>
            <w:pPr>
              <w:spacing w:after="0" w:line="168" w:lineRule="exact"/>
              <w:rPr>
                <w:sz w:val="20"/>
                <w:szCs w:val="20"/>
                <w:color w:val="auto"/>
              </w:rPr>
            </w:pPr>
            <w:r>
              <w:rPr>
                <w:rFonts w:ascii="Arial" w:cs="Arial" w:eastAsia="Arial" w:hAnsi="Arial"/>
                <w:sz w:val="16"/>
                <w:szCs w:val="16"/>
                <w:b w:val="1"/>
                <w:bCs w:val="1"/>
                <w:color w:val="auto"/>
              </w:rPr>
              <w:t>Acquiror Common Stock</w:t>
            </w:r>
          </w:p>
        </w:tc>
        <w:tc>
          <w:tcPr>
            <w:tcW w:w="3480" w:type="dxa"/>
            <w:vAlign w:val="bottom"/>
            <w:tcBorders>
              <w:top w:val="single" w:sz="8" w:color="auto"/>
              <w:right w:val="single" w:sz="8" w:color="auto"/>
            </w:tcBorders>
            <w:gridSpan w:val="3"/>
          </w:tcPr>
          <w:p>
            <w:pPr>
              <w:ind w:left="420"/>
              <w:spacing w:after="0" w:line="168" w:lineRule="exact"/>
              <w:rPr>
                <w:sz w:val="20"/>
                <w:szCs w:val="20"/>
                <w:color w:val="auto"/>
              </w:rPr>
            </w:pPr>
            <w:r>
              <w:rPr>
                <w:rFonts w:ascii="Arial" w:cs="Arial" w:eastAsia="Arial" w:hAnsi="Arial"/>
                <w:sz w:val="16"/>
                <w:szCs w:val="16"/>
                <w:b w:val="1"/>
                <w:bCs w:val="1"/>
                <w:color w:val="auto"/>
              </w:rPr>
              <w:t>Acquiror Private Placement Warrants</w:t>
            </w:r>
          </w:p>
        </w:tc>
      </w:tr>
      <w:tr>
        <w:trPr>
          <w:trHeight w:val="20"/>
        </w:trPr>
        <w:tc>
          <w:tcPr>
            <w:tcW w:w="9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4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r>
      <w:tr>
        <w:trPr>
          <w:trHeight w:val="166"/>
        </w:trPr>
        <w:tc>
          <w:tcPr>
            <w:tcW w:w="5300" w:type="dxa"/>
            <w:vAlign w:val="bottom"/>
            <w:tcBorders>
              <w:left w:val="single" w:sz="8" w:color="auto"/>
              <w:right w:val="single" w:sz="8" w:color="auto"/>
            </w:tcBorders>
            <w:gridSpan w:val="2"/>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Ventoux Acquisition Holdings, LLC</w:t>
            </w:r>
          </w:p>
        </w:tc>
        <w:tc>
          <w:tcPr>
            <w:tcW w:w="2080" w:type="dxa"/>
            <w:vAlign w:val="bottom"/>
            <w:gridSpan w:val="2"/>
            <w:shd w:val="clear" w:color="auto" w:fill="CCEEFF"/>
          </w:tcPr>
          <w:p>
            <w:pPr>
              <w:jc w:val="center"/>
              <w:ind w:left="320"/>
              <w:spacing w:after="0" w:line="167" w:lineRule="exact"/>
              <w:rPr>
                <w:sz w:val="20"/>
                <w:szCs w:val="20"/>
                <w:color w:val="auto"/>
              </w:rPr>
            </w:pPr>
            <w:r>
              <w:rPr>
                <w:rFonts w:ascii="Arial" w:cs="Arial" w:eastAsia="Arial" w:hAnsi="Arial"/>
                <w:sz w:val="16"/>
                <w:szCs w:val="16"/>
                <w:color w:val="auto"/>
                <w:w w:val="89"/>
              </w:rPr>
              <w:t>2,728,875</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67" w:lineRule="exact"/>
              <w:rPr>
                <w:sz w:val="20"/>
                <w:szCs w:val="20"/>
                <w:color w:val="auto"/>
              </w:rPr>
            </w:pPr>
            <w:r>
              <w:rPr>
                <w:rFonts w:ascii="Arial" w:cs="Arial" w:eastAsia="Arial" w:hAnsi="Arial"/>
                <w:sz w:val="16"/>
                <w:szCs w:val="16"/>
                <w:color w:val="auto"/>
                <w:w w:val="89"/>
              </w:rPr>
              <w:t>4,450,000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 East Putnam Avenue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Floor 4, Greenwich, CT 06830</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Attention: Edward Scheetz</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Email: ed@ventouxccm.com</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4"/>
        </w:trPr>
        <w:tc>
          <w:tcPr>
            <w:tcW w:w="5300" w:type="dxa"/>
            <w:vAlign w:val="bottom"/>
            <w:tcBorders>
              <w:left w:val="single" w:sz="8" w:color="auto"/>
              <w:right w:val="single" w:sz="8" w:color="auto"/>
            </w:tcBorders>
            <w:gridSpan w:val="2"/>
          </w:tcPr>
          <w:p>
            <w:pPr>
              <w:spacing w:after="0" w:line="175" w:lineRule="exact"/>
              <w:rPr>
                <w:sz w:val="20"/>
                <w:szCs w:val="20"/>
                <w:color w:val="auto"/>
              </w:rPr>
            </w:pPr>
            <w:r>
              <w:rPr>
                <w:rFonts w:ascii="Arial" w:cs="Arial" w:eastAsia="Arial" w:hAnsi="Arial"/>
                <w:sz w:val="16"/>
                <w:szCs w:val="16"/>
                <w:b w:val="1"/>
                <w:bCs w:val="1"/>
                <w:color w:val="auto"/>
              </w:rPr>
              <w:t>Chardan International Investments, LLC</w:t>
            </w:r>
          </w:p>
        </w:tc>
        <w:tc>
          <w:tcPr>
            <w:tcW w:w="2080" w:type="dxa"/>
            <w:vAlign w:val="bottom"/>
            <w:gridSpan w:val="2"/>
          </w:tcPr>
          <w:p>
            <w:pPr>
              <w:jc w:val="center"/>
              <w:ind w:left="320"/>
              <w:spacing w:after="0" w:line="175" w:lineRule="exact"/>
              <w:rPr>
                <w:sz w:val="20"/>
                <w:szCs w:val="20"/>
                <w:color w:val="auto"/>
              </w:rPr>
            </w:pPr>
            <w:r>
              <w:rPr>
                <w:rFonts w:ascii="Arial" w:cs="Arial" w:eastAsia="Arial" w:hAnsi="Arial"/>
                <w:sz w:val="16"/>
                <w:szCs w:val="16"/>
                <w:color w:val="auto"/>
                <w:w w:val="89"/>
              </w:rPr>
              <w:t>1,493,625</w:t>
            </w:r>
          </w:p>
        </w:tc>
        <w:tc>
          <w:tcPr>
            <w:tcW w:w="400" w:type="dxa"/>
            <w:vAlign w:val="bottom"/>
            <w:tcBorders>
              <w:right w:val="single" w:sz="8" w:color="auto"/>
            </w:tcBorders>
          </w:tcPr>
          <w:p>
            <w:pPr>
              <w:spacing w:after="0"/>
              <w:rPr>
                <w:sz w:val="15"/>
                <w:szCs w:val="15"/>
                <w:color w:val="auto"/>
              </w:rPr>
            </w:pPr>
          </w:p>
        </w:tc>
        <w:tc>
          <w:tcPr>
            <w:tcW w:w="3020" w:type="dxa"/>
            <w:vAlign w:val="bottom"/>
            <w:gridSpan w:val="2"/>
          </w:tcPr>
          <w:p>
            <w:pPr>
              <w:jc w:val="center"/>
              <w:ind w:left="340"/>
              <w:spacing w:after="0" w:line="175" w:lineRule="exact"/>
              <w:rPr>
                <w:sz w:val="20"/>
                <w:szCs w:val="20"/>
                <w:color w:val="auto"/>
              </w:rPr>
            </w:pPr>
            <w:r>
              <w:rPr>
                <w:rFonts w:ascii="Arial" w:cs="Arial" w:eastAsia="Arial" w:hAnsi="Arial"/>
                <w:sz w:val="16"/>
                <w:szCs w:val="16"/>
                <w:color w:val="auto"/>
                <w:w w:val="89"/>
              </w:rPr>
              <w:t>2,225,000</w:t>
            </w:r>
          </w:p>
        </w:tc>
        <w:tc>
          <w:tcPr>
            <w:tcW w:w="460" w:type="dxa"/>
            <w:vAlign w:val="bottom"/>
            <w:tcBorders>
              <w:right w:val="single" w:sz="8" w:color="auto"/>
            </w:tcBorders>
          </w:tcPr>
          <w:p>
            <w:pPr>
              <w:spacing w:after="0"/>
              <w:rPr>
                <w:sz w:val="15"/>
                <w:szCs w:val="15"/>
                <w:color w:val="auto"/>
              </w:rPr>
            </w:pPr>
          </w:p>
        </w:tc>
      </w:tr>
      <w:tr>
        <w:trPr>
          <w:trHeight w:val="223"/>
        </w:trPr>
        <w:tc>
          <w:tcPr>
            <w:tcW w:w="5300" w:type="dxa"/>
            <w:vAlign w:val="bottom"/>
            <w:tcBorders>
              <w:left w:val="single" w:sz="8" w:color="auto"/>
              <w:right w:val="single" w:sz="8" w:color="auto"/>
            </w:tcBorders>
            <w:gridSpan w:val="2"/>
          </w:tcPr>
          <w:p>
            <w:pPr>
              <w:spacing w:after="0" w:line="223" w:lineRule="exact"/>
              <w:rPr>
                <w:sz w:val="20"/>
                <w:szCs w:val="20"/>
                <w:color w:val="auto"/>
              </w:rPr>
            </w:pPr>
            <w:r>
              <w:rPr>
                <w:rFonts w:ascii="Arial" w:cs="Arial" w:eastAsia="Arial" w:hAnsi="Arial"/>
                <w:sz w:val="15"/>
                <w:szCs w:val="15"/>
                <w:color w:val="auto"/>
              </w:rPr>
              <w:t>17 State Street 21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Fl</w:t>
            </w:r>
          </w:p>
        </w:tc>
        <w:tc>
          <w:tcPr>
            <w:tcW w:w="3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New York, NY 10004</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Christian Ahrens</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42 Garden Place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Brooklyn, NY 11201</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tcPr>
          <w:p>
            <w:pPr>
              <w:spacing w:after="0" w:line="171" w:lineRule="exact"/>
              <w:rPr>
                <w:sz w:val="20"/>
                <w:szCs w:val="20"/>
                <w:color w:val="auto"/>
              </w:rPr>
            </w:pPr>
            <w:r>
              <w:rPr>
                <w:rFonts w:ascii="Arial" w:cs="Arial" w:eastAsia="Arial" w:hAnsi="Arial"/>
                <w:sz w:val="16"/>
                <w:szCs w:val="16"/>
                <w:b w:val="1"/>
                <w:bCs w:val="1"/>
                <w:color w:val="auto"/>
              </w:rPr>
              <w:t>Woodrow H. Levin</w:t>
            </w:r>
          </w:p>
        </w:tc>
        <w:tc>
          <w:tcPr>
            <w:tcW w:w="2080" w:type="dxa"/>
            <w:vAlign w:val="bottom"/>
            <w:gridSpan w:val="2"/>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tcPr>
          <w:p>
            <w:pPr>
              <w:spacing w:after="0"/>
              <w:rPr>
                <w:sz w:val="14"/>
                <w:szCs w:val="14"/>
                <w:color w:val="auto"/>
              </w:rPr>
            </w:pPr>
          </w:p>
        </w:tc>
        <w:tc>
          <w:tcPr>
            <w:tcW w:w="3020" w:type="dxa"/>
            <w:vAlign w:val="bottom"/>
            <w:gridSpan w:val="2"/>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404 Sunset Lane</w:t>
            </w: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Glencoe, Il 60022</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Cindat USA LLC</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375 Park Avenue #3703</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New York, NY 10152</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tcPr>
          <w:p>
            <w:pPr>
              <w:spacing w:after="0" w:line="171" w:lineRule="exact"/>
              <w:rPr>
                <w:sz w:val="20"/>
                <w:szCs w:val="20"/>
                <w:color w:val="auto"/>
              </w:rPr>
            </w:pPr>
            <w:r>
              <w:rPr>
                <w:rFonts w:ascii="Arial" w:cs="Arial" w:eastAsia="Arial" w:hAnsi="Arial"/>
                <w:sz w:val="16"/>
                <w:szCs w:val="16"/>
                <w:b w:val="1"/>
                <w:bCs w:val="1"/>
                <w:color w:val="auto"/>
              </w:rPr>
              <w:t>Julie Atkinson</w:t>
            </w:r>
          </w:p>
        </w:tc>
        <w:tc>
          <w:tcPr>
            <w:tcW w:w="2080" w:type="dxa"/>
            <w:vAlign w:val="bottom"/>
            <w:gridSpan w:val="2"/>
          </w:tcPr>
          <w:p>
            <w:pPr>
              <w:jc w:val="center"/>
              <w:ind w:left="320"/>
              <w:spacing w:after="0" w:line="171" w:lineRule="exact"/>
              <w:rPr>
                <w:sz w:val="20"/>
                <w:szCs w:val="20"/>
                <w:color w:val="auto"/>
              </w:rPr>
            </w:pPr>
            <w:r>
              <w:rPr>
                <w:rFonts w:ascii="Arial" w:cs="Arial" w:eastAsia="Arial" w:hAnsi="Arial"/>
                <w:sz w:val="16"/>
                <w:szCs w:val="16"/>
                <w:color w:val="auto"/>
                <w:w w:val="89"/>
              </w:rPr>
              <w:t>22,500</w:t>
            </w:r>
          </w:p>
        </w:tc>
        <w:tc>
          <w:tcPr>
            <w:tcW w:w="400" w:type="dxa"/>
            <w:vAlign w:val="bottom"/>
            <w:tcBorders>
              <w:right w:val="single" w:sz="8" w:color="auto"/>
            </w:tcBorders>
          </w:tcPr>
          <w:p>
            <w:pPr>
              <w:spacing w:after="0"/>
              <w:rPr>
                <w:sz w:val="14"/>
                <w:szCs w:val="14"/>
                <w:color w:val="auto"/>
              </w:rPr>
            </w:pPr>
          </w:p>
        </w:tc>
        <w:tc>
          <w:tcPr>
            <w:tcW w:w="3020" w:type="dxa"/>
            <w:vAlign w:val="bottom"/>
            <w:gridSpan w:val="2"/>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11 Irvine Road</w:t>
            </w: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Old Greenwich, CT 06870</w:t>
            </w:r>
          </w:p>
        </w:tc>
        <w:tc>
          <w:tcPr>
            <w:tcW w:w="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r>
      <w:tr>
        <w:trPr>
          <w:trHeight w:val="171"/>
        </w:trPr>
        <w:tc>
          <w:tcPr>
            <w:tcW w:w="5300" w:type="dxa"/>
            <w:vAlign w:val="bottom"/>
            <w:tcBorders>
              <w:left w:val="single" w:sz="8" w:color="auto"/>
              <w:right w:val="single" w:sz="8" w:color="auto"/>
            </w:tcBorders>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Edward Scheetz</w:t>
            </w:r>
          </w:p>
        </w:tc>
        <w:tc>
          <w:tcPr>
            <w:tcW w:w="2080" w:type="dxa"/>
            <w:vAlign w:val="bottom"/>
            <w:gridSpan w:val="2"/>
            <w:shd w:val="clear" w:color="auto" w:fill="CCEEFF"/>
          </w:tcPr>
          <w:p>
            <w:pPr>
              <w:jc w:val="center"/>
              <w:ind w:left="320"/>
              <w:spacing w:after="0" w:line="171" w:lineRule="exact"/>
              <w:rPr>
                <w:sz w:val="20"/>
                <w:szCs w:val="20"/>
                <w:color w:val="auto"/>
              </w:rPr>
            </w:pPr>
            <w:r>
              <w:rPr>
                <w:rFonts w:ascii="Arial" w:cs="Arial" w:eastAsia="Arial" w:hAnsi="Arial"/>
                <w:sz w:val="16"/>
                <w:szCs w:val="16"/>
                <w:color w:val="auto"/>
                <w:w w:val="89"/>
              </w:rPr>
              <w:t>0</w:t>
            </w:r>
          </w:p>
        </w:tc>
        <w:tc>
          <w:tcPr>
            <w:tcW w:w="400" w:type="dxa"/>
            <w:vAlign w:val="bottom"/>
            <w:tcBorders>
              <w:right w:val="single" w:sz="8" w:color="auto"/>
            </w:tcBorders>
            <w:shd w:val="clear" w:color="auto" w:fill="CCEEFF"/>
          </w:tcPr>
          <w:p>
            <w:pPr>
              <w:spacing w:after="0"/>
              <w:rPr>
                <w:sz w:val="14"/>
                <w:szCs w:val="14"/>
                <w:color w:val="auto"/>
              </w:rPr>
            </w:pPr>
          </w:p>
        </w:tc>
        <w:tc>
          <w:tcPr>
            <w:tcW w:w="3020" w:type="dxa"/>
            <w:vAlign w:val="bottom"/>
            <w:gridSpan w:val="2"/>
            <w:shd w:val="clear" w:color="auto" w:fill="CCEEFF"/>
          </w:tcPr>
          <w:p>
            <w:pPr>
              <w:jc w:val="center"/>
              <w:ind w:left="340"/>
              <w:spacing w:after="0" w:line="171" w:lineRule="exact"/>
              <w:rPr>
                <w:sz w:val="20"/>
                <w:szCs w:val="20"/>
                <w:color w:val="auto"/>
              </w:rPr>
            </w:pPr>
            <w:r>
              <w:rPr>
                <w:rFonts w:ascii="Arial" w:cs="Arial" w:eastAsia="Arial" w:hAnsi="Arial"/>
                <w:sz w:val="16"/>
                <w:szCs w:val="16"/>
                <w:color w:val="auto"/>
                <w:w w:val="89"/>
              </w:rPr>
              <w:t>0</w:t>
            </w:r>
          </w:p>
        </w:tc>
        <w:tc>
          <w:tcPr>
            <w:tcW w:w="460" w:type="dxa"/>
            <w:vAlign w:val="bottom"/>
            <w:tcBorders>
              <w:right w:val="single" w:sz="8" w:color="auto"/>
            </w:tcBorders>
            <w:shd w:val="clear" w:color="auto" w:fill="CCEEFF"/>
          </w:tcPr>
          <w:p>
            <w:pPr>
              <w:spacing w:after="0"/>
              <w:rPr>
                <w:sz w:val="14"/>
                <w:szCs w:val="14"/>
                <w:color w:val="auto"/>
              </w:rPr>
            </w:pPr>
          </w:p>
        </w:tc>
      </w:tr>
      <w:tr>
        <w:trPr>
          <w:trHeight w:val="191"/>
        </w:trPr>
        <w:tc>
          <w:tcPr>
            <w:tcW w:w="530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1 East Putnam Avenue</w:t>
            </w:r>
          </w:p>
        </w:tc>
        <w:tc>
          <w:tcPr>
            <w:tcW w:w="3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60" w:type="dxa"/>
            <w:vAlign w:val="bottom"/>
            <w:tcBorders>
              <w:right w:val="single" w:sz="8" w:color="auto"/>
            </w:tcBorders>
            <w:shd w:val="clear" w:color="auto" w:fill="CCEEFF"/>
          </w:tcPr>
          <w:p>
            <w:pPr>
              <w:spacing w:after="0"/>
              <w:rPr>
                <w:sz w:val="16"/>
                <w:szCs w:val="16"/>
                <w:color w:val="auto"/>
              </w:rPr>
            </w:pPr>
          </w:p>
        </w:tc>
      </w:tr>
      <w:tr>
        <w:trPr>
          <w:trHeight w:val="204"/>
        </w:trPr>
        <w:tc>
          <w:tcPr>
            <w:tcW w:w="5300" w:type="dxa"/>
            <w:vAlign w:val="bottom"/>
            <w:tcBorders>
              <w:left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Floor 4, Greenwich, CT 06830</w:t>
            </w:r>
          </w:p>
        </w:tc>
        <w:tc>
          <w:tcPr>
            <w:tcW w:w="3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right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r>
      <w:tr>
        <w:trPr>
          <w:trHeight w:val="183"/>
        </w:trPr>
        <w:tc>
          <w:tcPr>
            <w:tcW w:w="530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2080" w:type="dxa"/>
            <w:vAlign w:val="bottom"/>
            <w:tcBorders>
              <w:bottom w:val="single" w:sz="8" w:color="auto"/>
            </w:tcBorders>
            <w:gridSpan w:val="2"/>
          </w:tcPr>
          <w:p>
            <w:pPr>
              <w:jc w:val="center"/>
              <w:ind w:left="320"/>
              <w:spacing w:after="0"/>
              <w:rPr>
                <w:sz w:val="20"/>
                <w:szCs w:val="20"/>
                <w:color w:val="auto"/>
              </w:rPr>
            </w:pPr>
            <w:r>
              <w:rPr>
                <w:rFonts w:ascii="Arial" w:cs="Arial" w:eastAsia="Arial" w:hAnsi="Arial"/>
                <w:sz w:val="16"/>
                <w:szCs w:val="16"/>
                <w:color w:val="auto"/>
                <w:w w:val="89"/>
              </w:rPr>
              <w:t>4,312,500</w:t>
            </w:r>
          </w:p>
        </w:tc>
        <w:tc>
          <w:tcPr>
            <w:tcW w:w="400" w:type="dxa"/>
            <w:vAlign w:val="bottom"/>
            <w:tcBorders>
              <w:bottom w:val="single" w:sz="8" w:color="auto"/>
              <w:right w:val="single" w:sz="8" w:color="auto"/>
            </w:tcBorders>
          </w:tcPr>
          <w:p>
            <w:pPr>
              <w:spacing w:after="0"/>
              <w:rPr>
                <w:sz w:val="15"/>
                <w:szCs w:val="15"/>
                <w:color w:val="auto"/>
              </w:rPr>
            </w:pPr>
          </w:p>
        </w:tc>
        <w:tc>
          <w:tcPr>
            <w:tcW w:w="3020" w:type="dxa"/>
            <w:vAlign w:val="bottom"/>
            <w:tcBorders>
              <w:bottom w:val="single" w:sz="8" w:color="auto"/>
            </w:tcBorders>
            <w:gridSpan w:val="2"/>
          </w:tcPr>
          <w:p>
            <w:pPr>
              <w:jc w:val="center"/>
              <w:ind w:left="340"/>
              <w:spacing w:after="0"/>
              <w:rPr>
                <w:sz w:val="20"/>
                <w:szCs w:val="20"/>
                <w:color w:val="auto"/>
              </w:rPr>
            </w:pPr>
            <w:r>
              <w:rPr>
                <w:rFonts w:ascii="Arial" w:cs="Arial" w:eastAsia="Arial" w:hAnsi="Arial"/>
                <w:sz w:val="16"/>
                <w:szCs w:val="16"/>
                <w:color w:val="auto"/>
                <w:w w:val="89"/>
              </w:rPr>
              <w:t>6,675,000</w:t>
            </w:r>
          </w:p>
        </w:tc>
        <w:tc>
          <w:tcPr>
            <w:tcW w:w="460" w:type="dxa"/>
            <w:vAlign w:val="bottom"/>
            <w:tcBorders>
              <w:bottom w:val="single" w:sz="8" w:color="auto"/>
              <w:right w:val="single" w:sz="8" w:color="auto"/>
            </w:tcBorders>
          </w:tcPr>
          <w:p>
            <w:pPr>
              <w:spacing w:after="0"/>
              <w:rPr>
                <w:sz w:val="15"/>
                <w:szCs w:val="15"/>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[Schedule I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18" w:name="page319"/>
    <w:bookmarkEnd w:id="318"/>
    <w:p>
      <w:pPr>
        <w:jc w:val="center"/>
        <w:ind w:right="-1120"/>
        <w:spacing w:after="0"/>
        <w:rPr>
          <w:sz w:val="20"/>
          <w:szCs w:val="20"/>
          <w:color w:val="auto"/>
        </w:rPr>
      </w:pPr>
      <w:r>
        <w:rPr>
          <w:rFonts w:ascii="Arial" w:cs="Arial" w:eastAsia="Arial" w:hAnsi="Arial"/>
          <w:sz w:val="16"/>
          <w:szCs w:val="16"/>
          <w:b w:val="1"/>
          <w:bCs w:val="1"/>
          <w:u w:val="single" w:color="auto"/>
          <w:color w:val="auto"/>
        </w:rPr>
        <w:t>Schedule II</w:t>
      </w:r>
    </w:p>
    <w:p>
      <w:pPr>
        <w:spacing w:after="0" w:line="198"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Affiliate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dated December 23, 2020, by and between the Company and Chardan Capital Markets, LLC.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Letter Agreements, dated December 23, 2020, by the Company’s officers, directors and initial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Registration Rights Agreement, dated December 23, 2020, by and among the Company and the initial stockholders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Indemnity Agreements, dated December 23, 2020, by and between the Company and the directors and officers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Subscription Agreement, dated December 23, 2020, by and between the Company and Ventoux Acquisition Holdings LLC.</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Subscription Agreement, dated December 23, 2020, by and between the Company and Chardan International Investments, LLC.</w:t>
      </w:r>
    </w:p>
    <w:p>
      <w:pPr>
        <w:spacing w:after="0" w:line="210" w:lineRule="exact"/>
        <w:rPr>
          <w:sz w:val="20"/>
          <w:szCs w:val="20"/>
          <w:color w:val="auto"/>
        </w:rPr>
      </w:pPr>
    </w:p>
    <w:p>
      <w:pPr>
        <w:ind w:right="1239"/>
        <w:spacing w:after="0" w:line="498" w:lineRule="auto"/>
        <w:rPr>
          <w:sz w:val="20"/>
          <w:szCs w:val="20"/>
          <w:color w:val="auto"/>
        </w:rPr>
      </w:pPr>
      <w:r>
        <w:rPr>
          <w:rFonts w:ascii="Arial" w:cs="Arial" w:eastAsia="Arial" w:hAnsi="Arial"/>
          <w:sz w:val="16"/>
          <w:szCs w:val="16"/>
          <w:color w:val="auto"/>
        </w:rPr>
        <w:t>Business Combination Marketing Agreement, dated December 23, 2020, by and between the Company and Chardan Capital Markets, LLC. Administrative Services Agreement, dated December 23, 2020, by and between the Company and Chardan Capital Markets, LLC. Engagement Letter dated August 9, 2021 with Chardan Capital Markets, LLC</w:t>
      </w:r>
    </w:p>
    <w:p>
      <w:pPr>
        <w:spacing w:after="0" w:line="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[Schedule II to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319" w:name="page320"/>
    <w:bookmarkEnd w:id="319"/>
    <w:p>
      <w:pPr>
        <w:ind w:left="10380"/>
        <w:spacing w:after="0"/>
        <w:rPr>
          <w:sz w:val="20"/>
          <w:szCs w:val="20"/>
          <w:color w:val="auto"/>
        </w:rPr>
      </w:pPr>
      <w:r>
        <w:rPr>
          <w:rFonts w:ascii="Arial" w:cs="Arial" w:eastAsia="Arial" w:hAnsi="Arial"/>
          <w:sz w:val="15"/>
          <w:szCs w:val="15"/>
          <w:b w:val="1"/>
          <w:bCs w:val="1"/>
          <w:color w:val="auto"/>
        </w:rPr>
        <w:t>Exhibit 10.6</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SUPPORT AGREEMENT</w:t>
      </w:r>
    </w:p>
    <w:p>
      <w:pPr>
        <w:spacing w:after="0" w:line="186"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This Support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10 November, 2021, is entered into by and among Ventoux CCM Acquisition Corp., a Delaware corporation (“</w:t>
      </w:r>
      <w:r>
        <w:rPr>
          <w:rFonts w:ascii="Arial" w:cs="Arial" w:eastAsia="Arial" w:hAnsi="Arial"/>
          <w:sz w:val="14"/>
          <w:szCs w:val="14"/>
          <w:u w:val="single" w:color="auto"/>
          <w:color w:val="auto"/>
        </w:rPr>
        <w:t>Acquiror</w:t>
      </w:r>
      <w:r>
        <w:rPr>
          <w:rFonts w:ascii="Arial" w:cs="Arial" w:eastAsia="Arial" w:hAnsi="Arial"/>
          <w:sz w:val="14"/>
          <w:szCs w:val="14"/>
          <w:color w:val="auto"/>
        </w:rPr>
        <w:t>”), E La Carte,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certain of the stockholders of the Company, whose names appear on the signature pages of this Agreement (such stockholders, the “</w:t>
      </w:r>
      <w:r>
        <w:rPr>
          <w:rFonts w:ascii="Arial" w:cs="Arial" w:eastAsia="Arial" w:hAnsi="Arial"/>
          <w:sz w:val="14"/>
          <w:szCs w:val="14"/>
          <w:u w:val="single" w:color="auto"/>
          <w:color w:val="auto"/>
        </w:rPr>
        <w:t>Stockholders</w:t>
      </w:r>
      <w:r>
        <w:rPr>
          <w:rFonts w:ascii="Arial" w:cs="Arial" w:eastAsia="Arial" w:hAnsi="Arial"/>
          <w:sz w:val="14"/>
          <w:szCs w:val="14"/>
          <w:color w:val="auto"/>
        </w:rPr>
        <w:t>”, and Acquiror, the Company and the Stockholders, each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herewith, Acquiror, the Company, Ventoux Merger Sub I Inc., a Delaware corporation and wholly-owned subsidiary of Acquiror (“</w:t>
      </w:r>
      <w:r>
        <w:rPr>
          <w:rFonts w:ascii="Arial" w:cs="Arial" w:eastAsia="Arial" w:hAnsi="Arial"/>
          <w:sz w:val="16"/>
          <w:szCs w:val="16"/>
          <w:u w:val="single" w:color="auto"/>
          <w:color w:val="auto"/>
        </w:rPr>
        <w:t>First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Merger Sub</w:t>
      </w:r>
      <w:r>
        <w:rPr>
          <w:rFonts w:ascii="Arial" w:cs="Arial" w:eastAsia="Arial" w:hAnsi="Arial"/>
          <w:sz w:val="16"/>
          <w:szCs w:val="16"/>
          <w:color w:val="auto"/>
        </w:rPr>
        <w:t>”) and Ventoux Merger Sub II LLC, a Delaware limited liability company and wholly owned subsidiary of Acquiror (“</w:t>
      </w:r>
      <w:r>
        <w:rPr>
          <w:rFonts w:ascii="Arial" w:cs="Arial" w:eastAsia="Arial" w:hAnsi="Arial"/>
          <w:sz w:val="16"/>
          <w:szCs w:val="16"/>
          <w:u w:val="single" w:color="auto"/>
          <w:color w:val="auto"/>
        </w:rPr>
        <w:t>Second Merger Sub</w:t>
      </w:r>
      <w:r>
        <w:rPr>
          <w:rFonts w:ascii="Arial" w:cs="Arial" w:eastAsia="Arial" w:hAnsi="Arial"/>
          <w:sz w:val="16"/>
          <w:szCs w:val="16"/>
          <w:color w:val="auto"/>
        </w:rPr>
        <w:t>”), are entering into an Agreement and Plan of Merger (as amended, supplemented, restated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in this Agreement shall have the meanings ascribed to them in the Merger Agreement), pursuant to which (and subject to the terms and conditions set forth therein) First Merger Sub will merge with and into the Company (the “</w:t>
      </w:r>
      <w:r>
        <w:rPr>
          <w:rFonts w:ascii="Arial" w:cs="Arial" w:eastAsia="Arial" w:hAnsi="Arial"/>
          <w:sz w:val="16"/>
          <w:szCs w:val="16"/>
          <w:u w:val="single" w:color="auto"/>
          <w:color w:val="auto"/>
        </w:rPr>
        <w:t>First Merger</w:t>
      </w:r>
      <w:r>
        <w:rPr>
          <w:rFonts w:ascii="Arial" w:cs="Arial" w:eastAsia="Arial" w:hAnsi="Arial"/>
          <w:sz w:val="16"/>
          <w:szCs w:val="16"/>
          <w:color w:val="auto"/>
        </w:rPr>
        <w:t>”), and immediately following the First Merger, the Company will merge with and into Second Merger Sub, with Second Merger Sub continuing on as the surviving corporation and a wholly owned subsidiary of Acquiror (together with the First Merger, the “</w:t>
      </w:r>
      <w:r>
        <w:rPr>
          <w:rFonts w:ascii="Arial" w:cs="Arial" w:eastAsia="Arial" w:hAnsi="Arial"/>
          <w:sz w:val="16"/>
          <w:szCs w:val="16"/>
          <w:u w:val="single" w:color="auto"/>
          <w:color w:val="auto"/>
        </w:rPr>
        <w:t>Mergers</w:t>
      </w:r>
      <w:r>
        <w:rPr>
          <w:rFonts w:ascii="Arial" w:cs="Arial" w:eastAsia="Arial" w:hAnsi="Arial"/>
          <w:sz w:val="16"/>
          <w:szCs w:val="16"/>
          <w:color w:val="auto"/>
        </w:rPr>
        <w:t>”);</w:t>
      </w:r>
    </w:p>
    <w:p>
      <w:pPr>
        <w:spacing w:after="0" w:line="167"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as of the date hereof, each Stockholder is the sole record and “beneficial owner” (as such term is used herein, within the meaning of Rule 13d-3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Exchange Act of 1934, as amended (together with the rules and regulations promulgated thereunder, the “</w:t>
      </w:r>
      <w:r>
        <w:rPr>
          <w:rFonts w:ascii="Arial" w:cs="Arial" w:eastAsia="Arial" w:hAnsi="Arial"/>
          <w:sz w:val="15"/>
          <w:szCs w:val="15"/>
          <w:u w:val="single" w:color="auto"/>
          <w:color w:val="auto"/>
        </w:rPr>
        <w:t>Exchange Act</w:t>
      </w:r>
      <w:r>
        <w:rPr>
          <w:rFonts w:ascii="Arial" w:cs="Arial" w:eastAsia="Arial" w:hAnsi="Arial"/>
          <w:sz w:val="15"/>
          <w:szCs w:val="15"/>
          <w:color w:val="auto"/>
        </w:rPr>
        <w:t xml:space="preserve">”)) of, and is entitled to dispose of and vote, the number of shares of Company Common Stock and Company Preferred Stock set forth opposite such Stockholder’s name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of this Agreement (collectively, with respect to each Stockholder, such Stockholder’s “</w:t>
      </w:r>
      <w:r>
        <w:rPr>
          <w:rFonts w:ascii="Arial" w:cs="Arial" w:eastAsia="Arial" w:hAnsi="Arial"/>
          <w:sz w:val="15"/>
          <w:szCs w:val="15"/>
          <w:u w:val="single" w:color="auto"/>
          <w:color w:val="auto"/>
        </w:rPr>
        <w:t>Owned Shares</w:t>
      </w:r>
      <w:r>
        <w:rPr>
          <w:rFonts w:ascii="Arial" w:cs="Arial" w:eastAsia="Arial" w:hAnsi="Arial"/>
          <w:sz w:val="15"/>
          <w:szCs w:val="15"/>
          <w:color w:val="auto"/>
        </w:rPr>
        <w:t>”); and such Owned Shares, together with (1) any additional shares of Company Common Stock and Company Preferred Stock (or any securities convertible into or exercisable or exchangeable for Company Common Stock or Company Preferred Stock) in which such Stockholder acquires record and beneficial ownership after the date hereof, including by purchase, as a result of a stock dividend, stock split, recapitalization, combination, reclassification, exchange or change of such shares, or upon exercise or conversion of any securities and (2) any additional shares of Company Common Stock and Company Preferred Stock with respect to which such Stockholder has the right to vote through a proxy, the “</w:t>
      </w:r>
      <w:r>
        <w:rPr>
          <w:rFonts w:ascii="Arial" w:cs="Arial" w:eastAsia="Arial" w:hAnsi="Arial"/>
          <w:sz w:val="15"/>
          <w:szCs w:val="15"/>
          <w:u w:val="single" w:color="auto"/>
          <w:color w:val="auto"/>
        </w:rPr>
        <w:t>Covered Shares</w:t>
      </w:r>
      <w:r>
        <w:rPr>
          <w:rFonts w:ascii="Arial" w:cs="Arial" w:eastAsia="Arial" w:hAnsi="Arial"/>
          <w:sz w:val="15"/>
          <w:szCs w:val="15"/>
          <w:color w:val="auto"/>
        </w:rPr>
        <w:t>”);</w:t>
      </w:r>
    </w:p>
    <w:p>
      <w:pPr>
        <w:spacing w:after="0" w:line="151" w:lineRule="exact"/>
        <w:rPr>
          <w:sz w:val="20"/>
          <w:szCs w:val="20"/>
          <w:color w:val="auto"/>
        </w:rPr>
      </w:pPr>
    </w:p>
    <w:p>
      <w:pPr>
        <w:jc w:val="both"/>
        <w:ind w:right="20" w:firstLine="574"/>
        <w:spacing w:after="0" w:line="29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their terms, upon consummation of the Mergers, each of the following agreements will automatically terminate without any further action on</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 of the parties thereto pursuant to their respective terms: (i) that certain Third Amended and Restated Investors’ Rights Agreement, dated as of January 6, 2020, by and among the Company and the Investors (as defined therein) (the “</w:t>
      </w:r>
      <w:r>
        <w:rPr>
          <w:rFonts w:ascii="Arial" w:cs="Arial" w:eastAsia="Arial" w:hAnsi="Arial"/>
          <w:sz w:val="14"/>
          <w:szCs w:val="14"/>
          <w:u w:val="single" w:color="auto"/>
          <w:color w:val="auto"/>
        </w:rPr>
        <w:t>Investors’ Rights Agreement</w:t>
      </w:r>
      <w:r>
        <w:rPr>
          <w:rFonts w:ascii="Arial" w:cs="Arial" w:eastAsia="Arial" w:hAnsi="Arial"/>
          <w:sz w:val="14"/>
          <w:szCs w:val="14"/>
          <w:color w:val="auto"/>
        </w:rPr>
        <w:t>”); (ii) that certain Third Amended and Restated Voting and Drag-Along Agreement, dated as of January 6, 2020, by and among the Company and the Stockholders (as defined therein) (the “</w:t>
      </w:r>
      <w:r>
        <w:rPr>
          <w:rFonts w:ascii="Arial" w:cs="Arial" w:eastAsia="Arial" w:hAnsi="Arial"/>
          <w:sz w:val="14"/>
          <w:szCs w:val="14"/>
          <w:u w:val="single" w:color="auto"/>
          <w:color w:val="auto"/>
        </w:rPr>
        <w:t>Voting Agreement</w:t>
      </w:r>
      <w:r>
        <w:rPr>
          <w:rFonts w:ascii="Arial" w:cs="Arial" w:eastAsia="Arial" w:hAnsi="Arial"/>
          <w:sz w:val="14"/>
          <w:szCs w:val="14"/>
          <w:color w:val="auto"/>
        </w:rPr>
        <w:t>”); and (iii) that certain Third Amended and Restated Right of First Refusal and Co-Sale Agreement, dated as of January 6, 2020 by and among the Company, the Key Holders (as defined therein) and the Investors (as defined therein) (the “</w:t>
      </w:r>
      <w:r>
        <w:rPr>
          <w:rFonts w:ascii="Arial" w:cs="Arial" w:eastAsia="Arial" w:hAnsi="Arial"/>
          <w:sz w:val="14"/>
          <w:szCs w:val="14"/>
          <w:u w:val="single" w:color="auto"/>
          <w:color w:val="auto"/>
        </w:rPr>
        <w:t>ROFR Agreement</w:t>
      </w:r>
      <w:r>
        <w:rPr>
          <w:rFonts w:ascii="Arial" w:cs="Arial" w:eastAsia="Arial" w:hAnsi="Arial"/>
          <w:sz w:val="14"/>
          <w:szCs w:val="14"/>
          <w:color w:val="auto"/>
        </w:rPr>
        <w:t>” and, together with the Investors’ Rights Agreement and the Voting Agreement, the “</w:t>
      </w:r>
      <w:r>
        <w:rPr>
          <w:rFonts w:ascii="Arial" w:cs="Arial" w:eastAsia="Arial" w:hAnsi="Arial"/>
          <w:sz w:val="14"/>
          <w:szCs w:val="14"/>
          <w:u w:val="single" w:color="auto"/>
          <w:color w:val="auto"/>
        </w:rPr>
        <w:t>Investment Agreements</w:t>
      </w:r>
      <w:r>
        <w:rPr>
          <w:rFonts w:ascii="Arial" w:cs="Arial" w:eastAsia="Arial" w:hAnsi="Arial"/>
          <w:sz w:val="14"/>
          <w:szCs w:val="14"/>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354330</wp:posOffset>
            </wp:positionV>
            <wp:extent cx="7148195"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20" w:name="page321"/>
    <w:bookmarkEnd w:id="320"/>
    <w:p>
      <w:pPr>
        <w:ind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 condition and inducement to the willingness of Acquiror, First Merger Sub and Second Merger Sub to enter into the Merger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the Stockholders are entering into this Agreement.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and the mutual covenants and agreements herein contained, and intending to be legally bound hereby,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Acquiror, the Company and each Stockholder hereby agree as follows:</w:t>
      </w:r>
    </w:p>
    <w:p>
      <w:pPr>
        <w:spacing w:after="0" w:line="186" w:lineRule="exact"/>
        <w:rPr>
          <w:sz w:val="20"/>
          <w:szCs w:val="20"/>
          <w:color w:val="auto"/>
        </w:rPr>
      </w:pPr>
    </w:p>
    <w:p>
      <w:pPr>
        <w:jc w:val="both"/>
        <w:ind w:firstLine="569"/>
        <w:spacing w:after="0" w:line="270" w:lineRule="auto"/>
        <w:tabs>
          <w:tab w:leader="none" w:pos="733" w:val="left"/>
        </w:tabs>
        <w:numPr>
          <w:ilvl w:val="0"/>
          <w:numId w:val="313"/>
        </w:numPr>
        <w:rPr>
          <w:rFonts w:ascii="Arial" w:cs="Arial" w:eastAsia="Arial" w:hAnsi="Arial"/>
          <w:sz w:val="15"/>
          <w:szCs w:val="15"/>
          <w:color w:val="auto"/>
        </w:rPr>
      </w:pPr>
      <w:r>
        <w:rPr>
          <w:rFonts w:ascii="Arial" w:cs="Arial" w:eastAsia="Arial" w:hAnsi="Arial"/>
          <w:sz w:val="15"/>
          <w:szCs w:val="15"/>
          <w:u w:val="single" w:color="auto"/>
          <w:color w:val="auto"/>
        </w:rPr>
        <w:t>Agreement to Vote</w:t>
      </w:r>
      <w:r>
        <w:rPr>
          <w:rFonts w:ascii="Arial" w:cs="Arial" w:eastAsia="Arial" w:hAnsi="Arial"/>
          <w:sz w:val="15"/>
          <w:szCs w:val="15"/>
          <w:color w:val="auto"/>
        </w:rPr>
        <w:t xml:space="preserve">. Subject to the earlier termination of this Agreement in accordance with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and the last paragraph of this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the Stockholder, solely in his, her or its capacity as a stockholder or proxy holder of the Company, irrevocably and unconditionally agrees, and agrees to cause any other holder of record of any of the Stockholder’s Covered Shares, to validly execute and deliver to the Company in respect of all of the Stockholder’s Covered Shares, on (or effective as of) the second (2nd) Business Day following the date that the consent solicitation statement/prospectus included in the Registration Statement is disseminated to the Company’s stockholders (following the date the Registration Statement becomes effective), a written consent in a form to be reasonably agreed between the Company and Acquiror after the date hereof, as shall be revised if needed to address any comments from the SEC, with respect to all of the Stockholder’s Covered Shares. In addition, subject to the last paragraph of this </w:t>
      </w:r>
      <w:r>
        <w:rPr>
          <w:rFonts w:ascii="Arial" w:cs="Arial" w:eastAsia="Arial" w:hAnsi="Arial"/>
          <w:sz w:val="15"/>
          <w:szCs w:val="15"/>
          <w:u w:val="single" w:color="auto"/>
          <w:color w:val="auto"/>
        </w:rPr>
        <w:t>Section 1</w:t>
      </w:r>
      <w:r>
        <w:rPr>
          <w:rFonts w:ascii="Arial" w:cs="Arial" w:eastAsia="Arial" w:hAnsi="Arial"/>
          <w:sz w:val="15"/>
          <w:szCs w:val="15"/>
          <w:color w:val="auto"/>
        </w:rPr>
        <w:t>, prior to the Termination Date (as defined herein), the Stockholder, in his, her or its capacity as a stockholder or proxy holder of the Company, irrevocably and unconditionally agrees that, at any other meeting of the stockholders of the Company (whether annual or special and whether or not an adjourned or postponed meeting, however called and including any adjournment or postponement thereof) and in connection with any written consent of stockholders of the Company, such Stockholder shall, and shall cause any other holder of record of any of such Stockholder’s Covered Shares to:</w:t>
      </w:r>
    </w:p>
    <w:p>
      <w:pPr>
        <w:spacing w:after="0" w:line="162" w:lineRule="exact"/>
        <w:rPr>
          <w:rFonts w:ascii="Arial" w:cs="Arial" w:eastAsia="Arial" w:hAnsi="Arial"/>
          <w:sz w:val="15"/>
          <w:szCs w:val="15"/>
          <w:color w:val="auto"/>
        </w:rPr>
      </w:pPr>
    </w:p>
    <w:p>
      <w:pPr>
        <w:ind w:left="1360" w:hanging="217"/>
        <w:spacing w:after="0"/>
        <w:tabs>
          <w:tab w:leader="none" w:pos="136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waive any rights of first refusal set forth in Section 2 of the ROFR Agreement;</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1"/>
          <w:numId w:val="313"/>
        </w:numPr>
        <w:rPr>
          <w:rFonts w:ascii="Arial" w:cs="Arial" w:eastAsia="Arial" w:hAnsi="Arial"/>
          <w:sz w:val="16"/>
          <w:szCs w:val="16"/>
          <w:color w:val="auto"/>
        </w:rPr>
      </w:pPr>
      <w:r>
        <w:rPr>
          <w:rFonts w:ascii="Arial" w:cs="Arial" w:eastAsia="Arial" w:hAnsi="Arial"/>
          <w:sz w:val="16"/>
          <w:szCs w:val="16"/>
          <w:color w:val="auto"/>
        </w:rPr>
        <w:t>when such meeting is held, appear at such meeting or otherwise cause the Stockholder’s Covered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6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such meeting (or validly execute and return and cause such consent to be granted with respect to), all of such Stockholder’s Covered Shares owned as of the record date for such meeting (or the date that any written consent is executed by such Stockholder) in favor of the Mergers, the adoption of the Merger Agreement, and any other matters reasonably requested by the Company that are necessary for the consummation of the Mergers and the other transactions contemplated by the Merger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321" w:name="page322"/>
    <w:bookmarkEnd w:id="321"/>
    <w:p>
      <w:pPr>
        <w:jc w:val="both"/>
        <w:ind w:firstLine="1143"/>
        <w:spacing w:after="0" w:line="262" w:lineRule="auto"/>
        <w:tabs>
          <w:tab w:leader="none" w:pos="137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in any other circumstances upon which a consent or other approval is required under the Company’s governing documents or the Investment Agreements with respect to the Merger Agreement or the other transactions contemplated by the Merger Agreement, vote, consent or approve (or cause to be voted, consented or approved) all of such Stockholder’s Covered Shares held at such time in favor thereof;</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6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such meeting (or validly execute and return and cause such consent to be granted with respect to), all of such Stockholder’s Covered Shares against (i) any Business Combination Proposal other than with the Acquiror, its stockholders and their respective Affiliates and Representatives and (ii) any other action that would reasonably be expected to (x) materially impede, interfere with, delay, postpone or adversely affect the Mergers or any of the other transactions contemplated by the Merger Agreement, (y) result in a breach of any covenant, representation or warranty or other obligation or agreement of the Company under the Merger Agreement or (z) result in a breach of any covenant, representation or warranty or other obligation or agreement of such Stockholder contained in this Agreement.</w:t>
      </w:r>
    </w:p>
    <w:p>
      <w:pPr>
        <w:spacing w:after="0" w:line="170"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The obligations of each Stockholder specified in this Section 1 shall apply whether or not the Mergers or any action described above is recommended by the Company Board or the Company Board has previously recommended the Mergers but changed such recommendation.</w:t>
      </w:r>
    </w:p>
    <w:p>
      <w:pPr>
        <w:spacing w:after="0" w:line="152" w:lineRule="exact"/>
        <w:rPr>
          <w:sz w:val="20"/>
          <w:szCs w:val="20"/>
          <w:color w:val="auto"/>
        </w:rPr>
      </w:pPr>
    </w:p>
    <w:p>
      <w:pPr>
        <w:ind w:left="720" w:hanging="151"/>
        <w:spacing w:after="0"/>
        <w:tabs>
          <w:tab w:leader="none" w:pos="72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143"/>
        <w:spacing w:after="0" w:line="271" w:lineRule="auto"/>
        <w:tabs>
          <w:tab w:leader="none" w:pos="138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2(b)</w:t>
      </w:r>
      <w:r>
        <w:rPr>
          <w:rFonts w:ascii="Arial" w:cs="Arial" w:eastAsia="Arial" w:hAnsi="Arial"/>
          <w:sz w:val="15"/>
          <w:szCs w:val="15"/>
          <w:color w:val="auto"/>
        </w:rPr>
        <w:t>, the Stockholder agrees that it shall not sell, publicly offer to sell, transfer, pledge, encumber, assign, hedge, swap, convert or otherwise dispose of (including by merger (including by conversion into securities or other consideration), by tendering into any tender or exchange offer, by testamentary disposition, by operation of Law or otherwise), either voluntarily or involuntarily (collectively, “</w:t>
      </w:r>
      <w:r>
        <w:rPr>
          <w:rFonts w:ascii="Arial" w:cs="Arial" w:eastAsia="Arial" w:hAnsi="Arial"/>
          <w:sz w:val="15"/>
          <w:szCs w:val="15"/>
          <w:u w:val="single" w:color="auto"/>
          <w:color w:val="auto"/>
        </w:rPr>
        <w:t>Transfer</w:t>
      </w:r>
      <w:r>
        <w:rPr>
          <w:rFonts w:ascii="Arial" w:cs="Arial" w:eastAsia="Arial" w:hAnsi="Arial"/>
          <w:sz w:val="15"/>
          <w:szCs w:val="15"/>
          <w:color w:val="auto"/>
        </w:rPr>
        <w:t>”) any issued and outstanding Acquiror Common Stock held by such Stockholder as of and immediately following the Closing Date (in respect of the Stockholder, the “</w:t>
      </w:r>
      <w:r>
        <w:rPr>
          <w:rFonts w:ascii="Arial" w:cs="Arial" w:eastAsia="Arial" w:hAnsi="Arial"/>
          <w:sz w:val="15"/>
          <w:szCs w:val="15"/>
          <w:u w:val="single" w:color="auto"/>
          <w:color w:val="auto"/>
        </w:rPr>
        <w:t>Lock-up Shares</w:t>
      </w:r>
      <w:r>
        <w:rPr>
          <w:rFonts w:ascii="Arial" w:cs="Arial" w:eastAsia="Arial" w:hAnsi="Arial"/>
          <w:sz w:val="15"/>
          <w:szCs w:val="15"/>
          <w:color w:val="auto"/>
        </w:rPr>
        <w:t>”) during the period beginning on the Closing Date until (i) in respect of 50% of its, his or her Lock-up Shares, the date that is six (6) months from and after the Closing Date, and (ii) in respect of the remaining 50% of its, his or her Lock-up Shares, the date that is one (1) year from and after the Closing Date (such period, the “</w:t>
      </w:r>
      <w:r>
        <w:rPr>
          <w:rFonts w:ascii="Arial" w:cs="Arial" w:eastAsia="Arial" w:hAnsi="Arial"/>
          <w:sz w:val="15"/>
          <w:szCs w:val="15"/>
          <w:u w:val="single" w:color="auto"/>
          <w:color w:val="auto"/>
        </w:rPr>
        <w:t>Lock-up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prohibition shall not apply to Transfers (x) permitted pursuant to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(y) permitted pursuant to the organizational documents of Acquiror, as in effect on the Closing Date, as the same may be amended from time to time (the “</w:t>
      </w:r>
      <w:r>
        <w:rPr>
          <w:rFonts w:ascii="Arial" w:cs="Arial" w:eastAsia="Arial" w:hAnsi="Arial"/>
          <w:sz w:val="15"/>
          <w:szCs w:val="15"/>
          <w:u w:val="single" w:color="auto"/>
          <w:color w:val="auto"/>
        </w:rPr>
        <w:t>Governing Documents</w:t>
      </w:r>
      <w:r>
        <w:rPr>
          <w:rFonts w:ascii="Arial" w:cs="Arial" w:eastAsia="Arial" w:hAnsi="Arial"/>
          <w:sz w:val="15"/>
          <w:szCs w:val="15"/>
          <w:color w:val="auto"/>
        </w:rPr>
        <w:t xml:space="preserve">”). For clarity, Acquiror Common Stock issued in connection with a Subscription Agreement shall not constitute Lock-up Shares and shall not be subject to this </w:t>
      </w:r>
      <w:r>
        <w:rPr>
          <w:rFonts w:ascii="Arial" w:cs="Arial" w:eastAsia="Arial" w:hAnsi="Arial"/>
          <w:sz w:val="15"/>
          <w:szCs w:val="15"/>
          <w:u w:val="single" w:color="auto"/>
          <w:color w:val="auto"/>
        </w:rPr>
        <w:t>Section 2</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3"/>
        <w:spacing w:after="0" w:line="255" w:lineRule="auto"/>
        <w:tabs>
          <w:tab w:leader="none" w:pos="139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Notwithstanding the provision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Transfers of Lock-up Shares that are that are held by a Stockholder or any of its permitted transferees (that have complied with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are permitted in accordance with the Governing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Transfer permitted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shall not relieve the Stockholder of its obligations under this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2" w:name="page323"/>
    <w:bookmarkEnd w:id="322"/>
    <w:p>
      <w:pPr>
        <w:ind w:left="4" w:right="20" w:firstLine="1143"/>
        <w:spacing w:after="0" w:line="275" w:lineRule="auto"/>
        <w:tabs>
          <w:tab w:leader="none" w:pos="1377" w:val="left"/>
        </w:tabs>
        <w:numPr>
          <w:ilvl w:val="2"/>
          <w:numId w:val="316"/>
        </w:numPr>
        <w:rPr>
          <w:rFonts w:ascii="Arial" w:cs="Arial" w:eastAsia="Arial" w:hAnsi="Arial"/>
          <w:sz w:val="16"/>
          <w:szCs w:val="16"/>
          <w:color w:val="auto"/>
        </w:rPr>
      </w:pPr>
      <w:r>
        <w:rPr>
          <w:rFonts w:ascii="Arial" w:cs="Arial" w:eastAsia="Arial" w:hAnsi="Arial"/>
          <w:sz w:val="16"/>
          <w:szCs w:val="16"/>
          <w:color w:val="auto"/>
        </w:rPr>
        <w:t>During the applicable Lock-Up Period for the respective Stockholders, any purported Transfer of applicable Lock-Up Shares not in accordance with this Agreement shall be null and void, and Acquiror shall refuse to recognize any such Transfer for any purpose.</w:t>
      </w:r>
    </w:p>
    <w:p>
      <w:pPr>
        <w:spacing w:after="0" w:line="151" w:lineRule="exact"/>
        <w:rPr>
          <w:rFonts w:ascii="Arial" w:cs="Arial" w:eastAsia="Arial" w:hAnsi="Arial"/>
          <w:sz w:val="16"/>
          <w:szCs w:val="16"/>
          <w:color w:val="auto"/>
        </w:rPr>
      </w:pPr>
    </w:p>
    <w:p>
      <w:pPr>
        <w:jc w:val="both"/>
        <w:ind w:left="4" w:right="20" w:firstLine="1143"/>
        <w:spacing w:after="0" w:line="262" w:lineRule="auto"/>
        <w:tabs>
          <w:tab w:leader="none" w:pos="1392" w:val="left"/>
        </w:tabs>
        <w:numPr>
          <w:ilvl w:val="2"/>
          <w:numId w:val="316"/>
        </w:numPr>
        <w:rPr>
          <w:rFonts w:ascii="Arial" w:cs="Arial" w:eastAsia="Arial" w:hAnsi="Arial"/>
          <w:sz w:val="16"/>
          <w:szCs w:val="16"/>
          <w:color w:val="auto"/>
        </w:rPr>
      </w:pPr>
      <w:r>
        <w:rPr>
          <w:rFonts w:ascii="Arial" w:cs="Arial" w:eastAsia="Arial" w:hAnsi="Arial"/>
          <w:sz w:val="16"/>
          <w:szCs w:val="16"/>
          <w:color w:val="auto"/>
        </w:rPr>
        <w:t>The Stockholders acknowledge and agree that, notwithstanding anything to the contrary contained in this Agreement, the Lock-Up Shares beneficially owned or otherwise held by such Person shall remain subject to any restrictions on Transfer under applicable securities Laws of any Governmental Entity, including all applicable holding periods under the Securities Act and other rules of the SEC.</w:t>
      </w:r>
    </w:p>
    <w:p>
      <w:pPr>
        <w:spacing w:after="0" w:line="162" w:lineRule="exact"/>
        <w:rPr>
          <w:rFonts w:ascii="Arial" w:cs="Arial" w:eastAsia="Arial" w:hAnsi="Arial"/>
          <w:sz w:val="16"/>
          <w:szCs w:val="16"/>
          <w:color w:val="auto"/>
        </w:rPr>
      </w:pPr>
    </w:p>
    <w:p>
      <w:pPr>
        <w:jc w:val="both"/>
        <w:ind w:left="4" w:right="20" w:firstLine="569"/>
        <w:spacing w:after="0" w:line="262" w:lineRule="auto"/>
        <w:tabs>
          <w:tab w:leader="none" w:pos="745" w:val="left"/>
        </w:tabs>
        <w:numPr>
          <w:ilvl w:val="1"/>
          <w:numId w:val="31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Closing Date Deliverables</w:t>
      </w:r>
      <w:r>
        <w:rPr>
          <w:rFonts w:ascii="Arial" w:cs="Arial" w:eastAsia="Arial" w:hAnsi="Arial"/>
          <w:sz w:val="16"/>
          <w:szCs w:val="16"/>
          <w:color w:val="auto"/>
        </w:rPr>
        <w:t>. On the Closing Date, each Stockholder shall deliver to Acquiror and the Company a duly executed copy of that certain Amended and Restated Registration Rights Agreement, by and among Acquiror, the Company, the Sponsor, and certain of the Company’s stockholders or their respective affiliates, as applicable, in substantially the form attached as Exhibit C to the Merger Agreement.</w:t>
      </w:r>
    </w:p>
    <w:p>
      <w:pPr>
        <w:spacing w:after="0" w:line="162" w:lineRule="exact"/>
        <w:rPr>
          <w:rFonts w:ascii="Arial" w:cs="Arial" w:eastAsia="Arial" w:hAnsi="Arial"/>
          <w:sz w:val="16"/>
          <w:szCs w:val="16"/>
          <w:u w:val="single" w:color="auto"/>
          <w:color w:val="auto"/>
        </w:rPr>
      </w:pPr>
    </w:p>
    <w:p>
      <w:pPr>
        <w:jc w:val="both"/>
        <w:ind w:left="4" w:right="20" w:firstLine="569"/>
        <w:spacing w:after="0" w:line="306" w:lineRule="auto"/>
        <w:tabs>
          <w:tab w:leader="none" w:pos="737" w:val="left"/>
        </w:tabs>
        <w:numPr>
          <w:ilvl w:val="1"/>
          <w:numId w:val="317"/>
        </w:numPr>
        <w:rPr>
          <w:rFonts w:ascii="Arial" w:cs="Arial" w:eastAsia="Arial" w:hAnsi="Arial"/>
          <w:sz w:val="14"/>
          <w:szCs w:val="14"/>
          <w:color w:val="auto"/>
        </w:rPr>
      </w:pPr>
      <w:r>
        <w:rPr>
          <w:rFonts w:ascii="Arial" w:cs="Arial" w:eastAsia="Arial" w:hAnsi="Arial"/>
          <w:sz w:val="14"/>
          <w:szCs w:val="14"/>
          <w:u w:val="single" w:color="auto"/>
          <w:color w:val="auto"/>
        </w:rPr>
        <w:t>No Inconsistent Agreements</w:t>
      </w:r>
      <w:r>
        <w:rPr>
          <w:rFonts w:ascii="Arial" w:cs="Arial" w:eastAsia="Arial" w:hAnsi="Arial"/>
          <w:sz w:val="14"/>
          <w:szCs w:val="14"/>
          <w:color w:val="auto"/>
        </w:rPr>
        <w:t>. Each Stockholder hereby covenants and agrees that such Stockholder shall not (i) enter into any voting agreement or voting trust with respect to any of such Stockholder’s Covered Shares that is inconsistent with such Stockholder’s obligations pursuant to this Agreement, (ii) grant a proxy or power of attorney with respect to any of such Stockholder’s Covered Shares that is inconsistent with such Stockholder’s obligations pursuant to this Agreement, or (iii) enter into any agreement or undertaking that is otherwise inconsistent with, or would interfere with, or prohibit or prevent it from satisfying, its obligations pursuant to this Agreement.</w:t>
      </w:r>
    </w:p>
    <w:p>
      <w:pPr>
        <w:spacing w:after="0" w:line="134" w:lineRule="exact"/>
        <w:rPr>
          <w:rFonts w:ascii="Arial" w:cs="Arial" w:eastAsia="Arial" w:hAnsi="Arial"/>
          <w:sz w:val="14"/>
          <w:szCs w:val="14"/>
          <w:color w:val="auto"/>
        </w:rPr>
      </w:pPr>
    </w:p>
    <w:p>
      <w:pPr>
        <w:ind w:left="724" w:hanging="151"/>
        <w:spacing w:after="0"/>
        <w:tabs>
          <w:tab w:leader="none" w:pos="724" w:val="left"/>
        </w:tabs>
        <w:numPr>
          <w:ilvl w:val="1"/>
          <w:numId w:val="317"/>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Agreement shall terminate upon the earliest of (i) the Effective Time, (ii) the termination of the Merger Agreement in accordance with its terms,</w:t>
      </w:r>
    </w:p>
    <w:p>
      <w:pPr>
        <w:spacing w:after="0" w:line="42" w:lineRule="exact"/>
        <w:rPr>
          <w:rFonts w:ascii="Arial" w:cs="Arial" w:eastAsia="Arial" w:hAnsi="Arial"/>
          <w:sz w:val="14"/>
          <w:szCs w:val="14"/>
          <w:color w:val="auto"/>
        </w:rPr>
      </w:pPr>
    </w:p>
    <w:p>
      <w:pPr>
        <w:jc w:val="both"/>
        <w:ind w:left="4" w:right="20" w:hanging="4"/>
        <w:spacing w:after="0" w:line="250" w:lineRule="auto"/>
        <w:tabs>
          <w:tab w:leader="none" w:pos="30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such time that the Merger Agreement (including any exhibits, schedules or agreements referred to therein) shall be amended, modified or supplemented such that a Stockholder is disproportionately and adversely impacted relative to the other stockholders holding the same class of Company Capital Stock without the prior written consent of the applicable Stockholder, (iv) such time that a provision in the Merger Agreement shall be waived by the Company such that a Stockholder is disproportionately and adversely impacted relative to the other stockholders holding the same class of Company Stock; and (v) the time this Agreement is terminated upon the mutual written agreement of the Company, Acquiror and the Stockholder (the earliest such date under clause (i), (ii), (iii), (iv), and (v) being referred to herein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and the representations, warranties, covenants and agreements contained in this Agreement and in any certificate or other writing delivered pursuant hereto shall not survive the Closing or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shall survive the termination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termination of this Agreement shall not relieve any Party from liability arising from any actual fraud in respect of this Agreement prior to such termination.</w:t>
      </w:r>
    </w:p>
    <w:p>
      <w:pPr>
        <w:spacing w:after="0" w:line="174" w:lineRule="exact"/>
        <w:rPr>
          <w:rFonts w:ascii="Arial" w:cs="Arial" w:eastAsia="Arial" w:hAnsi="Arial"/>
          <w:sz w:val="16"/>
          <w:szCs w:val="16"/>
          <w:color w:val="auto"/>
        </w:rPr>
      </w:pPr>
    </w:p>
    <w:p>
      <w:pPr>
        <w:ind w:left="724" w:hanging="151"/>
        <w:spacing w:after="0"/>
        <w:tabs>
          <w:tab w:leader="none" w:pos="724" w:val="left"/>
        </w:tabs>
        <w:numPr>
          <w:ilvl w:val="1"/>
          <w:numId w:val="318"/>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the Stockholders</w:t>
      </w:r>
      <w:r>
        <w:rPr>
          <w:rFonts w:ascii="Arial" w:cs="Arial" w:eastAsia="Arial" w:hAnsi="Arial"/>
          <w:sz w:val="14"/>
          <w:szCs w:val="14"/>
          <w:color w:val="auto"/>
        </w:rPr>
        <w:t>. Each Stockholder hereby represents and warrants (severally, and not jointly, as to itself only) to the Acquiror as</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follows:</w:t>
      </w:r>
    </w:p>
    <w:p>
      <w:pPr>
        <w:spacing w:after="0" w:line="185" w:lineRule="exact"/>
        <w:rPr>
          <w:rFonts w:ascii="Arial" w:cs="Arial" w:eastAsia="Arial" w:hAnsi="Arial"/>
          <w:sz w:val="14"/>
          <w:szCs w:val="14"/>
          <w:color w:val="auto"/>
        </w:rPr>
      </w:pPr>
    </w:p>
    <w:p>
      <w:pPr>
        <w:jc w:val="both"/>
        <w:ind w:left="4" w:right="20" w:firstLine="1143"/>
        <w:spacing w:after="0" w:line="276" w:lineRule="auto"/>
        <w:tabs>
          <w:tab w:leader="none" w:pos="1374" w:val="left"/>
        </w:tabs>
        <w:numPr>
          <w:ilvl w:val="2"/>
          <w:numId w:val="318"/>
        </w:numPr>
        <w:rPr>
          <w:rFonts w:ascii="Arial" w:cs="Arial" w:eastAsia="Arial" w:hAnsi="Arial"/>
          <w:sz w:val="15"/>
          <w:szCs w:val="15"/>
          <w:color w:val="auto"/>
        </w:rPr>
      </w:pPr>
      <w:r>
        <w:rPr>
          <w:rFonts w:ascii="Arial" w:cs="Arial" w:eastAsia="Arial" w:hAnsi="Arial"/>
          <w:sz w:val="15"/>
          <w:szCs w:val="15"/>
          <w:color w:val="auto"/>
        </w:rPr>
        <w:t>Such Stockholder is the sole beneficial owner (within the meaning of Rule 13d-3 under the Exchange Act) of, and has good, valid and marketable title to or has a valid proxy to vote such Stockholder’s Covered Shares, free and clear of any Liens (other than as created by this Agreement or the organizational documents of the Company (including, for the purposes hereof, any agreements between or among stockholders of the Company). As of the date hereof, other than the Owned Shares set forth opposite such Stockholder’s name on Schedule 1, such Stockholder does not own beneficially or of record any shares of Company Common Stock or Company Preferred Stock (or any securities convertible into shares of Company Common Stock or Company Preferred Stock) or any interest therein.</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23" w:name="page324"/>
    <w:bookmarkEnd w:id="323"/>
    <w:p>
      <w:pPr>
        <w:jc w:val="both"/>
        <w:ind w:left="4" w:firstLine="1143"/>
        <w:spacing w:after="0" w:line="289" w:lineRule="auto"/>
        <w:tabs>
          <w:tab w:leader="none" w:pos="1379" w:val="left"/>
        </w:tabs>
        <w:numPr>
          <w:ilvl w:val="1"/>
          <w:numId w:val="319"/>
        </w:numPr>
        <w:rPr>
          <w:rFonts w:ascii="Arial" w:cs="Arial" w:eastAsia="Arial" w:hAnsi="Arial"/>
          <w:sz w:val="14"/>
          <w:szCs w:val="14"/>
          <w:color w:val="auto"/>
        </w:rPr>
      </w:pPr>
      <w:r>
        <w:rPr>
          <w:rFonts w:ascii="Arial" w:cs="Arial" w:eastAsia="Arial" w:hAnsi="Arial"/>
          <w:sz w:val="14"/>
          <w:szCs w:val="14"/>
          <w:color w:val="auto"/>
        </w:rPr>
        <w:t>Such Stockholder, in each case except as provided in this Agreement, the Investment Agreements or the governing documents of the Company, (i) has full voting power, full power of disposition and full power to issue instructions with respect to the matters set forth herein whether by ownership or by proxy, in each case, with respect to such Stockholder’s Covered Shares, (ii) has not entered into any voting agreement or voting trust, and has no knowledge and is not aware of any such voting agreement or voting trust in effect with respect to any of such Stockholder’s Covered Shares that is inconsistent with such Stockholder’s obligations pursuant to this Agreement,</w:t>
      </w:r>
    </w:p>
    <w:p>
      <w:pPr>
        <w:spacing w:after="0" w:line="2" w:lineRule="exact"/>
        <w:rPr>
          <w:rFonts w:ascii="Arial" w:cs="Arial" w:eastAsia="Arial" w:hAnsi="Arial"/>
          <w:sz w:val="14"/>
          <w:szCs w:val="14"/>
          <w:color w:val="auto"/>
        </w:rPr>
      </w:pPr>
    </w:p>
    <w:p>
      <w:pPr>
        <w:jc w:val="both"/>
        <w:ind w:left="4" w:hanging="4"/>
        <w:spacing w:after="0" w:line="252" w:lineRule="auto"/>
        <w:tabs>
          <w:tab w:leader="none" w:pos="287" w:val="left"/>
        </w:tabs>
        <w:numPr>
          <w:ilvl w:val="0"/>
          <w:numId w:val="320"/>
        </w:numPr>
        <w:rPr>
          <w:rFonts w:ascii="Arial" w:cs="Arial" w:eastAsia="Arial" w:hAnsi="Arial"/>
          <w:sz w:val="16"/>
          <w:szCs w:val="16"/>
          <w:color w:val="auto"/>
        </w:rPr>
      </w:pPr>
      <w:r>
        <w:rPr>
          <w:rFonts w:ascii="Arial" w:cs="Arial" w:eastAsia="Arial" w:hAnsi="Arial"/>
          <w:sz w:val="16"/>
          <w:szCs w:val="16"/>
          <w:color w:val="auto"/>
        </w:rPr>
        <w:t>has not granted a proxy or power of attorney with respect to any of such Stockholder’s Covered Shares that is inconsistent with such Stockholder’s obligations pursuant to this Agreement, and has no knowledge and is not aware of any such proxy or power of attorney in effect, and (iv) has not entered into any agreement or undertaking that is otherwise inconsistent with, or would interfere with, or prohibit or prevent it from satisfying, its obligations pursuant to this Agreement, and has no knowledge and is not aware of any such agreement or undertaking.</w:t>
      </w:r>
    </w:p>
    <w:p>
      <w:pPr>
        <w:spacing w:after="0" w:line="170" w:lineRule="exact"/>
        <w:rPr>
          <w:rFonts w:ascii="Arial" w:cs="Arial" w:eastAsia="Arial" w:hAnsi="Arial"/>
          <w:sz w:val="16"/>
          <w:szCs w:val="16"/>
          <w:color w:val="auto"/>
        </w:rPr>
      </w:pPr>
    </w:p>
    <w:p>
      <w:pPr>
        <w:jc w:val="both"/>
        <w:ind w:left="4" w:firstLine="1143"/>
        <w:spacing w:after="0" w:line="272" w:lineRule="auto"/>
        <w:tabs>
          <w:tab w:leader="none" w:pos="1391" w:val="left"/>
        </w:tabs>
        <w:numPr>
          <w:ilvl w:val="1"/>
          <w:numId w:val="320"/>
        </w:numPr>
        <w:rPr>
          <w:rFonts w:ascii="Arial" w:cs="Arial" w:eastAsia="Arial" w:hAnsi="Arial"/>
          <w:sz w:val="15"/>
          <w:szCs w:val="15"/>
          <w:color w:val="auto"/>
        </w:rPr>
      </w:pPr>
      <w:r>
        <w:rPr>
          <w:rFonts w:ascii="Arial" w:cs="Arial" w:eastAsia="Arial" w:hAnsi="Arial"/>
          <w:sz w:val="15"/>
          <w:szCs w:val="15"/>
          <w:color w:val="auto"/>
        </w:rPr>
        <w:t>Such Stockholder affirms that (i) if the Stockholder is a natural person, he or she has all the requisite power and authority and has taken all action necessary in order to execute and deliver this Agreement, to perform his or her obligations hereunder and to consummate the transaction contemplated hereby, and (ii) if the Stockholder is not a natural person, (A) is a legal entity duly organized, validly existing and, to the extent such concept is applicable, in good standing under the Laws of the jurisdiction of its organization, and (B)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such Stockholder and, subject to the due execution and delivery of this Agreement by each other Party hereto, constitutes a legally valid and binding agreement of such Stockholder enforceable against the Stockholder in accordance with the terms hereof (except as enforceability may be limited by bankruptcy Laws or other similar Laws affecting creditors’ rights and general principles of equity affecting the availability of specific performance and other equitable remedies).</w:t>
      </w:r>
    </w:p>
    <w:p>
      <w:pPr>
        <w:spacing w:after="0" w:line="156" w:lineRule="exact"/>
        <w:rPr>
          <w:rFonts w:ascii="Arial" w:cs="Arial" w:eastAsia="Arial" w:hAnsi="Arial"/>
          <w:sz w:val="15"/>
          <w:szCs w:val="15"/>
          <w:color w:val="auto"/>
        </w:rPr>
      </w:pPr>
    </w:p>
    <w:p>
      <w:pPr>
        <w:jc w:val="both"/>
        <w:ind w:left="4" w:right="20" w:firstLine="1143"/>
        <w:spacing w:after="0" w:line="306" w:lineRule="auto"/>
        <w:tabs>
          <w:tab w:leader="none" w:pos="1391" w:val="left"/>
        </w:tabs>
        <w:numPr>
          <w:ilvl w:val="1"/>
          <w:numId w:val="320"/>
        </w:numPr>
        <w:rPr>
          <w:rFonts w:ascii="Arial" w:cs="Arial" w:eastAsia="Arial" w:hAnsi="Arial"/>
          <w:sz w:val="14"/>
          <w:szCs w:val="14"/>
          <w:color w:val="auto"/>
        </w:rPr>
      </w:pPr>
      <w:r>
        <w:rPr>
          <w:rFonts w:ascii="Arial" w:cs="Arial" w:eastAsia="Arial" w:hAnsi="Arial"/>
          <w:sz w:val="14"/>
          <w:szCs w:val="14"/>
          <w:color w:val="auto"/>
        </w:rPr>
        <w:t>Other than the filings, notices and reports pursuant to, in compliance with or required to be made under the Exchange Act, no filings, notices, reports, consents, registrations, approvals, permits, waivers, expirations of waiting periods or authorizations are required to be obtained by such Stockholder from, or to be given by such Stockholder to, or be made by such Stockholder with, any Governmental Authority in connection with the execution, delivery and performance by such Stockholder of this Agreement, the consummation of the transactions contemplated hereby or the Mergers or the other transactions contemplated by the Merger Agreement.</w:t>
      </w:r>
    </w:p>
    <w:p>
      <w:pPr>
        <w:spacing w:after="0" w:line="32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24" w:name="page325"/>
    <w:bookmarkEnd w:id="324"/>
    <w:p>
      <w:pPr>
        <w:jc w:val="both"/>
        <w:ind w:firstLine="1143"/>
        <w:spacing w:after="0" w:line="270" w:lineRule="auto"/>
        <w:tabs>
          <w:tab w:leader="none" w:pos="1367" w:val="left"/>
        </w:tabs>
        <w:numPr>
          <w:ilvl w:val="0"/>
          <w:numId w:val="321"/>
        </w:numPr>
        <w:rPr>
          <w:rFonts w:ascii="Arial" w:cs="Arial" w:eastAsia="Arial" w:hAnsi="Arial"/>
          <w:sz w:val="15"/>
          <w:szCs w:val="15"/>
          <w:color w:val="auto"/>
        </w:rPr>
      </w:pPr>
      <w:r>
        <w:rPr>
          <w:rFonts w:ascii="Arial" w:cs="Arial" w:eastAsia="Arial" w:hAnsi="Arial"/>
          <w:sz w:val="15"/>
          <w:szCs w:val="15"/>
          <w:color w:val="auto"/>
        </w:rPr>
        <w:t xml:space="preserve">The execution, delivery and performance of this Agreement by such Stockholder does not, and the consummation of the transactions contemplated hereby and the Mergers and the other transactions contemplated by the Merger Agreement will not, constitute or result in (i) a breach or violation of, or a default under, the governing documents of such Stockholder (if such Stockholder is not a natural person), (ii) with or without notice, lapse of time or both, a breach or violation of, a termination (or right of termination) of or a default under, the loss of any benefit under, the creation, modification or acceleration of any obligations under or the creation of a Lien on any of the properties, rights or assets of such Stockholder pursuant to any Contract binding upon such Stockholder or, assuming (solely with respect to performance of this Agreement and the transactions contemplated hereby) compliance with the matters referred to in </w:t>
      </w:r>
      <w:r>
        <w:rPr>
          <w:rFonts w:ascii="Arial" w:cs="Arial" w:eastAsia="Arial" w:hAnsi="Arial"/>
          <w:sz w:val="15"/>
          <w:szCs w:val="15"/>
          <w:u w:val="single" w:color="auto"/>
          <w:color w:val="auto"/>
        </w:rPr>
        <w:t>Section 6(d)</w:t>
      </w:r>
      <w:r>
        <w:rPr>
          <w:rFonts w:ascii="Arial" w:cs="Arial" w:eastAsia="Arial" w:hAnsi="Arial"/>
          <w:sz w:val="15"/>
          <w:szCs w:val="15"/>
          <w:color w:val="auto"/>
        </w:rPr>
        <w:t>, under any applicable Law to which such Stockholder is subject or (iii) any change in the rights or obligations of any party under any Contract legally binding upon such Stockholder, except, in the case of clause (ii) or (iii) directly above, for any such breach, violation, termination, default, creation, acceleration or change that would not, individually or in the aggregate, reasonably be expected to prevent or materially delay or impair such Stockholder’s ability to perform its obligations hereunder or to consummate the transactions contemplated hereby, the consummation of the Mergers or the other transactions contemplated by the Merger Agreement.</w:t>
      </w:r>
    </w:p>
    <w:p>
      <w:pPr>
        <w:spacing w:after="0" w:line="162" w:lineRule="exact"/>
        <w:rPr>
          <w:rFonts w:ascii="Arial" w:cs="Arial" w:eastAsia="Arial" w:hAnsi="Arial"/>
          <w:sz w:val="15"/>
          <w:szCs w:val="15"/>
          <w:color w:val="auto"/>
        </w:rPr>
      </w:pPr>
    </w:p>
    <w:p>
      <w:pPr>
        <w:jc w:val="both"/>
        <w:ind w:right="20" w:firstLine="1143"/>
        <w:spacing w:after="0" w:line="287" w:lineRule="auto"/>
        <w:tabs>
          <w:tab w:leader="none" w:pos="1379" w:val="left"/>
        </w:tabs>
        <w:numPr>
          <w:ilvl w:val="0"/>
          <w:numId w:val="321"/>
        </w:numPr>
        <w:rPr>
          <w:rFonts w:ascii="Arial" w:cs="Arial" w:eastAsia="Arial" w:hAnsi="Arial"/>
          <w:sz w:val="15"/>
          <w:szCs w:val="15"/>
          <w:color w:val="auto"/>
        </w:rPr>
      </w:pPr>
      <w:r>
        <w:rPr>
          <w:rFonts w:ascii="Arial" w:cs="Arial" w:eastAsia="Arial" w:hAnsi="Arial"/>
          <w:sz w:val="15"/>
          <w:szCs w:val="15"/>
          <w:color w:val="auto"/>
        </w:rPr>
        <w:t>As of the date of this Agreement, there is no action, proceeding or investigation pending against such Stockholder or, to the knowledge of such Stockholder, threatened against such Stockholder that, in any manner, questions the beneficial or record ownership of the Stockholder’s Covered Shares or the validity of this Agreement, or challenges or seeks to prevent, enjoin or materially delay the performance by such Stockholder of its obligations under this Agreement.</w:t>
      </w:r>
    </w:p>
    <w:p>
      <w:pPr>
        <w:spacing w:after="0" w:line="146" w:lineRule="exact"/>
        <w:rPr>
          <w:rFonts w:ascii="Arial" w:cs="Arial" w:eastAsia="Arial" w:hAnsi="Arial"/>
          <w:sz w:val="15"/>
          <w:szCs w:val="15"/>
          <w:color w:val="auto"/>
        </w:rPr>
      </w:pPr>
    </w:p>
    <w:p>
      <w:pPr>
        <w:jc w:val="both"/>
        <w:ind w:firstLine="1143"/>
        <w:spacing w:after="0" w:line="254" w:lineRule="auto"/>
        <w:tabs>
          <w:tab w:leader="none" w:pos="140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The Stockholder is a sophisticated stockholder and has adequate information concerning the business and financial condition of Acquiror and the Company to make an informed decision regarding this Agreement and the other transactions contemplated by the Merger Agreement and has independently, based on such information as the Stockholder has deemed appropriate, made its own analysis and decision to enter into this Agreement. The Stockholder acknowledges that Acquiror and the Company have not made and do not make any representation or warranty, whether express or implied, of any kind or character except as expressly set forth in this Agreement. The Stockholder acknowledges receipt and review of a copy of the Merger Agreement and that the agreements contained herein with respect to the Covered Shares held by the Stockholder are irrevocable.</w:t>
      </w:r>
    </w:p>
    <w:p>
      <w:pPr>
        <w:spacing w:after="0" w:line="170" w:lineRule="exact"/>
        <w:rPr>
          <w:rFonts w:ascii="Arial" w:cs="Arial" w:eastAsia="Arial" w:hAnsi="Arial"/>
          <w:sz w:val="16"/>
          <w:szCs w:val="16"/>
          <w:color w:val="auto"/>
        </w:rPr>
      </w:pPr>
    </w:p>
    <w:p>
      <w:pPr>
        <w:ind w:firstLine="1143"/>
        <w:spacing w:after="0" w:line="275" w:lineRule="auto"/>
        <w:tabs>
          <w:tab w:leader="none" w:pos="137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Such Stockholder understands and acknowledges that Acquiror is entering into the Merger Agreement in reliance upon such Stockholder’s execution and delivery of this Agreement and the representations, warranties, covenants and other agreements of such Stockholder contained herein.</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47" w:val="left"/>
        </w:tabs>
        <w:numPr>
          <w:ilvl w:val="0"/>
          <w:numId w:val="321"/>
        </w:numPr>
        <w:rPr>
          <w:rFonts w:ascii="Arial" w:cs="Arial" w:eastAsia="Arial" w:hAnsi="Arial"/>
          <w:sz w:val="16"/>
          <w:szCs w:val="16"/>
          <w:color w:val="auto"/>
        </w:rPr>
      </w:pPr>
      <w:r>
        <w:rPr>
          <w:rFonts w:ascii="Arial" w:cs="Arial" w:eastAsia="Arial" w:hAnsi="Arial"/>
          <w:sz w:val="16"/>
          <w:szCs w:val="16"/>
          <w:color w:val="auto"/>
        </w:rPr>
        <w:t>No investment banker, broker, finder or other intermediary is entitled to any broker’s, finder’s, financial advisor’s or other similar fee or commission for which Acquiror or the Company is or could be liable in connection with the Merger Agreement or this Agreement or any of the respective transactions contemplated hereby or thereby, in each case based upon arrangements made by such Stockholder in his, her or its capacity as a stockholder or, to the knowledge of such Stockholder, on behalf of such Stockholder in his, her or its capacity as a stockholder.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5" w:name="page326"/>
    <w:bookmarkEnd w:id="325"/>
    <w:p>
      <w:pPr>
        <w:ind w:right="20" w:firstLine="569"/>
        <w:spacing w:after="0" w:line="275" w:lineRule="auto"/>
        <w:tabs>
          <w:tab w:leader="none" w:pos="757"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Certain Covenants of the Stockholders</w:t>
      </w:r>
      <w:r>
        <w:rPr>
          <w:rFonts w:ascii="Arial" w:cs="Arial" w:eastAsia="Arial" w:hAnsi="Arial"/>
          <w:sz w:val="16"/>
          <w:szCs w:val="16"/>
          <w:color w:val="auto"/>
        </w:rPr>
        <w:t>. Other than in accordance with the other terms of this Agreement, each Stockholder severally and not jointly, hereby covenants and agrees as follows:</w:t>
      </w:r>
    </w:p>
    <w:p>
      <w:pPr>
        <w:spacing w:after="0" w:line="151" w:lineRule="exact"/>
        <w:rPr>
          <w:rFonts w:ascii="Arial" w:cs="Arial" w:eastAsia="Arial" w:hAnsi="Arial"/>
          <w:sz w:val="16"/>
          <w:szCs w:val="16"/>
          <w:color w:val="auto"/>
        </w:rPr>
      </w:pPr>
    </w:p>
    <w:p>
      <w:pPr>
        <w:jc w:val="both"/>
        <w:ind w:right="20" w:firstLine="1143"/>
        <w:spacing w:after="0" w:line="272" w:lineRule="auto"/>
        <w:tabs>
          <w:tab w:leader="none" w:pos="1372" w:val="left"/>
        </w:tabs>
        <w:numPr>
          <w:ilvl w:val="1"/>
          <w:numId w:val="32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prior to the Termination Date, the Stockholder shall not, directly or indirectly, (i) initiate, solicit or knowingly encourage or knowingly facilitate any inquiries or requests for information with respect to, or the making of, any inquiry regarding, or any proposal or offer that constitutes, or could reasonably be expected to result in or lead to, any Company Acquisition Proposal, (ii) engage in, continue or otherwise participate in any negotiations or discussions concerning, or provide access to its properties, books and records or any confidential information or data to, any Person relating to any proposal, offer, inquiry or request for information that constitutes, or could reasonably be expected to result in or lead to, any Company Acquisition Proposal, (iii) approve, endorse or recommend, or propose publicly to approve, endorse or recommend, any Company Acquisition Proposal or (iv) execute or enter into, any letter of intent, memorandum of understanding, agreement in principle, confidentiality agreement, merger agreement, acquisition agreement, exchange agreement, joint venture agreement, partnership agreement, option agreement or other similar agreement for or relating to any Company Acquisition Proposal.</w:t>
      </w:r>
    </w:p>
    <w:p>
      <w:pPr>
        <w:spacing w:after="0" w:line="157"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Notwithstanding anything in this Agreement to the contrary, (i) such Stockholder shall not be responsible for the actions of the Company or the Board of Directors of the Company (or any committee thereof), any subsidiary of the Company, or any officers, directors (in their capacity as such), employees and professional advisors of any of the foregoing (collectively, the “</w:t>
      </w:r>
      <w:r>
        <w:rPr>
          <w:rFonts w:ascii="Arial" w:cs="Arial" w:eastAsia="Arial" w:hAnsi="Arial"/>
          <w:sz w:val="15"/>
          <w:szCs w:val="15"/>
          <w:u w:val="single" w:color="auto"/>
          <w:color w:val="auto"/>
        </w:rPr>
        <w:t>Company Related Parties</w:t>
      </w:r>
      <w:r>
        <w:rPr>
          <w:rFonts w:ascii="Arial" w:cs="Arial" w:eastAsia="Arial" w:hAnsi="Arial"/>
          <w:sz w:val="15"/>
          <w:szCs w:val="15"/>
          <w:color w:val="auto"/>
        </w:rPr>
        <w:t xml:space="preserve">”), (ii) such Stockholder makes no representations or warranties with respect to the actions of any of the Company Related Parties, and (iii) any breach by the Company of its obligations under Section 6.06 of the Merger Agreement shall not be considered a breach of this </w:t>
      </w:r>
      <w:r>
        <w:rPr>
          <w:rFonts w:ascii="Arial" w:cs="Arial" w:eastAsia="Arial" w:hAnsi="Arial"/>
          <w:sz w:val="15"/>
          <w:szCs w:val="15"/>
          <w:u w:val="single" w:color="auto"/>
          <w:color w:val="auto"/>
        </w:rPr>
        <w:t>Section 7(a)</w:t>
      </w:r>
      <w:r>
        <w:rPr>
          <w:rFonts w:ascii="Arial" w:cs="Arial" w:eastAsia="Arial" w:hAnsi="Arial"/>
          <w:sz w:val="15"/>
          <w:szCs w:val="15"/>
          <w:color w:val="auto"/>
        </w:rPr>
        <w:t xml:space="preserve"> (it being understood that, for the avoidance of doubt, such Stockholder or his, her or its representatives (other than any such representative that is a Company Related Party) shall remain responsible for any breach by such Stockholder or his, her or its representatives of this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157" w:lineRule="exact"/>
        <w:rPr>
          <w:sz w:val="20"/>
          <w:szCs w:val="20"/>
          <w:color w:val="auto"/>
        </w:rPr>
      </w:pPr>
    </w:p>
    <w:p>
      <w:pPr>
        <w:jc w:val="both"/>
        <w:ind w:firstLine="1143"/>
        <w:spacing w:after="0" w:line="271" w:lineRule="auto"/>
        <w:tabs>
          <w:tab w:leader="none" w:pos="1398" w:val="left"/>
        </w:tabs>
        <w:numPr>
          <w:ilvl w:val="0"/>
          <w:numId w:val="323"/>
        </w:numPr>
        <w:rPr>
          <w:rFonts w:ascii="Arial" w:cs="Arial" w:eastAsia="Arial" w:hAnsi="Arial"/>
          <w:sz w:val="15"/>
          <w:szCs w:val="15"/>
          <w:color w:val="auto"/>
        </w:rPr>
      </w:pPr>
      <w:r>
        <w:rPr>
          <w:rFonts w:ascii="Arial" w:cs="Arial" w:eastAsia="Arial" w:hAnsi="Arial"/>
          <w:sz w:val="15"/>
          <w:szCs w:val="15"/>
          <w:color w:val="auto"/>
        </w:rPr>
        <w:t xml:space="preserve">Each Stockholder hereby irrevocably and unconditionally agrees, prior to the Termination Date, not to (except in each case pursuant to the Merger Agreement), (i) directly or indirectly, (A) Transfer, or (B) enter into any Contract or option with respect to the Transfer of, any of such Stockholder’s Covered Shares, or (ii) publicly announce any intention to effect any transaction specified in clause (A) or (B), or (iii) take any action that would make any representation or warranty of such Stockholder contained herein untrue or incorrect or have the effect of preventing or disabling such Stockholder from performing its obligations under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herein shall prohibit a Transfer to an Affiliate of the Stockholder or to another Stockholder of the Company that becomes a party to this Agreement and bound by the terms and obligations hereof (a “</w:t>
      </w:r>
      <w:r>
        <w:rPr>
          <w:rFonts w:ascii="Arial" w:cs="Arial" w:eastAsia="Arial" w:hAnsi="Arial"/>
          <w:sz w:val="15"/>
          <w:szCs w:val="15"/>
          <w:u w:val="single" w:color="auto"/>
          <w:color w:val="auto"/>
        </w:rPr>
        <w:t>Permitted Transfer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Permitted Transfer shall be permitted only if, as a precondition to such Transfer, the transferee agrees in a writing, reasonably satisfactory in form and substance to Acquiror, to assume all of the obligations of the Stockholder under, and be bound by all of the terms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any Transfer permitted under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shall not relieve the Stockholder of its obligations under this Agreement. Any Transfer in violation of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with respect to the Stockholder’s Covered Shares shall be null and void.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6" w:name="page327"/>
    <w:bookmarkEnd w:id="326"/>
    <w:p>
      <w:pPr>
        <w:ind w:left="1140"/>
        <w:spacing w:after="0"/>
        <w:rPr>
          <w:sz w:val="20"/>
          <w:szCs w:val="20"/>
          <w:color w:val="auto"/>
        </w:rPr>
      </w:pPr>
      <w:r>
        <w:rPr>
          <w:rFonts w:ascii="Arial" w:cs="Arial" w:eastAsia="Arial" w:hAnsi="Arial"/>
          <w:sz w:val="15"/>
          <w:szCs w:val="15"/>
          <w:color w:val="auto"/>
        </w:rPr>
        <w:t>(c) Each Stockholder hereby authorizes the Company to maintain a copy of this Agreement at either the executive office or the registered office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186" w:lineRule="exact"/>
        <w:rPr>
          <w:sz w:val="20"/>
          <w:szCs w:val="20"/>
          <w:color w:val="auto"/>
        </w:rPr>
      </w:pPr>
    </w:p>
    <w:p>
      <w:pPr>
        <w:jc w:val="both"/>
        <w:ind w:firstLine="569"/>
        <w:spacing w:after="0" w:line="272" w:lineRule="auto"/>
        <w:tabs>
          <w:tab w:leader="none" w:pos="733" w:val="left"/>
        </w:tabs>
        <w:numPr>
          <w:ilvl w:val="0"/>
          <w:numId w:val="324"/>
        </w:numPr>
        <w:rPr>
          <w:rFonts w:ascii="Arial" w:cs="Arial" w:eastAsia="Arial" w:hAnsi="Arial"/>
          <w:sz w:val="15"/>
          <w:szCs w:val="15"/>
          <w:color w:val="auto"/>
        </w:rPr>
      </w:pPr>
      <w:r>
        <w:rPr>
          <w:rFonts w:ascii="Arial" w:cs="Arial" w:eastAsia="Arial" w:hAnsi="Arial"/>
          <w:sz w:val="15"/>
          <w:szCs w:val="15"/>
          <w:u w:val="single" w:color="auto"/>
          <w:color w:val="auto"/>
        </w:rPr>
        <w:t>Further Assurances</w:t>
      </w:r>
      <w:r>
        <w:rPr>
          <w:rFonts w:ascii="Arial" w:cs="Arial" w:eastAsia="Arial" w:hAnsi="Arial"/>
          <w:sz w:val="15"/>
          <w:szCs w:val="15"/>
          <w:color w:val="auto"/>
        </w:rPr>
        <w:t>. Hereafter until the Termination Date, at Acquiror’s request and without further consideration, each Stockholder shall execute and deliver such additional documents and take all such further action as may be reasonably necessary or reasonably requested to consummate the transactions contemplated by the Merger Agreement and the Ancillary Agreements. Each Stockholder further agrees not to commence or participate in, and to take all actions necessary to opt out of any class in any class action with respect to, any action or claim, derivative or otherwise, against Acquiror, Acquiror’s Affiliates, the Sponsor, the Company or any of their respective successors and assigns relating to the negotiation, execution or delivery of this Agreement, the Merger Agreement or the consummation of the transactions contemplated hereby and thereby and hereby waives its appraisal or dissenter’s right. Notwithstanding the foregoing, nothing herein shall be deemed to prohibit the Stockholders from enforcing the Stockholders’ rights under this Agreement and the other Agreements entered into by a Stockholder in connection herewith, including the Stockholder’s right to receive the consideration as provided in the Merger Agreement.</w:t>
      </w:r>
    </w:p>
    <w:p>
      <w:pPr>
        <w:spacing w:after="0" w:line="156" w:lineRule="exact"/>
        <w:rPr>
          <w:rFonts w:ascii="Arial" w:cs="Arial" w:eastAsia="Arial" w:hAnsi="Arial"/>
          <w:sz w:val="15"/>
          <w:szCs w:val="15"/>
          <w:color w:val="auto"/>
        </w:rPr>
      </w:pPr>
    </w:p>
    <w:p>
      <w:pPr>
        <w:jc w:val="both"/>
        <w:ind w:right="20" w:firstLine="569"/>
        <w:spacing w:after="0" w:line="262" w:lineRule="auto"/>
        <w:tabs>
          <w:tab w:leader="none" w:pos="745"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Such Stockholder hereby authorizes the Company and Acquiror to publish and disclose in any announcement or disclosure required by the SEC (but only to the extent such disclosure is required under applicable Law) such Stockholder’s identity and ownership of the Covered Shares and the nature of such Stockholder’s obligations under this Agreement.</w:t>
      </w:r>
    </w:p>
    <w:p>
      <w:pPr>
        <w:spacing w:after="0" w:line="162" w:lineRule="exact"/>
        <w:rPr>
          <w:rFonts w:ascii="Arial" w:cs="Arial" w:eastAsia="Arial" w:hAnsi="Arial"/>
          <w:sz w:val="16"/>
          <w:szCs w:val="16"/>
          <w:color w:val="auto"/>
        </w:rPr>
      </w:pPr>
    </w:p>
    <w:p>
      <w:pPr>
        <w:jc w:val="both"/>
        <w:ind w:firstLine="569"/>
        <w:spacing w:after="0" w:line="254" w:lineRule="auto"/>
        <w:tabs>
          <w:tab w:leader="none" w:pos="824"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Changes in Company Capital Stock</w:t>
      </w:r>
      <w:r>
        <w:rPr>
          <w:rFonts w:ascii="Arial" w:cs="Arial" w:eastAsia="Arial" w:hAnsi="Arial"/>
          <w:sz w:val="16"/>
          <w:szCs w:val="16"/>
          <w:color w:val="auto"/>
        </w:rPr>
        <w:t>. In the event (i) of a stock split, stock dividend or distribution, or any change in Company Common Stock or Company Preferred Stock by reason of any split-up, reverse stock split, recapitalization, combination, reclassification, exchange of shares or the like, (ii) the Stockholder purchases or otherwise acquires beneficial ownership of any Company Common Stock or Company Preferred Stock or (iii) the Stockholder acquires the right to vote or share in the voting of any Company Common Stock or Company Preferred Stock,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signed by Acquiror, the Company and the applicable Stockholder.</w:t>
      </w:r>
    </w:p>
    <w:p>
      <w:pPr>
        <w:spacing w:after="0" w:line="151" w:lineRule="exact"/>
        <w:rPr>
          <w:rFonts w:ascii="Arial" w:cs="Arial" w:eastAsia="Arial" w:hAnsi="Arial"/>
          <w:sz w:val="16"/>
          <w:szCs w:val="16"/>
          <w:color w:val="auto"/>
        </w:rPr>
      </w:pPr>
    </w:p>
    <w:p>
      <w:pPr>
        <w:jc w:val="both"/>
        <w:ind w:firstLine="569"/>
        <w:spacing w:after="0" w:line="258" w:lineRule="auto"/>
        <w:tabs>
          <w:tab w:leader="none" w:pos="812"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failure or delay by any Party exercising any right, power or privilege hereunder shall operate as a waiver thereof nor shall any single or partial exercise thereof preclude any other or further exercise thereof or the exercise of any other right, power or privilege. The rights and remedies of the Parties hereto hereunder are cumulative and are not exclusive of any rights or remedies which they would otherwise have hereunder. Any agreement on the part of a Party hereto to any such waiver shall be valid only if set forth in a written instrument executed and delivered by such Party.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27" w:name="page328"/>
    <w:bookmarkEnd w:id="327"/>
    <w:p>
      <w:pPr>
        <w:jc w:val="both"/>
        <w:ind w:firstLine="569"/>
        <w:spacing w:after="0" w:line="262" w:lineRule="auto"/>
        <w:tabs>
          <w:tab w:leader="none" w:pos="824"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shall be in writing and shall be deemed given if delivered personally, by email (with confirmation of receipt) or sent by a nationally recognized overnight courier service, such as Federal Express, to the Parties hereto at the following addresses (or at such other address for a Party as shall be specified by like notice made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62" w:lineRule="exact"/>
        <w:rPr>
          <w:sz w:val="20"/>
          <w:szCs w:val="20"/>
          <w:color w:val="auto"/>
        </w:rPr>
      </w:pPr>
    </w:p>
    <w:p>
      <w:pPr>
        <w:ind w:left="1720" w:right="140"/>
        <w:spacing w:after="0" w:line="309" w:lineRule="auto"/>
        <w:rPr>
          <w:sz w:val="20"/>
          <w:szCs w:val="20"/>
          <w:color w:val="auto"/>
        </w:rPr>
      </w:pPr>
      <w:r>
        <w:rPr>
          <w:rFonts w:ascii="Arial" w:cs="Arial" w:eastAsia="Arial" w:hAnsi="Arial"/>
          <w:sz w:val="15"/>
          <w:szCs w:val="15"/>
          <w:color w:val="auto"/>
        </w:rPr>
        <w:t>if to the Stockholder, to the address or email address set forth opposite such Stockholder’s name on Schedule 1, or in the absence of such address or email address being set forth on Schedule 1, the address (including email) set forth in the Company’s books and records.</w:t>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if to the Company, to it at: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 La Carte, Inc.</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816 Hamilton Street</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Redwood City, CA 94063</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Rajat Suri and Ashish Gupta</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raj@presto.com and ashish@presto.com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10020-1095</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Colin Diamond</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colin.diamond@whitecase.com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3000 El Camino Real</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 Palo Alto Square, Suite 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Palo Alto, California 94306-2109</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Tali Sealman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tali.sealman@whitecase.com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White &amp; Case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609 Main Street Suite 2900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Emery Choi and Laura Katherine Mann</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emery.choi@whitecase.com;</w:t>
      </w:r>
    </w:p>
    <w:p>
      <w:pPr>
        <w:spacing w:after="0" w:line="7"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laurakatherine.mann@whitecase.com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8" w:name="page329"/>
    <w:bookmarkEnd w:id="328"/>
    <w:p>
      <w:pPr>
        <w:ind w:left="1720"/>
        <w:spacing w:after="0"/>
        <w:rPr>
          <w:sz w:val="20"/>
          <w:szCs w:val="20"/>
          <w:color w:val="auto"/>
        </w:rPr>
      </w:pPr>
      <w:r>
        <w:rPr>
          <w:rFonts w:ascii="Arial" w:cs="Arial" w:eastAsia="Arial" w:hAnsi="Arial"/>
          <w:sz w:val="16"/>
          <w:szCs w:val="16"/>
          <w:color w:val="auto"/>
        </w:rPr>
        <w:t>if to Acquiror, to it at:</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Ventoux CCM Acquisition Corp.</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East Putnam Avenue, Floor 4</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Greenwich, CT 06830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Edward Scheetz</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ed.scheetz@gmail.com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(which shall not constitute notice) to:</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Woolery &amp; Co.</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 Pier 76</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408 12th Ave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10018</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Attn: Mathew J. Saur</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Mathew@wooleryco.com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Dentons US LLP</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1221 Avenue of the Americas</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New York, NY 10020</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Ilan Katz and Brian Lee</w:t>
      </w:r>
    </w:p>
    <w:p>
      <w:pPr>
        <w:spacing w:after="0" w:line="7"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ilan.katz@dentons.com and brian.lee@dentons.com</w:t>
      </w:r>
    </w:p>
    <w:p>
      <w:pPr>
        <w:spacing w:after="0" w:line="186" w:lineRule="exact"/>
        <w:rPr>
          <w:sz w:val="20"/>
          <w:szCs w:val="20"/>
          <w:color w:val="auto"/>
        </w:rPr>
      </w:pPr>
    </w:p>
    <w:p>
      <w:pPr>
        <w:jc w:val="both"/>
        <w:ind w:right="20" w:firstLine="569"/>
        <w:spacing w:after="0" w:line="258" w:lineRule="auto"/>
        <w:tabs>
          <w:tab w:leader="none" w:pos="812"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Acquiror any direct or indirect ownership or incidence of ownership of or with respect to the Covered Shares of the Stockholder. During the term of this Agreement, all rights, ownership and economic benefits of and relating to the Covered Shares of the Stockholder shall remain vested in and belong to the Stockholder, and Acquiror shall have no authority to direct the Stockholder in the voting or disposition of any of the Stockholder’s Covered Shares, except as otherwise provided herein.</w:t>
      </w:r>
    </w:p>
    <w:p>
      <w:pPr>
        <w:spacing w:after="0" w:line="164" w:lineRule="exact"/>
        <w:rPr>
          <w:rFonts w:ascii="Arial" w:cs="Arial" w:eastAsia="Arial" w:hAnsi="Arial"/>
          <w:sz w:val="16"/>
          <w:szCs w:val="16"/>
          <w:color w:val="auto"/>
        </w:rPr>
      </w:pPr>
    </w:p>
    <w:p>
      <w:pPr>
        <w:jc w:val="both"/>
        <w:ind w:right="20" w:firstLine="569"/>
        <w:spacing w:after="0" w:line="262" w:lineRule="auto"/>
        <w:tabs>
          <w:tab w:leader="none" w:pos="824"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Entire Agreement; Time of Effectiveness</w:t>
      </w:r>
      <w:r>
        <w:rPr>
          <w:rFonts w:ascii="Arial" w:cs="Arial" w:eastAsia="Arial" w:hAnsi="Arial"/>
          <w:sz w:val="16"/>
          <w:szCs w:val="16"/>
          <w:color w:val="auto"/>
        </w:rPr>
        <w:t>. This Agreement and the Merger Agreement constitute the entire agreement and supersede all prior agreements and understandings, both written and oral, between the parties hereto with respect to the subject matter hereof and thereof. This Agreement shall not be effective or binding upon the Stockholder until after such time as the Merger Agreement is executed and delivered by the Company and Acquiror.</w:t>
      </w:r>
    </w:p>
    <w:p>
      <w:pPr>
        <w:spacing w:after="0" w:line="162" w:lineRule="exact"/>
        <w:rPr>
          <w:rFonts w:ascii="Arial" w:cs="Arial" w:eastAsia="Arial" w:hAnsi="Arial"/>
          <w:sz w:val="16"/>
          <w:szCs w:val="16"/>
          <w:color w:val="auto"/>
        </w:rPr>
      </w:pPr>
    </w:p>
    <w:p>
      <w:pPr>
        <w:jc w:val="both"/>
        <w:ind w:firstLine="569"/>
        <w:spacing w:after="0" w:line="255" w:lineRule="auto"/>
        <w:tabs>
          <w:tab w:leader="none" w:pos="836"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The Stockholder hereby agrees that its representations, warranties and covenants set forth herein are solely for the benefit of Acquiror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169" w:lineRule="exact"/>
        <w:rPr>
          <w:rFonts w:ascii="Arial" w:cs="Arial" w:eastAsia="Arial" w:hAnsi="Arial"/>
          <w:sz w:val="16"/>
          <w:szCs w:val="16"/>
          <w:color w:val="auto"/>
        </w:rPr>
      </w:pPr>
    </w:p>
    <w:p>
      <w:pPr>
        <w:jc w:val="both"/>
        <w:ind w:firstLine="569"/>
        <w:spacing w:after="0" w:line="252" w:lineRule="auto"/>
        <w:tabs>
          <w:tab w:leader="none" w:pos="824"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Governing Law and Venue; Service of Process; Waiver of Jury Trial</w:t>
      </w:r>
      <w:r>
        <w:rPr>
          <w:rFonts w:ascii="Arial" w:cs="Arial" w:eastAsia="Arial" w:hAnsi="Arial"/>
          <w:sz w:val="16"/>
          <w:szCs w:val="16"/>
          <w:color w:val="auto"/>
        </w:rPr>
        <w:t xml:space="preserve">. Any Action based upon, arising out of or related to this Agreement, or the transactions contemplated hereby, shall be brought in the Court of Chancery of the State of Delaware or, if such court declines to exercise jurisdiction, the District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w:t>
      </w:r>
      <w:r>
        <w:rPr>
          <w:rFonts w:ascii="Arial" w:cs="Arial" w:eastAsia="Arial" w:hAnsi="Arial"/>
          <w:sz w:val="16"/>
          <w:szCs w:val="16"/>
          <w:u w:val="single" w:color="auto"/>
          <w:color w:val="auto"/>
        </w:rPr>
        <w:t>Section 17</w:t>
      </w:r>
      <w:r>
        <w:rPr>
          <w:rFonts w:ascii="Arial" w:cs="Arial" w:eastAsia="Arial" w:hAnsi="Arial"/>
          <w:sz w:val="16"/>
          <w:szCs w:val="16"/>
          <w:color w:val="auto"/>
        </w:rPr>
        <w:t>. EACH OF THE PARTIES HERETO HEREBY IRREVOCABLY WAIVES ANY AND ALL RIGHT TO TRIAL BY JURY IN ANY ACTION BASED UPON, ARISING OUT OF OR RELATED TO THIS AGREEMENT OR THE TRANSACTIONS CONTEMPLATED HEREBY.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9" w:name="page330"/>
    <w:bookmarkEnd w:id="329"/>
    <w:p>
      <w:pPr>
        <w:jc w:val="both"/>
        <w:ind w:firstLine="569"/>
        <w:spacing w:after="0" w:line="255" w:lineRule="auto"/>
        <w:tabs>
          <w:tab w:leader="none" w:pos="81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Assignment; Successors</w:t>
      </w:r>
      <w:r>
        <w:rPr>
          <w:rFonts w:ascii="Arial" w:cs="Arial" w:eastAsia="Arial" w:hAnsi="Arial"/>
          <w:sz w:val="16"/>
          <w:szCs w:val="16"/>
          <w:color w:val="auto"/>
        </w:rPr>
        <w:t>. Neither this Agreement nor any of the rights, interests or obligations hereunder shall (a) be assigned by any of the Stockholders in whole or in part (whether by operation of Law or otherwise) without the prior written consent of Acquiror and the Company or (b) be assigned by Acquiror or the Company in whole or in part (whether by operation of law or otherwise) without the prior written consent of (i) the Company or Acquiror, respectively, and (ii) the applicable Stockholder. Any such assignment without such consent shall be null and void. This Agreement shall be binding upon, inure to the benefit of and be enforceable by the parties hereto and their respective successors and permitted assigns.</w:t>
      </w:r>
    </w:p>
    <w:p>
      <w:pPr>
        <w:spacing w:after="0" w:line="169" w:lineRule="exact"/>
        <w:rPr>
          <w:rFonts w:ascii="Arial" w:cs="Arial" w:eastAsia="Arial" w:hAnsi="Arial"/>
          <w:sz w:val="16"/>
          <w:szCs w:val="16"/>
          <w:color w:val="auto"/>
        </w:rPr>
      </w:pPr>
    </w:p>
    <w:p>
      <w:pPr>
        <w:jc w:val="both"/>
        <w:ind w:right="20" w:firstLine="569"/>
        <w:spacing w:after="0" w:line="295" w:lineRule="auto"/>
        <w:tabs>
          <w:tab w:leader="none" w:pos="824" w:val="left"/>
        </w:tabs>
        <w:numPr>
          <w:ilvl w:val="0"/>
          <w:numId w:val="327"/>
        </w:numPr>
        <w:rPr>
          <w:rFonts w:ascii="Arial" w:cs="Arial" w:eastAsia="Arial" w:hAnsi="Arial"/>
          <w:sz w:val="14"/>
          <w:szCs w:val="14"/>
          <w:color w:val="auto"/>
        </w:rPr>
      </w:pPr>
      <w:r>
        <w:rPr>
          <w:rFonts w:ascii="Arial" w:cs="Arial" w:eastAsia="Arial" w:hAnsi="Arial"/>
          <w:sz w:val="14"/>
          <w:szCs w:val="14"/>
          <w:u w:val="single" w:color="auto"/>
          <w:color w:val="auto"/>
        </w:rPr>
        <w:t>Enforcement</w:t>
      </w:r>
      <w:r>
        <w:rPr>
          <w:rFonts w:ascii="Arial" w:cs="Arial" w:eastAsia="Arial" w:hAnsi="Arial"/>
          <w:sz w:val="14"/>
          <w:szCs w:val="14"/>
          <w:color w:val="auto"/>
        </w:rPr>
        <w:t>. The rights and remedies of the parties shall be cumulative with and not exclusive of any other remedy conferred hereby.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or threatened breaches of this Agreement and to enforce specifically the terms and provisions of this Agreement, including each Stockholder’s obligations to vote its Covered Shares as provided in this Agreement, in the Court of Chancery of the State of Delaware or, if under applicable law exclusive jurisdiction over such matter is vested in the federal courts, any state or federal court located in the State of Delaware, without proof of actual damages or otherwise (and each Party hereby waives any requirement for the securing or posting of any bond in connection with such remedy), this being in addition to any other remedy to which they are entitled at law or in equity.</w:t>
      </w:r>
    </w:p>
    <w:p>
      <w:pPr>
        <w:spacing w:after="0" w:line="144" w:lineRule="exact"/>
        <w:rPr>
          <w:rFonts w:ascii="Arial" w:cs="Arial" w:eastAsia="Arial" w:hAnsi="Arial"/>
          <w:sz w:val="14"/>
          <w:szCs w:val="14"/>
          <w:color w:val="auto"/>
        </w:rPr>
      </w:pPr>
    </w:p>
    <w:p>
      <w:pPr>
        <w:jc w:val="both"/>
        <w:ind w:right="20" w:firstLine="569"/>
        <w:spacing w:after="0" w:line="301" w:lineRule="auto"/>
        <w:tabs>
          <w:tab w:leader="none" w:pos="812" w:val="left"/>
        </w:tabs>
        <w:numPr>
          <w:ilvl w:val="0"/>
          <w:numId w:val="327"/>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or other provision of this Agreement is held by a court of competent jurisdiction or other authority to be invalid, void, unenforceable or against its regulatory policy, the remainder of the terms and provisions of this Agreement shall remain in full force and effect and shall in no way be affected, impaired or invalidated, so long as the economic and legal substance of the transactions contemplated hereby, taken as a whole, are not affected in a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37" w:lineRule="exact"/>
        <w:rPr>
          <w:rFonts w:ascii="Arial" w:cs="Arial" w:eastAsia="Arial" w:hAnsi="Arial"/>
          <w:sz w:val="14"/>
          <w:szCs w:val="14"/>
          <w:color w:val="auto"/>
        </w:rPr>
      </w:pPr>
    </w:p>
    <w:p>
      <w:pPr>
        <w:jc w:val="both"/>
        <w:ind w:firstLine="569"/>
        <w:spacing w:after="0" w:line="262" w:lineRule="auto"/>
        <w:tabs>
          <w:tab w:leader="none" w:pos="81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62" w:lineRule="exact"/>
        <w:rPr>
          <w:rFonts w:ascii="Arial" w:cs="Arial" w:eastAsia="Arial" w:hAnsi="Arial"/>
          <w:sz w:val="16"/>
          <w:szCs w:val="16"/>
          <w:color w:val="auto"/>
        </w:rPr>
      </w:pPr>
    </w:p>
    <w:p>
      <w:pPr>
        <w:jc w:val="both"/>
        <w:ind w:firstLine="569"/>
        <w:spacing w:after="0" w:line="270" w:lineRule="auto"/>
        <w:tabs>
          <w:tab w:leader="none" w:pos="812"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Interpretation and Construction</w:t>
      </w:r>
      <w:r>
        <w:rPr>
          <w:rFonts w:ascii="Arial" w:cs="Arial" w:eastAsia="Arial" w:hAnsi="Arial"/>
          <w:sz w:val="15"/>
          <w:szCs w:val="15"/>
          <w:color w:val="auto"/>
        </w:rPr>
        <w:t>. The words “hereof,” “herein” and “hereunder” and words of like import used in this Agreement shall refer to this Agreement as a whole and not to any particular provision of this Agreement. The descriptive headings used herein are inserted for convenience of reference only and are not intended to be part of or to affect the meaning or interpretation of this Agreement. References to Sections are to Sections of this Agreement unless otherwise specified. Any singular term in this Agreement shall be deemed to include the plural, and any plural term the singular. The definitions contained in this Agreement are applicable to the masculine as well as to the feminine and neuter genders of such term.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and to any rules or regulations promulgated thereunder. References to any person include the successors and permitted assigns of that person. References from or through any date mean, unless otherwise specified, from and including such date or through and including such date, respectively.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0" w:name="page331"/>
    <w:bookmarkEnd w:id="330"/>
    <w:p>
      <w:pPr>
        <w:jc w:val="both"/>
        <w:ind w:firstLine="569"/>
        <w:spacing w:after="0" w:line="273" w:lineRule="auto"/>
        <w:tabs>
          <w:tab w:leader="none" w:pos="824" w:val="left"/>
        </w:tabs>
        <w:numPr>
          <w:ilvl w:val="0"/>
          <w:numId w:val="328"/>
        </w:numPr>
        <w:rPr>
          <w:rFonts w:ascii="Arial" w:cs="Arial" w:eastAsia="Arial" w:hAnsi="Arial"/>
          <w:sz w:val="15"/>
          <w:szCs w:val="15"/>
          <w:color w:val="auto"/>
        </w:rPr>
      </w:pPr>
      <w:r>
        <w:rPr>
          <w:rFonts w:ascii="Arial" w:cs="Arial" w:eastAsia="Arial" w:hAnsi="Arial"/>
          <w:sz w:val="15"/>
          <w:szCs w:val="15"/>
          <w:u w:val="single" w:color="auto"/>
          <w:color w:val="auto"/>
        </w:rPr>
        <w:t>Capacity as a Stockholder or Proxy holder</w:t>
      </w:r>
      <w:r>
        <w:rPr>
          <w:rFonts w:ascii="Arial" w:cs="Arial" w:eastAsia="Arial" w:hAnsi="Arial"/>
          <w:sz w:val="15"/>
          <w:szCs w:val="15"/>
          <w:color w:val="auto"/>
        </w:rPr>
        <w:t>. Notwithstanding anything herein to the contrary, the Stockholder or proxy holder signs this Agreement solely in the Stockholder’s or Proxy holder’s capacity as a stockholder or proxy holder of the Company, and not in any other capacity and this Agreement shall not limit, prevent or otherwise affect the actions of the Stockholder, proxy holder or any Affiliate, employee or designee of the Stockholder or proxyholder, or any of their respective Affiliates in his or her capacity, if applicable, as an officer or director of the Company (or any Subsidiary of the Company) or any other Person, including in the exercise of his or her fiduciary duties as a director or officer of the Company or any Subsidiary of the Company. No Stockholder shall be liable or responsible for any action undertaken by or any breach, default, or violation of any representation, warranty, covenant or agreement by any other Stockholder that is also a Party hereto or the Company and each Stockholder shall solely be required to perform its obligations hereunder in its individual capacity.</w:t>
      </w:r>
    </w:p>
    <w:p>
      <w:pPr>
        <w:spacing w:after="0" w:line="156" w:lineRule="exact"/>
        <w:rPr>
          <w:rFonts w:ascii="Arial" w:cs="Arial" w:eastAsia="Arial" w:hAnsi="Arial"/>
          <w:sz w:val="15"/>
          <w:szCs w:val="15"/>
          <w:color w:val="auto"/>
        </w:rPr>
      </w:pPr>
    </w:p>
    <w:p>
      <w:pPr>
        <w:jc w:val="both"/>
        <w:ind w:right="20" w:firstLine="569"/>
        <w:spacing w:after="0" w:line="262" w:lineRule="auto"/>
        <w:tabs>
          <w:tab w:leader="none" w:pos="824"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Affiliate Agreements</w:t>
      </w:r>
      <w:r>
        <w:rPr>
          <w:rFonts w:ascii="Arial" w:cs="Arial" w:eastAsia="Arial" w:hAnsi="Arial"/>
          <w:sz w:val="16"/>
          <w:szCs w:val="16"/>
          <w:color w:val="auto"/>
        </w:rPr>
        <w:t>. The Stockholder irrevocably and unconditionally hereby agrees and consents to the termination of all affiliate arrangements indicated for termination as set forth in Schedule 2 hereto, to which the Stockholder is party, effective as of the Effective Time without any liability or obligation to the Company, the Company’s Subsidiaries or Acquiror.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remainder of this page is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1" w:name="page332"/>
    <w:bookmarkEnd w:id="331"/>
    <w:p>
      <w:pPr>
        <w:ind w:right="20" w:firstLine="574"/>
        <w:spacing w:after="0" w:line="275" w:lineRule="auto"/>
        <w:rPr>
          <w:sz w:val="20"/>
          <w:szCs w:val="20"/>
          <w:color w:val="auto"/>
        </w:rPr>
      </w:pPr>
      <w:r>
        <w:rPr>
          <w:rFonts w:ascii="Arial" w:cs="Arial" w:eastAsia="Arial" w:hAnsi="Arial"/>
          <w:sz w:val="16"/>
          <w:szCs w:val="16"/>
          <w:color w:val="auto"/>
        </w:rPr>
        <w:t>IN WITNESS WHEREOF, the parties hereto have caused this Support Agreement to be executed (where applicable, by their respective officers or other authorized Persons thereunto duly authorized)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Edward Scheetz</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Edward Scheetz</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382"/>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E LA CARTE, INC.</w:t>
            </w:r>
          </w:p>
        </w:tc>
      </w:tr>
      <w:tr>
        <w:trPr>
          <w:trHeight w:val="386"/>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Rajat Suri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Rajat Suri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2" w:name="page333"/>
    <w:bookmarkEnd w:id="332"/>
    <w:p>
      <w:pPr>
        <w:ind w:left="5640"/>
        <w:spacing w:after="0"/>
        <w:rPr>
          <w:sz w:val="20"/>
          <w:szCs w:val="20"/>
          <w:color w:val="auto"/>
        </w:rPr>
      </w:pPr>
      <w:r>
        <w:rPr>
          <w:rFonts w:ascii="Arial" w:cs="Arial" w:eastAsia="Arial" w:hAnsi="Arial"/>
          <w:sz w:val="16"/>
          <w:szCs w:val="16"/>
          <w:b w:val="1"/>
          <w:bCs w:val="1"/>
          <w:u w:val="single" w:color="auto"/>
          <w:color w:val="auto"/>
        </w:rPr>
        <w:t>STOCKHOLDERS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RAJAT SURI</w:t>
      </w:r>
    </w:p>
    <w:p>
      <w:pPr>
        <w:spacing w:after="0" w:line="202" w:lineRule="exact"/>
        <w:rPr>
          <w:sz w:val="20"/>
          <w:szCs w:val="20"/>
          <w:color w:val="auto"/>
        </w:rPr>
      </w:pPr>
    </w:p>
    <w:tbl>
      <w:tblPr>
        <w:tblLayout w:type="fixed"/>
        <w:tblInd w:w="564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Rajat Suri</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Rajat Suri</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174"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KKG ENTERPRISES LLC</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 L.P.</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6"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513080</wp:posOffset>
            </wp:positionV>
            <wp:extent cx="7148195" cy="152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333" w:name="page334"/>
    <w:bookmarkEnd w:id="333"/>
    <w:p>
      <w:pPr>
        <w:ind w:left="5640"/>
        <w:spacing w:after="0"/>
        <w:rPr>
          <w:sz w:val="20"/>
          <w:szCs w:val="20"/>
          <w:color w:val="auto"/>
        </w:rPr>
      </w:pPr>
      <w:r>
        <w:rPr>
          <w:rFonts w:ascii="Arial" w:cs="Arial" w:eastAsia="Arial" w:hAnsi="Arial"/>
          <w:sz w:val="15"/>
          <w:szCs w:val="15"/>
          <w:b w:val="1"/>
          <w:bCs w:val="1"/>
          <w:color w:val="auto"/>
        </w:rPr>
        <w:t>ROMULUS ELC B3 SPECIAL OPPORTUNITY, L.P.</w:t>
      </w:r>
    </w:p>
    <w:p>
      <w:pPr>
        <w:spacing w:after="0" w:line="214"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ZAFFRAN SPECIAL OPPORTUNITIES LLC</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Krishna Gupta</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I2BF GLOBAL INVESTEMNTS LTD.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Ilya Golubovich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12700</wp:posOffset>
            </wp:positionV>
            <wp:extent cx="249682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Ilya Golubovich</w:t>
      </w:r>
    </w:p>
    <w:p>
      <w:pPr>
        <w:spacing w:after="0" w:line="20"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6"/>
          <w:szCs w:val="16"/>
          <w:color w:val="auto"/>
        </w:rPr>
        <w:t>Title:</w:t>
        <w:tab/>
        <w:t>Authorized Officer</w:t>
      </w:r>
    </w:p>
    <w:p>
      <w:pPr>
        <w:spacing w:after="0" w:line="186"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406400</wp:posOffset>
            </wp:positionV>
            <wp:extent cx="7148195" cy="152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320"/>
          </w:cols>
          <w:pgMar w:left="1440" w:top="815" w:right="11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08"/>
        </w:trPr>
        <w:tc>
          <w:tcPr>
            <w:tcW w:w="4480" w:type="dxa"/>
            <w:vAlign w:val="bottom"/>
          </w:tcPr>
          <w:p>
            <w:pPr>
              <w:spacing w:after="0"/>
              <w:rPr>
                <w:sz w:val="18"/>
                <w:szCs w:val="18"/>
                <w:color w:val="auto"/>
              </w:rPr>
            </w:pPr>
          </w:p>
        </w:tc>
        <w:tc>
          <w:tcPr>
            <w:tcW w:w="3480" w:type="dxa"/>
            <w:vAlign w:val="bottom"/>
          </w:tcPr>
          <w:p>
            <w:pPr>
              <w:ind w:left="780"/>
              <w:spacing w:after="0"/>
              <w:rPr>
                <w:sz w:val="20"/>
                <w:szCs w:val="20"/>
                <w:color w:val="auto"/>
              </w:rPr>
            </w:pPr>
            <w:r>
              <w:rPr>
                <w:rFonts w:ascii="Arial" w:cs="Arial" w:eastAsia="Arial" w:hAnsi="Arial"/>
                <w:sz w:val="16"/>
                <w:szCs w:val="16"/>
                <w:b w:val="1"/>
                <w:bCs w:val="1"/>
                <w:color w:val="auto"/>
              </w:rPr>
              <w:t>Schedule 1</w:t>
            </w:r>
          </w:p>
        </w:tc>
        <w:tc>
          <w:tcPr>
            <w:tcW w:w="3300" w:type="dxa"/>
            <w:vAlign w:val="bottom"/>
          </w:tcPr>
          <w:p>
            <w:pPr>
              <w:spacing w:after="0"/>
              <w:rPr>
                <w:sz w:val="18"/>
                <w:szCs w:val="18"/>
                <w:color w:val="auto"/>
              </w:rPr>
            </w:pPr>
          </w:p>
        </w:tc>
      </w:tr>
      <w:tr>
        <w:trPr>
          <w:trHeight w:val="366"/>
        </w:trPr>
        <w:tc>
          <w:tcPr>
            <w:tcW w:w="44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00" w:type="dxa"/>
            <w:vAlign w:val="bottom"/>
          </w:tcPr>
          <w:p>
            <w:pPr>
              <w:jc w:val="center"/>
              <w:ind w:left="280"/>
              <w:spacing w:after="0"/>
              <w:rPr>
                <w:sz w:val="20"/>
                <w:szCs w:val="20"/>
                <w:color w:val="auto"/>
              </w:rPr>
            </w:pPr>
            <w:r>
              <w:rPr>
                <w:rFonts w:ascii="Arial" w:cs="Arial" w:eastAsia="Arial" w:hAnsi="Arial"/>
                <w:sz w:val="16"/>
                <w:szCs w:val="16"/>
                <w:b w:val="1"/>
                <w:bCs w:val="1"/>
                <w:color w:val="auto"/>
                <w:w w:val="90"/>
              </w:rPr>
              <w:t>Number of Common Shares (Fully</w:t>
            </w:r>
          </w:p>
        </w:tc>
      </w:tr>
      <w:tr>
        <w:trPr>
          <w:trHeight w:val="212"/>
        </w:trPr>
        <w:tc>
          <w:tcPr>
            <w:tcW w:w="4480" w:type="dxa"/>
            <w:vAlign w:val="bottom"/>
            <w:tcBorders>
              <w:bottom w:val="single" w:sz="8" w:color="auto"/>
            </w:tcBorders>
          </w:tcPr>
          <w:p>
            <w:pPr>
              <w:jc w:val="center"/>
              <w:ind w:left="60"/>
              <w:spacing w:after="0"/>
              <w:rPr>
                <w:sz w:val="20"/>
                <w:szCs w:val="20"/>
                <w:color w:val="auto"/>
              </w:rPr>
            </w:pPr>
            <w:r>
              <w:rPr>
                <w:rFonts w:ascii="Arial" w:cs="Arial" w:eastAsia="Arial" w:hAnsi="Arial"/>
                <w:sz w:val="16"/>
                <w:szCs w:val="16"/>
                <w:b w:val="1"/>
                <w:bCs w:val="1"/>
                <w:color w:val="auto"/>
                <w:w w:val="89"/>
              </w:rPr>
              <w:t>Stockholder Name</w:t>
            </w:r>
          </w:p>
        </w:tc>
        <w:tc>
          <w:tcPr>
            <w:tcW w:w="3480" w:type="dxa"/>
            <w:vAlign w:val="bottom"/>
            <w:tcBorders>
              <w:bottom w:val="single" w:sz="8" w:color="auto"/>
            </w:tcBorders>
          </w:tcPr>
          <w:p>
            <w:pPr>
              <w:jc w:val="center"/>
              <w:ind w:left="440"/>
              <w:spacing w:after="0"/>
              <w:rPr>
                <w:sz w:val="20"/>
                <w:szCs w:val="20"/>
                <w:color w:val="auto"/>
              </w:rPr>
            </w:pPr>
            <w:r>
              <w:rPr>
                <w:rFonts w:ascii="Arial" w:cs="Arial" w:eastAsia="Arial" w:hAnsi="Arial"/>
                <w:sz w:val="16"/>
                <w:szCs w:val="16"/>
                <w:b w:val="1"/>
                <w:bCs w:val="1"/>
                <w:color w:val="auto"/>
                <w:w w:val="89"/>
              </w:rPr>
              <w:t>Address / Email Address</w:t>
            </w:r>
          </w:p>
        </w:tc>
        <w:tc>
          <w:tcPr>
            <w:tcW w:w="3300" w:type="dxa"/>
            <w:vAlign w:val="bottom"/>
            <w:tcBorders>
              <w:bottom w:val="single" w:sz="8" w:color="auto"/>
            </w:tcBorders>
          </w:tcPr>
          <w:p>
            <w:pPr>
              <w:jc w:val="center"/>
              <w:ind w:left="300"/>
              <w:spacing w:after="0"/>
              <w:rPr>
                <w:sz w:val="20"/>
                <w:szCs w:val="20"/>
                <w:color w:val="auto"/>
              </w:rPr>
            </w:pPr>
            <w:r>
              <w:rPr>
                <w:rFonts w:ascii="Arial" w:cs="Arial" w:eastAsia="Arial" w:hAnsi="Arial"/>
                <w:sz w:val="16"/>
                <w:szCs w:val="16"/>
                <w:b w:val="1"/>
                <w:bCs w:val="1"/>
                <w:color w:val="auto"/>
                <w:w w:val="93"/>
              </w:rPr>
              <w:t>Diluted)</w:t>
            </w:r>
          </w:p>
        </w:tc>
      </w:tr>
      <w:tr>
        <w:trPr>
          <w:trHeight w:val="191"/>
        </w:trPr>
        <w:tc>
          <w:tcPr>
            <w:tcW w:w="448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1"/>
              </w:rPr>
              <w:t>Rajat Suri</w:t>
            </w:r>
          </w:p>
        </w:tc>
        <w:tc>
          <w:tcPr>
            <w:tcW w:w="348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90"/>
              </w:rPr>
              <w:t>raj@presto.com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9,288,829</w:t>
            </w:r>
          </w:p>
        </w:tc>
      </w:tr>
      <w:tr>
        <w:trPr>
          <w:trHeight w:val="191"/>
        </w:trPr>
        <w:tc>
          <w:tcPr>
            <w:tcW w:w="4480" w:type="dxa"/>
            <w:vAlign w:val="bottom"/>
          </w:tcPr>
          <w:p>
            <w:pPr>
              <w:jc w:val="center"/>
              <w:ind w:left="40"/>
              <w:spacing w:after="0"/>
              <w:rPr>
                <w:sz w:val="20"/>
                <w:szCs w:val="20"/>
                <w:color w:val="auto"/>
              </w:rPr>
            </w:pPr>
            <w:r>
              <w:rPr>
                <w:rFonts w:ascii="Arial" w:cs="Arial" w:eastAsia="Arial" w:hAnsi="Arial"/>
                <w:sz w:val="16"/>
                <w:szCs w:val="16"/>
                <w:color w:val="auto"/>
                <w:w w:val="92"/>
              </w:rPr>
              <w:t>Romulus Capital III, L.P.</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9,639,866</w:t>
            </w:r>
          </w:p>
        </w:tc>
      </w:tr>
      <w:tr>
        <w:trPr>
          <w:trHeight w:val="191"/>
        </w:trPr>
        <w:tc>
          <w:tcPr>
            <w:tcW w:w="448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Romulus Capital II, L.P.</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4,388,880</w:t>
            </w:r>
          </w:p>
        </w:tc>
      </w:tr>
      <w:tr>
        <w:trPr>
          <w:trHeight w:val="191"/>
        </w:trPr>
        <w:tc>
          <w:tcPr>
            <w:tcW w:w="4480" w:type="dxa"/>
            <w:vAlign w:val="bottom"/>
          </w:tcPr>
          <w:p>
            <w:pPr>
              <w:jc w:val="center"/>
              <w:ind w:left="60"/>
              <w:spacing w:after="0"/>
              <w:rPr>
                <w:sz w:val="20"/>
                <w:szCs w:val="20"/>
                <w:color w:val="auto"/>
              </w:rPr>
            </w:pPr>
            <w:r>
              <w:rPr>
                <w:rFonts w:ascii="Arial" w:cs="Arial" w:eastAsia="Arial" w:hAnsi="Arial"/>
                <w:sz w:val="16"/>
                <w:szCs w:val="16"/>
                <w:color w:val="auto"/>
                <w:w w:val="91"/>
              </w:rPr>
              <w:t>Romulus Capital I, L.P.</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291,183</w:t>
            </w:r>
          </w:p>
        </w:tc>
      </w:tr>
      <w:tr>
        <w:trPr>
          <w:trHeight w:val="191"/>
        </w:trPr>
        <w:tc>
          <w:tcPr>
            <w:tcW w:w="4480" w:type="dxa"/>
            <w:vAlign w:val="bottom"/>
            <w:shd w:val="clear" w:color="auto" w:fill="CCEEFF"/>
          </w:tcPr>
          <w:p>
            <w:pPr>
              <w:jc w:val="center"/>
              <w:ind w:left="60"/>
              <w:spacing w:after="0"/>
              <w:rPr>
                <w:sz w:val="20"/>
                <w:szCs w:val="20"/>
                <w:color w:val="auto"/>
              </w:rPr>
            </w:pPr>
            <w:r>
              <w:rPr>
                <w:rFonts w:ascii="Arial" w:cs="Arial" w:eastAsia="Arial" w:hAnsi="Arial"/>
                <w:sz w:val="16"/>
                <w:szCs w:val="16"/>
                <w:color w:val="auto"/>
                <w:w w:val="91"/>
              </w:rPr>
              <w:t>Romulus ELC B3 Special Opportunity, L.P.</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193,648</w:t>
            </w:r>
          </w:p>
        </w:tc>
      </w:tr>
      <w:tr>
        <w:trPr>
          <w:trHeight w:val="191"/>
        </w:trPr>
        <w:tc>
          <w:tcPr>
            <w:tcW w:w="4480" w:type="dxa"/>
            <w:vAlign w:val="bottom"/>
          </w:tcPr>
          <w:p>
            <w:pPr>
              <w:jc w:val="center"/>
              <w:ind w:left="40"/>
              <w:spacing w:after="0"/>
              <w:rPr>
                <w:sz w:val="20"/>
                <w:szCs w:val="20"/>
                <w:color w:val="auto"/>
              </w:rPr>
            </w:pPr>
            <w:r>
              <w:rPr>
                <w:rFonts w:ascii="Arial" w:cs="Arial" w:eastAsia="Arial" w:hAnsi="Arial"/>
                <w:sz w:val="16"/>
                <w:szCs w:val="16"/>
                <w:color w:val="auto"/>
                <w:w w:val="92"/>
              </w:rPr>
              <w:t>Zaffran Special Opportunities LLC</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776,092</w:t>
            </w:r>
          </w:p>
        </w:tc>
      </w:tr>
      <w:tr>
        <w:trPr>
          <w:trHeight w:val="191"/>
        </w:trPr>
        <w:tc>
          <w:tcPr>
            <w:tcW w:w="4480" w:type="dxa"/>
            <w:vAlign w:val="bottom"/>
            <w:shd w:val="clear" w:color="auto" w:fill="CCEEFF"/>
          </w:tcPr>
          <w:p>
            <w:pPr>
              <w:jc w:val="center"/>
              <w:ind w:left="40"/>
              <w:spacing w:after="0"/>
              <w:rPr>
                <w:sz w:val="20"/>
                <w:szCs w:val="20"/>
                <w:color w:val="auto"/>
              </w:rPr>
            </w:pPr>
            <w:r>
              <w:rPr>
                <w:rFonts w:ascii="Arial" w:cs="Arial" w:eastAsia="Arial" w:hAnsi="Arial"/>
                <w:sz w:val="16"/>
                <w:szCs w:val="16"/>
                <w:color w:val="auto"/>
                <w:w w:val="94"/>
              </w:rPr>
              <w:t>KKG Enterprises LLC</w:t>
            </w:r>
          </w:p>
        </w:tc>
        <w:tc>
          <w:tcPr>
            <w:tcW w:w="34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w w:val="92"/>
              </w:rPr>
              <w:t>kkg@romulusgroup.com</w:t>
            </w:r>
          </w:p>
        </w:tc>
        <w:tc>
          <w:tcPr>
            <w:tcW w:w="330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auto"/>
                <w:w w:val="89"/>
              </w:rPr>
              <w:t>345,318</w:t>
            </w:r>
          </w:p>
        </w:tc>
      </w:tr>
      <w:tr>
        <w:trPr>
          <w:trHeight w:val="204"/>
        </w:trPr>
        <w:tc>
          <w:tcPr>
            <w:tcW w:w="4480" w:type="dxa"/>
            <w:vAlign w:val="bottom"/>
          </w:tcPr>
          <w:p>
            <w:pPr>
              <w:jc w:val="center"/>
              <w:ind w:left="60"/>
              <w:spacing w:after="0"/>
              <w:rPr>
                <w:sz w:val="20"/>
                <w:szCs w:val="20"/>
                <w:color w:val="auto"/>
              </w:rPr>
            </w:pPr>
            <w:r>
              <w:rPr>
                <w:rFonts w:ascii="Arial" w:cs="Arial" w:eastAsia="Arial" w:hAnsi="Arial"/>
                <w:sz w:val="16"/>
                <w:szCs w:val="16"/>
                <w:color w:val="auto"/>
                <w:w w:val="92"/>
              </w:rPr>
              <w:t>I2BF Global Investments Ltd.</w:t>
            </w:r>
          </w:p>
        </w:tc>
        <w:tc>
          <w:tcPr>
            <w:tcW w:w="3480" w:type="dxa"/>
            <w:vAlign w:val="bottom"/>
          </w:tcPr>
          <w:p>
            <w:pPr>
              <w:jc w:val="center"/>
              <w:ind w:left="440"/>
              <w:spacing w:after="0"/>
              <w:rPr>
                <w:sz w:val="20"/>
                <w:szCs w:val="20"/>
                <w:color w:val="auto"/>
              </w:rPr>
            </w:pPr>
            <w:r>
              <w:rPr>
                <w:rFonts w:ascii="Arial" w:cs="Arial" w:eastAsia="Arial" w:hAnsi="Arial"/>
                <w:sz w:val="16"/>
                <w:szCs w:val="16"/>
                <w:color w:val="auto"/>
                <w:w w:val="94"/>
              </w:rPr>
              <w:t>ilyag@i2bf.com</w:t>
            </w:r>
          </w:p>
        </w:tc>
        <w:tc>
          <w:tcPr>
            <w:tcW w:w="3300" w:type="dxa"/>
            <w:vAlign w:val="bottom"/>
          </w:tcPr>
          <w:p>
            <w:pPr>
              <w:jc w:val="center"/>
              <w:ind w:left="300"/>
              <w:spacing w:after="0"/>
              <w:rPr>
                <w:sz w:val="20"/>
                <w:szCs w:val="20"/>
                <w:color w:val="auto"/>
              </w:rPr>
            </w:pPr>
            <w:r>
              <w:rPr>
                <w:rFonts w:ascii="Arial" w:cs="Arial" w:eastAsia="Arial" w:hAnsi="Arial"/>
                <w:sz w:val="16"/>
                <w:szCs w:val="16"/>
                <w:color w:val="auto"/>
                <w:w w:val="89"/>
              </w:rPr>
              <w:t>4,536,237</w:t>
            </w:r>
          </w:p>
        </w:tc>
      </w:tr>
      <w:tr>
        <w:trPr>
          <w:trHeight w:val="613"/>
        </w:trPr>
        <w:tc>
          <w:tcPr>
            <w:tcW w:w="44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335" w:name="page336"/>
    <w:bookmarkEnd w:id="335"/>
    <w:p>
      <w:pPr>
        <w:jc w:val="center"/>
        <w:ind w:right="-3"/>
        <w:spacing w:after="0"/>
        <w:rPr>
          <w:sz w:val="20"/>
          <w:szCs w:val="20"/>
          <w:color w:val="auto"/>
        </w:rPr>
      </w:pPr>
      <w:r>
        <w:rPr>
          <w:rFonts w:ascii="Arial" w:cs="Arial" w:eastAsia="Arial" w:hAnsi="Arial"/>
          <w:sz w:val="16"/>
          <w:szCs w:val="16"/>
          <w:b w:val="1"/>
          <w:bCs w:val="1"/>
          <w:color w:val="auto"/>
        </w:rPr>
        <w:t>Schedule 2</w:t>
      </w:r>
    </w:p>
    <w:p>
      <w:pPr>
        <w:spacing w:after="0" w:line="190" w:lineRule="exact"/>
        <w:rPr>
          <w:sz w:val="20"/>
          <w:szCs w:val="20"/>
          <w:color w:val="auto"/>
        </w:rPr>
      </w:pPr>
    </w:p>
    <w:p>
      <w:pPr>
        <w:ind w:left="164" w:hanging="164"/>
        <w:spacing w:after="0"/>
        <w:tabs>
          <w:tab w:leader="none" w:pos="16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Third Amended and Restated Investors’ Rights Agreement, dated as of January 6, 2020, by and among the Company and the Investors (as defined therein)</w:t>
      </w:r>
    </w:p>
    <w:p>
      <w:pPr>
        <w:spacing w:after="0" w:line="198" w:lineRule="exact"/>
        <w:rPr>
          <w:rFonts w:ascii="Arial" w:cs="Arial" w:eastAsia="Arial" w:hAnsi="Arial"/>
          <w:sz w:val="16"/>
          <w:szCs w:val="16"/>
          <w:color w:val="auto"/>
        </w:rPr>
      </w:pPr>
    </w:p>
    <w:p>
      <w:pPr>
        <w:ind w:left="164" w:hanging="164"/>
        <w:spacing w:after="0"/>
        <w:tabs>
          <w:tab w:leader="none" w:pos="164" w:val="left"/>
        </w:tabs>
        <w:numPr>
          <w:ilvl w:val="0"/>
          <w:numId w:val="329"/>
        </w:numPr>
        <w:rPr>
          <w:rFonts w:ascii="Arial" w:cs="Arial" w:eastAsia="Arial" w:hAnsi="Arial"/>
          <w:sz w:val="15"/>
          <w:szCs w:val="15"/>
          <w:color w:val="auto"/>
        </w:rPr>
      </w:pPr>
      <w:r>
        <w:rPr>
          <w:rFonts w:ascii="Arial" w:cs="Arial" w:eastAsia="Arial" w:hAnsi="Arial"/>
          <w:sz w:val="15"/>
          <w:szCs w:val="15"/>
          <w:color w:val="auto"/>
        </w:rPr>
        <w:t>Third Amended and Restated Voting and Drag-Along Agreement, dated as of January 6, 2020, by and among the Company and the Stockholders (as defined therein)</w:t>
      </w:r>
    </w:p>
    <w:p>
      <w:pPr>
        <w:spacing w:after="0" w:line="209" w:lineRule="exact"/>
        <w:rPr>
          <w:rFonts w:ascii="Arial" w:cs="Arial" w:eastAsia="Arial" w:hAnsi="Arial"/>
          <w:sz w:val="15"/>
          <w:szCs w:val="15"/>
          <w:color w:val="auto"/>
        </w:rPr>
      </w:pPr>
    </w:p>
    <w:p>
      <w:pPr>
        <w:ind w:left="4" w:hanging="4"/>
        <w:spacing w:after="0" w:line="275" w:lineRule="auto"/>
        <w:tabs>
          <w:tab w:leader="none" w:pos="167"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Third Amended and Restated Right of First Refusal and Co-Sale Agreement, dated as of January 6, 2020 by and among the Company, the Key Holders (as defined therein) and the Investors (as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48195" cy="152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16"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6"/>
          <w:szCs w:val="16"/>
          <w:b w:val="1"/>
          <w:bCs w:val="1"/>
          <w:color w:val="auto"/>
        </w:rPr>
        <w:t>Exhibit 10.7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GOVERNANCE AGREEMENT</w:t>
      </w:r>
    </w:p>
    <w:p>
      <w:pPr>
        <w:spacing w:after="0" w:line="198" w:lineRule="exact"/>
        <w:rPr>
          <w:sz w:val="20"/>
          <w:szCs w:val="20"/>
          <w:color w:val="auto"/>
        </w:rPr>
      </w:pPr>
    </w:p>
    <w:p>
      <w:pPr>
        <w:jc w:val="both"/>
        <w:ind w:firstLine="574"/>
        <w:spacing w:after="0" w:line="282" w:lineRule="auto"/>
        <w:rPr>
          <w:sz w:val="20"/>
          <w:szCs w:val="20"/>
          <w:color w:val="auto"/>
        </w:rPr>
      </w:pPr>
      <w:r>
        <w:rPr>
          <w:rFonts w:ascii="Arial" w:cs="Arial" w:eastAsia="Arial" w:hAnsi="Arial"/>
          <w:sz w:val="15"/>
          <w:szCs w:val="15"/>
          <w:b w:val="1"/>
          <w:bCs w:val="1"/>
          <w:color w:val="auto"/>
        </w:rPr>
        <w:t>THIS GOVERNANCE AGREEMENT</w:t>
      </w:r>
      <w:r>
        <w:rPr>
          <w:rFonts w:ascii="Arial" w:cs="Arial" w:eastAsia="Arial" w:hAnsi="Arial"/>
          <w:sz w:val="15"/>
          <w:szCs w:val="15"/>
          <w:color w:val="auto"/>
        </w:rPr>
        <w:t>, dated as of [ ● ], 2022, is entered into by and among (i) [</w:t>
      </w:r>
      <w:r>
        <w:rPr>
          <w:rFonts w:ascii="Arial" w:cs="Arial" w:eastAsia="Arial" w:hAnsi="Arial"/>
          <w:sz w:val="15"/>
          <w:szCs w:val="15"/>
          <w:i w:val="1"/>
          <w:iCs w:val="1"/>
          <w:color w:val="auto"/>
        </w:rPr>
        <w:t>Name of Combined Company</w:t>
      </w:r>
      <w:r>
        <w:rPr>
          <w:rFonts w:ascii="Arial" w:cs="Arial" w:eastAsia="Arial" w:hAnsi="Arial"/>
          <w:sz w:val="15"/>
          <w:szCs w:val="15"/>
          <w:color w:val="auto"/>
        </w:rPr>
        <w:t>], a Delaware corporation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(ii) the REMUS Stockholders (as defined herein), (iii) Rajat Suri (“</w:t>
      </w:r>
      <w:r>
        <w:rPr>
          <w:rFonts w:ascii="Arial" w:cs="Arial" w:eastAsia="Arial" w:hAnsi="Arial"/>
          <w:sz w:val="15"/>
          <w:szCs w:val="15"/>
          <w:u w:val="single" w:color="auto"/>
          <w:color w:val="auto"/>
        </w:rPr>
        <w:t>Chief Executive Officer</w:t>
      </w:r>
      <w:r>
        <w:rPr>
          <w:rFonts w:ascii="Arial" w:cs="Arial" w:eastAsia="Arial" w:hAnsi="Arial"/>
          <w:sz w:val="15"/>
          <w:szCs w:val="15"/>
          <w:color w:val="auto"/>
        </w:rPr>
        <w:t>,” together with the REMUS Stockholders, collectively, the “</w:t>
      </w:r>
      <w:r>
        <w:rPr>
          <w:rFonts w:ascii="Arial" w:cs="Arial" w:eastAsia="Arial" w:hAnsi="Arial"/>
          <w:sz w:val="15"/>
          <w:szCs w:val="15"/>
          <w:u w:val="single" w:color="auto"/>
          <w:color w:val="auto"/>
        </w:rPr>
        <w:t>Principal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Stockholders</w:t>
      </w:r>
      <w:r>
        <w:rPr>
          <w:rFonts w:ascii="Arial" w:cs="Arial" w:eastAsia="Arial" w:hAnsi="Arial"/>
          <w:sz w:val="15"/>
          <w:szCs w:val="15"/>
          <w:color w:val="auto"/>
        </w:rPr>
        <w:t>” and each a “</w:t>
      </w:r>
      <w:r>
        <w:rPr>
          <w:rFonts w:ascii="Arial" w:cs="Arial" w:eastAsia="Arial" w:hAnsi="Arial"/>
          <w:sz w:val="15"/>
          <w:szCs w:val="15"/>
          <w:u w:val="single" w:color="auto"/>
          <w:color w:val="auto"/>
        </w:rPr>
        <w:t>Principal Stockholder</w:t>
      </w:r>
      <w:r>
        <w:rPr>
          <w:rFonts w:ascii="Arial" w:cs="Arial" w:eastAsia="Arial" w:hAnsi="Arial"/>
          <w:sz w:val="15"/>
          <w:szCs w:val="15"/>
          <w:color w:val="auto"/>
        </w:rPr>
        <w:t xml:space="preserve">”) and (iv) solely for purposes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III</w:t>
      </w:r>
      <w:r>
        <w:rPr>
          <w:rFonts w:ascii="Arial" w:cs="Arial" w:eastAsia="Arial" w:hAnsi="Arial"/>
          <w:sz w:val="15"/>
          <w:szCs w:val="15"/>
          <w:color w:val="auto"/>
        </w:rPr>
        <w:t>, I2BF Global Investments Ltd., a Cayman Islands exempted company (“</w:t>
      </w:r>
      <w:r>
        <w:rPr>
          <w:rFonts w:ascii="Arial" w:cs="Arial" w:eastAsia="Arial" w:hAnsi="Arial"/>
          <w:sz w:val="15"/>
          <w:szCs w:val="15"/>
          <w:u w:val="single" w:color="auto"/>
          <w:color w:val="auto"/>
        </w:rPr>
        <w:t>I2BF</w:t>
      </w:r>
      <w:r>
        <w:rPr>
          <w:rFonts w:ascii="Arial" w:cs="Arial" w:eastAsia="Arial" w:hAnsi="Arial"/>
          <w:sz w:val="15"/>
          <w:szCs w:val="15"/>
          <w:color w:val="auto"/>
        </w:rPr>
        <w:t xml:space="preserve">”). Capitalized terms used herein without definition shall have the meanings set forth in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45"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WITNESSETH:</w:t>
      </w:r>
    </w:p>
    <w:p>
      <w:pPr>
        <w:spacing w:after="0" w:line="20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WHEREAS, E La Carte, Inc. entered into that certain Agreement and Plan of Merger, dated as of 10, 2021 (as amended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with Ventoux CCM Acquisition Corp. (“</w:t>
      </w:r>
      <w:r>
        <w:rPr>
          <w:rFonts w:ascii="Arial" w:cs="Arial" w:eastAsia="Arial" w:hAnsi="Arial"/>
          <w:sz w:val="16"/>
          <w:szCs w:val="16"/>
          <w:u w:val="single" w:color="auto"/>
          <w:color w:val="auto"/>
        </w:rPr>
        <w:t>Ventoux</w:t>
      </w:r>
      <w:r>
        <w:rPr>
          <w:rFonts w:ascii="Arial" w:cs="Arial" w:eastAsia="Arial" w:hAnsi="Arial"/>
          <w:sz w:val="16"/>
          <w:szCs w:val="16"/>
          <w:color w:val="auto"/>
        </w:rPr>
        <w:t>”), Ventoux Merger Sub Inc., a Delaware corporation and a direct, wholly-owned subsidiary of Ventoux, and Ventoux Merger Sub II LLC, a Delaware limited liability company and a direct, wholly-owned subsidiary of Ventoux;</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on the date hereof, the parties to the Merger Agreement consummated the transactions contemplated by the Merger Agreement (the “</w:t>
      </w:r>
      <w:r>
        <w:rPr>
          <w:rFonts w:ascii="Arial" w:cs="Arial" w:eastAsia="Arial" w:hAnsi="Arial"/>
          <w:sz w:val="16"/>
          <w:szCs w:val="16"/>
          <w:u w:val="single" w:color="auto"/>
          <w:color w:val="auto"/>
        </w:rPr>
        <w:t>Merger</w:t>
      </w:r>
      <w:r>
        <w:rPr>
          <w:rFonts w:ascii="Arial" w:cs="Arial" w:eastAsia="Arial" w:hAnsi="Arial"/>
          <w:sz w:val="16"/>
          <w:szCs w:val="16"/>
          <w:color w:val="auto"/>
        </w:rPr>
        <w:t>”), and the Principal Stockholders received shares of common stock, par value $0.0001 per share, of the Company (“</w:t>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immediately after the completion of the Merger, the Principal Stockholders will own approximately [●]% of the issued and outstanding Company Shares (as defined below); and</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WHEREAS, the parties hereto desire to provide for certain governance rights and other matters for the period on and after the effective time of the Merger.</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 in consideration of the mutual agreements and understandings set forth herein, the parties hereto hereby agree as follows: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shall have the following respective meanings: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any Person directly or indirectly controlling, controlled by or under common control with such first Person. For these purposes, (i) “control” means the possession, direct or indirect, of the power to direct or cause the direction of the management and policies of such Person, whether through ownership of voting securities, by contract or otherwise, and (ii) a Person shall be deemed to be an Affiliate of another Person if such Person has formed a “group” (within the meaning of Section 13(d) of the Securities Exchange Act of 1934, as amended) for the purpose of acquiring, holding, voting or disposing of voting securities of the Company.</w:t>
      </w:r>
    </w:p>
    <w:p>
      <w:pPr>
        <w:spacing w:after="0" w:line="17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mean this Governance Agreement as in effect on the date hereof and as hereafter from time to time amended, modified or supplemented in accordance with the terms 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Designees</w:t>
      </w:r>
      <w:r>
        <w:rPr>
          <w:rFonts w:ascii="Arial" w:cs="Arial" w:eastAsia="Arial" w:hAnsi="Arial"/>
          <w:sz w:val="16"/>
          <w:szCs w:val="16"/>
          <w:color w:val="auto"/>
        </w:rPr>
        <w:t xml:space="preserve">” shall mean the directors designated by the Principal Stockholders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shall mean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2.2(a)</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7" w:name="page338"/>
    <w:bookmarkEnd w:id="337"/>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Chief Executive Officer Designee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2.1(c)</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have the meaning set forth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Shares</w:t>
      </w:r>
      <w:r>
        <w:rPr>
          <w:rFonts w:ascii="Arial" w:cs="Arial" w:eastAsia="Arial" w:hAnsi="Arial"/>
          <w:sz w:val="16"/>
          <w:szCs w:val="16"/>
          <w:color w:val="auto"/>
        </w:rPr>
        <w:t>” means (i) all shares of Common Stock that are not then subject to vesting (including shares that were at one time subject to vesting to the extent they have vested), (ii) all shares of Common Stock issuable upon exercise, conversion or exchange of any option, warrant or convertible security that are not then subject to vesting (including shares that were at one time subject to vesting to the extent they have vested) and (iii) all shares of Common Stock directly or indirectly issued or issuable with respect to the securities referred to in clauses (i) or (ii) above by way of unit or stock dividend or unit or stock split, or in connection with a combination of units or shares, recapitalization, merger, consolidation or other reorganization.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Agreement</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Necessary Action</w:t>
      </w:r>
      <w:r>
        <w:rPr>
          <w:rFonts w:ascii="Arial" w:cs="Arial" w:eastAsia="Arial" w:hAnsi="Arial"/>
          <w:sz w:val="14"/>
          <w:szCs w:val="14"/>
          <w:color w:val="auto"/>
        </w:rPr>
        <w:t xml:space="preserve">” means, with respect to a specified result, all commercially reasonable actions required to cause such result that are within the power of a specified Person, including (i) voting or providing a written consent or proxy with respect to the Company Shares, (ii) causing the adoption of stockholders’ resolutions and amendments to the organizational documents of the Company, (iii) executing agreements and instruments, (iv) making, or causing to be made, with governmental, administrative or regulatory authorities, all filings, registrations or similar actions that are required to achieve such result and (v) causing members of the Board of Directors, subject to any fiduciary duties that such members may have as directors of the Company (including pursuant to </w:t>
      </w:r>
      <w:r>
        <w:rPr>
          <w:rFonts w:ascii="Arial" w:cs="Arial" w:eastAsia="Arial" w:hAnsi="Arial"/>
          <w:sz w:val="14"/>
          <w:szCs w:val="14"/>
          <w:u w:val="single" w:color="auto"/>
          <w:color w:val="auto"/>
        </w:rPr>
        <w:t>Section 2.1(e)</w:t>
      </w:r>
      <w:r>
        <w:rPr>
          <w:rFonts w:ascii="Arial" w:cs="Arial" w:eastAsia="Arial" w:hAnsi="Arial"/>
          <w:sz w:val="14"/>
          <w:szCs w:val="14"/>
          <w:color w:val="auto"/>
        </w:rPr>
        <w:t>), to act in a certain manner, including causing members of the Board of Directors or any nominating or similar committee of the Board of Directors to recommend the appointment of any Board Designees as provided by this Agreement.</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an individual, corporation, company, limited liability company, association, partnership, joint venture, organization, business, trust or any other entity or organization, including a government or any subdivision or agency thereof.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Stockholders</w:t>
      </w:r>
      <w:r>
        <w:rPr>
          <w:rFonts w:ascii="Arial" w:cs="Arial" w:eastAsia="Arial" w:hAnsi="Arial"/>
          <w:sz w:val="16"/>
          <w:szCs w:val="16"/>
          <w:color w:val="auto"/>
        </w:rPr>
        <w:t>” shall have the meaning set forth in the preamble.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REMUS Designee</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REMUS Stockholders</w:t>
      </w:r>
      <w:r>
        <w:rPr>
          <w:rFonts w:ascii="Arial" w:cs="Arial" w:eastAsia="Arial" w:hAnsi="Arial"/>
          <w:sz w:val="16"/>
          <w:szCs w:val="16"/>
          <w:color w:val="auto"/>
        </w:rPr>
        <w:t>” means, collectively, those entities set forth under the heading “REMUS Stockholders” on the signature pages 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CORPORATE GOVERNANCE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87"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Composition of Initial Board</w:t>
      </w:r>
      <w:r>
        <w:rPr>
          <w:rFonts w:ascii="Arial" w:cs="Arial" w:eastAsia="Arial" w:hAnsi="Arial"/>
          <w:sz w:val="16"/>
          <w:szCs w:val="16"/>
          <w:color w:val="auto"/>
        </w:rPr>
        <w:t>. The Company and the Principal Stockholders shall take all Necessary Action to cause the Board of Directors to be comprised of seven directors. The initial members of the Board of Directors shall be (i) Krishna Gupta, whom shall be deemed to have been designated by the REMUS Stockholders, (ii) Rajat Suri, whom shall be deemed to have been designated by the Chief Executive Officer, and (iii) Ed Scheetz, Gail Zauder, Ilya Golubovich, Kim Axel Lopdrup and Blythe McGarvie. Krishna Gupta shall initially serve as the Chairperson of the Board of Directors and shall continue in such role after the 2022 annual meeting of stockholders until the earlier of (1) such time as he is no longer a director of the Company, and (2) the succeeding annual meeting of stockholders of the Company at which the class of directors of which he is a member is subject to reelection. The foregoing directors shall be divided into three classes of directors, each of whose members shall serve for staggered three-year terms as follows:</w:t>
      </w:r>
    </w:p>
    <w:p>
      <w:pPr>
        <w:spacing w:after="0" w:line="171" w:lineRule="exact"/>
        <w:rPr>
          <w:rFonts w:ascii="Arial" w:cs="Arial" w:eastAsia="Arial" w:hAnsi="Arial"/>
          <w:sz w:val="16"/>
          <w:szCs w:val="16"/>
          <w:color w:val="auto"/>
        </w:rPr>
      </w:pPr>
    </w:p>
    <w:p>
      <w:pPr>
        <w:ind w:left="1900" w:hanging="184"/>
        <w:spacing w:after="0"/>
        <w:tabs>
          <w:tab w:leader="none" w:pos="190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the Class I directors shall initially be Krishna Gupta, Ed Scheetz and Gail Zauder;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38" w:name="page339"/>
    <w:bookmarkEnd w:id="338"/>
    <w:p>
      <w:pPr>
        <w:ind w:left="1960" w:hanging="244"/>
        <w:spacing w:after="0"/>
        <w:tabs>
          <w:tab w:leader="none" w:pos="19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Class II directors shall initially be Ilya Golubovich and the Chief Executive Officer;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Class III directors shall initially be Kim Axel Lopdrup and Blythe McGarvie.</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Board Size</w:t>
      </w:r>
      <w:r>
        <w:rPr>
          <w:rFonts w:ascii="Arial" w:cs="Arial" w:eastAsia="Arial" w:hAnsi="Arial"/>
          <w:sz w:val="15"/>
          <w:szCs w:val="15"/>
          <w:color w:val="auto"/>
        </w:rPr>
        <w:t>. Any change to the size of the Board of Directors must be authorized by the affirmative vote of a majority of the entire Board of Directors.</w:t>
      </w:r>
    </w:p>
    <w:p>
      <w:pPr>
        <w:spacing w:after="0" w:line="209" w:lineRule="exact"/>
        <w:rPr>
          <w:rFonts w:ascii="Arial" w:cs="Arial" w:eastAsia="Arial" w:hAnsi="Arial"/>
          <w:sz w:val="15"/>
          <w:szCs w:val="15"/>
          <w:color w:val="auto"/>
        </w:rPr>
      </w:pPr>
    </w:p>
    <w:p>
      <w:pPr>
        <w:jc w:val="both"/>
        <w:ind w:right="20" w:firstLine="1143"/>
        <w:spacing w:after="0" w:line="255" w:lineRule="auto"/>
        <w:tabs>
          <w:tab w:leader="none" w:pos="1372"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2(b)(i)</w:t>
      </w:r>
      <w:r>
        <w:rPr>
          <w:rFonts w:ascii="Arial" w:cs="Arial" w:eastAsia="Arial" w:hAnsi="Arial"/>
          <w:sz w:val="16"/>
          <w:szCs w:val="16"/>
          <w:color w:val="auto"/>
        </w:rPr>
        <w:t>, Class I directors shall be nominated for reelection by stockholders at the 2022 annual meeting of stockholders and shall hold office until the annual meeting of stockholders in 2025 or until their earlier resignation, removal or death. Class II directors shall be nominated for reelection by the stockholders at the 2023 annual meeting of stockholders and shall hold office until the annual meeting of stockholders in 2026 or until their earlier resignation, removal or death. Class III directors shall be nominated for reelection by the stockholders at the 2024 annual meeting of stockholders and shall and shall hold office until the annual meeting of stockholders in 2027 or until their earlier resignation, removal or death.</w:t>
      </w:r>
    </w:p>
    <w:p>
      <w:pPr>
        <w:spacing w:after="0" w:line="169" w:lineRule="exact"/>
        <w:rPr>
          <w:rFonts w:ascii="Arial" w:cs="Arial" w:eastAsia="Arial" w:hAnsi="Arial"/>
          <w:sz w:val="16"/>
          <w:szCs w:val="16"/>
          <w:color w:val="auto"/>
        </w:rPr>
      </w:pPr>
    </w:p>
    <w:p>
      <w:pPr>
        <w:ind w:left="1360" w:hanging="217"/>
        <w:spacing w:after="0"/>
        <w:tabs>
          <w:tab w:leader="none" w:pos="1360"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REMUS Representation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firstLine="1716"/>
        <w:spacing w:after="0" w:line="276" w:lineRule="auto"/>
        <w:tabs>
          <w:tab w:leader="none" w:pos="1921" w:val="left"/>
        </w:tabs>
        <w:numPr>
          <w:ilvl w:val="1"/>
          <w:numId w:val="332"/>
        </w:numPr>
        <w:rPr>
          <w:rFonts w:ascii="Arial" w:cs="Arial" w:eastAsia="Arial" w:hAnsi="Arial"/>
          <w:sz w:val="15"/>
          <w:szCs w:val="15"/>
          <w:color w:val="auto"/>
        </w:rPr>
      </w:pPr>
      <w:r>
        <w:rPr>
          <w:rFonts w:ascii="Arial" w:cs="Arial" w:eastAsia="Arial" w:hAnsi="Arial"/>
          <w:sz w:val="15"/>
          <w:szCs w:val="15"/>
          <w:color w:val="auto"/>
        </w:rPr>
        <w:t xml:space="preserve">In the event that any of the initial Class I directors resign or are removed within the 12 months following the consummation of the Merger, the REMUS Stockholders shall have the exclusive right to designate a successor for appointment. Thereafter, successors to the initial Class I directors shall be determined and designated for election or appointment by the Company’s Nominating and Governance Committee with approval by the Board of Directors, subject to the right of the REMUS Stockholders to nominate a single Class I director pursuant to </w:t>
      </w:r>
      <w:r>
        <w:rPr>
          <w:rFonts w:ascii="Arial" w:cs="Arial" w:eastAsia="Arial" w:hAnsi="Arial"/>
          <w:sz w:val="15"/>
          <w:szCs w:val="15"/>
          <w:u w:val="single" w:color="auto"/>
          <w:color w:val="auto"/>
        </w:rPr>
        <w:t>Section 2.1(b)(ii)</w:t>
      </w:r>
      <w:r>
        <w:rPr>
          <w:rFonts w:ascii="Arial" w:cs="Arial" w:eastAsia="Arial" w:hAnsi="Arial"/>
          <w:sz w:val="15"/>
          <w:szCs w:val="15"/>
          <w:color w:val="auto"/>
        </w:rPr>
        <w:t xml:space="preserve">. For the avoidance of doubt, any successor director designated by the REMUS Stockholders pursuant to this </w:t>
      </w:r>
      <w:r>
        <w:rPr>
          <w:rFonts w:ascii="Arial" w:cs="Arial" w:eastAsia="Arial" w:hAnsi="Arial"/>
          <w:sz w:val="15"/>
          <w:szCs w:val="15"/>
          <w:u w:val="single" w:color="auto"/>
          <w:color w:val="auto"/>
        </w:rPr>
        <w:t>Section 2.1(b)(i)</w:t>
      </w:r>
      <w:r>
        <w:rPr>
          <w:rFonts w:ascii="Arial" w:cs="Arial" w:eastAsia="Arial" w:hAnsi="Arial"/>
          <w:sz w:val="15"/>
          <w:szCs w:val="15"/>
          <w:color w:val="auto"/>
        </w:rPr>
        <w:t xml:space="preserve"> shall not be considered a REMUS Designee for purposes of this Agreement.</w:t>
      </w:r>
    </w:p>
    <w:p>
      <w:pPr>
        <w:spacing w:after="0" w:line="155" w:lineRule="exact"/>
        <w:rPr>
          <w:rFonts w:ascii="Arial" w:cs="Arial" w:eastAsia="Arial" w:hAnsi="Arial"/>
          <w:sz w:val="15"/>
          <w:szCs w:val="15"/>
          <w:color w:val="auto"/>
        </w:rPr>
      </w:pPr>
    </w:p>
    <w:p>
      <w:pPr>
        <w:jc w:val="both"/>
        <w:ind w:right="20" w:firstLine="1716"/>
        <w:spacing w:after="0" w:line="258" w:lineRule="auto"/>
        <w:tabs>
          <w:tab w:leader="none" w:pos="195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For so long as the REMUS Stockholders and any of their respective Affiliates hold, in the aggregate, not less than five percent of the Company’s outstanding voting securities, the REMUS Stockholders shall be entitled (but not obligated) to nominate for election and require the Company and the Principal Stockholders to take Necessary Action to include a single Class I director (a “</w:t>
      </w:r>
      <w:r>
        <w:rPr>
          <w:rFonts w:ascii="Arial" w:cs="Arial" w:eastAsia="Arial" w:hAnsi="Arial"/>
          <w:sz w:val="16"/>
          <w:szCs w:val="16"/>
          <w:u w:val="single" w:color="auto"/>
          <w:color w:val="auto"/>
        </w:rPr>
        <w:t>REMUS Designee</w:t>
      </w:r>
      <w:r>
        <w:rPr>
          <w:rFonts w:ascii="Arial" w:cs="Arial" w:eastAsia="Arial" w:hAnsi="Arial"/>
          <w:sz w:val="16"/>
          <w:szCs w:val="16"/>
          <w:color w:val="auto"/>
        </w:rPr>
        <w:t>”) in the slate of nominees recommended by the Board of Directors for election as directors at each applicable annual or special meeting of stockholders at which directors are to be elected.</w:t>
      </w:r>
    </w:p>
    <w:p>
      <w:pPr>
        <w:spacing w:after="0" w:line="164" w:lineRule="exact"/>
        <w:rPr>
          <w:rFonts w:ascii="Arial" w:cs="Arial" w:eastAsia="Arial" w:hAnsi="Arial"/>
          <w:sz w:val="16"/>
          <w:szCs w:val="16"/>
          <w:color w:val="auto"/>
        </w:rPr>
      </w:pPr>
    </w:p>
    <w:p>
      <w:pPr>
        <w:jc w:val="both"/>
        <w:ind w:firstLine="1143"/>
        <w:spacing w:after="0" w:line="280" w:lineRule="auto"/>
        <w:tabs>
          <w:tab w:leader="none" w:pos="1364" w:val="left"/>
        </w:tabs>
        <w:numPr>
          <w:ilvl w:val="0"/>
          <w:numId w:val="332"/>
        </w:numPr>
        <w:rPr>
          <w:rFonts w:ascii="Arial" w:cs="Arial" w:eastAsia="Arial" w:hAnsi="Arial"/>
          <w:sz w:val="15"/>
          <w:szCs w:val="15"/>
          <w:color w:val="auto"/>
        </w:rPr>
      </w:pPr>
      <w:r>
        <w:rPr>
          <w:rFonts w:ascii="Arial" w:cs="Arial" w:eastAsia="Arial" w:hAnsi="Arial"/>
          <w:sz w:val="15"/>
          <w:szCs w:val="15"/>
          <w:u w:val="single" w:color="auto"/>
          <w:color w:val="auto"/>
        </w:rPr>
        <w:t>Chief Executive Officer Representation</w:t>
      </w:r>
      <w:r>
        <w:rPr>
          <w:rFonts w:ascii="Arial" w:cs="Arial" w:eastAsia="Arial" w:hAnsi="Arial"/>
          <w:sz w:val="15"/>
          <w:szCs w:val="15"/>
          <w:color w:val="auto"/>
        </w:rPr>
        <w:t>. For so long as the Chief Executive Officer and his Affiliates hold, in the aggregate, not less than five percent of the Company’s outstanding voting securities, the Chief Executive Officer shall be entitled (but not obligated) to nominate for election and require the Company and the Principal Stockholders to take Necessary Action to include a single Class II director (a “</w:t>
      </w:r>
      <w:r>
        <w:rPr>
          <w:rFonts w:ascii="Arial" w:cs="Arial" w:eastAsia="Arial" w:hAnsi="Arial"/>
          <w:sz w:val="15"/>
          <w:szCs w:val="15"/>
          <w:u w:val="single" w:color="auto"/>
          <w:color w:val="auto"/>
        </w:rPr>
        <w:t>Chief Executive Officer Designee</w:t>
      </w:r>
      <w:r>
        <w:rPr>
          <w:rFonts w:ascii="Arial" w:cs="Arial" w:eastAsia="Arial" w:hAnsi="Arial"/>
          <w:sz w:val="15"/>
          <w:szCs w:val="15"/>
          <w:color w:val="auto"/>
        </w:rPr>
        <w:t>”) in the slate of nominees recommended by the Board of Directors for election as directors at each applicable annual or special meeting of stockholders at which directors are to be elected.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39" w:name="page340"/>
    <w:bookmarkEnd w:id="339"/>
    <w:p>
      <w:pPr>
        <w:jc w:val="both"/>
        <w:ind w:firstLine="1143"/>
        <w:spacing w:after="0" w:line="270" w:lineRule="auto"/>
        <w:tabs>
          <w:tab w:leader="none" w:pos="1346"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Additional Obligations</w:t>
      </w:r>
      <w:r>
        <w:rPr>
          <w:rFonts w:ascii="Arial" w:cs="Arial" w:eastAsia="Arial" w:hAnsi="Arial"/>
          <w:sz w:val="15"/>
          <w:szCs w:val="15"/>
          <w:color w:val="auto"/>
        </w:rPr>
        <w:t xml:space="preserve">. An individual designated by a Principal Stockholder for election (including pursuant to </w:t>
      </w:r>
      <w:r>
        <w:rPr>
          <w:rFonts w:ascii="Arial" w:cs="Arial" w:eastAsia="Arial" w:hAnsi="Arial"/>
          <w:sz w:val="15"/>
          <w:szCs w:val="15"/>
          <w:u w:val="single" w:color="auto"/>
          <w:color w:val="auto"/>
        </w:rPr>
        <w:t>Sections 2.1(b)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2.1(c)</w:t>
      </w:r>
      <w:r>
        <w:rPr>
          <w:rFonts w:ascii="Arial" w:cs="Arial" w:eastAsia="Arial" w:hAnsi="Arial"/>
          <w:sz w:val="15"/>
          <w:szCs w:val="15"/>
          <w:color w:val="auto"/>
        </w:rPr>
        <w:t xml:space="preserve">) as a director shall comply with the requirements of the charter for, and related guidelines of, the Company’s Nominating and Governance Committee. Notwithstanding anything to the contrary in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in the event that the Board of Directors determines in good faith, after consultation with outside legal counsel, that its nomination, appointment or election of a particular Board Designee pursuant to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would constitute a breach of its fiduciary duties to the Company’s stockholders or does not otherwise comply with any requirements of the charter for, or related guidelines of, the Nominating and Governance Committee, then the Board of Directors shall inform such Principal Stockholder of such determination in writing and explain in reasonable detail the basis for such determination and shall designate another individual designated for nomination, election or appointment to the Board of Directors by such Principal Stockholder (subject in each case to this </w:t>
      </w:r>
      <w:r>
        <w:rPr>
          <w:rFonts w:ascii="Arial" w:cs="Arial" w:eastAsia="Arial" w:hAnsi="Arial"/>
          <w:sz w:val="15"/>
          <w:szCs w:val="15"/>
          <w:u w:val="single" w:color="auto"/>
          <w:color w:val="auto"/>
        </w:rPr>
        <w:t>Section 2.1(d)</w:t>
      </w:r>
      <w:r>
        <w:rPr>
          <w:rFonts w:ascii="Arial" w:cs="Arial" w:eastAsia="Arial" w:hAnsi="Arial"/>
          <w:sz w:val="15"/>
          <w:szCs w:val="15"/>
          <w:color w:val="auto"/>
        </w:rPr>
        <w:t xml:space="preserve">), and the Board of Directors and the Company shall take all of the actions required by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with respect to the election of such substitute Board Designee. It is hereby acknowledged and agreed that the fact that a particular Board Designee is an Affiliate, director, professional, partner, member, manager, employee or agent of a Principal Stockholder or is not an independent director shall not in and of itself constitute an acceptable basis for such determination by the Board of Directors.</w:t>
      </w:r>
    </w:p>
    <w:p>
      <w:pPr>
        <w:spacing w:after="0" w:line="162" w:lineRule="exact"/>
        <w:rPr>
          <w:rFonts w:ascii="Arial" w:cs="Arial" w:eastAsia="Arial" w:hAnsi="Arial"/>
          <w:sz w:val="15"/>
          <w:szCs w:val="15"/>
          <w:color w:val="auto"/>
        </w:rPr>
      </w:pPr>
    </w:p>
    <w:p>
      <w:pPr>
        <w:jc w:val="both"/>
        <w:ind w:firstLine="1143"/>
        <w:spacing w:after="0" w:line="273" w:lineRule="auto"/>
        <w:tabs>
          <w:tab w:leader="none" w:pos="1373" w:val="left"/>
        </w:tabs>
        <w:numPr>
          <w:ilvl w:val="0"/>
          <w:numId w:val="333"/>
        </w:numPr>
        <w:rPr>
          <w:rFonts w:ascii="Arial" w:cs="Arial" w:eastAsia="Arial" w:hAnsi="Arial"/>
          <w:sz w:val="15"/>
          <w:szCs w:val="15"/>
          <w:color w:val="auto"/>
        </w:rPr>
      </w:pPr>
      <w:r>
        <w:rPr>
          <w:rFonts w:ascii="Arial" w:cs="Arial" w:eastAsia="Arial" w:hAnsi="Arial"/>
          <w:sz w:val="15"/>
          <w:szCs w:val="15"/>
          <w:u w:val="single" w:color="auto"/>
          <w:color w:val="auto"/>
        </w:rPr>
        <w:t>Vacancies</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Sections 2.1(b)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2.1(c)</w:t>
      </w:r>
      <w:r>
        <w:rPr>
          <w:rFonts w:ascii="Arial" w:cs="Arial" w:eastAsia="Arial" w:hAnsi="Arial"/>
          <w:sz w:val="15"/>
          <w:szCs w:val="15"/>
          <w:color w:val="auto"/>
        </w:rPr>
        <w:t>, as applicable, with respect to decreases in ownership of the Principal Stockholders, (i) each Principal Stockholder shall have the exclusive right to request the removal of its Board Designees from the Board of Directors in accordance with the bylaws of the Company then in effect, and the Company and the Principal Stockholders shall take all Necessary Action to cause the removal (whether with or without cause) of any such Board Designee at the request of the designating Principal Stockholder and (ii) each Principal Stockholder shall have the exclusive right to designate directors for election to the Board of Directors to fill vacancies (for the remainder of the then current term) created by reason of death, disability, removal or resignation of its Board Designees to the Board of Directors, and the Company and the Principal Stockholders shall take all Necessary Action to cause any such vacancies to be filled by replacement directors designated by such designating Principal Stockholder as promptly as reasonably practicable.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Committees of the Board of Directors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80" w:lineRule="auto"/>
        <w:tabs>
          <w:tab w:leader="none" w:pos="1368" w:val="left"/>
        </w:tabs>
        <w:numPr>
          <w:ilvl w:val="0"/>
          <w:numId w:val="334"/>
        </w:numPr>
        <w:rPr>
          <w:rFonts w:ascii="Arial" w:cs="Arial" w:eastAsia="Arial" w:hAnsi="Arial"/>
          <w:sz w:val="15"/>
          <w:szCs w:val="15"/>
          <w:color w:val="auto"/>
        </w:rPr>
      </w:pPr>
      <w:r>
        <w:rPr>
          <w:rFonts w:ascii="Arial" w:cs="Arial" w:eastAsia="Arial" w:hAnsi="Arial"/>
          <w:sz w:val="15"/>
          <w:szCs w:val="15"/>
          <w:color w:val="auto"/>
        </w:rPr>
        <w:t>The Company and the Principal Stockholders acknowledge and agree that the Board of Directors may, by resolution, designate from among the directors one or more committees, each of which shall be comprised of one or more directors. Any such committee, to the extent provided in the resolution forming such committee, shall have and may exercise the authority of the Board of Directors, subject to the limitations set forth in the charter, bylaws (as they may be amended from time to time, the “</w:t>
      </w:r>
      <w:r>
        <w:rPr>
          <w:rFonts w:ascii="Arial" w:cs="Arial" w:eastAsia="Arial" w:hAnsi="Arial"/>
          <w:sz w:val="15"/>
          <w:szCs w:val="15"/>
          <w:u w:val="single" w:color="auto"/>
          <w:color w:val="auto"/>
        </w:rPr>
        <w:t>Bylaws</w:t>
      </w:r>
      <w:r>
        <w:rPr>
          <w:rFonts w:ascii="Arial" w:cs="Arial" w:eastAsia="Arial" w:hAnsi="Arial"/>
          <w:sz w:val="15"/>
          <w:szCs w:val="15"/>
          <w:color w:val="auto"/>
        </w:rPr>
        <w:t>”) and applicable law. The Board of Directors may dissolve any committee or remove any member of a committee at any time.</w:t>
      </w:r>
    </w:p>
    <w:p>
      <w:pPr>
        <w:spacing w:after="0" w:line="151" w:lineRule="exact"/>
        <w:rPr>
          <w:rFonts w:ascii="Arial" w:cs="Arial" w:eastAsia="Arial" w:hAnsi="Arial"/>
          <w:sz w:val="15"/>
          <w:szCs w:val="15"/>
          <w:color w:val="auto"/>
        </w:rPr>
      </w:pPr>
    </w:p>
    <w:p>
      <w:pPr>
        <w:ind w:firstLine="1143"/>
        <w:spacing w:after="0" w:line="275" w:lineRule="auto"/>
        <w:tabs>
          <w:tab w:leader="none" w:pos="139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Board of Directors shall constitute and charter an Audit Committee, a Compensation Committee and a Nominating and Governance Committee, comprised solely of independent directors and with an initial constitution as follows:</w:t>
      </w:r>
    </w:p>
    <w:p>
      <w:pPr>
        <w:spacing w:after="0" w:line="151" w:lineRule="exact"/>
        <w:rPr>
          <w:rFonts w:ascii="Arial" w:cs="Arial" w:eastAsia="Arial" w:hAnsi="Arial"/>
          <w:sz w:val="16"/>
          <w:szCs w:val="16"/>
          <w:color w:val="auto"/>
        </w:rPr>
      </w:pPr>
    </w:p>
    <w:p>
      <w:pPr>
        <w:ind w:left="1900" w:hanging="184"/>
        <w:spacing w:after="0"/>
        <w:tabs>
          <w:tab w:leader="none" w:pos="190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members of the Audit Committee shall initially be Blythe McGarvie (Chair), Ilya Golubovich and Gail Zauder;</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members of the Compensation Committee shall initially be Kim Axel Lopdrup (Chair), Ilya Golubovich and Gail Zauder; and</w:t>
      </w:r>
    </w:p>
    <w:p>
      <w:pPr>
        <w:spacing w:after="0" w:line="198" w:lineRule="exact"/>
        <w:rPr>
          <w:rFonts w:ascii="Arial" w:cs="Arial" w:eastAsia="Arial" w:hAnsi="Arial"/>
          <w:sz w:val="16"/>
          <w:szCs w:val="16"/>
          <w:color w:val="auto"/>
        </w:rPr>
      </w:pPr>
    </w:p>
    <w:p>
      <w:pPr>
        <w:ind w:left="2000" w:hanging="284"/>
        <w:spacing w:after="0"/>
        <w:tabs>
          <w:tab w:leader="none" w:pos="200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the members of the Nominating and Governance Committee shall initially be Ilya Golubovich (Chair), Krishna Gupta and Blythe McGarvie.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40" w:name="page341"/>
    <w:bookmarkEnd w:id="340"/>
    <w:p>
      <w:pPr>
        <w:jc w:val="both"/>
        <w:ind w:right="20" w:firstLine="1143"/>
        <w:spacing w:after="0" w:line="276" w:lineRule="auto"/>
        <w:tabs>
          <w:tab w:leader="none" w:pos="1386"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The members of each committee shall be appointed by the Board of Directors in accordance with the Bylaws based on recommendations from the Nominating and Governance Committee of the Board of Directors, and shall serve at the discretion of the Board of Directors. The Board of Directors may remove any member of any committee at any time with or without cause, and vacancies occurring on the committee shall be filled by the Board of Directors. The Board of Directors shall appoint a Chairperson of each committee to preside at all meetings of such committee. If a Chairperson is not designated or present at a meeting of a committee, the members of the committee may designate a Chairperson by majority vote of the committee membership.</w:t>
      </w:r>
    </w:p>
    <w:p>
      <w:pPr>
        <w:spacing w:after="0" w:line="15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Each Principal Stockholder agrees, in person or by proxy, to cast all votes to which such Principal Stockholder is entitled in respect of its Company Shares, whether at any annual or special meeting, by written consent or otherwise, so as to cause to be elected to the Board of Directors those individuals designated in accordance with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to otherwise effect the intent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Agreement of Company</w:t>
      </w:r>
      <w:r>
        <w:rPr>
          <w:rFonts w:ascii="Arial" w:cs="Arial" w:eastAsia="Arial" w:hAnsi="Arial"/>
          <w:sz w:val="16"/>
          <w:szCs w:val="16"/>
          <w:color w:val="auto"/>
        </w:rPr>
        <w:t xml:space="preserve">. The Company hereby agrees that it will take all Necessary Actions to cause the matters addressed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to be carried out in accordance with the provisions thereof. Without limiting the foregoing, the Secretary of the Company or such other officer or employee of the Company who may be fulfilling the duties of the Secretary, shall not record any vote or consent or other action contrary to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Restrictions on Other Agreements</w:t>
      </w:r>
      <w:r>
        <w:rPr>
          <w:rFonts w:ascii="Arial" w:cs="Arial" w:eastAsia="Arial" w:hAnsi="Arial"/>
          <w:sz w:val="16"/>
          <w:szCs w:val="16"/>
          <w:color w:val="auto"/>
        </w:rPr>
        <w:t>. No Principal Stockholder shall grant any proxy or enter into or agree to be bound by any voting trust, agreement or arrangement of any kind with any Person with respect to its Company Shares if and to the extent the terms thereof conflict with the provisions of this Agreement (whether or not such proxy, voting trust, agreements or arrangements are with other Principal Stockholders, I2BF, holders of Company Shares that are not parties to this Agreement or otherwise).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w:t>
      </w:r>
    </w:p>
    <w:p>
      <w:pPr>
        <w:spacing w:after="0" w:line="18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Each of the parties to this Agreement hereby represents and warrants to each other party to this Agreement, severally on behalf of itself and not jointly, that as of the date such party executes this Agreement:</w:t>
      </w:r>
    </w:p>
    <w:p>
      <w:pPr>
        <w:spacing w:after="0" w:line="152"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Existence; Authority; Enforceability</w:t>
      </w:r>
      <w:r>
        <w:rPr>
          <w:rFonts w:ascii="Arial" w:cs="Arial" w:eastAsia="Arial" w:hAnsi="Arial"/>
          <w:sz w:val="14"/>
          <w:szCs w:val="14"/>
          <w:color w:val="auto"/>
        </w:rPr>
        <w:t>. Such party has the power and authority to enter into this Agreement and to carry out its obligations hereunder. If such party is an entity, it is duly organized and validly existing under the laws of its jurisdiction of organization, and the execution of this Agreement, and the consummation of the transactions contemplated herein, have been authorized by all necessary action, and no other act or proceeding on its part is necessary to authorize the execution of this Agreement or the consummation of any of the transactions contemplated hereby. If such party is a natural person, such person has full capacity to contract. This Agreement has been duly executed by each of the parties hereto and constitutes his or its legal, valid and binding obligation, enforceable against him or it in accordance with its terms, except as enforcement may be limited by applicable bankruptcy, insolvency, reorganization, moratorium, fraudulent transfer and similar laws relating to or affecting creditors’ rights generally, or by the general principles of equity. No representation is made by any party with respect to the regulatory effect of this Agreement, and each of the parties has had an opportunity to consult with counsel as to his or its rights and responsibilities under this Agreement. No party makes any representation to any other party as to future law or regulation or the future interpretation of existing laws or regulations by any governmental authority or self-regulatory organization.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1" w:name="page342"/>
    <w:bookmarkEnd w:id="341"/>
    <w:p>
      <w:pPr>
        <w:ind w:left="564"/>
        <w:spacing w:after="0"/>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Absence of Conflicts</w:t>
      </w:r>
      <w:r>
        <w:rPr>
          <w:rFonts w:ascii="Arial" w:cs="Arial" w:eastAsia="Arial" w:hAnsi="Arial"/>
          <w:sz w:val="14"/>
          <w:szCs w:val="14"/>
          <w:color w:val="auto"/>
        </w:rPr>
        <w:t>. The execution and delivery by such party of this Agreement and the performance of its obligations hereunder does not and will not</w:t>
      </w:r>
    </w:p>
    <w:p>
      <w:pPr>
        <w:spacing w:after="0" w:line="43" w:lineRule="exact"/>
        <w:rPr>
          <w:sz w:val="20"/>
          <w:szCs w:val="20"/>
          <w:color w:val="auto"/>
        </w:rPr>
      </w:pPr>
    </w:p>
    <w:p>
      <w:pPr>
        <w:jc w:val="both"/>
        <w:ind w:left="4" w:right="20" w:hanging="4"/>
        <w:spacing w:after="0" w:line="252" w:lineRule="auto"/>
        <w:tabs>
          <w:tab w:leader="none" w:pos="208" w:val="left"/>
        </w:tabs>
        <w:numPr>
          <w:ilvl w:val="0"/>
          <w:numId w:val="336"/>
        </w:numPr>
        <w:rPr>
          <w:rFonts w:ascii="Arial" w:cs="Arial" w:eastAsia="Arial" w:hAnsi="Arial"/>
          <w:sz w:val="16"/>
          <w:szCs w:val="16"/>
          <w:color w:val="auto"/>
        </w:rPr>
      </w:pPr>
      <w:r>
        <w:rPr>
          <w:rFonts w:ascii="Arial" w:cs="Arial" w:eastAsia="Arial" w:hAnsi="Arial"/>
          <w:sz w:val="16"/>
          <w:szCs w:val="16"/>
          <w:color w:val="auto"/>
        </w:rPr>
        <w:t>conflict with, or result in the breach of, any provision of the constitutive documents of such party, if any;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contract, agreement or permit to which such party is a party or by which such party’s assets or operations are bound or affected; or (iii) violate any law applicable to such party.</w:t>
      </w:r>
    </w:p>
    <w:p>
      <w:pPr>
        <w:spacing w:after="0" w:line="171" w:lineRule="exact"/>
        <w:rPr>
          <w:sz w:val="20"/>
          <w:szCs w:val="20"/>
          <w:color w:val="auto"/>
        </w:rPr>
      </w:pPr>
    </w:p>
    <w:p>
      <w:pPr>
        <w:jc w:val="both"/>
        <w:ind w:left="4" w:firstLine="574"/>
        <w:spacing w:after="0" w:line="309"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Consents</w:t>
      </w:r>
      <w:r>
        <w:rPr>
          <w:rFonts w:ascii="Arial" w:cs="Arial" w:eastAsia="Arial" w:hAnsi="Arial"/>
          <w:sz w:val="15"/>
          <w:szCs w:val="15"/>
          <w:color w:val="auto"/>
        </w:rPr>
        <w:t>. Other than any consents which have already been obtained, no consent, waiver, approval, authorization, exemption, registration, license or declaration is required to be made or obtained by such party in connection with the execution, delivery or performance of this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IV</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MISCELLAENOUS</w:t>
      </w:r>
    </w:p>
    <w:p>
      <w:pPr>
        <w:spacing w:after="0" w:line="186" w:lineRule="exact"/>
        <w:rPr>
          <w:sz w:val="20"/>
          <w:szCs w:val="20"/>
          <w:color w:val="auto"/>
        </w:rPr>
      </w:pPr>
    </w:p>
    <w:p>
      <w:pPr>
        <w:jc w:val="both"/>
        <w:ind w:left="4" w:right="20" w:firstLine="574"/>
        <w:spacing w:after="0" w:line="274"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Agreement shall terminate and be of no further force and effect (a) solely with respect to a party hereto, in the event that such party ceases to own any shares of Common Stock, (b) upon the written agreement of the Principal Stockholders to terminate this Agreement or (c) subject to the final sentence of </w:t>
      </w:r>
      <w:r>
        <w:rPr>
          <w:rFonts w:ascii="Arial" w:cs="Arial" w:eastAsia="Arial" w:hAnsi="Arial"/>
          <w:sz w:val="15"/>
          <w:szCs w:val="15"/>
          <w:u w:val="single" w:color="auto"/>
          <w:color w:val="auto"/>
        </w:rPr>
        <w:t>Section 4.7</w:t>
      </w:r>
      <w:r>
        <w:rPr>
          <w:rFonts w:ascii="Arial" w:cs="Arial" w:eastAsia="Arial" w:hAnsi="Arial"/>
          <w:sz w:val="15"/>
          <w:szCs w:val="15"/>
          <w:color w:val="auto"/>
        </w:rPr>
        <w:t xml:space="preserve"> of this Agreement, if its provisions become illegal or are interpreted by any governmental authority to be illegal, or any exchange on which the Common Stock are traded asserts in writing that its existence will threaten the continued listing of the Common Stock on such exchange. In the event of a circumstance contemplated by clause (a) of this </w:t>
      </w:r>
      <w:r>
        <w:rPr>
          <w:rFonts w:ascii="Arial" w:cs="Arial" w:eastAsia="Arial" w:hAnsi="Arial"/>
          <w:sz w:val="15"/>
          <w:szCs w:val="15"/>
          <w:u w:val="single" w:color="auto"/>
          <w:color w:val="auto"/>
        </w:rPr>
        <w:t>Section 4.1</w:t>
      </w:r>
      <w:r>
        <w:rPr>
          <w:rFonts w:ascii="Arial" w:cs="Arial" w:eastAsia="Arial" w:hAnsi="Arial"/>
          <w:sz w:val="15"/>
          <w:szCs w:val="15"/>
          <w:color w:val="auto"/>
        </w:rPr>
        <w:t>, this Agreement shall remain in full force and effect with respect to the remaining parties hereto, and for purposes of this Agreement, the party ceasing to own any shares of Common Stock shall have no further rights or benefits hereunder.</w:t>
      </w:r>
    </w:p>
    <w:p>
      <w:pPr>
        <w:spacing w:after="0" w:line="157" w:lineRule="exact"/>
        <w:rPr>
          <w:sz w:val="20"/>
          <w:szCs w:val="20"/>
          <w:color w:val="auto"/>
        </w:rPr>
      </w:pPr>
    </w:p>
    <w:p>
      <w:pPr>
        <w:jc w:val="both"/>
        <w:ind w:left="4" w:firstLine="574"/>
        <w:spacing w:after="0" w:line="276"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Successors and Assigns; Beneficiaries</w:t>
      </w:r>
      <w:r>
        <w:rPr>
          <w:rFonts w:ascii="Arial" w:cs="Arial" w:eastAsia="Arial" w:hAnsi="Arial"/>
          <w:sz w:val="15"/>
          <w:szCs w:val="15"/>
          <w:color w:val="auto"/>
        </w:rPr>
        <w:t xml:space="preserve">. Except as otherwise provided herein, all of the terms and provisions of this Agreement shall be binding upon, shall inure to the benefit of and shall be enforceable by the respective successors and permitted assigns of the parties hereto. This Agreement may not be assigned without the express prior written consent of the other parties hereto, and any attempted assignment, without such consents, will be null and void;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Principal Stockholder (from time to time party hereto) shall be entitled to assign (solely in connection with a transfer of Common Stock) to any of its Affiliates, without such prior written consent, any of its rights and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 such Affiliate agrees be bound by the obligations hereunder.</w:t>
      </w:r>
    </w:p>
    <w:p>
      <w:pPr>
        <w:spacing w:after="0" w:line="15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Amendment and Modification; Waiver of Compliance</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This Agreement may be amended only by a written instrument duly executed by the Company and the Principal Stockholders.</w:t>
      </w:r>
    </w:p>
    <w:p>
      <w:pPr>
        <w:spacing w:after="0" w:line="198" w:lineRule="exact"/>
        <w:rPr>
          <w:rFonts w:ascii="Arial" w:cs="Arial" w:eastAsia="Arial" w:hAnsi="Arial"/>
          <w:sz w:val="16"/>
          <w:szCs w:val="16"/>
          <w:color w:val="auto"/>
        </w:rPr>
      </w:pPr>
    </w:p>
    <w:p>
      <w:pPr>
        <w:jc w:val="both"/>
        <w:ind w:left="4" w:right="20" w:firstLine="1143"/>
        <w:spacing w:after="0" w:line="317" w:lineRule="auto"/>
        <w:tabs>
          <w:tab w:leader="none" w:pos="1383" w:val="left"/>
        </w:tabs>
        <w:numPr>
          <w:ilvl w:val="0"/>
          <w:numId w:val="337"/>
        </w:numPr>
        <w:rPr>
          <w:rFonts w:ascii="Arial" w:cs="Arial" w:eastAsia="Arial" w:hAnsi="Arial"/>
          <w:sz w:val="14"/>
          <w:szCs w:val="14"/>
          <w:color w:val="auto"/>
        </w:rPr>
      </w:pPr>
      <w:r>
        <w:rPr>
          <w:rFonts w:ascii="Arial" w:cs="Arial" w:eastAsia="Arial" w:hAnsi="Arial"/>
          <w:sz w:val="14"/>
          <w:szCs w:val="14"/>
          <w:color w:val="auto"/>
        </w:rPr>
        <w:t>Except as otherwise provided in this Agreement, any failure of any of the parties to comply with any obligation, covenant, agreement or condition herein may be waived by the party entitled to the benefits thereof only by a written instrument signed by the party granting such waiver, but such waiver or failure to insist upon strict compliance with such obligation, covenant, agreement or condition shall not operate as a waiver of, or estoppel with respect to, any subsequent or other failure.</w:t>
      </w: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42" w:name="page343"/>
    <w:bookmarkEnd w:id="342"/>
    <w:p>
      <w:pPr>
        <w:jc w:val="both"/>
        <w:ind w:firstLine="574"/>
        <w:spacing w:after="0" w:line="262"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claim, demand, document and other communication hereunder to any party shall be effective upon receipt (or refusal of receipt) and shall be in writing and delivered personally or sent by electronic mail, facsimile, or first class mail, or by Federal Express, United Parcel Service or other similar courier or other similar means of communication, as follows:</w:t>
      </w:r>
    </w:p>
    <w:p>
      <w:pPr>
        <w:spacing w:after="0" w:line="162" w:lineRule="exact"/>
        <w:rPr>
          <w:sz w:val="20"/>
          <w:szCs w:val="20"/>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the REMUS Stockholders, addressed to [●];</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I2BF, addressed to [●]; and</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If to the Chief Executive Officer, addressed to [●];</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or, in each case, to such other address or electronic mail address as such party may designate in writing to each Principal Stockholder by written notice given in the manner specified herein.</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All such communications shall be deemed to have been given, delivered or made when so delivered by hand or sent by electronic mail or facsimile (with confirmed receipt or transmission), on the next business day if sent by overnight courier service (with confirmed delivery) or when received if sent by first class mail.</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bond.</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provisions of this Agreement and the other writings referred to herein or delivered pursuant hereto which form a part hereof contain the entire agreement among the parties hereto with respect to the subject matter hereof and supersede all prior oral and written agreements and memoranda and undertakings among the parties hereto with regard to such subject matter.</w:t>
      </w:r>
    </w:p>
    <w:p>
      <w:pPr>
        <w:spacing w:after="0" w:line="16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4.7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 If this Agreement would be required to be terminated pursuant to clause (c) of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of this Agreement, the parties to this Agreement shall use their respective reasonable best efforts to cause the provisions of this Agreement to be reformed, prior to any such termination, to the fullest extent possible to both effectuate the intent of the parties to this Agreement (as of the date of this Agreement) and not cause the termination of this Agreement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of this Agreement.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3" w:name="page344"/>
    <w:bookmarkEnd w:id="343"/>
    <w:p>
      <w:pPr>
        <w:jc w:val="both"/>
        <w:ind w:firstLine="574"/>
        <w:spacing w:after="0" w:line="268" w:lineRule="auto"/>
        <w:rPr>
          <w:sz w:val="20"/>
          <w:szCs w:val="20"/>
          <w:color w:val="auto"/>
        </w:rPr>
      </w:pPr>
      <w:r>
        <w:rPr>
          <w:rFonts w:ascii="Arial" w:cs="Arial" w:eastAsia="Arial" w:hAnsi="Arial"/>
          <w:sz w:val="15"/>
          <w:szCs w:val="15"/>
          <w:color w:val="auto"/>
        </w:rPr>
        <w:t xml:space="preserve">Section 4.8 </w:t>
      </w:r>
      <w:r>
        <w:rPr>
          <w:rFonts w:ascii="Arial" w:cs="Arial" w:eastAsia="Arial" w:hAnsi="Arial"/>
          <w:sz w:val="15"/>
          <w:szCs w:val="15"/>
          <w:u w:val="single" w:color="auto"/>
          <w:color w:val="auto"/>
        </w:rPr>
        <w:t>CHOICE OF LAW AND VENUE; WAIVER OF RIGHT TO JURY TRIAL</w:t>
      </w:r>
      <w:r>
        <w:rPr>
          <w:rFonts w:ascii="Arial" w:cs="Arial" w:eastAsia="Arial" w:hAnsi="Arial"/>
          <w:sz w:val="15"/>
          <w:szCs w:val="15"/>
          <w:color w:val="auto"/>
        </w:rPr>
        <w:t>. THIS AGREEMENT SHALL BE GOVERNED BY, CONSTRUED, APPLIED AND ENFORCED IN ACCORDANCE WITH THE INTERNAL LAWS OF THE STATE OF DELAWARE. 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INSTITUTE ANY LITIGATION, PROCEEDING OR OTHER LEGAL ACTION IN A COURT OF COMPETENT JURISDICTION LOCATED WITHIN THE STATE OF DELAWARE, WHETHER A STATE OR FEDERAL COURT; (2) AGREE THAT IN THE EVENT OF ANY SUCH LITIGATION, PROCEEDING OR ACTION, SUCH PARTIES WILL CONSENT AND SUBMIT TO THE PERSONAL JURISDICTION OF ANY SUCH COURT DESCRIBED IN CLAUSE (1) OF THIS SECTION AND TO SERVICE OF PROCESS UPON THEM IN ACCORDANCE WITH THE RULES AND STATUTES GOVERNING SERVICE OF PROCESS (IT BEING UNDERSTOOD THAT NOTHING IN THIS SECTION SHALL BE DEEMED TO PREVENT ANY PARTY FROM SEEKING TO REMOVE ANY ACTION TO A FEDERAL COURT IN THE STATE OF DELAWARE); (3) AGREE TO WAIVE TO THE FULL EXTENT PERMITTED BY LAW ANY OBJECTION THAT THEY MAY NOW OR HEREAFTER HAVE TO THE VENUE OF ANY SUCH LITIGATION, PROCEEDING OR ACTION IN ANY SUCH COURT OR THAT ANY SUCH LITIGATION, PROCEEDING OR ACTION WAS BROUGHT IN ANY INCONVENIENT FORUM; (4) AGREE, AFTER CONSULTATION WITH COUNSEL,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6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color w:val="auto"/>
        </w:rPr>
        <w:t>IN WITNESS WHEREOF, each of the undersigned has signed this Governance Agreement as of the date first above written.</w:t>
      </w:r>
    </w:p>
    <w:p>
      <w:pPr>
        <w:spacing w:after="0" w:line="217"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Combined Company</w:t>
      </w:r>
      <w:r>
        <w:rPr>
          <w:rFonts w:ascii="Arial" w:cs="Arial" w:eastAsia="Arial" w:hAnsi="Arial"/>
          <w:sz w:val="16"/>
          <w:szCs w:val="16"/>
          <w:b w:val="1"/>
          <w:bCs w:val="1"/>
          <w:color w:val="auto"/>
        </w:rPr>
        <w: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391160</wp:posOffset>
            </wp:positionV>
            <wp:extent cx="7148195" cy="152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9" w:right="1440" w:bottom="1440" w:gutter="0" w:footer="0" w:header="0"/>
        </w:sectPr>
      </w:pPr>
    </w:p>
    <w:bookmarkStart w:id="345" w:name="page346"/>
    <w:bookmarkEnd w:id="345"/>
    <w:p>
      <w:pPr>
        <w:ind w:left="5640"/>
        <w:spacing w:after="0"/>
        <w:rPr>
          <w:sz w:val="20"/>
          <w:szCs w:val="20"/>
          <w:color w:val="auto"/>
        </w:rPr>
      </w:pPr>
      <w:r>
        <w:rPr>
          <w:rFonts w:ascii="Arial" w:cs="Arial" w:eastAsia="Arial" w:hAnsi="Arial"/>
          <w:sz w:val="16"/>
          <w:szCs w:val="16"/>
          <w:b w:val="1"/>
          <w:bCs w:val="1"/>
          <w:color w:val="auto"/>
        </w:rPr>
        <w:t>REMUS STOCKHOLDERS:</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By: Romulus Capital Partners I, LLC, its General Partner</w:t>
      </w: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By: Romulus Capital Partners II,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CAPITAL III, L.P.</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By: Romulus Capital Partners II,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ROMULUS ELC B3 SPECIAL OPPORTUNITY, L.P.</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ZAFFRAN SPECIAL OPPORTUNITIES LLC</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384175</wp:posOffset>
            </wp:positionV>
            <wp:extent cx="7148195"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680"/>
          </w:cols>
          <w:pgMar w:left="1440" w:top="815" w:right="779" w:bottom="1440" w:gutter="0" w:footer="0" w:header="0"/>
        </w:sectPr>
      </w:pPr>
    </w:p>
    <w:bookmarkStart w:id="346" w:name="page347"/>
    <w:bookmarkEnd w:id="346"/>
    <w:p>
      <w:pPr>
        <w:ind w:left="5640"/>
        <w:spacing w:after="0"/>
        <w:rPr>
          <w:sz w:val="20"/>
          <w:szCs w:val="20"/>
          <w:color w:val="auto"/>
        </w:rPr>
      </w:pPr>
      <w:r>
        <w:rPr>
          <w:rFonts w:ascii="Arial" w:cs="Arial" w:eastAsia="Arial" w:hAnsi="Arial"/>
          <w:sz w:val="16"/>
          <w:szCs w:val="16"/>
          <w:b w:val="1"/>
          <w:bCs w:val="1"/>
          <w:color w:val="auto"/>
        </w:rPr>
        <w:t>I2BF GLOBAL INVESTMENTS LTD.</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RAJAT SURI</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12700</wp:posOffset>
            </wp:positionV>
            <wp:extent cx="2572385" cy="152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391795</wp:posOffset>
            </wp:positionV>
            <wp:extent cx="7148195"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347" w:name="page348"/>
    <w:bookmarkEnd w:id="347"/>
    <w:p>
      <w:pPr>
        <w:ind w:left="10420"/>
        <w:spacing w:after="0"/>
        <w:rPr>
          <w:sz w:val="20"/>
          <w:szCs w:val="20"/>
          <w:color w:val="auto"/>
        </w:rPr>
      </w:pPr>
      <w:r>
        <w:rPr>
          <w:rFonts w:ascii="Arial" w:cs="Arial" w:eastAsia="Arial" w:hAnsi="Arial"/>
          <w:sz w:val="15"/>
          <w:szCs w:val="15"/>
          <w:b w:val="1"/>
          <w:bCs w:val="1"/>
          <w:color w:val="auto"/>
        </w:rPr>
        <w:t>Exhibit 99.1</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Presto, a Leading Provider of Restaurant Labor Productivity Technologies, to be Publicly Listed Through a Merger with Ventoux CCM Acquisition Corp (NASDAQ:</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VTAQ)</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Presto offers next-generation touch, vision, and voice technologies to the highly analog restaurant industry.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Presto is poised to capture a significant share of the $205 billion restaurant labor productivity market.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COVID-19 and subsequent labor challenges have created an industry reset, driving restaurants to embrace technology enablement.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Presto has built a leading restaurant technology platform that modernizes restaurant dining rooms and drive-thrus to maximize customer profitability and enhance the guest experience.</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With over 250,000 systems shipped and a customer base that includes many of the top 20 restaurant chains, Presto is one of the largest restaurant technology providers in the 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Proceeds from the transaction will be used to accelerate technology development, market expansion, and investment in adjacent hospitality markets.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transaction values the combined company at an estimated pro forma equity value of approximately $1 billion.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i w:val="1"/>
          <w:iCs w:val="1"/>
          <w:color w:val="auto"/>
        </w:rPr>
        <w:t>The transaction includes a fully committed PIPE totaling approximately $70 million. In addition to institutional investors, the PIPE includes additional incremental capital from REMUS Capital investors, Presto Founder &amp; CEO Rajat Suri, Sam Altman and Max Altman’s Apollo project, other existing investors, and certain other strategic groups including franchisees of Yum! Brands, Applebee’s, McDonald’s, and Outback Steakhouse.</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Presto is also announcing that it expects to add a number of industry veterans to its Board of Directors, including Kim Lopdrup, former CEO of Red Lobster, Ed Scheetz, CEO and Chairman of Ventoux, and Blythe McGarvie, Board Member of Apple Hospitality REIT, Sonoco, LKQ and Wawa.</w:t>
      </w:r>
    </w:p>
    <w:p>
      <w:pPr>
        <w:spacing w:after="0" w:line="14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REDWOOD CITY, Calif. (November 10, 2021) </w:t>
      </w:r>
      <w:r>
        <w:rPr>
          <w:rFonts w:ascii="Arial" w:cs="Arial" w:eastAsia="Arial" w:hAnsi="Arial"/>
          <w:sz w:val="15"/>
          <w:szCs w:val="15"/>
          <w:color w:val="auto"/>
        </w:rPr>
        <w:t>– Presto, a leading provider of restaurant labor productivity technologies, and Ventoux CCM Acquisition Corp. (“Ventoux”)</w:t>
      </w:r>
      <w:r>
        <w:rPr>
          <w:rFonts w:ascii="Arial" w:cs="Arial" w:eastAsia="Arial" w:hAnsi="Arial"/>
          <w:sz w:val="15"/>
          <w:szCs w:val="15"/>
          <w:b w:val="1"/>
          <w:bCs w:val="1"/>
          <w:color w:val="auto"/>
        </w:rPr>
        <w:t xml:space="preserve"> </w:t>
      </w:r>
      <w:r>
        <w:rPr>
          <w:rFonts w:ascii="Arial" w:cs="Arial" w:eastAsia="Arial" w:hAnsi="Arial"/>
          <w:sz w:val="15"/>
          <w:szCs w:val="15"/>
          <w:color w:val="auto"/>
        </w:rPr>
        <w:t>(NASDAQ: VTAQ), a publicly traded special purpose acquisition company, today announced that they have entered into a definitive merger agreement that will result in Presto becoming a publicly listed company. The transaction values the combined company (the “Company”) at an estimated pro forma equity value of approximately $1 billion. Upon closing, the Company will be renamed Presto Technologies, Inc. and expects to list its common stock on Nasdaq.</w:t>
      </w:r>
    </w:p>
    <w:p>
      <w:pPr>
        <w:spacing w:after="0" w:line="149"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As restaurants reopen and guests are anxious to return, an acute labor shortage is preventing the industry from bouncing back. According to data from the Bureau of Labor Statistics, eating and drinking place employment remains 1.5 million below pre-pandemic levels. Operators are desperately trying to hire, but 72% of them rate recruitment and retention as their top challenge. The problem is likely to worsen, as 53% of existing restaurant workers are actively considering leaving their job. In this environment, it is critical for restaurants to adopt solutions that significantly improve labor productivity so that they can do more with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361950</wp:posOffset>
            </wp:positionV>
            <wp:extent cx="7148195" cy="152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48" w:name="page349"/>
    <w:bookmarkEnd w:id="348"/>
    <w:p>
      <w:pPr>
        <w:jc w:val="both"/>
        <w:spacing w:after="0" w:line="287" w:lineRule="auto"/>
        <w:rPr>
          <w:sz w:val="20"/>
          <w:szCs w:val="20"/>
          <w:color w:val="auto"/>
        </w:rPr>
      </w:pPr>
      <w:r>
        <w:rPr>
          <w:rFonts w:ascii="Arial" w:cs="Arial" w:eastAsia="Arial" w:hAnsi="Arial"/>
          <w:sz w:val="15"/>
          <w:szCs w:val="15"/>
          <w:color w:val="auto"/>
        </w:rPr>
        <w:t>Presto is a market leader in restaurant labor productivity, overlaying next-generation digital solutions onto the physical world. Its enterprise-grade touch, vision, and voice technologies help hospitality businesses thrive while delighting guests. Presto’s solutions are designed to enable restaurants to do more with less by increasing their guest-to-staff ratios, improving speed and quality of service, identifying bottlenecks, and offering guests a superior experience. These solutions include:</w:t>
      </w:r>
    </w:p>
    <w:p>
      <w:pPr>
        <w:spacing w:after="0" w:line="142" w:lineRule="exact"/>
        <w:rPr>
          <w:sz w:val="20"/>
          <w:szCs w:val="20"/>
          <w:color w:val="auto"/>
        </w:rPr>
      </w:pPr>
    </w:p>
    <w:p>
      <w:pPr>
        <w:ind w:left="560" w:hanging="278"/>
        <w:spacing w:after="0"/>
        <w:tabs>
          <w:tab w:leader="none" w:pos="560" w:val="left"/>
        </w:tabs>
        <w:numPr>
          <w:ilvl w:val="0"/>
          <w:numId w:val="339"/>
        </w:numPr>
        <w:rPr>
          <w:rFonts w:ascii="Arial" w:cs="Arial" w:eastAsia="Arial" w:hAnsi="Arial"/>
          <w:sz w:val="14"/>
          <w:szCs w:val="14"/>
          <w:color w:val="auto"/>
        </w:rPr>
      </w:pPr>
      <w:r>
        <w:rPr>
          <w:rFonts w:ascii="Arial" w:cs="Arial" w:eastAsia="Arial" w:hAnsi="Arial"/>
          <w:sz w:val="14"/>
          <w:szCs w:val="14"/>
          <w:b w:val="1"/>
          <w:bCs w:val="1"/>
          <w:color w:val="auto"/>
        </w:rPr>
        <w:t xml:space="preserve">Voice: </w:t>
      </w:r>
      <w:r>
        <w:rPr>
          <w:rFonts w:ascii="Arial" w:cs="Arial" w:eastAsia="Arial" w:hAnsi="Arial"/>
          <w:sz w:val="14"/>
          <w:szCs w:val="14"/>
          <w:color w:val="auto"/>
        </w:rPr>
        <w:t>Guests and staff can place orders in a natural conversational style via automated speech recognition with over 94% accuracy even in noisy environments.</w:t>
      </w:r>
    </w:p>
    <w:p>
      <w:pPr>
        <w:spacing w:after="0" w:line="245" w:lineRule="exact"/>
        <w:rPr>
          <w:rFonts w:ascii="Arial" w:cs="Arial" w:eastAsia="Arial" w:hAnsi="Arial"/>
          <w:sz w:val="14"/>
          <w:szCs w:val="14"/>
          <w:color w:val="auto"/>
        </w:rPr>
      </w:pPr>
    </w:p>
    <w:p>
      <w:pPr>
        <w:ind w:left="560" w:hanging="278"/>
        <w:spacing w:after="0"/>
        <w:tabs>
          <w:tab w:leader="none" w:pos="56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 xml:space="preserve">Vision: </w:t>
      </w:r>
      <w:r>
        <w:rPr>
          <w:rFonts w:ascii="Arial" w:cs="Arial" w:eastAsia="Arial" w:hAnsi="Arial"/>
          <w:sz w:val="16"/>
          <w:szCs w:val="16"/>
          <w:color w:val="auto"/>
        </w:rPr>
        <w:t>Using just a few cameras, restaurants can measure throughput and order accuracy, identify issues, and implement real-time solutions.</w:t>
      </w:r>
    </w:p>
    <w:p>
      <w:pPr>
        <w:spacing w:after="0" w:line="222" w:lineRule="exact"/>
        <w:rPr>
          <w:rFonts w:ascii="Arial" w:cs="Arial" w:eastAsia="Arial" w:hAnsi="Arial"/>
          <w:sz w:val="16"/>
          <w:szCs w:val="16"/>
          <w:color w:val="auto"/>
        </w:rPr>
      </w:pPr>
    </w:p>
    <w:p>
      <w:pPr>
        <w:ind w:left="560" w:hanging="278"/>
        <w:spacing w:after="0" w:line="280" w:lineRule="auto"/>
        <w:tabs>
          <w:tab w:leader="none" w:pos="56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 xml:space="preserve">Touch: </w:t>
      </w:r>
      <w:r>
        <w:rPr>
          <w:rFonts w:ascii="Arial" w:cs="Arial" w:eastAsia="Arial" w:hAnsi="Arial"/>
          <w:sz w:val="16"/>
          <w:szCs w:val="16"/>
          <w:color w:val="auto"/>
        </w:rPr>
        <w:t>Custom designed for both drive-thru and dine-in applications, the same tablet can be deployed as a pay-at-table, staff handheld, kiosk, or drive-thru line buster</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 wide front-of-house flexibility.</w:t>
      </w:r>
    </w:p>
    <w:p>
      <w:pPr>
        <w:spacing w:after="0" w:line="14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Leveraging innovation to empower the hospitality industry is fundamental to Presto’s DNA. In 2008, Presto’s Founder &amp; CEO Rajat Suri dropped out of his doctoral program at M.I.T. to found Presto. Its first product was a pay-at-table device that quickly became popular with both guests and restaurant operators. More than a decade later, Presto continues to bring innovative and secure next-generation technologies to the restaurant and hospitality industries on a customizable platform. The enterprise-grade platform has made the company one of the largest providers of restaurant technology, with over 250,000 systems shipped.</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launch of several new voice, vision, and touch solutions to optimize drive-thru performance and enable staff to serve more customers more quickly—critical components of a sound strategy for today’s labor-starved restaurant operators—has fueled Presto’s rapid growth over the past few years. Presto’s strategic relationships with important industry leaders such as Fiserv, Oracle, PayPal, and Visa provide valuable access to global markets and have helped the company scale rapidly. With Presto, restaurants across the world not only have access to today’s best technology; they also receive a continuous stream of innovation and a variety of complementary technologies to support their future needs.</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Last year, as the pandemic impacted restaurants across the country, Presto made all of its solutions free for independent restaurants. To further its commitment to the community, Presto partnered with the COVID Tech Connect initiative. Volunteers from across the country came together to supply hospitals and senior care facilities with smart devices so that critically ill patients could communicate with loved ones during their last moments. The initiative received significant national media coverage and delivered 20,000 tablets to 2,000 healthcare facilities.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Accelerated adoption of the Presto platform in the recent past underscores the urgent need for staff-enhancing and productivity-increasing solutions across the hospitality industry. As Presto embarks on the next phase of its corporate journey, it continues to be driven by its core values: customer focus, commitment to innovation, and corporate responsibility.</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will continue to be led by Founder &amp; CEO Rajat Suri and CFO Ashish Gupta. The expanded Board of Directors is expected to include industry veterans such as Kim Lopdrup, former CEO of Red Lobster, and Blythe McGarvie, Board Member of Apple Hospitality REIT, Sonoco, LKQ and Wawa. The Board of Directors will be chaired by longtime investor Krishna Gupta of REMUS Capital.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Comments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Rajat Suri, Founder &amp; CEO of Presto</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“Presto is on a mission to transform physical industries with next-gen digital technologies like Touch, Vision and Voice. We are excited to invite public market investors to join us on this journey, and support us in our efforts to solve deep-rooted problems for our customers like the shortage of labor, slow guest experiences and lack of data to enable sophisticated decision-making.”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9" w:name="page350"/>
    <w:bookmarkEnd w:id="349"/>
    <w:p>
      <w:pPr>
        <w:ind w:left="4"/>
        <w:spacing w:after="0"/>
        <w:rPr>
          <w:sz w:val="20"/>
          <w:szCs w:val="20"/>
          <w:color w:val="auto"/>
        </w:rPr>
      </w:pPr>
      <w:r>
        <w:rPr>
          <w:rFonts w:ascii="Arial" w:cs="Arial" w:eastAsia="Arial" w:hAnsi="Arial"/>
          <w:sz w:val="16"/>
          <w:szCs w:val="16"/>
          <w:b w:val="1"/>
          <w:bCs w:val="1"/>
          <w:color w:val="auto"/>
        </w:rPr>
        <w:t>Ed Scheetz, CEO &amp; Chairman of Ventoux</w:t>
      </w:r>
    </w:p>
    <w:p>
      <w:pPr>
        <w:spacing w:after="0" w:line="24"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“With our deep experience in hospitality operations, we see Presto’s advanced technologies addressing and solving the industry’s most pressing needs in today’s challenging labor environment. Presto’s track record of successfully deploying large scale enterprise-wide solutions sets the company apart from competitors and positions it for accelerated growth at a time when restaurants are increasingly adopting new technologies.”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Krishna Gupta, Chairman of the Board &amp; CEO of REMUS Capital</w:t>
      </w:r>
    </w:p>
    <w:p>
      <w:pPr>
        <w:spacing w:after="0" w:line="24" w:lineRule="exact"/>
        <w:rPr>
          <w:sz w:val="20"/>
          <w:szCs w:val="20"/>
          <w:color w:val="auto"/>
        </w:rPr>
      </w:pPr>
    </w:p>
    <w:p>
      <w:pPr>
        <w:jc w:val="both"/>
        <w:ind w:left="4" w:right="20"/>
        <w:spacing w:after="0" w:line="292" w:lineRule="auto"/>
        <w:rPr>
          <w:sz w:val="20"/>
          <w:szCs w:val="20"/>
          <w:color w:val="auto"/>
        </w:rPr>
      </w:pPr>
      <w:r>
        <w:rPr>
          <w:rFonts w:ascii="Arial" w:cs="Arial" w:eastAsia="Arial" w:hAnsi="Arial"/>
          <w:sz w:val="15"/>
          <w:szCs w:val="15"/>
          <w:color w:val="auto"/>
        </w:rPr>
        <w:t>“Over our decade-long relationship with Presto, our confidence in the company, its management, and its top-tier technology has only grown. We believe this deal will accelerate Presto’s growth as the marquee provider of technology solutions that empower the restaurant and hospitality industries during this unique moment in time.”</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Key Transaction Terms</w:t>
      </w:r>
    </w:p>
    <w:p>
      <w:pPr>
        <w:spacing w:after="0" w:line="24"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auto"/>
        </w:rPr>
        <w:t>Pursuant to the business combination, Ventoux will acquire the Company through a reverse merger. The business combination values the Company at approximately $1.04 billion pro forma equity value, at $10.00 per share. The transaction will be funded by cash from the Ventoux trust account of approximately $172.5 million, assuming no redemptions by Ventoux’s stockholders, and $70 million of gross proceeds from the issuance of equity and convertible financings in the PIPE transaction. Following the transaction and after the payment of transaction expenses, the Company is expected to add over $223.3 million of cash to its balance sheet, assuming no redemptions. Assuming no redemptions of Ventoux’s shares, the current holders of the Company’s securities will hold approximately 77% of the issued and outstanding shares of common stock immediately following the close of the transaction.</w:t>
      </w:r>
    </w:p>
    <w:p>
      <w:pPr>
        <w:spacing w:after="0" w:line="171"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The boards of directors of both the Company and Ventoux have unanimously approved the proposed business combination, which is expected to be completed in the first half of 2022, subject to, among other things, the approval by Ventoux’s stockholders, satisfaction of the conditions stated in the definitive agreement, including regulatory approvals, and other customary closing conditions, including a registration statement being declared effective by the U.S. Securities and Exchange Commission (the “SEC”).</w:t>
      </w:r>
    </w:p>
    <w:p>
      <w:pPr>
        <w:spacing w:after="0" w:line="127"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Additional information about the proposed transaction, including a copy of the merger agreement and investor presentation, will be provided in a Current Report on Form 8-K to be filed by Ventoux with the SEC and available at www.sec.gov. Additional information about the proposed transaction will be described in Ventoux’s registration statement relating to the merger, which it will file with the SEC.</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Advisors</w:t>
      </w:r>
    </w:p>
    <w:p>
      <w:pPr>
        <w:spacing w:after="0" w:line="24" w:lineRule="exact"/>
        <w:rPr>
          <w:sz w:val="20"/>
          <w:szCs w:val="20"/>
          <w:color w:val="auto"/>
        </w:rPr>
      </w:pPr>
    </w:p>
    <w:p>
      <w:pPr>
        <w:jc w:val="both"/>
        <w:ind w:left="4" w:right="20"/>
        <w:spacing w:after="0" w:line="285" w:lineRule="auto"/>
        <w:rPr>
          <w:sz w:val="20"/>
          <w:szCs w:val="20"/>
          <w:color w:val="auto"/>
        </w:rPr>
      </w:pPr>
      <w:r>
        <w:rPr>
          <w:rFonts w:ascii="Arial" w:cs="Arial" w:eastAsia="Arial" w:hAnsi="Arial"/>
          <w:sz w:val="14"/>
          <w:szCs w:val="14"/>
          <w:color w:val="auto"/>
        </w:rPr>
        <w:t>Jefferies LLC is acting as exclusive financial advisor and exclusive capital markets advisor to Presto, and White &amp; Case LLP is acting as legal advisor to Presto. Chardan and William Blair &amp; Company, L.L.C. are acting as financial advisors to Ventoux. Woolery &amp; Co. PLLC and Dentons US LLP are acting as legal advisors to Ventoux. William Blair</w:t>
      </w:r>
    </w:p>
    <w:p>
      <w:pPr>
        <w:ind w:left="4" w:right="20" w:hanging="4"/>
        <w:spacing w:after="0" w:line="258" w:lineRule="auto"/>
        <w:tabs>
          <w:tab w:leader="none" w:pos="16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Company, L.L.C., Truist Securities, Inc. and Chardan are acting as placement agents for the PIPE financing and as capital markets advisors, and Mayer Brown, LLP is acting as legal advisor to the placement agents.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Webcast</w:t>
      </w:r>
    </w:p>
    <w:p>
      <w:pPr>
        <w:spacing w:after="0" w:line="24" w:lineRule="exact"/>
        <w:rPr>
          <w:sz w:val="20"/>
          <w:szCs w:val="20"/>
          <w:color w:val="auto"/>
        </w:rPr>
      </w:pPr>
    </w:p>
    <w:p>
      <w:pPr>
        <w:jc w:val="both"/>
        <w:ind w:left="4" w:right="20"/>
        <w:spacing w:after="0" w:line="252" w:lineRule="auto"/>
        <w:rPr>
          <w:sz w:val="20"/>
          <w:szCs w:val="20"/>
          <w:color w:val="auto"/>
        </w:rPr>
      </w:pPr>
      <w:r>
        <w:rPr>
          <w:rFonts w:ascii="Arial" w:cs="Arial" w:eastAsia="Arial" w:hAnsi="Arial"/>
          <w:sz w:val="16"/>
          <w:szCs w:val="16"/>
          <w:color w:val="auto"/>
        </w:rPr>
        <w:t>Management of the Company and Ventoux will discuss the proposed business combination on a conference call. A recording of the call can be accessed at www.presto.com/investor-relations, or directly here. A transcript of the conference call will be filed by Ventoux with SEC and available on the SEC’s website at www.sec.gov. In addition, Ventoux intends to file a registration statement on Form S-4 with the SEC, which will include a proxy statement/prospectus of Ventoux, and will file other documents regarding the proposed transaction with the SEC.</w:t>
      </w:r>
    </w:p>
    <w:p>
      <w:pPr>
        <w:spacing w:after="0" w:line="3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5" w:right="319" w:bottom="1440" w:gutter="0" w:footer="0" w:header="0"/>
        </w:sectPr>
      </w:pPr>
    </w:p>
    <w:bookmarkStart w:id="350" w:name="page351"/>
    <w:bookmarkEnd w:id="350"/>
    <w:p>
      <w:pPr>
        <w:spacing w:after="0"/>
        <w:rPr>
          <w:sz w:val="20"/>
          <w:szCs w:val="20"/>
          <w:color w:val="auto"/>
        </w:rPr>
      </w:pPr>
      <w:r>
        <w:rPr>
          <w:rFonts w:ascii="Arial" w:cs="Arial" w:eastAsia="Arial" w:hAnsi="Arial"/>
          <w:sz w:val="16"/>
          <w:szCs w:val="16"/>
          <w:b w:val="1"/>
          <w:bCs w:val="1"/>
          <w:color w:val="auto"/>
        </w:rPr>
        <w:t>About Presto</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Presto overlays next-gen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at M.I.T. in 2008, Presto is headquartered in Silicon Valley, Calif. with customers including many of the top 20 restaurant chains in the U.S.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Ventoux CCM Acquisition Corp.</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Ventoux is a special purpose acquisition company formed for the purpose of effecting a merger, capital stock exchange, asset acquisition, stock purchase, reorganization or similar business combination with one or more businesses. VTAQ began trading on the Nasdaq on December 23, 2020 following its initial public offering. Its shares of common stock, units, warrants and rights trade under the ticker symbols VTAQ, VTAQU, VTAQW, and VTAQR respectively. VTAQ is co-sponsored by Ventoux Acquisition Holdings and an affiliate of Chardan Capital International.</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24"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Solicitation</w:t>
      </w:r>
    </w:p>
    <w:p>
      <w:pPr>
        <w:spacing w:after="0" w:line="2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1" w:name="page352"/>
    <w:bookmarkEnd w:id="351"/>
    <w:p>
      <w:pPr>
        <w:spacing w:after="0"/>
        <w:rPr>
          <w:sz w:val="20"/>
          <w:szCs w:val="20"/>
          <w:color w:val="auto"/>
        </w:rPr>
      </w:pPr>
      <w:r>
        <w:rPr>
          <w:rFonts w:ascii="Arial" w:cs="Arial" w:eastAsia="Arial" w:hAnsi="Arial"/>
          <w:sz w:val="16"/>
          <w:szCs w:val="16"/>
          <w:b w:val="1"/>
          <w:bCs w:val="1"/>
          <w:color w:val="auto"/>
        </w:rPr>
        <w:t>Forward-Looking Statements</w:t>
      </w:r>
    </w:p>
    <w:p>
      <w:pPr>
        <w:spacing w:after="0" w:line="24" w:lineRule="exact"/>
        <w:rPr>
          <w:sz w:val="20"/>
          <w:szCs w:val="20"/>
          <w:color w:val="auto"/>
        </w:rPr>
      </w:pPr>
    </w:p>
    <w:p>
      <w:pPr>
        <w:jc w:val="both"/>
        <w:ind w:right="20"/>
        <w:spacing w:after="0" w:line="269" w:lineRule="auto"/>
        <w:rPr>
          <w:sz w:val="20"/>
          <w:szCs w:val="20"/>
          <w:color w:val="auto"/>
        </w:rPr>
      </w:pPr>
      <w:r>
        <w:rPr>
          <w:rFonts w:ascii="Arial" w:cs="Arial" w:eastAsia="Arial" w:hAnsi="Arial"/>
          <w:sz w:val="15"/>
          <w:szCs w:val="15"/>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2" w:name="page353"/>
    <w:bookmarkEnd w:id="352"/>
    <w:p>
      <w:pPr>
        <w:jc w:val="both"/>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For Presto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Rajul Misra &amp; Brian Ruby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media@presto.com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(650) 817-9012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Ryan Gardella &amp; Michael Bowen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investor@presto.com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For Ventoux CCM Acquisition Corp.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Brock Strasbourger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brock@ventouxccm.com</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(970) 948-9787</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3" w:name="page354"/>
    <w:bookmarkEnd w:id="353"/>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59797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03440" cy="597979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6265545</wp:posOffset>
            </wp:positionV>
            <wp:extent cx="7148195" cy="152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654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7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6242685</wp:posOffset>
            </wp:positionV>
            <wp:extent cx="7148195"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03440" cy="5850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50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0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03440" cy="5850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6257925</wp:posOffset>
            </wp:positionV>
            <wp:extent cx="7148195" cy="152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57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03440" cy="5857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407035</wp:posOffset>
            </wp:positionV>
            <wp:extent cx="7203440" cy="58654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03440" cy="5865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5" w:name="page396"/>
    <w:bookmarkEnd w:id="395"/>
    <w:p>
      <w:pPr>
        <w:jc w:val="right"/>
        <w:spacing w:after="0"/>
        <w:rPr>
          <w:sz w:val="20"/>
          <w:szCs w:val="20"/>
          <w:color w:val="auto"/>
        </w:rPr>
      </w:pPr>
      <w:r>
        <w:rPr>
          <w:rFonts w:ascii="Arial" w:cs="Arial" w:eastAsia="Arial" w:hAnsi="Arial"/>
          <w:sz w:val="16"/>
          <w:szCs w:val="16"/>
          <w:b w:val="1"/>
          <w:bCs w:val="1"/>
          <w:color w:val="auto"/>
        </w:rPr>
        <w:t>Exhibit 99.3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Presto and Ventoux Conference Call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11.10.21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Hello everyone, and welcome to the Presto and Ventoux Conference Call. We appreciate everyone joining us today.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The information discussed today is qualified in its entirety by the information contained in the Form 8-K, including the exhibits thereto, that is being filed by Ventoux today with the SEC, which may be accessed on the SEC’s website at www.sec.gov. In conjunction with today’s discussion we will be referring to an investor presentation, a copy of which is being filed as an exhibit to the aforementioned Form 8-K. You are encouraged to carefully review the disclaimers included therein. Please note that this call has been prerecorded and so a Q&amp;A session will not be conducted as part of today’s presentation. Before we begin, I would like to note that this call may contain forward-looking statements, including Ventoux’s and Presto’s expectations of future financial and business performance and conditions, the industry outlook and the timing and completion of the transaction. Forward-looking statements are inherently subject to risks, uncertainties and assumptions, and they are not guarantees of performance. You are encouraged to read the Form 8-K and the accompanying press release and investor presentation, as well as Ventoux’s other filings with the SEC for a discussion of the risks that can affect the business combination and the business of Presto after completion of the proposed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 CEO and Founder, Presto:</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Hi, everyone. Good to meet you. I'm Raj Suri, founder and CEO of Presto. I'm also joined today by Ashish Gupta, our CFO. I'm thrilled today to have the opportunity to share my life's work with you, and the story of Presto. So before I jump into it, I'd like to pass it over to the Ventoux team to give a brief overview of the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 SCHEETZ</w:t>
      </w:r>
      <w:r>
        <w:rPr>
          <w:rFonts w:ascii="Arial" w:cs="Arial" w:eastAsia="Arial" w:hAnsi="Arial"/>
          <w:sz w:val="16"/>
          <w:szCs w:val="16"/>
          <w:color w:val="auto"/>
        </w:rPr>
        <w:t>, CEO, Ventoux CCM:</w:t>
      </w:r>
    </w:p>
    <w:p>
      <w:pPr>
        <w:spacing w:after="0" w:line="20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Great, thanks Raj. Good morning all, my name is Ed Scheetz, I am the CEO of Ventoux. My partners and I have deep hospitality experience, not just in investing but actually operating businesses, I’ve run two hotel companies, one of which I took public and coming from this background and seeing the trends that were only accelerated by COVID, one of the main investment themes we focused on was the effect of labor shortages and permanently higher labor costs on our industries. The industry has historically relied on plentiful, low cost labor, and that has changed permanently. Hospitality companies, and restaurant companies in particular, have no choice but to substitute technology for labor and labor efficiencies- their prosperity and even their very survival demands this. We looked at many restaurant and hospitality tech businesses, and many were niche or single product businesses and literally none had a track record of selling to large enterprises except for Presto. While looking at many other opportunities, we always came back to Presto, and then we saw an incredible increase in the demand for their products from the largest restaurant companies in the world, in Raj we saw a visionary leader with over a decade of experience building the company, best in class products for the industry, and an incredible team. Raj will walk through the current lineup of products targeting enterprise restaurants, and in conclusion Presto is literally the only company with enterprise grade solutions tailored to the issues facing the restaurant industry today and in the future. We are very excited to partner with Presto.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7148195" cy="152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6" w:name="page397"/>
    <w:bookmarkEnd w:id="396"/>
    <w:p>
      <w:pPr>
        <w:jc w:val="both"/>
        <w:spacing w:after="0" w:line="258" w:lineRule="auto"/>
        <w:rPr>
          <w:sz w:val="20"/>
          <w:szCs w:val="20"/>
          <w:color w:val="auto"/>
        </w:rPr>
      </w:pPr>
      <w:r>
        <w:rPr>
          <w:rFonts w:ascii="Arial" w:cs="Arial" w:eastAsia="Arial" w:hAnsi="Arial"/>
          <w:sz w:val="16"/>
          <w:szCs w:val="16"/>
          <w:color w:val="auto"/>
        </w:rPr>
        <w:t>I’ll give you a quick overview of the transaction. The fully diluted equity valuation of $815 million is very attractive, 100% of Presto’s shareholders are rolling their equity, and there are no secondaries as part of this transaction. We’ve raised over $70 million in addition to our approximately $175 million cash in trust. The $240 million plus from the PIPE and the trust are ample to fund Presto’s plan. The company burns relatively little cash, so most of the cash will go to new growth initiatives and M&amp;A. And now I’ll turn it back to Raj to tell you more about Presto.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Great, thanks Ed. So let's start with some background on myself and the journey of Presto. It's been over 12 years now, since the fateful day I founded Presto. I actually had the idea at a restaurant dining table when I was a PhD engineering student at MIT, after finishing a meal with other engineers in my class, we struggled to split a check between seven of us and it ended up being an epic struggle. The bill was super complex and took us much longer than it should have. We just got to this point where it became a bad joke. How many more MIT engineers does it take to figure out how to split a check? What I realized at that point was that the restaurant experience hadn't changed in decades. It felt inevitable to me that this was the time for technology to digitize the industry. So I decided there and then, I actually announced it the dining table to drop out of my program and take a job as a waiter and really immerse myself in the restaurant industry.</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 one believed me, especially in the depths of the 2008-2009 financial crisis. I spent the next year and a half inside restaurants working in the industry and learning what products to develop, to move the industry forward into the modern era. Our first product was inspired by my dining experience from Hell: it was a software solution on a tablet that guests could use to self serve at the table. Little did I know that it would really help to solve the labor crisis in the country many, many years later. So eventually we got funded out in Silicon valley by some top investors and we moved out here. We landed big enterprise deals with some of the largest chains in the world. Applebee's, Red Lobster, Outback Steakhouse, Chili's, Taco Bell and more, which led us to about 300% revenue growth since early 2019. Additionally, we're also engaging with other major brands, like McDonald's, Panda Express, and many others- partnerships that will propel our growth for many years to come.</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And in the restaurant market today, we are very well positioned as one of the market leaders in the enterprise automation space. Throughout this time, we continue to develop and roll out a complete AI driven product line with Touch, Vision and Voice digital automation solutions that we are excited to share with you today. Before I move into their presentation, I'm also proud to announce that our pipe has been successfully raised with some notable restaurant enterprise industry leaders and Presto customers already committing to participate folks like Greg Flynn, Kim Lopdrup, and Jeff Jones who run thousands of stores like Taco Bell, Pizza Hut, Arby's, Outback Steakhouse, Red Lobster, and many others you've heard of are participating in our PIPE. Also Presto insiders are also participating in the PIPE, including myself personally. I think the strong insider, as well as customer participation shows that folks who know this company truly believe in the future of restaurant automation.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97" w:name="page398"/>
    <w:bookmarkEnd w:id="397"/>
    <w:p>
      <w:pPr>
        <w:jc w:val="both"/>
        <w:spacing w:after="0" w:line="254" w:lineRule="auto"/>
        <w:rPr>
          <w:sz w:val="20"/>
          <w:szCs w:val="20"/>
          <w:color w:val="auto"/>
        </w:rPr>
      </w:pPr>
      <w:r>
        <w:rPr>
          <w:rFonts w:ascii="Arial" w:cs="Arial" w:eastAsia="Arial" w:hAnsi="Arial"/>
          <w:sz w:val="16"/>
          <w:szCs w:val="16"/>
          <w:color w:val="auto"/>
        </w:rPr>
        <w:t>So why is restaurant automation so important? Why are all these people getting involved? It's because it's impossible to ignore that labor has been very scarce in North America. For several years, it's been driving up cost and leaving a huge amount of jobs unfilled. Right now we can see in this country that restaurants are not able to open all the sections they would like to open and serve as many guests as they would like because labor is more scarce than it ever has been in this country. And so the labor problems are reducing sales for the industry and forcing restaurants to shut down. And in addition, the rise of flexible gig economy, jobs like Instacart, Uber, DoorDash, and Lyft, as well as well as the increasing prevalence of Amazon and Walmart warehouse jobs, it means that low wage labor have plenty of options and restaurants have forever lost their competitive edge as a haven for the low wage worker.</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Indeed a huge number of people, 1.5 million people, have permanently left the restaurant workforce this last year with little intention of ever returning. That's almost 12%, according to the Bureau of Labor Statistics. This is a major headwind for this industry that Presto is perfectly positioned to tackle. So the restaurant industry actually ends up being one of the largest employers in the world spending over $170 billion in labor annually. The labor line is ballooning out of control, forcing industries to spend more on technology and automation. This is a massive opportunity- $170 billion is the size of the prize for Presto. Let me now tell you three reasons why Presto in particular is ideally positioned here to take advantage of these historic macro trends. One, we're the leader in our space, or rather one of the main leaders in this space, working with most of the top brands already, which we believe de-risks us as their preferred enterprise provider for all brands.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McDonald's knows that we've successfully been taking care of other large customers, such as Brinker, Outback, etcetera, for several years, with very high renewal rates, they know we can deliver what large enterprises need and gives them the confidence to implement with Presto. Number two, we are also integrated with the majority of legacy technologies that these brands already use. This simplifies their buying decision, reduces the cost of ownership and speeds up time to market for our solutions. Number three, unlike other enterprise providers like NCR and Oracle, which are seen as slow and lumbering dinosaurs, Presto is still a founder driven up and comer with a culture centered on innovation and agility. We take great pride in having a modern next gen suite of products that are each best in their class. So let's talk some key numbers about Presto. What I think makes Presto an attractive investment beyond just our growth in our TAM and our product market fit, is that we have extremely high retention rates as well as very strong upsell conversion rates.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That's why we have a world-class 190% net revenue retention, even during a COVID affected year. When customers deploy our tech to their stores, they transform their entire labor model, which makes our solution very sticky and difficult to remove. And because we’ve done all the hard work of understanding their business and integrating with their unique tech stack, we're well positioned to expand with each customer leading to a net revenue retention of well over 100%. Presto’s product strategy is super simple. We take cutting edge Silicon valley technologies and apply them to solving problems for the enterprise restaurant sector, a bridge that virtually no other company has built. This means we're automating restaurant operations by using next gen software, powering touch, vision, and voice solutions. Think of the unique combinations here, on one side, we have advanced AI cloud services and on the other side, deep integration to legacy restaurant systems on the backend. It's like having an iPhone in the front and then MS DOS in the back. It's a very unique combination that’s extremely difficult to architect.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8" w:name="page399"/>
    <w:bookmarkEnd w:id="398"/>
    <w:p>
      <w:pPr>
        <w:jc w:val="both"/>
        <w:spacing w:after="0" w:line="301" w:lineRule="auto"/>
        <w:rPr>
          <w:sz w:val="20"/>
          <w:szCs w:val="20"/>
          <w:color w:val="auto"/>
        </w:rPr>
      </w:pPr>
      <w:r>
        <w:rPr>
          <w:rFonts w:ascii="Arial" w:cs="Arial" w:eastAsia="Arial" w:hAnsi="Arial"/>
          <w:sz w:val="14"/>
          <w:szCs w:val="14"/>
          <w:color w:val="auto"/>
        </w:rPr>
        <w:t>Our touch products involve smartphone, tablet, and kiosk software, allowing for commercial transactions in a variety of different physical configurations. For example, the next time you go to an Outback, you may notice a staff member taking your order from the table, using the Presto server system handheld solution, saving the staff member a trip to the POS station. Or you may stop by a BJ's Brewhouse and quickly order your own beer by scanning a Presto QR code at the table, or you may place a curbside order at Chili's and they will process your payment in the car with a terminal using Presto Payments. All of these have the impact of speeding up service and increasing labor productivity by taking out mundane tasks for the staff. And Outback is an example where we were able to double the labor productivity overnight with our order and pay at table solutions.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did this by eliminating unnecessary trips and allowing the staff member to cover twice as many tables going from four tables per server to eight tables per server when using our technology. Which actually makes a staff member more tips and makes them less likely to quit and take a job at Door Dash, for example. This new coverage ratio was achieved while still improving guest experience, and with half as many staff, the restaurant was able to expand net operating margins by 170 basis points, which is just huge for them. Everyone wins guests, staff and management. And there are a huge number of these stories across our install base, which spans many thousands of units across some of the most famous and storied brands in the world.</w:t>
      </w:r>
    </w:p>
    <w:p>
      <w:pPr>
        <w:spacing w:after="0" w:line="170"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Let's talk about computer vision. What is computer vision? It's AI powered software that intelligently translates images in the physical world to something digital that can be understood by software. Its the same technology used by self-driving cars and Amazon Go’s cashless convenience store. If you watch tennis or the Olympics, there are computer vision systems that detect if the balls or the shuttlecock is in or out when it's difficult for humans to do so. Our proprietary Presto vision software can identify key gaps in service in restaurants, as well as opportunities for operational improvements, either real-time or aggregated across many restaurants. For example, our software powers cameras that recognize that John has entered a drive through, for example, and he likes a burger with pickles on the side and triple extra mayo. So when he gets to the order point, the integrated digital menu board already has his favorites displayed. Not only that, we know that John has ordered a chocolate shake six out of his last ten visits. So he might be tempted to get another one if we display the upsell opportunity exactly at the right time. With this solution, the guest gets a faster and more personalized experience and the restaurant gets more cars per hour going through the drive through as well as more dollars per car. Everyone wins.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9" w:name="page400"/>
    <w:bookmarkEnd w:id="399"/>
    <w:p>
      <w:pPr>
        <w:jc w:val="both"/>
        <w:spacing w:after="0" w:line="276" w:lineRule="auto"/>
        <w:rPr>
          <w:sz w:val="20"/>
          <w:szCs w:val="20"/>
          <w:color w:val="auto"/>
        </w:rPr>
      </w:pPr>
      <w:r>
        <w:rPr>
          <w:rFonts w:ascii="Arial" w:cs="Arial" w:eastAsia="Arial" w:hAnsi="Arial"/>
          <w:sz w:val="15"/>
          <w:szCs w:val="15"/>
          <w:color w:val="auto"/>
        </w:rPr>
        <w:t>To put this in context, approximately 65% of U.S. sales come from drive through, representing a massive opportunity with large customers like McDonald's, Taco Bell, and KFC. Computer vision also has other applications like detecting if orders are being made incorrectly in a busy kitchen. Here's an example of a partner we're working with who told us that 10% to 15% of restaurant orders are made incorrectly- and the cost impact of these could be devastating. For each incorrect order there are refunds, labor costs, and remakes of that food and a guest who may never return. The problem is even more acute with the increase in off premise orders. Customer vision can detect an order being made incorrectly, saying two big Macs are added to an order versus three and alert staff about the problem before the order goes to the customer.</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Presto Voice is our automated assistant for taking orders at restaurants using an automated assistant means restaurants can not only reduce their labor costs, but also maintain greater control of their guest experience and upsells. A major problem with low wage staff is a lack of consistency, and that is where an automated system shines. Our technology maintains an impressive 95% success rate with automated order processing.</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Let me talk to you about our growth strategy for a minute. We've had a lot of success with our land and expand playbook. Presto has been able to get in the door at large chains with just a single product, at a limited number of stores and over a very short period of time, expand both with additional products and with additional stores and then additional geographies, converting a very small footprint to a very large one very quickly. Because our products are all tightly integrated with each other there's a lot of benefit in [00:14:00] companies adopting our entire platform. For example, Presto Voice assistant upsells more intelligently if the restaurant also uses Presto Vision to identify the customer. And, Presto Vision for example, can read a license plate and charge credit cards on file, allowing you to skip the payment step altogether. Here’s an example where we went from a few stores with a customer like Chilis to over a thousand in a space of just four quarters. We started with just a handful of stores and then within a few quarters, we got to an entire install base of Chili's corporate. Red Lobster is another example where a customer expanded first in the U.S. and then liked our product so much that they expanded to another country, in this case, Canada, and we've been able to expand geographically with several customers like this.</w:t>
      </w:r>
    </w:p>
    <w:p>
      <w:pPr>
        <w:spacing w:after="0" w:line="15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Presto has a purpose-built team, as well, for this opportunity. We have deep experience in restaurant technology amongst the C-level team, amongst just the five of us, for example, there are several decades of experience in this vertical, and there's also an extensive background in SaaS and AI. I'm now going to turn it over to Ashish for the financial section.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ASHISH GUPTA</w:t>
      </w:r>
      <w:r>
        <w:rPr>
          <w:rFonts w:ascii="Arial" w:cs="Arial" w:eastAsia="Arial" w:hAnsi="Arial"/>
          <w:sz w:val="16"/>
          <w:szCs w:val="16"/>
          <w:color w:val="auto"/>
        </w:rPr>
        <w:t>, CFO, Presto:</w:t>
      </w:r>
    </w:p>
    <w:p>
      <w:pPr>
        <w:spacing w:after="0" w:line="20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Thanks Raj. I’ll next talk a bit about Presto's key metrics and financial profile. There's a couple of key themes I want to touch on. First, Presto is a SaaS software play, a high growth business at scale with opportunities for greater than a $100 million in revenue in the near term with both a predictable revenue model, 99% [00:15:30] recurring and reoccurring revenue, and a sustainable growth engine fueled by multiple vectors of growth. Also a very sticky book of revenue with three year customer contracts and 119% net revenue retention, even during COVID as Raj pointed out. Lastly, what excites us even more is the tremendous opportunity in front of us. We estimate that we have a $1.6 billion pipeline leading to a weighted sales pipe of $234 million. That's a 7x pipeline coverage.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0" w:name="page401"/>
    <w:bookmarkEnd w:id="400"/>
    <w:p>
      <w:pPr>
        <w:jc w:val="both"/>
        <w:ind w:right="20"/>
        <w:spacing w:after="0" w:line="273" w:lineRule="auto"/>
        <w:rPr>
          <w:sz w:val="20"/>
          <w:szCs w:val="20"/>
          <w:color w:val="auto"/>
        </w:rPr>
      </w:pPr>
      <w:r>
        <w:rPr>
          <w:rFonts w:ascii="Arial" w:cs="Arial" w:eastAsia="Arial" w:hAnsi="Arial"/>
          <w:sz w:val="15"/>
          <w:szCs w:val="15"/>
          <w:color w:val="auto"/>
        </w:rPr>
        <w:t>As Raj highlighted the macro landscape that’s fueling sector wide labor shortages, hiring bonuses and increasing minimum wages have created very favorable tailwinds for us. And as such, we actually grew our store footprint even after COVID first hit in 2020 when the sector was directly impacted. And now coming out of COVID, we’ve already signed several new deals and accelerated expansion of others in the last quarter and more than doubled the size of our sales pipeline, all while maintaining our greater than 100 percent net revenue retention. We have a line of sight to robust revenue growth to over a $100 million in two years, with the strength of our sales pipeline evidenced earlier, and multiple new products and use cases in Vision, Voice and Touch, which appeal to a broad array of customers across both the casual dining and QSR segments. These new products lead to a mix shift, with even more recurring platform revenue than transaction, the latter being more entertainment applications. And part of our revenue layer cake is also for sure our industry leading and net revenue retention number.</w:t>
      </w:r>
    </w:p>
    <w:p>
      <w:pPr>
        <w:spacing w:after="0" w:line="156"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We believe the focus on mix shift on driving platform revenue will naturally accelerate our margin profile by about 25 percentage points over the next two years in part from scale efficiencies, also our Voice and Vision product lines, and increasing the platform mix. In regards to our pipeline, just to talk about that a little bit, we estimate we have a robust $1.6 billion raw sales pipeline across 30 named logos, which captures 120,000 locations. All very recognizable household names. Further, more than half our pipeline is comprised of very large tier one enterprise chains, each with greater than 2000 stores, that gives us multiple pathways to hit our forecast that I want to double-click on just a bit. And several of these are already in pilot. As a result, we have significant upside potential to our forecast. So for example, taking just two such tier one logos, both of which are currently signed pilots, we estimate that just a 25% penetration on these means we should get north of $27 million more in revenue for 2023 and a $100 million above our forecast if we get 75% penetration, which historically has been the norm for us when you look at our existing customer logos.</w:t>
      </w:r>
    </w:p>
    <w:p>
      <w:pPr>
        <w:spacing w:after="0" w:line="15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This year-over-year revenue bridge demonstrates how achievable our forecast is, as an example, Raj talked about McDonald's. So the total ARR opportunity with McDonald's is a $100 million and just 23% penetration there, alone, with no other new customers, should get us to our next year’s target. Similarly only 28% penetration of the $82 million ARR opportunity at Yum Brands with no other new customers gets us to our next year's target. As such, we think there's a lot of upside for us to outperform our projection. Pulling everything together, when you look at our projections, a couple of things I want to highlight. At a macro level, we have a high, robust high growth engine and expect to turn the corner to profitability by the middle of 2023. Further, very little of the cash from this transaction is used for working capital, leaving it for investment in new products, growth initiatives, and M&amp;A. And in fact, our forecast does not reflect upside from international or from M&amp;A, and we think those are big opportunities in their own right, as we take in more capital in this process. I'll now turn it over to Prasad from the Ventoux team to talk about the transaction pricing and peer benchmarks.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401" w:name="page402"/>
    <w:bookmarkEnd w:id="401"/>
    <w:p>
      <w:pPr>
        <w:spacing w:after="0"/>
        <w:rPr>
          <w:sz w:val="20"/>
          <w:szCs w:val="20"/>
          <w:color w:val="auto"/>
        </w:rPr>
      </w:pPr>
      <w:r>
        <w:rPr>
          <w:rFonts w:ascii="Arial" w:cs="Arial" w:eastAsia="Arial" w:hAnsi="Arial"/>
          <w:sz w:val="16"/>
          <w:szCs w:val="16"/>
          <w:b w:val="1"/>
          <w:bCs w:val="1"/>
          <w:color w:val="auto"/>
        </w:rPr>
        <w:t>PRASAD PHATAK</w:t>
      </w:r>
      <w:r>
        <w:rPr>
          <w:rFonts w:ascii="Arial" w:cs="Arial" w:eastAsia="Arial" w:hAnsi="Arial"/>
          <w:sz w:val="16"/>
          <w:szCs w:val="16"/>
          <w:color w:val="auto"/>
        </w:rPr>
        <w:t>, CIO, Ventoux CCM:</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Thanks, Ashish. Good morning. My name is Prasad Phatak and I am the Chief Investment Officer of Ventoux CCM. I wanted to walk everyone through how we're thinking about Presto's valuation and positioning versus peers. [00:20:00] As we thought about the peer group, we wanted to identify companies with similar characteristics to Presto, namely software type business models with high recurring revenue, strong incremental margins, and low capital intensity. In the restaurant space, we selected Lightspeed, Olo and Toast as comparables. In addition, we looked at a number of high growth software businesses, as we see Presto being the one-stop shop for enterprise restaurant software going forward. As you can see on the next slide, Presto's revenue growth is very attractive relative to both sets of peers for the next two years, driven by many of the tailwinds we've already discussed: the labor shortage, increased restaurant tech spend and increased desire to improve order accuracy and speed of service as off premise consumption has been accelerated in the post pandemic world.</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Revenue growth for Presto is significant, aided by voice and vision products that have significantly expanded the TAM for the company. These figures also exclude any international expansion or potential M&amp;A. On gross margins, Presto is in line with peers and we expect margins to improve in the future. [00:21:00] Upon contract renewal Presto should generate significant software like gross margins driving overall margins up over time. On slide 36, we have revenue multiples laid out graphically. At the deal valuation, Presto is at a significant discount to both peer groups. Adjusted for the significant projected growth, Presto's discount versus the peer group is even more pronounced. Finally, Presto is at an approximately 98% discount on 2023 expected revenue versus the selected peers. I'll send it back to Raj to recap.</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RAJ SURI</w:t>
      </w:r>
      <w:r>
        <w:rPr>
          <w:rFonts w:ascii="Arial" w:cs="Arial" w:eastAsia="Arial" w:hAnsi="Arial"/>
          <w:sz w:val="16"/>
          <w:szCs w:val="16"/>
          <w:color w:val="auto"/>
        </w:rPr>
        <w:t>:</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Thanks, Prasad. So Presto is at the right place at the right time for this industry. Over 12 years of building, we've earned our position as a market leader on labor automation and solutions at the exact same time that labor is the number one priority for restaurants. So I hope you will join us on this journey. It's going to be rewarding for you, and your family and friends will be thanking you every time they go out to eat for decades to come. Thank you all.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40"/>
      </w:cols>
      <w:pgMar w:left="320" w:top="8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1"/>
      <w:numFmt w:val="upperLetter"/>
      <w:start w:val="35"/>
    </w:lvl>
  </w:abstractNum>
  <w:abstractNum w:abstractNumId="3">
    <w:nsid w:val="52D7B105"/>
    <w:multiLevelType w:val="hybridMultilevel"/>
    <w:lvl w:ilvl="0">
      <w:lvlJc w:val="left"/>
      <w:lvlText w:val="(%1)"/>
      <w:numFmt w:val="lowerRoman"/>
      <w:start w:val="4"/>
    </w:lvl>
  </w:abstractNum>
  <w:abstractNum w:abstractNumId="4">
    <w:nsid w:val="2E8A6394"/>
    <w:multiLevelType w:val="hybridMultilevel"/>
    <w:lvl w:ilvl="0">
      <w:lvlJc w:val="left"/>
      <w:lvlText w:val="(%1)"/>
      <w:numFmt w:val="lowerRoman"/>
      <w:start w:val="4"/>
    </w:lvl>
  </w:abstractNum>
  <w:abstractNum w:abstractNumId="5">
    <w:nsid w:val="24E60401"/>
    <w:multiLevelType w:val="hybridMultilevel"/>
    <w:lvl w:ilvl="0">
      <w:lvlJc w:val="left"/>
      <w:lvlText w:val="†"/>
      <w:numFmt w:val="bullet"/>
      <w:start w:val="1"/>
    </w:lvl>
    <w:lvl w:ilvl="1">
      <w:lvlJc w:val="left"/>
      <w:lvlText w:val="*"/>
      <w:numFmt w:val="bullet"/>
      <w:start w:val="1"/>
    </w:lvl>
  </w:abstractNum>
  <w:abstractNum w:abstractNumId="6">
    <w:nsid w:val="2A6AD9BE"/>
    <w:multiLevelType w:val="hybridMultilevel"/>
    <w:lvl w:ilvl="0">
      <w:lvlJc w:val="left"/>
      <w:lvlText w:val="(%1)"/>
      <w:numFmt w:val="lowerLetter"/>
      <w:start w:val="1"/>
    </w:lvl>
  </w:abstractNum>
  <w:abstractNum w:abstractNumId="7">
    <w:nsid w:val="BAAC1B4"/>
    <w:multiLevelType w:val="hybridMultilevel"/>
    <w:lvl w:ilvl="0">
      <w:lvlJc w:val="left"/>
      <w:lvlText w:val="(%1)"/>
      <w:numFmt w:val="lowerRoman"/>
      <w:start w:val="9"/>
    </w:lvl>
  </w:abstractNum>
  <w:abstractNum w:abstractNumId="8">
    <w:nsid w:val="36B2ACBC"/>
    <w:multiLevelType w:val="hybridMultilevel"/>
    <w:lvl w:ilvl="0">
      <w:lvlJc w:val="left"/>
      <w:lvlText w:val="(%1)"/>
      <w:numFmt w:val="lowerRoman"/>
      <w:start w:val="2"/>
    </w:lvl>
  </w:abstractNum>
  <w:abstractNum w:abstractNumId="9">
    <w:nsid w:val="779D8544"/>
    <w:multiLevelType w:val="hybridMultilevel"/>
    <w:lvl w:ilvl="0">
      <w:lvlJc w:val="left"/>
      <w:lvlText w:val="(%1)"/>
      <w:numFmt w:val="lowerLetter"/>
      <w:start w:val="1"/>
    </w:lvl>
  </w:abstractNum>
  <w:abstractNum w:abstractNumId="10">
    <w:nsid w:val="4AB26E78"/>
    <w:multiLevelType w:val="hybridMultilevel"/>
    <w:lvl w:ilvl="0">
      <w:lvlJc w:val="left"/>
      <w:lvlText w:val="(%1)"/>
      <w:numFmt w:val="lowerLetter"/>
      <w:start w:val="5"/>
    </w:lvl>
  </w:abstractNum>
  <w:abstractNum w:abstractNumId="11">
    <w:nsid w:val="21FAA2FA"/>
    <w:multiLevelType w:val="hybridMultilevel"/>
    <w:lvl w:ilvl="0">
      <w:lvlJc w:val="left"/>
      <w:lvlText w:val="(%1)"/>
      <w:numFmt w:val="lowerLetter"/>
      <w:start w:val="1"/>
    </w:lvl>
  </w:abstractNum>
  <w:abstractNum w:abstractNumId="12">
    <w:nsid w:val="5451CF49"/>
    <w:multiLevelType w:val="hybridMultilevel"/>
    <w:lvl w:ilvl="0">
      <w:lvlJc w:val="left"/>
      <w:lvlText w:val="(%1)"/>
      <w:numFmt w:val="lowerLetter"/>
      <w:start w:val="1"/>
    </w:lvl>
  </w:abstractNum>
  <w:abstractNum w:abstractNumId="13">
    <w:nsid w:val="6181EF69"/>
    <w:multiLevelType w:val="hybridMultilevel"/>
    <w:lvl w:ilvl="0">
      <w:lvlJc w:val="left"/>
      <w:lvlText w:val="(%1)"/>
      <w:numFmt w:val="lowerLetter"/>
      <w:start w:val="1"/>
    </w:lvl>
  </w:abstractNum>
  <w:abstractNum w:abstractNumId="14">
    <w:nsid w:val="3E6400E6"/>
    <w:multiLevelType w:val="hybridMultilevel"/>
    <w:lvl w:ilvl="0">
      <w:lvlJc w:val="left"/>
      <w:lvlText w:val="(%1)"/>
      <w:numFmt w:val="lowerLetter"/>
      <w:start w:val="1"/>
    </w:lvl>
  </w:abstractNum>
  <w:abstractNum w:abstractNumId="15">
    <w:nsid w:val="14217E23"/>
    <w:multiLevelType w:val="hybridMultilevel"/>
    <w:lvl w:ilvl="0">
      <w:lvlJc w:val="left"/>
      <w:lvlText w:val="(%1)"/>
      <w:numFmt w:val="lowerLetter"/>
      <w:start w:val="2"/>
    </w:lvl>
  </w:abstractNum>
  <w:abstractNum w:abstractNumId="16">
    <w:nsid w:val="710757D0"/>
    <w:multiLevelType w:val="hybridMultilevel"/>
    <w:lvl w:ilvl="0">
      <w:lvlJc w:val="left"/>
      <w:lvlText w:val="(%1)"/>
      <w:numFmt w:val="lowerLetter"/>
      <w:start w:val="1"/>
    </w:lvl>
  </w:abstractNum>
  <w:abstractNum w:abstractNumId="17">
    <w:nsid w:val="5015CD1A"/>
    <w:multiLevelType w:val="hybridMultilevel"/>
    <w:lvl w:ilvl="0">
      <w:lvlJc w:val="left"/>
      <w:lvlText w:val="(%1)"/>
      <w:numFmt w:val="lowerLetter"/>
      <w:start w:val="1"/>
    </w:lvl>
  </w:abstractNum>
  <w:abstractNum w:abstractNumId="18">
    <w:nsid w:val="424479DA"/>
    <w:multiLevelType w:val="hybridMultilevel"/>
    <w:lvl w:ilvl="0">
      <w:lvlJc w:val="left"/>
      <w:lvlText w:val="(%1)"/>
      <w:numFmt w:val="lowerLetter"/>
      <w:start w:val="2"/>
    </w:lvl>
    <w:lvl w:ilvl="1">
      <w:lvlJc w:val="left"/>
      <w:lvlText w:val="(%2)"/>
      <w:numFmt w:val="lowerRoman"/>
      <w:start w:val="1"/>
    </w:lvl>
  </w:abstractNum>
  <w:abstractNum w:abstractNumId="19">
    <w:nsid w:val="1A9A9E69"/>
    <w:multiLevelType w:val="hybridMultilevel"/>
    <w:lvl w:ilvl="0">
      <w:lvlJc w:val="left"/>
      <w:lvlText w:val="(%1)"/>
      <w:numFmt w:val="lowerLetter"/>
      <w:start w:val="1"/>
    </w:lvl>
  </w:abstractNum>
  <w:abstractNum w:abstractNumId="20">
    <w:nsid w:val="475E256A"/>
    <w:multiLevelType w:val="hybridMultilevel"/>
    <w:lvl w:ilvl="0">
      <w:lvlJc w:val="left"/>
      <w:lvlText w:val="(%1)"/>
      <w:numFmt w:val="lowerLetter"/>
      <w:start w:val="1"/>
    </w:lvl>
  </w:abstractNum>
  <w:abstractNum w:abstractNumId="21">
    <w:nsid w:val="368DB37E"/>
    <w:multiLevelType w:val="hybridMultilevel"/>
    <w:lvl w:ilvl="0">
      <w:lvlJc w:val="left"/>
      <w:lvlText w:val="(%1)"/>
      <w:numFmt w:val="lowerLetter"/>
      <w:start w:val="1"/>
    </w:lvl>
  </w:abstractNum>
  <w:abstractNum w:abstractNumId="22">
    <w:nsid w:val="6A3B714C"/>
    <w:multiLevelType w:val="hybridMultilevel"/>
    <w:lvl w:ilvl="0">
      <w:lvlJc w:val="left"/>
      <w:lvlText w:val="%1"/>
      <w:numFmt w:val="lowerLetter"/>
      <w:start w:val="1"/>
    </w:lvl>
    <w:lvl w:ilvl="1">
      <w:lvlJc w:val="left"/>
      <w:lvlText w:val="(%2)"/>
      <w:numFmt w:val="lowerLetter"/>
      <w:start w:val="1"/>
    </w:lvl>
  </w:abstractNum>
  <w:abstractNum w:abstractNumId="23">
    <w:nsid w:val="327B517E"/>
    <w:multiLevelType w:val="hybridMultilevel"/>
    <w:lvl w:ilvl="0">
      <w:lvlJc w:val="left"/>
      <w:lvlText w:val="(%1)"/>
      <w:numFmt w:val="lowerLetter"/>
      <w:start w:val="9"/>
    </w:lvl>
    <w:lvl w:ilvl="1">
      <w:lvlJc w:val="left"/>
      <w:lvlText w:val="%2"/>
      <w:numFmt w:val="lowerLetter"/>
      <w:start w:val="1"/>
    </w:lvl>
  </w:abstractNum>
  <w:abstractNum w:abstractNumId="24">
    <w:nsid w:val="1F461B51"/>
    <w:multiLevelType w:val="hybridMultilevel"/>
    <w:lvl w:ilvl="0">
      <w:lvlJc w:val="left"/>
      <w:lvlText w:val="(%1)"/>
      <w:numFmt w:val="lowerLetter"/>
      <w:start w:val="1"/>
    </w:lvl>
  </w:abstractNum>
  <w:abstractNum w:abstractNumId="25">
    <w:nsid w:val="29BACF25"/>
    <w:multiLevelType w:val="hybridMultilevel"/>
    <w:lvl w:ilvl="0">
      <w:lvlJc w:val="left"/>
      <w:lvlText w:val="(%1)"/>
      <w:numFmt w:val="lowerLetter"/>
      <w:start w:val="1"/>
    </w:lvl>
  </w:abstractNum>
  <w:abstractNum w:abstractNumId="26">
    <w:nsid w:val="5D5BABB3"/>
    <w:multiLevelType w:val="hybridMultilevel"/>
    <w:lvl w:ilvl="0">
      <w:lvlJc w:val="left"/>
      <w:lvlText w:val="(%1)"/>
      <w:numFmt w:val="lowerLetter"/>
      <w:start w:val="1"/>
    </w:lvl>
  </w:abstractNum>
  <w:abstractNum w:abstractNumId="27">
    <w:nsid w:val="51BF6B48"/>
    <w:multiLevelType w:val="hybridMultilevel"/>
    <w:lvl w:ilvl="0">
      <w:lvlJc w:val="left"/>
      <w:lvlText w:val="%1"/>
      <w:numFmt w:val="lowerLetter"/>
      <w:start w:val="1"/>
    </w:lvl>
    <w:lvl w:ilvl="1">
      <w:lvlJc w:val="left"/>
      <w:lvlText w:val="(%2)"/>
      <w:numFmt w:val="lowerLetter"/>
      <w:start w:val="2"/>
    </w:lvl>
  </w:abstractNum>
  <w:abstractNum w:abstractNumId="28">
    <w:nsid w:val="7E0F6384"/>
    <w:multiLevelType w:val="hybridMultilevel"/>
    <w:lvl w:ilvl="0">
      <w:lvlJc w:val="left"/>
      <w:lvlText w:val="(%1)"/>
      <w:numFmt w:val="lowerLetter"/>
      <w:start w:val="24"/>
    </w:lvl>
    <w:lvl w:ilvl="1">
      <w:lvlJc w:val="left"/>
      <w:lvlText w:val="(%2)"/>
      <w:numFmt w:val="lowerLetter"/>
      <w:start w:val="4"/>
    </w:lvl>
  </w:abstractNum>
  <w:abstractNum w:abstractNumId="29">
    <w:nsid w:val="2B4B8B53"/>
    <w:multiLevelType w:val="hybridMultilevel"/>
    <w:lvl w:ilvl="0">
      <w:lvlJc w:val="left"/>
      <w:lvlText w:val="(%1)"/>
      <w:numFmt w:val="lowerLetter"/>
      <w:start w:val="5"/>
    </w:lvl>
  </w:abstractNum>
  <w:abstractNum w:abstractNumId="30">
    <w:nsid w:val="72E3413A"/>
    <w:multiLevelType w:val="hybridMultilevel"/>
    <w:lvl w:ilvl="0">
      <w:lvlJc w:val="left"/>
      <w:lvlText w:val="%1"/>
      <w:numFmt w:val="upperLetter"/>
      <w:start w:val="1"/>
    </w:lvl>
    <w:lvl w:ilvl="1">
      <w:lvlJc w:val="left"/>
      <w:lvlText w:val="(%2)"/>
      <w:numFmt w:val="lowerLetter"/>
      <w:start w:val="1"/>
    </w:lvl>
  </w:abstractNum>
  <w:abstractNum w:abstractNumId="31">
    <w:nsid w:val="116AE494"/>
    <w:multiLevelType w:val="hybridMultilevel"/>
    <w:lvl w:ilvl="0">
      <w:lvlJc w:val="left"/>
      <w:lvlText w:val="(%1)"/>
      <w:numFmt w:val="lowerLetter"/>
      <w:start w:val="1"/>
    </w:lvl>
  </w:abstractNum>
  <w:abstractNum w:abstractNumId="32">
    <w:nsid w:val="3494B2FB"/>
    <w:multiLevelType w:val="hybridMultilevel"/>
    <w:lvl w:ilvl="0">
      <w:lvlJc w:val="left"/>
      <w:lvlText w:val="(%1)"/>
      <w:numFmt w:val="lowerLetter"/>
      <w:start w:val="1"/>
    </w:lvl>
  </w:abstractNum>
  <w:abstractNum w:abstractNumId="33">
    <w:nsid w:val="B13A31"/>
    <w:multiLevelType w:val="hybridMultilevel"/>
    <w:lvl w:ilvl="0">
      <w:lvlJc w:val="left"/>
      <w:lvlText w:val="%1"/>
      <w:numFmt w:val="upperLetter"/>
      <w:start w:val="1"/>
    </w:lvl>
    <w:lvl w:ilvl="1">
      <w:lvlJc w:val="left"/>
      <w:lvlText w:val="(%2)"/>
      <w:numFmt w:val="lowerLetter"/>
      <w:start w:val="2"/>
    </w:lvl>
  </w:abstractNum>
  <w:abstractNum w:abstractNumId="34">
    <w:nsid w:val="64429599"/>
    <w:multiLevelType w:val="hybridMultilevel"/>
    <w:lvl w:ilvl="0">
      <w:lvlJc w:val="left"/>
      <w:lvlText w:val="(%1)"/>
      <w:numFmt w:val="upperLetter"/>
      <w:start w:val="1"/>
    </w:lvl>
    <w:lvl w:ilvl="1">
      <w:lvlJc w:val="left"/>
      <w:lvlText w:val="(%2)"/>
      <w:numFmt w:val="lowerLetter"/>
      <w:start w:val="3"/>
    </w:lvl>
  </w:abstractNum>
  <w:abstractNum w:abstractNumId="35">
    <w:nsid w:val="631F1690"/>
    <w:multiLevelType w:val="hybridMultilevel"/>
    <w:lvl w:ilvl="0">
      <w:lvlJc w:val="left"/>
      <w:lvlText w:val="(%1)"/>
      <w:numFmt w:val="lowerLetter"/>
      <w:start w:val="6"/>
    </w:lvl>
  </w:abstractNum>
  <w:abstractNum w:abstractNumId="36">
    <w:nsid w:val="25973E32"/>
    <w:multiLevelType w:val="hybridMultilevel"/>
    <w:lvl w:ilvl="0">
      <w:lvlJc w:val="left"/>
      <w:lvlText w:val="(%1)"/>
      <w:numFmt w:val="lowerLetter"/>
      <w:start w:val="1"/>
    </w:lvl>
    <w:lvl w:ilvl="1">
      <w:lvlJc w:val="left"/>
      <w:lvlText w:val="(%2)"/>
      <w:numFmt w:val="lowerRoman"/>
      <w:start w:val="1"/>
    </w:lvl>
  </w:abstractNum>
  <w:abstractNum w:abstractNumId="37">
    <w:nsid w:val="EAD6F57"/>
    <w:multiLevelType w:val="hybridMultilevel"/>
    <w:lvl w:ilvl="0">
      <w:lvlJc w:val="left"/>
      <w:lvlText w:val="%1"/>
      <w:numFmt w:val="lowerLetter"/>
      <w:start w:val="1"/>
    </w:lvl>
    <w:lvl w:ilvl="1">
      <w:lvlJc w:val="left"/>
      <w:lvlText w:val="(%2)"/>
      <w:numFmt w:val="lowerRoman"/>
      <w:start w:val="7"/>
    </w:lvl>
  </w:abstractNum>
  <w:abstractNum w:abstractNumId="38">
    <w:nsid w:val="6EC9D844"/>
    <w:multiLevelType w:val="hybridMultilevel"/>
    <w:lvl w:ilvl="0">
      <w:lvlJc w:val="left"/>
      <w:lvlText w:val="(%1)"/>
      <w:numFmt w:val="lowerLetter"/>
      <w:start w:val="2"/>
    </w:lvl>
    <w:lvl w:ilvl="1">
      <w:lvlJc w:val="left"/>
      <w:lvlText w:val="%2"/>
      <w:numFmt w:val="lowerRoman"/>
      <w:start w:val="1"/>
    </w:lvl>
  </w:abstractNum>
  <w:abstractNum w:abstractNumId="39">
    <w:nsid w:val="5C49EAEE"/>
    <w:multiLevelType w:val="hybridMultilevel"/>
    <w:lvl w:ilvl="0">
      <w:lvlJc w:val="left"/>
      <w:lvlText w:val="(%1)"/>
      <w:numFmt w:val="lowerLetter"/>
      <w:start w:val="1"/>
    </w:lvl>
  </w:abstractNum>
  <w:abstractNum w:abstractNumId="40">
    <w:nsid w:val="64AF49B"/>
    <w:multiLevelType w:val="hybridMultilevel"/>
    <w:lvl w:ilvl="0">
      <w:lvlJc w:val="left"/>
      <w:lvlText w:val="(%1)"/>
      <w:numFmt w:val="lowerLetter"/>
      <w:start w:val="6"/>
    </w:lvl>
  </w:abstractNum>
  <w:abstractNum w:abstractNumId="41">
    <w:nsid w:val="397C46BC"/>
    <w:multiLevelType w:val="hybridMultilevel"/>
    <w:lvl w:ilvl="0">
      <w:lvlJc w:val="left"/>
      <w:lvlText w:val="(%1)"/>
      <w:numFmt w:val="lowerLetter"/>
      <w:start w:val="1"/>
    </w:lvl>
  </w:abstractNum>
  <w:abstractNum w:abstractNumId="42">
    <w:nsid w:val="7E448DE9"/>
    <w:multiLevelType w:val="hybridMultilevel"/>
    <w:lvl w:ilvl="0">
      <w:lvlJc w:val="left"/>
      <w:lvlText w:val="(%1)"/>
      <w:numFmt w:val="lowerLetter"/>
      <w:start w:val="3"/>
    </w:lvl>
  </w:abstractNum>
  <w:abstractNum w:abstractNumId="43">
    <w:nsid w:val="5A9CC3E5"/>
    <w:multiLevelType w:val="hybridMultilevel"/>
    <w:lvl w:ilvl="0">
      <w:lvlJc w:val="left"/>
      <w:lvlText w:val="(%1)"/>
      <w:numFmt w:val="lowerLetter"/>
      <w:start w:val="1"/>
    </w:lvl>
  </w:abstractNum>
  <w:abstractNum w:abstractNumId="44">
    <w:nsid w:val="1AFE3625"/>
    <w:multiLevelType w:val="hybridMultilevel"/>
    <w:lvl w:ilvl="0">
      <w:lvlJc w:val="left"/>
      <w:lvlText w:val="(%1)"/>
      <w:numFmt w:val="lowerLetter"/>
      <w:start w:val="6"/>
    </w:lvl>
  </w:abstractNum>
  <w:abstractNum w:abstractNumId="45">
    <w:nsid w:val="3CA88ECF"/>
    <w:multiLevelType w:val="hybridMultilevel"/>
    <w:lvl w:ilvl="0">
      <w:lvlJc w:val="left"/>
      <w:lvlText w:val="(%1)"/>
      <w:numFmt w:val="lowerLetter"/>
      <w:start w:val="15"/>
    </w:lvl>
  </w:abstractNum>
  <w:abstractNum w:abstractNumId="46">
    <w:nsid w:val="6EBE4208"/>
    <w:multiLevelType w:val="hybridMultilevel"/>
    <w:lvl w:ilvl="0">
      <w:lvlJc w:val="left"/>
      <w:lvlText w:val="(%1)"/>
      <w:numFmt w:val="lowerLetter"/>
      <w:start w:val="1"/>
    </w:lvl>
  </w:abstractNum>
  <w:abstractNum w:abstractNumId="47">
    <w:nsid w:val="C058DF5"/>
    <w:multiLevelType w:val="hybridMultilevel"/>
    <w:lvl w:ilvl="0">
      <w:lvlJc w:val="left"/>
      <w:lvlText w:val="(%1)"/>
      <w:numFmt w:val="lowerLetter"/>
      <w:start w:val="4"/>
    </w:lvl>
  </w:abstractNum>
  <w:abstractNum w:abstractNumId="48">
    <w:nsid w:val="CBE5BE9"/>
    <w:multiLevelType w:val="hybridMultilevel"/>
    <w:lvl w:ilvl="0">
      <w:lvlJc w:val="left"/>
      <w:lvlText w:val="(%1)"/>
      <w:numFmt w:val="lowerLetter"/>
      <w:start w:val="1"/>
    </w:lvl>
  </w:abstractNum>
  <w:abstractNum w:abstractNumId="49">
    <w:nsid w:val="3102BBE2"/>
    <w:multiLevelType w:val="hybridMultilevel"/>
    <w:lvl w:ilvl="0">
      <w:lvlJc w:val="left"/>
      <w:lvlText w:val="(%1)"/>
      <w:numFmt w:val="lowerLetter"/>
      <w:start w:val="3"/>
    </w:lvl>
  </w:abstractNum>
  <w:abstractNum w:abstractNumId="50">
    <w:nsid w:val="26A02C5E"/>
    <w:multiLevelType w:val="hybridMultilevel"/>
    <w:lvl w:ilvl="0">
      <w:lvlJc w:val="left"/>
      <w:lvlText w:val="(%1)"/>
      <w:numFmt w:val="lowerLetter"/>
      <w:start w:val="1"/>
    </w:lvl>
  </w:abstractNum>
  <w:abstractNum w:abstractNumId="51">
    <w:nsid w:val="541C8153"/>
    <w:multiLevelType w:val="hybridMultilevel"/>
    <w:lvl w:ilvl="0">
      <w:lvlJc w:val="left"/>
      <w:lvlText w:val="(%1)"/>
      <w:numFmt w:val="lowerLetter"/>
      <w:start w:val="1"/>
    </w:lvl>
  </w:abstractNum>
  <w:abstractNum w:abstractNumId="52">
    <w:nsid w:val="67906F60"/>
    <w:multiLevelType w:val="hybridMultilevel"/>
    <w:lvl w:ilvl="0">
      <w:lvlJc w:val="left"/>
      <w:lvlText w:val="(%1)"/>
      <w:numFmt w:val="lowerLetter"/>
      <w:start w:val="1"/>
    </w:lvl>
  </w:abstractNum>
  <w:abstractNum w:abstractNumId="53">
    <w:nsid w:val="10DB9DAA"/>
    <w:multiLevelType w:val="hybridMultilevel"/>
    <w:lvl w:ilvl="0">
      <w:lvlJc w:val="left"/>
      <w:lvlText w:val="(%1)"/>
      <w:numFmt w:val="lowerLetter"/>
      <w:start w:val="2"/>
    </w:lvl>
  </w:abstractNum>
  <w:abstractNum w:abstractNumId="54">
    <w:nsid w:val="697D2D2"/>
    <w:multiLevelType w:val="hybridMultilevel"/>
    <w:lvl w:ilvl="0">
      <w:lvlJc w:val="left"/>
      <w:lvlText w:val="(%1)"/>
      <w:numFmt w:val="lowerLetter"/>
      <w:start w:val="1"/>
    </w:lvl>
  </w:abstractNum>
  <w:abstractNum w:abstractNumId="55">
    <w:nsid w:val="6D68AB2"/>
    <w:multiLevelType w:val="hybridMultilevel"/>
    <w:lvl w:ilvl="0">
      <w:lvlJc w:val="left"/>
      <w:lvlText w:val="(%1)"/>
      <w:numFmt w:val="lowerLetter"/>
      <w:start w:val="1"/>
    </w:lvl>
  </w:abstractNum>
  <w:abstractNum w:abstractNumId="56">
    <w:nsid w:val="3A966CD0"/>
    <w:multiLevelType w:val="hybridMultilevel"/>
    <w:lvl w:ilvl="0">
      <w:lvlJc w:val="left"/>
      <w:lvlText w:val="(%1)"/>
      <w:numFmt w:val="lowerLetter"/>
      <w:start w:val="1"/>
    </w:lvl>
  </w:abstractNum>
  <w:abstractNum w:abstractNumId="57">
    <w:nsid w:val="63F37E85"/>
    <w:multiLevelType w:val="hybridMultilevel"/>
    <w:lvl w:ilvl="0">
      <w:lvlJc w:val="left"/>
      <w:lvlText w:val="(%1)"/>
      <w:numFmt w:val="lowerLetter"/>
      <w:start w:val="10"/>
    </w:lvl>
  </w:abstractNum>
  <w:abstractNum w:abstractNumId="58">
    <w:nsid w:val="5895F5FA"/>
    <w:multiLevelType w:val="hybridMultilevel"/>
    <w:lvl w:ilvl="0">
      <w:lvlJc w:val="left"/>
      <w:lvlText w:val="(%1)"/>
      <w:numFmt w:val="lowerLetter"/>
      <w:start w:val="1"/>
    </w:lvl>
  </w:abstractNum>
  <w:abstractNum w:abstractNumId="59">
    <w:nsid w:val="38A5D054"/>
    <w:multiLevelType w:val="hybridMultilevel"/>
    <w:lvl w:ilvl="0">
      <w:lvlJc w:val="left"/>
      <w:lvlText w:val="(%1)"/>
      <w:numFmt w:val="lowerLetter"/>
      <w:start w:val="2"/>
    </w:lvl>
  </w:abstractNum>
  <w:abstractNum w:abstractNumId="60">
    <w:nsid w:val="F3F09D8"/>
    <w:multiLevelType w:val="hybridMultilevel"/>
    <w:lvl w:ilvl="0">
      <w:lvlJc w:val="left"/>
      <w:lvlText w:val="(%1)"/>
      <w:numFmt w:val="lowerLetter"/>
      <w:start w:val="1"/>
    </w:lvl>
  </w:abstractNum>
  <w:abstractNum w:abstractNumId="61">
    <w:nsid w:val="4B793735"/>
    <w:multiLevelType w:val="hybridMultilevel"/>
    <w:lvl w:ilvl="0">
      <w:lvlJc w:val="left"/>
      <w:lvlText w:val="(%1)"/>
      <w:numFmt w:val="lowerLetter"/>
      <w:start w:val="2"/>
    </w:lvl>
  </w:abstractNum>
  <w:abstractNum w:abstractNumId="62">
    <w:nsid w:val="4A10B4E8"/>
    <w:multiLevelType w:val="hybridMultilevel"/>
    <w:lvl w:ilvl="0">
      <w:lvlJc w:val="left"/>
      <w:lvlText w:val="(%1)"/>
      <w:numFmt w:val="lowerLetter"/>
      <w:start w:val="1"/>
    </w:lvl>
  </w:abstractNum>
  <w:abstractNum w:abstractNumId="63">
    <w:nsid w:val="43D3BCD4"/>
    <w:multiLevelType w:val="hybridMultilevel"/>
    <w:lvl w:ilvl="0">
      <w:lvlJc w:val="left"/>
      <w:lvlText w:val="(%1)"/>
      <w:numFmt w:val="lowerLetter"/>
      <w:start w:val="1"/>
    </w:lvl>
  </w:abstractNum>
  <w:abstractNum w:abstractNumId="64">
    <w:nsid w:val="4C2A7166"/>
    <w:multiLevelType w:val="hybridMultilevel"/>
    <w:lvl w:ilvl="0">
      <w:lvlJc w:val="left"/>
      <w:lvlText w:val="(%1)"/>
      <w:numFmt w:val="lowerLetter"/>
      <w:start w:val="1"/>
    </w:lvl>
  </w:abstractNum>
  <w:abstractNum w:abstractNumId="65">
    <w:nsid w:val="2E534A82"/>
    <w:multiLevelType w:val="hybridMultilevel"/>
    <w:lvl w:ilvl="0">
      <w:lvlJc w:val="left"/>
      <w:lvlText w:val="(%1)"/>
      <w:numFmt w:val="lowerLetter"/>
      <w:start w:val="4"/>
    </w:lvl>
  </w:abstractNum>
  <w:abstractNum w:abstractNumId="66">
    <w:nsid w:val="26F2D364"/>
    <w:multiLevelType w:val="hybridMultilevel"/>
    <w:lvl w:ilvl="0">
      <w:lvlJc w:val="left"/>
      <w:lvlText w:val="(%1)"/>
      <w:numFmt w:val="lowerLetter"/>
      <w:start w:val="7"/>
    </w:lvl>
  </w:abstractNum>
  <w:abstractNum w:abstractNumId="67">
    <w:nsid w:val="71C1AF98"/>
    <w:multiLevelType w:val="hybridMultilevel"/>
    <w:lvl w:ilvl="0">
      <w:lvlJc w:val="left"/>
      <w:lvlText w:val="(%1)"/>
      <w:numFmt w:val="lowerLetter"/>
      <w:start w:val="16"/>
    </w:lvl>
  </w:abstractNum>
  <w:abstractNum w:abstractNumId="68">
    <w:nsid w:val="3D00B9D9"/>
    <w:multiLevelType w:val="hybridMultilevel"/>
    <w:lvl w:ilvl="0">
      <w:lvlJc w:val="left"/>
      <w:lvlText w:val="(%1)"/>
      <w:numFmt w:val="lowerLetter"/>
      <w:start w:val="1"/>
    </w:lvl>
  </w:abstractNum>
  <w:abstractNum w:abstractNumId="69">
    <w:nsid w:val="15BCABA8"/>
    <w:multiLevelType w:val="hybridMultilevel"/>
    <w:lvl w:ilvl="0">
      <w:lvlJc w:val="left"/>
      <w:lvlText w:val="(%1)"/>
      <w:numFmt w:val="lowerLetter"/>
      <w:start w:val="1"/>
    </w:lvl>
  </w:abstractNum>
  <w:abstractNum w:abstractNumId="70">
    <w:nsid w:val="4E0B9A87"/>
    <w:multiLevelType w:val="hybridMultilevel"/>
    <w:lvl w:ilvl="0">
      <w:lvlJc w:val="left"/>
      <w:lvlText w:val="(%1)"/>
      <w:numFmt w:val="lowerLetter"/>
      <w:start w:val="2"/>
    </w:lvl>
  </w:abstractNum>
  <w:abstractNum w:abstractNumId="71">
    <w:nsid w:val="434BAE75"/>
    <w:multiLevelType w:val="hybridMultilevel"/>
    <w:lvl w:ilvl="0">
      <w:lvlJc w:val="left"/>
      <w:lvlText w:val="(%1)"/>
      <w:numFmt w:val="lowerLetter"/>
      <w:start w:val="2"/>
    </w:lvl>
  </w:abstractNum>
  <w:abstractNum w:abstractNumId="72">
    <w:nsid w:val="4F38F265"/>
    <w:multiLevelType w:val="hybridMultilevel"/>
    <w:lvl w:ilvl="0">
      <w:lvlJc w:val="left"/>
      <w:lvlText w:val="(%1)"/>
      <w:numFmt w:val="lowerLetter"/>
      <w:start w:val="1"/>
    </w:lvl>
  </w:abstractNum>
  <w:abstractNum w:abstractNumId="73">
    <w:nsid w:val="4C502870"/>
    <w:multiLevelType w:val="hybridMultilevel"/>
    <w:lvl w:ilvl="0">
      <w:lvlJc w:val="left"/>
      <w:lvlText w:val="(%1)"/>
      <w:numFmt w:val="lowerLetter"/>
      <w:start w:val="4"/>
    </w:lvl>
  </w:abstractNum>
  <w:abstractNum w:abstractNumId="74">
    <w:nsid w:val="1DE8725A"/>
    <w:multiLevelType w:val="hybridMultilevel"/>
    <w:lvl w:ilvl="0">
      <w:lvlJc w:val="left"/>
      <w:lvlText w:val="(%1)"/>
      <w:numFmt w:val="lowerLetter"/>
      <w:start w:val="1"/>
    </w:lvl>
  </w:abstractNum>
  <w:abstractNum w:abstractNumId="75">
    <w:nsid w:val="6A37288A"/>
    <w:multiLevelType w:val="hybridMultilevel"/>
    <w:lvl w:ilvl="0">
      <w:lvlJc w:val="left"/>
      <w:lvlText w:val="(%1)"/>
      <w:numFmt w:val="lowerLetter"/>
      <w:start w:val="1"/>
    </w:lvl>
    <w:lvl w:ilvl="1">
      <w:lvlJc w:val="left"/>
      <w:lvlText w:val="(%2)"/>
      <w:numFmt w:val="lowerRoman"/>
      <w:start w:val="1"/>
    </w:lvl>
  </w:abstractNum>
  <w:abstractNum w:abstractNumId="76">
    <w:nsid w:val="8F8B73F"/>
    <w:multiLevelType w:val="hybridMultilevel"/>
    <w:lvl w:ilvl="0">
      <w:lvlJc w:val="left"/>
      <w:lvlText w:val="(%1)"/>
      <w:numFmt w:val="lowerRoman"/>
      <w:start w:val="9"/>
    </w:lvl>
  </w:abstractNum>
  <w:abstractNum w:abstractNumId="77">
    <w:nsid w:val="CA6B462"/>
    <w:multiLevelType w:val="hybridMultilevel"/>
    <w:lvl w:ilvl="0">
      <w:lvlJc w:val="left"/>
      <w:lvlText w:val="(%1)"/>
      <w:numFmt w:val="lowerLetter"/>
      <w:start w:val="2"/>
    </w:lvl>
  </w:abstractNum>
  <w:abstractNum w:abstractNumId="78">
    <w:nsid w:val="763CB680"/>
    <w:multiLevelType w:val="hybridMultilevel"/>
    <w:lvl w:ilvl="0">
      <w:lvlJc w:val="left"/>
      <w:lvlText w:val="(%1)"/>
      <w:numFmt w:val="lowerLetter"/>
      <w:start w:val="1"/>
    </w:lvl>
  </w:abstractNum>
  <w:abstractNum w:abstractNumId="79">
    <w:nsid w:val="15B71329"/>
    <w:multiLevelType w:val="hybridMultilevel"/>
    <w:lvl w:ilvl="0">
      <w:lvlJc w:val="left"/>
      <w:lvlText w:val="(%1)"/>
      <w:numFmt w:val="lowerLetter"/>
      <w:start w:val="1"/>
    </w:lvl>
  </w:abstractNum>
  <w:abstractNum w:abstractNumId="80">
    <w:nsid w:val="3DA97044"/>
    <w:multiLevelType w:val="hybridMultilevel"/>
    <w:lvl w:ilvl="0">
      <w:lvlJc w:val="left"/>
      <w:lvlText w:val="(%1)"/>
      <w:numFmt w:val="lowerLetter"/>
      <w:start w:val="2"/>
    </w:lvl>
  </w:abstractNum>
  <w:abstractNum w:abstractNumId="81">
    <w:nsid w:val="1CDCE2DE"/>
    <w:multiLevelType w:val="hybridMultilevel"/>
    <w:lvl w:ilvl="0">
      <w:lvlJc w:val="left"/>
      <w:lvlText w:val="(%1)"/>
      <w:numFmt w:val="lowerLetter"/>
      <w:start w:val="1"/>
    </w:lvl>
  </w:abstractNum>
  <w:abstractNum w:abstractNumId="82">
    <w:nsid w:val="69D3947C"/>
    <w:multiLevelType w:val="hybridMultilevel"/>
    <w:lvl w:ilvl="0">
      <w:lvlJc w:val="left"/>
      <w:lvlText w:val="(%1)"/>
      <w:numFmt w:val="lowerLetter"/>
      <w:start w:val="1"/>
    </w:lvl>
  </w:abstractNum>
  <w:abstractNum w:abstractNumId="83">
    <w:nsid w:val="2539DFA5"/>
    <w:multiLevelType w:val="hybridMultilevel"/>
    <w:lvl w:ilvl="0">
      <w:lvlJc w:val="left"/>
      <w:lvlText w:val="(%1)"/>
      <w:numFmt w:val="lowerLetter"/>
      <w:start w:val="2"/>
    </w:lvl>
  </w:abstractNum>
  <w:abstractNum w:abstractNumId="84">
    <w:nsid w:val="2DB88089"/>
    <w:multiLevelType w:val="hybridMultilevel"/>
    <w:lvl w:ilvl="0">
      <w:lvlJc w:val="left"/>
      <w:lvlText w:val="(%1)"/>
      <w:numFmt w:val="lowerLetter"/>
      <w:start w:val="4"/>
    </w:lvl>
  </w:abstractNum>
  <w:abstractNum w:abstractNumId="85">
    <w:nsid w:val="706B674E"/>
    <w:multiLevelType w:val="hybridMultilevel"/>
    <w:lvl w:ilvl="0">
      <w:lvlJc w:val="left"/>
      <w:lvlText w:val="%1"/>
      <w:numFmt w:val="lowerLetter"/>
      <w:start w:val="1"/>
    </w:lvl>
    <w:lvl w:ilvl="1">
      <w:lvlJc w:val="left"/>
      <w:lvlText w:val="(%2)"/>
      <w:numFmt w:val="lowerLetter"/>
      <w:start w:val="1"/>
    </w:lvl>
  </w:abstractNum>
  <w:abstractNum w:abstractNumId="86">
    <w:nsid w:val="2C106A57"/>
    <w:multiLevelType w:val="hybridMultilevel"/>
    <w:lvl w:ilvl="0">
      <w:lvlJc w:val="left"/>
      <w:lvlText w:val="(%1)"/>
      <w:numFmt w:val="lowerLetter"/>
      <w:start w:val="35"/>
    </w:lvl>
    <w:lvl w:ilvl="1">
      <w:lvlJc w:val="left"/>
      <w:lvlText w:val="(%2)"/>
      <w:numFmt w:val="lowerLetter"/>
      <w:start w:val="3"/>
    </w:lvl>
  </w:abstractNum>
  <w:abstractNum w:abstractNumId="87">
    <w:nsid w:val="684EED59"/>
    <w:multiLevelType w:val="hybridMultilevel"/>
    <w:lvl w:ilvl="0">
      <w:lvlJc w:val="left"/>
      <w:lvlText w:val="(%1)"/>
      <w:numFmt w:val="lowerLetter"/>
      <w:start w:val="1"/>
    </w:lvl>
  </w:abstractNum>
  <w:abstractNum w:abstractNumId="88">
    <w:nsid w:val="545EE5D3"/>
    <w:multiLevelType w:val="hybridMultilevel"/>
    <w:lvl w:ilvl="0">
      <w:lvlJc w:val="left"/>
      <w:lvlText w:val="(%1)"/>
      <w:numFmt w:val="lowerLetter"/>
      <w:start w:val="3"/>
    </w:lvl>
  </w:abstractNum>
  <w:abstractNum w:abstractNumId="89">
    <w:nsid w:val="4A66051"/>
    <w:multiLevelType w:val="hybridMultilevel"/>
    <w:lvl w:ilvl="0">
      <w:lvlJc w:val="left"/>
      <w:lvlText w:val="(%1)"/>
      <w:numFmt w:val="lowerLetter"/>
      <w:start w:val="1"/>
    </w:lvl>
  </w:abstractNum>
  <w:abstractNum w:abstractNumId="90">
    <w:nsid w:val="20F4BDAD"/>
    <w:multiLevelType w:val="hybridMultilevel"/>
    <w:lvl w:ilvl="0">
      <w:lvlJc w:val="left"/>
      <w:lvlText w:val="(%1)"/>
      <w:numFmt w:val="lowerLetter"/>
      <w:start w:val="1"/>
    </w:lvl>
  </w:abstractNum>
  <w:abstractNum w:abstractNumId="91">
    <w:nsid w:val="639DEFAC"/>
    <w:multiLevelType w:val="hybridMultilevel"/>
    <w:lvl w:ilvl="0">
      <w:lvlJc w:val="left"/>
      <w:lvlText w:val="(%1)"/>
      <w:numFmt w:val="lowerLetter"/>
      <w:start w:val="1"/>
    </w:lvl>
    <w:lvl w:ilvl="1">
      <w:lvlJc w:val="left"/>
      <w:lvlText w:val="(%2)"/>
      <w:numFmt w:val="lowerRoman"/>
      <w:start w:val="1"/>
    </w:lvl>
  </w:abstractNum>
  <w:abstractNum w:abstractNumId="92">
    <w:nsid w:val="501F9786"/>
    <w:multiLevelType w:val="hybridMultilevel"/>
    <w:lvl w:ilvl="0">
      <w:lvlJc w:val="left"/>
      <w:lvlText w:val="(%1)"/>
      <w:numFmt w:val="lowerLetter"/>
      <w:start w:val="1"/>
    </w:lvl>
    <w:lvl w:ilvl="1">
      <w:lvlJc w:val="left"/>
      <w:lvlText w:val="(%2)"/>
      <w:numFmt w:val="lowerRoman"/>
      <w:start w:val="1"/>
    </w:lvl>
  </w:abstractNum>
  <w:abstractNum w:abstractNumId="93">
    <w:nsid w:val="6B057295"/>
    <w:multiLevelType w:val="hybridMultilevel"/>
    <w:lvl w:ilvl="0">
      <w:lvlJc w:val="left"/>
      <w:lvlText w:val="(%1)"/>
      <w:numFmt w:val="lowerLetter"/>
      <w:start w:val="1"/>
    </w:lvl>
  </w:abstractNum>
  <w:abstractNum w:abstractNumId="94">
    <w:nsid w:val="2771AC80"/>
    <w:multiLevelType w:val="hybridMultilevel"/>
    <w:lvl w:ilvl="0">
      <w:lvlJc w:val="left"/>
      <w:lvlText w:val="1"/>
      <w:numFmt w:val="bullet"/>
      <w:start w:val="1"/>
    </w:lvl>
  </w:abstractNum>
  <w:abstractNum w:abstractNumId="95">
    <w:nsid w:val="1C4A08EC"/>
    <w:multiLevelType w:val="hybridMultilevel"/>
    <w:lvl w:ilvl="0">
      <w:lvlJc w:val="left"/>
      <w:lvlText w:val="2"/>
      <w:numFmt w:val="bullet"/>
      <w:start w:val="1"/>
    </w:lvl>
  </w:abstractNum>
  <w:abstractNum w:abstractNumId="96">
    <w:nsid w:val="1958BD17"/>
    <w:multiLevelType w:val="hybridMultilevel"/>
    <w:lvl w:ilvl="0">
      <w:lvlJc w:val="left"/>
      <w:lvlText w:val="(%1)"/>
      <w:numFmt w:val="decimal"/>
      <w:start w:val="1"/>
    </w:lvl>
  </w:abstractNum>
  <w:abstractNum w:abstractNumId="97">
    <w:nsid w:val="4E647FE4"/>
    <w:multiLevelType w:val="hybridMultilevel"/>
    <w:lvl w:ilvl="0">
      <w:lvlJc w:val="left"/>
      <w:lvlText w:val="3"/>
      <w:numFmt w:val="bullet"/>
      <w:start w:val="1"/>
    </w:lvl>
  </w:abstractNum>
  <w:abstractNum w:abstractNumId="98">
    <w:nsid w:val="E0BB885"/>
    <w:multiLevelType w:val="hybridMultilevel"/>
    <w:lvl w:ilvl="0">
      <w:lvlJc w:val="left"/>
      <w:lvlText w:val="4"/>
      <w:numFmt w:val="bullet"/>
      <w:start w:val="1"/>
    </w:lvl>
  </w:abstractNum>
  <w:abstractNum w:abstractNumId="99">
    <w:nsid w:val="565976F1"/>
    <w:multiLevelType w:val="hybridMultilevel"/>
    <w:lvl w:ilvl="0">
      <w:lvlJc w:val="left"/>
      <w:lvlText w:val="5"/>
      <w:numFmt w:val="bullet"/>
      <w:start w:val="1"/>
    </w:lvl>
  </w:abstractNum>
  <w:abstractNum w:abstractNumId="100">
    <w:nsid w:val="64212B8C"/>
    <w:multiLevelType w:val="hybridMultilevel"/>
    <w:lvl w:ilvl="0">
      <w:lvlJc w:val="left"/>
      <w:lvlText w:val="6"/>
      <w:numFmt w:val="bullet"/>
      <w:start w:val="1"/>
    </w:lvl>
  </w:abstractNum>
  <w:abstractNum w:abstractNumId="101">
    <w:nsid w:val="5C17530C"/>
    <w:multiLevelType w:val="hybridMultilevel"/>
    <w:lvl w:ilvl="0">
      <w:lvlJc w:val="left"/>
      <w:lvlText w:val="7"/>
      <w:numFmt w:val="bullet"/>
      <w:start w:val="1"/>
    </w:lvl>
  </w:abstractNum>
  <w:abstractNum w:abstractNumId="102">
    <w:nsid w:val="19A52566"/>
    <w:multiLevelType w:val="hybridMultilevel"/>
    <w:lvl w:ilvl="0">
      <w:lvlJc w:val="left"/>
      <w:lvlText w:val="(%1)"/>
      <w:numFmt w:val="decimal"/>
      <w:start w:val="1"/>
    </w:lvl>
  </w:abstractNum>
  <w:abstractNum w:abstractNumId="103">
    <w:nsid w:val="335A1DF1"/>
    <w:multiLevelType w:val="hybridMultilevel"/>
    <w:lvl w:ilvl="0">
      <w:lvlJc w:val="left"/>
      <w:lvlText w:val="(%1)"/>
      <w:numFmt w:val="decimal"/>
      <w:start w:val="1"/>
    </w:lvl>
  </w:abstractNum>
  <w:abstractNum w:abstractNumId="104">
    <w:nsid w:val="28677B7C"/>
    <w:multiLevelType w:val="hybridMultilevel"/>
    <w:lvl w:ilvl="0">
      <w:lvlJc w:val="left"/>
      <w:lvlText w:val="8"/>
      <w:numFmt w:val="bullet"/>
      <w:start w:val="1"/>
    </w:lvl>
  </w:abstractNum>
  <w:abstractNum w:abstractNumId="105">
    <w:nsid w:val="378D97C0"/>
    <w:multiLevelType w:val="hybridMultilevel"/>
    <w:lvl w:ilvl="0">
      <w:lvlJc w:val="left"/>
      <w:lvlText w:val="9"/>
      <w:numFmt w:val="bullet"/>
      <w:start w:val="1"/>
    </w:lvl>
  </w:abstractNum>
  <w:abstractNum w:abstractNumId="106">
    <w:nsid w:val="1D91467C"/>
    <w:multiLevelType w:val="hybridMultilevel"/>
    <w:lvl w:ilvl="0">
      <w:lvlJc w:val="left"/>
      <w:lvlText w:val="(%1)"/>
      <w:numFmt w:val="lowerLetter"/>
      <w:start w:val="1"/>
    </w:lvl>
  </w:abstractNum>
  <w:abstractNum w:abstractNumId="107">
    <w:nsid w:val="316032BB"/>
    <w:multiLevelType w:val="hybridMultilevel"/>
    <w:lvl w:ilvl="0">
      <w:lvlJc w:val="left"/>
      <w:lvlText w:val="(%1)"/>
      <w:numFmt w:val="lowerLetter"/>
      <w:start w:val="1"/>
    </w:lvl>
  </w:abstractNum>
  <w:abstractNum w:abstractNumId="108">
    <w:nsid w:val="44344C22"/>
    <w:multiLevelType w:val="hybridMultilevel"/>
    <w:lvl w:ilvl="0">
      <w:lvlJc w:val="left"/>
      <w:lvlText w:val="(%1)"/>
      <w:numFmt w:val="lowerLetter"/>
      <w:start w:val="2"/>
    </w:lvl>
  </w:abstractNum>
  <w:abstractNum w:abstractNumId="109">
    <w:nsid w:val="13CDFCFC"/>
    <w:multiLevelType w:val="hybridMultilevel"/>
    <w:lvl w:ilvl="0">
      <w:lvlJc w:val="left"/>
      <w:lvlText w:val="(%1)"/>
      <w:numFmt w:val="decimal"/>
      <w:start w:val="1"/>
    </w:lvl>
  </w:abstractNum>
  <w:abstractNum w:abstractNumId="110">
    <w:nsid w:val="471745E4"/>
    <w:multiLevelType w:val="hybridMultilevel"/>
    <w:lvl w:ilvl="0">
      <w:lvlJc w:val="left"/>
      <w:lvlText w:val="(%1)"/>
      <w:numFmt w:val="decimal"/>
      <w:start w:val="4"/>
    </w:lvl>
  </w:abstractNum>
  <w:abstractNum w:abstractNumId="111">
    <w:nsid w:val="1DDBC66"/>
    <w:multiLevelType w:val="hybridMultilevel"/>
    <w:lvl w:ilvl="0">
      <w:lvlJc w:val="left"/>
      <w:lvlText w:val="(%1)"/>
      <w:numFmt w:val="lowerLetter"/>
      <w:start w:val="1"/>
    </w:lvl>
  </w:abstractNum>
  <w:abstractNum w:abstractNumId="112">
    <w:nsid w:val="30AADFDA"/>
    <w:multiLevelType w:val="hybridMultilevel"/>
    <w:lvl w:ilvl="0">
      <w:lvlJc w:val="left"/>
      <w:lvlText w:val="%1"/>
      <w:numFmt w:val="decimal"/>
      <w:start w:val="10"/>
    </w:lvl>
  </w:abstractNum>
  <w:abstractNum w:abstractNumId="113">
    <w:nsid w:val="30EADA61"/>
    <w:multiLevelType w:val="hybridMultilevel"/>
    <w:lvl w:ilvl="0">
      <w:lvlJc w:val="left"/>
      <w:lvlText w:val="(%1)"/>
      <w:numFmt w:val="lowerLetter"/>
      <w:start w:val="4"/>
    </w:lvl>
  </w:abstractNum>
  <w:abstractNum w:abstractNumId="114">
    <w:nsid w:val="27179C0B"/>
    <w:multiLevelType w:val="hybridMultilevel"/>
    <w:lvl w:ilvl="0">
      <w:lvlJc w:val="left"/>
      <w:lvlText w:val="(%1)"/>
      <w:numFmt w:val="decimal"/>
      <w:start w:val="1"/>
    </w:lvl>
  </w:abstractNum>
  <w:abstractNum w:abstractNumId="115">
    <w:nsid w:val="5E636063"/>
    <w:multiLevelType w:val="hybridMultilevel"/>
    <w:lvl w:ilvl="0">
      <w:lvlJc w:val="left"/>
      <w:lvlText w:val="(%1)"/>
      <w:numFmt w:val="decimal"/>
      <w:start w:val="1"/>
    </w:lvl>
  </w:abstractNum>
  <w:abstractNum w:abstractNumId="116">
    <w:nsid w:val="215641AF"/>
    <w:multiLevelType w:val="hybridMultilevel"/>
    <w:lvl w:ilvl="0">
      <w:lvlJc w:val="left"/>
      <w:lvlText w:val="(%1)"/>
      <w:numFmt w:val="decimal"/>
      <w:start w:val="3"/>
    </w:lvl>
  </w:abstractNum>
  <w:abstractNum w:abstractNumId="117">
    <w:nsid w:val="53280662"/>
    <w:multiLevelType w:val="hybridMultilevel"/>
    <w:lvl w:ilvl="0">
      <w:lvlJc w:val="left"/>
      <w:lvlText w:val="%1"/>
      <w:numFmt w:val="decimal"/>
      <w:start w:val="11"/>
    </w:lvl>
  </w:abstractNum>
  <w:abstractNum w:abstractNumId="118">
    <w:nsid w:val="46B24DBC"/>
    <w:multiLevelType w:val="hybridMultilevel"/>
    <w:lvl w:ilvl="0">
      <w:lvlJc w:val="left"/>
      <w:lvlText w:val="(%1)"/>
      <w:numFmt w:val="lowerLetter"/>
      <w:start w:val="2"/>
    </w:lvl>
    <w:lvl w:ilvl="1">
      <w:lvlJc w:val="left"/>
      <w:lvlText w:val="(%2)"/>
      <w:numFmt w:val="lowerLetter"/>
      <w:start w:val="9"/>
    </w:lvl>
  </w:abstractNum>
  <w:abstractNum w:abstractNumId="119">
    <w:nsid w:val="75B52783"/>
    <w:multiLevelType w:val="hybridMultilevel"/>
    <w:lvl w:ilvl="0">
      <w:lvlJc w:val="left"/>
      <w:lvlText w:val="(%1)"/>
      <w:numFmt w:val="lowerRoman"/>
      <w:start w:val="2"/>
    </w:lvl>
  </w:abstractNum>
  <w:abstractNum w:abstractNumId="120">
    <w:nsid w:val="57CE66B4"/>
    <w:multiLevelType w:val="hybridMultilevel"/>
    <w:lvl w:ilvl="0">
      <w:lvlJc w:val="left"/>
      <w:lvlText w:val="(%1)"/>
      <w:numFmt w:val="lowerLetter"/>
      <w:start w:val="2"/>
    </w:lvl>
  </w:abstractNum>
  <w:abstractNum w:abstractNumId="121">
    <w:nsid w:val="67A70B69"/>
    <w:multiLevelType w:val="hybridMultilevel"/>
    <w:lvl w:ilvl="0">
      <w:lvlJc w:val="left"/>
      <w:lvlText w:val="(%1)"/>
      <w:numFmt w:val="lowerLetter"/>
      <w:start w:val="3"/>
    </w:lvl>
  </w:abstractNum>
  <w:abstractNum w:abstractNumId="122">
    <w:nsid w:val="5953172F"/>
    <w:multiLevelType w:val="hybridMultilevel"/>
    <w:lvl w:ilvl="0">
      <w:lvlJc w:val="left"/>
      <w:lvlText w:val="(%1)"/>
      <w:numFmt w:val="upperLetter"/>
      <w:start w:val="1"/>
    </w:lvl>
  </w:abstractNum>
  <w:abstractNum w:abstractNumId="123">
    <w:nsid w:val="27EDFE3A"/>
    <w:multiLevelType w:val="hybridMultilevel"/>
    <w:lvl w:ilvl="0">
      <w:lvlJc w:val="left"/>
      <w:lvlText w:val="(%1)"/>
      <w:numFmt w:val="lowerLetter"/>
      <w:start w:val="4"/>
    </w:lvl>
  </w:abstractNum>
  <w:abstractNum w:abstractNumId="124">
    <w:nsid w:val="52AC7DFF"/>
    <w:multiLevelType w:val="hybridMultilevel"/>
    <w:lvl w:ilvl="0">
      <w:lvlJc w:val="left"/>
      <w:lvlText w:val="(%1)"/>
      <w:numFmt w:val="upperLetter"/>
      <w:start w:val="1"/>
    </w:lvl>
  </w:abstractNum>
  <w:abstractNum w:abstractNumId="125">
    <w:nsid w:val="C4C3AF"/>
    <w:multiLevelType w:val="hybridMultilevel"/>
    <w:lvl w:ilvl="0">
      <w:lvlJc w:val="left"/>
      <w:lvlText w:val="(%1)"/>
      <w:numFmt w:val="lowerLetter"/>
      <w:start w:val="5"/>
    </w:lvl>
  </w:abstractNum>
  <w:abstractNum w:abstractNumId="126">
    <w:nsid w:val="44380727"/>
    <w:multiLevelType w:val="hybridMultilevel"/>
    <w:lvl w:ilvl="0">
      <w:lvlJc w:val="left"/>
      <w:lvlText w:val="(%1)"/>
      <w:numFmt w:val="lowerRoman"/>
      <w:start w:val="1"/>
    </w:lvl>
  </w:abstractNum>
  <w:abstractNum w:abstractNumId="127">
    <w:nsid w:val="6C053B16"/>
    <w:multiLevelType w:val="hybridMultilevel"/>
    <w:lvl w:ilvl="0">
      <w:lvlJc w:val="left"/>
      <w:lvlText w:val="(%1)"/>
      <w:numFmt w:val="lowerRoman"/>
      <w:start w:val="2"/>
    </w:lvl>
  </w:abstractNum>
  <w:abstractNum w:abstractNumId="128">
    <w:nsid w:val="4F294393"/>
    <w:multiLevelType w:val="hybridMultilevel"/>
    <w:lvl w:ilvl="0">
      <w:lvlJc w:val="left"/>
      <w:lvlText w:val="(%1)"/>
      <w:numFmt w:val="lowerLetter"/>
      <w:start w:val="2"/>
    </w:lvl>
  </w:abstractNum>
  <w:abstractNum w:abstractNumId="129">
    <w:nsid w:val="5243BFAC"/>
    <w:multiLevelType w:val="hybridMultilevel"/>
    <w:lvl w:ilvl="0">
      <w:lvlJc w:val="left"/>
      <w:lvlText w:val="(%1)"/>
      <w:numFmt w:val="lowerLetter"/>
      <w:start w:val="2"/>
    </w:lvl>
  </w:abstractNum>
  <w:abstractNum w:abstractNumId="130">
    <w:nsid w:val="425EB20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31">
    <w:nsid w:val="334A6F1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32">
    <w:nsid w:val="2E5B12B8"/>
    <w:multiLevelType w:val="hybridMultilevel"/>
    <w:lvl w:ilvl="0">
      <w:lvlJc w:val="left"/>
      <w:lvlText w:val="(%1)"/>
      <w:numFmt w:val="decimal"/>
      <w:start w:val="1"/>
    </w:lvl>
  </w:abstractNum>
  <w:abstractNum w:abstractNumId="133">
    <w:nsid w:val="5C03D76D"/>
    <w:multiLevelType w:val="hybridMultilevel"/>
    <w:lvl w:ilvl="0">
      <w:lvlJc w:val="left"/>
      <w:lvlText w:val="%1"/>
      <w:numFmt w:val="decimal"/>
      <w:start w:val="13"/>
    </w:lvl>
  </w:abstractNum>
  <w:abstractNum w:abstractNumId="134">
    <w:nsid w:val="66A48D11"/>
    <w:multiLevelType w:val="hybridMultilevel"/>
    <w:lvl w:ilvl="0">
      <w:lvlJc w:val="left"/>
      <w:lvlText w:val="%1"/>
      <w:numFmt w:val="decimal"/>
      <w:start w:val="1"/>
    </w:lvl>
    <w:lvl w:ilvl="1">
      <w:lvlJc w:val="left"/>
      <w:lvlText w:val="(%2)"/>
      <w:numFmt w:val="lowerLetter"/>
      <w:start w:val="1"/>
    </w:lvl>
  </w:abstractNum>
  <w:abstractNum w:abstractNumId="135">
    <w:nsid w:val="56C28E34"/>
    <w:multiLevelType w:val="hybridMultilevel"/>
    <w:lvl w:ilvl="0">
      <w:lvlJc w:val="left"/>
      <w:lvlText w:val="(%1)"/>
      <w:numFmt w:val="decimal"/>
      <w:start w:val="1"/>
    </w:lvl>
    <w:lvl w:ilvl="1">
      <w:lvlJc w:val="left"/>
      <w:lvlText w:val="%2"/>
      <w:numFmt w:val="lowerLetter"/>
      <w:start w:val="1"/>
    </w:lvl>
  </w:abstractNum>
  <w:abstractNum w:abstractNumId="136">
    <w:nsid w:val="13916F2D"/>
    <w:multiLevelType w:val="hybridMultilevel"/>
    <w:lvl w:ilvl="0">
      <w:lvlJc w:val="left"/>
      <w:lvlText w:val="(%1)"/>
      <w:numFmt w:val="decimal"/>
      <w:start w:val="10"/>
    </w:lvl>
  </w:abstractNum>
  <w:abstractNum w:abstractNumId="137">
    <w:nsid w:val="435D38D"/>
    <w:multiLevelType w:val="hybridMultilevel"/>
    <w:lvl w:ilvl="0">
      <w:lvlJc w:val="left"/>
      <w:lvlText w:val="(%1)"/>
      <w:numFmt w:val="lowerLetter"/>
      <w:start w:val="1"/>
    </w:lvl>
  </w:abstractNum>
  <w:abstractNum w:abstractNumId="138">
    <w:nsid w:val="822C0EF"/>
    <w:multiLevelType w:val="hybridMultilevel"/>
    <w:lvl w:ilvl="0">
      <w:lvlJc w:val="left"/>
      <w:lvlText w:val="(%1)"/>
      <w:numFmt w:val="lowerLetter"/>
      <w:start w:val="1"/>
    </w:lvl>
    <w:lvl w:ilvl="1">
      <w:lvlJc w:val="left"/>
      <w:lvlText w:val="(%2)"/>
      <w:numFmt w:val="lowerRoman"/>
      <w:start w:val="1"/>
    </w:lvl>
  </w:abstractNum>
  <w:abstractNum w:abstractNumId="139">
    <w:nsid w:val="57C5BB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0">
    <w:nsid w:val="1803D0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1">
    <w:nsid w:val="4F3A06D4"/>
    <w:multiLevelType w:val="hybridMultilevel"/>
    <w:lvl w:ilvl="0">
      <w:lvlJc w:val="left"/>
      <w:lvlText w:val="%1"/>
      <w:numFmt w:val="lowerLetter"/>
      <w:start w:val="1"/>
    </w:lvl>
    <w:lvl w:ilvl="1">
      <w:lvlJc w:val="left"/>
      <w:lvlText w:val="(%2)"/>
      <w:numFmt w:val="lowerRoman"/>
      <w:start w:val="3"/>
    </w:lvl>
  </w:abstractNum>
  <w:abstractNum w:abstractNumId="142">
    <w:nsid w:val="59A377B6"/>
    <w:multiLevelType w:val="hybridMultilevel"/>
    <w:lvl w:ilvl="0">
      <w:lvlJc w:val="left"/>
      <w:lvlText w:val="(%1)"/>
      <w:numFmt w:val="lowerLetter"/>
      <w:start w:val="3"/>
    </w:lvl>
    <w:lvl w:ilvl="1">
      <w:lvlJc w:val="left"/>
      <w:lvlText w:val="%2"/>
      <w:numFmt w:val="lowerRoman"/>
      <w:start w:val="1"/>
    </w:lvl>
  </w:abstractNum>
  <w:abstractNum w:abstractNumId="143">
    <w:nsid w:val="48AEB063"/>
    <w:multiLevelType w:val="hybridMultilevel"/>
    <w:lvl w:ilvl="0">
      <w:lvlJc w:val="left"/>
      <w:lvlText w:val="(%1)"/>
      <w:numFmt w:val="lowerLetter"/>
      <w:start w:val="1"/>
    </w:lvl>
  </w:abstractNum>
  <w:abstractNum w:abstractNumId="144">
    <w:nsid w:val="24E135"/>
    <w:multiLevelType w:val="hybridMultilevel"/>
    <w:lvl w:ilvl="0">
      <w:lvlJc w:val="left"/>
      <w:lvlText w:val="(%1)"/>
      <w:numFmt w:val="lowerLetter"/>
      <w:start w:val="5"/>
    </w:lvl>
  </w:abstractNum>
  <w:abstractNum w:abstractNumId="145">
    <w:nsid w:val="BB13C1"/>
    <w:multiLevelType w:val="hybridMultilevel"/>
    <w:lvl w:ilvl="0">
      <w:lvlJc w:val="left"/>
      <w:lvlText w:val="(%1)"/>
      <w:numFmt w:val="lowerLetter"/>
      <w:start w:val="1"/>
    </w:lvl>
  </w:abstractNum>
  <w:abstractNum w:abstractNumId="146">
    <w:nsid w:val="271210C7"/>
    <w:multiLevelType w:val="hybridMultilevel"/>
    <w:lvl w:ilvl="0">
      <w:lvlJc w:val="left"/>
      <w:lvlText w:val="(%1)"/>
      <w:numFmt w:val="lowerLetter"/>
      <w:start w:val="5"/>
    </w:lvl>
  </w:abstractNum>
  <w:abstractNum w:abstractNumId="147">
    <w:nsid w:val="217B22E4"/>
    <w:multiLevelType w:val="hybridMultilevel"/>
    <w:lvl w:ilvl="0">
      <w:lvlJc w:val="left"/>
      <w:lvlText w:val="(%1)"/>
      <w:numFmt w:val="lowerLetter"/>
      <w:start w:val="1"/>
    </w:lvl>
    <w:lvl w:ilvl="1">
      <w:lvlJc w:val="left"/>
      <w:lvlText w:val="(%2)"/>
      <w:numFmt w:val="lowerRoman"/>
      <w:start w:val="1"/>
    </w:lvl>
  </w:abstractNum>
  <w:abstractNum w:abstractNumId="148">
    <w:nsid w:val="53E31A24"/>
    <w:multiLevelType w:val="hybridMultilevel"/>
    <w:lvl w:ilvl="0">
      <w:lvlJc w:val="left"/>
      <w:lvlText w:val="(%1)"/>
      <w:numFmt w:val="lowerLetter"/>
      <w:start w:val="4"/>
    </w:lvl>
  </w:abstractNum>
  <w:abstractNum w:abstractNumId="149">
    <w:nsid w:val="6DC45E83"/>
    <w:multiLevelType w:val="hybridMultilevel"/>
    <w:lvl w:ilvl="0">
      <w:lvlJc w:val="left"/>
      <w:lvlText w:val="(%1)"/>
      <w:numFmt w:val="lowerLetter"/>
      <w:start w:val="1"/>
    </w:lvl>
  </w:abstractNum>
  <w:abstractNum w:abstractNumId="150">
    <w:nsid w:val="17304A67"/>
    <w:multiLevelType w:val="hybridMultilevel"/>
    <w:lvl w:ilvl="0">
      <w:lvlJc w:val="left"/>
      <w:lvlText w:val="(%1)"/>
      <w:numFmt w:val="lowerLetter"/>
      <w:start w:val="7"/>
    </w:lvl>
  </w:abstractNum>
  <w:abstractNum w:abstractNumId="151">
    <w:nsid w:val="2BB180D8"/>
    <w:multiLevelType w:val="hybridMultilevel"/>
    <w:lvl w:ilvl="0">
      <w:lvlJc w:val="left"/>
      <w:lvlText w:val="(%1)"/>
      <w:numFmt w:val="lowerLetter"/>
      <w:start w:val="2"/>
    </w:lvl>
    <w:lvl w:ilvl="1">
      <w:lvlJc w:val="left"/>
      <w:lvlText w:val="(%2)"/>
      <w:numFmt w:val="lowerRoman"/>
      <w:start w:val="1"/>
    </w:lvl>
  </w:abstractNum>
  <w:abstractNum w:abstractNumId="152">
    <w:nsid w:val="556B69ED"/>
    <w:multiLevelType w:val="hybridMultilevel"/>
    <w:lvl w:ilvl="0">
      <w:lvlJc w:val="left"/>
      <w:lvlText w:val="(%1)"/>
      <w:numFmt w:val="lowerLetter"/>
      <w:start w:val="3"/>
    </w:lvl>
  </w:abstractNum>
  <w:abstractNum w:abstractNumId="153">
    <w:nsid w:val="70836196"/>
    <w:multiLevelType w:val="hybridMultilevel"/>
    <w:lvl w:ilvl="0">
      <w:lvlJc w:val="left"/>
      <w:lvlText w:val="(%1)"/>
      <w:numFmt w:val="lowerLetter"/>
      <w:start w:val="1"/>
    </w:lvl>
  </w:abstractNum>
  <w:abstractNum w:abstractNumId="154">
    <w:nsid w:val="539F7F12"/>
    <w:multiLevelType w:val="hybridMultilevel"/>
    <w:lvl w:ilvl="0">
      <w:lvlJc w:val="left"/>
      <w:lvlText w:val="(%1)"/>
      <w:numFmt w:val="lowerLetter"/>
      <w:start w:val="2"/>
    </w:lvl>
  </w:abstractNum>
  <w:abstractNum w:abstractNumId="155">
    <w:nsid w:val="2817E7EC"/>
    <w:multiLevelType w:val="hybridMultilevel"/>
    <w:lvl w:ilvl="0">
      <w:lvlJc w:val="left"/>
      <w:lvlText w:val="(%1)"/>
      <w:numFmt w:val="lowerLetter"/>
      <w:start w:val="1"/>
    </w:lvl>
  </w:abstractNum>
  <w:abstractNum w:abstractNumId="156">
    <w:nsid w:val="71482545"/>
    <w:multiLevelType w:val="hybridMultilevel"/>
    <w:lvl w:ilvl="0">
      <w:lvlJc w:val="left"/>
      <w:lvlText w:val="(%1)"/>
      <w:numFmt w:val="lowerLetter"/>
      <w:start w:val="1"/>
    </w:lvl>
  </w:abstractNum>
  <w:abstractNum w:abstractNumId="157">
    <w:nsid w:val="17D78639"/>
    <w:multiLevelType w:val="hybridMultilevel"/>
    <w:lvl w:ilvl="0">
      <w:lvlJc w:val="left"/>
      <w:lvlText w:val="(%1)"/>
      <w:numFmt w:val="lowerLetter"/>
      <w:start w:val="1"/>
    </w:lvl>
  </w:abstractNum>
  <w:abstractNum w:abstractNumId="158">
    <w:nsid w:val="141D2302"/>
    <w:multiLevelType w:val="hybridMultilevel"/>
    <w:lvl w:ilvl="0">
      <w:lvlJc w:val="left"/>
      <w:lvlText w:val="(%1)"/>
      <w:numFmt w:val="lowerRoman"/>
      <w:start w:val="1"/>
    </w:lvl>
  </w:abstractNum>
  <w:abstractNum w:abstractNumId="159">
    <w:nsid w:val="407168D8"/>
    <w:multiLevelType w:val="hybridMultilevel"/>
    <w:lvl w:ilvl="0">
      <w:lvlJc w:val="left"/>
      <w:lvlText w:val="(%1)"/>
      <w:numFmt w:val="upperLetter"/>
      <w:start w:val="1"/>
    </w:lvl>
  </w:abstractNum>
  <w:abstractNum w:abstractNumId="160">
    <w:nsid w:val="6A1B45E5"/>
    <w:multiLevelType w:val="hybridMultilevel"/>
    <w:lvl w:ilvl="0">
      <w:lvlJc w:val="left"/>
      <w:lvlText w:val="%1"/>
      <w:numFmt w:val="decimal"/>
      <w:start w:val="14"/>
    </w:lvl>
  </w:abstractNum>
  <w:abstractNum w:abstractNumId="161">
    <w:nsid w:val="567BD50A"/>
    <w:multiLevelType w:val="hybridMultilevel"/>
    <w:lvl w:ilvl="0">
      <w:lvlJc w:val="left"/>
      <w:lvlText w:val="(%1)"/>
      <w:numFmt w:val="upperLetter"/>
      <w:start w:val="2"/>
    </w:lvl>
  </w:abstractNum>
  <w:abstractNum w:abstractNumId="162">
    <w:nsid w:val="73BBD7F8"/>
    <w:multiLevelType w:val="hybridMultilevel"/>
    <w:lvl w:ilvl="0">
      <w:lvlJc w:val="left"/>
      <w:lvlText w:val="%1"/>
      <w:numFmt w:val="lowerLetter"/>
      <w:start w:val="1"/>
    </w:lvl>
    <w:lvl w:ilvl="1">
      <w:lvlJc w:val="left"/>
      <w:lvlText w:val="(%2)"/>
      <w:numFmt w:val="lowerLetter"/>
      <w:start w:val="22"/>
    </w:lvl>
  </w:abstractNum>
  <w:abstractNum w:abstractNumId="163">
    <w:nsid w:val="1876589D"/>
    <w:multiLevelType w:val="hybridMultilevel"/>
    <w:lvl w:ilvl="0">
      <w:lvlJc w:val="left"/>
      <w:lvlText w:val="(%1)"/>
      <w:numFmt w:val="lowerLetter"/>
      <w:start w:val="2"/>
    </w:lvl>
    <w:lvl w:ilvl="1">
      <w:lvlJc w:val="left"/>
      <w:lvlText w:val="%2"/>
      <w:numFmt w:val="lowerLetter"/>
      <w:start w:val="1"/>
    </w:lvl>
  </w:abstractNum>
  <w:abstractNum w:abstractNumId="164">
    <w:nsid w:val="327FAC77"/>
    <w:multiLevelType w:val="hybridMultilevel"/>
    <w:lvl w:ilvl="0">
      <w:lvlJc w:val="left"/>
      <w:lvlText w:val="(%1)"/>
      <w:numFmt w:val="lowerLetter"/>
      <w:start w:val="3"/>
    </w:lvl>
  </w:abstractNum>
  <w:abstractNum w:abstractNumId="165">
    <w:nsid w:val="5A606509"/>
    <w:multiLevelType w:val="hybridMultilevel"/>
    <w:lvl w:ilvl="0">
      <w:lvlJc w:val="left"/>
      <w:lvlText w:val="(%1)"/>
      <w:numFmt w:val="lowerLetter"/>
      <w:start w:val="6"/>
    </w:lvl>
  </w:abstractNum>
  <w:abstractNum w:abstractNumId="166">
    <w:nsid w:val="6F38E6D1"/>
    <w:multiLevelType w:val="hybridMultilevel"/>
    <w:lvl w:ilvl="0">
      <w:lvlJc w:val="left"/>
      <w:lvlText w:val="(%1)"/>
      <w:numFmt w:val="lowerLetter"/>
      <w:start w:val="1"/>
    </w:lvl>
  </w:abstractNum>
  <w:abstractNum w:abstractNumId="167">
    <w:nsid w:val="46111BA5"/>
    <w:multiLevelType w:val="hybridMultilevel"/>
    <w:lvl w:ilvl="0">
      <w:lvlJc w:val="left"/>
      <w:lvlText w:val="%1"/>
      <w:numFmt w:val="decimal"/>
      <w:start w:val="15"/>
    </w:lvl>
  </w:abstractNum>
  <w:abstractNum w:abstractNumId="168">
    <w:nsid w:val="5E963896"/>
    <w:multiLevelType w:val="hybridMultilevel"/>
    <w:lvl w:ilvl="0">
      <w:lvlJc w:val="left"/>
      <w:lvlText w:val="(%1)"/>
      <w:numFmt w:val="lowerLetter"/>
      <w:start w:val="2"/>
    </w:lvl>
  </w:abstractNum>
  <w:abstractNum w:abstractNumId="169">
    <w:nsid w:val="775BA7C1"/>
    <w:multiLevelType w:val="hybridMultilevel"/>
    <w:lvl w:ilvl="0">
      <w:lvlJc w:val="left"/>
      <w:lvlText w:val="%1"/>
      <w:numFmt w:val="lowerLetter"/>
      <w:start w:val="1"/>
    </w:lvl>
    <w:lvl w:ilvl="1">
      <w:lvlJc w:val="left"/>
      <w:lvlText w:val="(%2)"/>
      <w:numFmt w:val="lowerRoman"/>
      <w:start w:val="1"/>
    </w:lvl>
  </w:abstractNum>
  <w:abstractNum w:abstractNumId="170">
    <w:nsid w:val="1DD6D6F4"/>
    <w:multiLevelType w:val="hybridMultilevel"/>
    <w:lvl w:ilvl="0">
      <w:lvlJc w:val="left"/>
      <w:lvlText w:val="(%1)"/>
      <w:numFmt w:val="lowerLetter"/>
      <w:start w:val="3"/>
    </w:lvl>
    <w:lvl w:ilvl="1">
      <w:lvlJc w:val="left"/>
      <w:lvlText w:val="%2"/>
      <w:numFmt w:val="lowerRoman"/>
      <w:start w:val="1"/>
    </w:lvl>
  </w:abstractNum>
  <w:abstractNum w:abstractNumId="171">
    <w:nsid w:val="769A091F"/>
    <w:multiLevelType w:val="hybridMultilevel"/>
    <w:lvl w:ilvl="0">
      <w:lvlJc w:val="left"/>
      <w:lvlText w:val="(%1)"/>
      <w:numFmt w:val="lowerLetter"/>
      <w:start w:val="2"/>
    </w:lvl>
  </w:abstractNum>
  <w:abstractNum w:abstractNumId="172">
    <w:nsid w:val="4695AE95"/>
    <w:multiLevelType w:val="hybridMultilevel"/>
    <w:lvl w:ilvl="0">
      <w:lvlJc w:val="left"/>
      <w:lvlText w:val="(%1)"/>
      <w:numFmt w:val="lowerRoman"/>
      <w:start w:val="1"/>
    </w:lvl>
  </w:abstractNum>
  <w:abstractNum w:abstractNumId="173">
    <w:nsid w:val="777A4EAA"/>
    <w:multiLevelType w:val="hybridMultilevel"/>
    <w:lvl w:ilvl="0">
      <w:lvlJc w:val="left"/>
      <w:lvlText w:val="%1"/>
      <w:numFmt w:val="decimal"/>
      <w:start w:val="17"/>
    </w:lvl>
  </w:abstractNum>
  <w:abstractNum w:abstractNumId="174">
    <w:nsid w:val="3F48B982"/>
    <w:multiLevelType w:val="hybridMultilevel"/>
    <w:lvl w:ilvl="0">
      <w:lvlJc w:val="left"/>
      <w:lvlText w:val="(%1)"/>
      <w:numFmt w:val="lowerRoman"/>
      <w:start w:val="3"/>
    </w:lvl>
  </w:abstractNum>
  <w:abstractNum w:abstractNumId="175">
    <w:nsid w:val="46BA8FCA"/>
    <w:multiLevelType w:val="hybridMultilevel"/>
    <w:lvl w:ilvl="0">
      <w:lvlJc w:val="left"/>
      <w:lvlText w:val="(%1)"/>
      <w:numFmt w:val="lowerLetter"/>
      <w:start w:val="6"/>
    </w:lvl>
  </w:abstractNum>
  <w:abstractNum w:abstractNumId="176">
    <w:nsid w:val="7835626C"/>
    <w:multiLevelType w:val="hybridMultilevel"/>
    <w:lvl w:ilvl="0">
      <w:lvlJc w:val="left"/>
      <w:lvlText w:val="(%1)"/>
      <w:numFmt w:val="lowerLetter"/>
      <w:start w:val="25"/>
    </w:lvl>
    <w:lvl w:ilvl="1">
      <w:lvlJc w:val="left"/>
      <w:lvlText w:val="(%2)"/>
      <w:numFmt w:val="lowerLetter"/>
      <w:start w:val="1"/>
    </w:lvl>
  </w:abstractNum>
  <w:abstractNum w:abstractNumId="177">
    <w:nsid w:val="665ACA49"/>
    <w:multiLevelType w:val="hybridMultilevel"/>
    <w:lvl w:ilvl="0">
      <w:lvlJc w:val="left"/>
      <w:lvlText w:val="(%1)"/>
      <w:numFmt w:val="lowerLetter"/>
      <w:start w:val="2"/>
    </w:lvl>
  </w:abstractNum>
  <w:abstractNum w:abstractNumId="178">
    <w:nsid w:val="6835B2AE"/>
    <w:multiLevelType w:val="hybridMultilevel"/>
    <w:lvl w:ilvl="0">
      <w:lvlJc w:val="left"/>
      <w:lvlText w:val="X"/>
      <w:numFmt w:val="bullet"/>
      <w:start w:val="1"/>
    </w:lvl>
  </w:abstractNum>
  <w:abstractNum w:abstractNumId="179">
    <w:nsid w:val="4C187C90"/>
    <w:multiLevelType w:val="hybridMultilevel"/>
    <w:lvl w:ilvl="0">
      <w:lvlJc w:val="left"/>
      <w:lvlText w:val="Y"/>
      <w:numFmt w:val="bullet"/>
      <w:start w:val="1"/>
    </w:lvl>
  </w:abstractNum>
  <w:abstractNum w:abstractNumId="180">
    <w:nsid w:val="541F28CD"/>
    <w:multiLevelType w:val="hybridMultilevel"/>
    <w:lvl w:ilvl="0">
      <w:lvlJc w:val="left"/>
      <w:lvlText w:val="(%1)"/>
      <w:numFmt w:val="lowerLetter"/>
      <w:start w:val="3"/>
    </w:lvl>
  </w:abstractNum>
  <w:abstractNum w:abstractNumId="181">
    <w:nsid w:val="7F65FD16"/>
    <w:multiLevelType w:val="hybridMultilevel"/>
    <w:lvl w:ilvl="0">
      <w:lvlJc w:val="left"/>
      <w:lvlText w:val="(%1)"/>
      <w:numFmt w:val="lowerRoman"/>
      <w:start w:val="10"/>
    </w:lvl>
  </w:abstractNum>
  <w:abstractNum w:abstractNumId="182">
    <w:nsid w:val="77C9FD68"/>
    <w:multiLevelType w:val="hybridMultilevel"/>
    <w:lvl w:ilvl="0">
      <w:lvlJc w:val="left"/>
      <w:lvlText w:val="(%1)"/>
      <w:numFmt w:val="lowerRoman"/>
      <w:start w:val="2"/>
    </w:lvl>
  </w:abstractNum>
  <w:abstractNum w:abstractNumId="183">
    <w:nsid w:val="298A92BA"/>
    <w:multiLevelType w:val="hybridMultilevel"/>
    <w:lvl w:ilvl="0">
      <w:lvlJc w:val="left"/>
      <w:lvlText w:val="(%1)"/>
      <w:numFmt w:val="lowerLetter"/>
      <w:start w:val="4"/>
    </w:lvl>
  </w:abstractNum>
  <w:abstractNum w:abstractNumId="184">
    <w:nsid w:val="6FE95EAC"/>
    <w:multiLevelType w:val="hybridMultilevel"/>
    <w:lvl w:ilvl="0">
      <w:lvlJc w:val="left"/>
      <w:lvlText w:val="C"/>
      <w:numFmt w:val="bullet"/>
      <w:start w:val="1"/>
    </w:lvl>
  </w:abstractNum>
  <w:abstractNum w:abstractNumId="185">
    <w:nsid w:val="4B697C7A"/>
    <w:multiLevelType w:val="hybridMultilevel"/>
    <w:lvl w:ilvl="0">
      <w:lvlJc w:val="left"/>
      <w:lvlText w:val="(%1)"/>
      <w:numFmt w:val="lowerLetter"/>
      <w:start w:val="5"/>
    </w:lvl>
  </w:abstractNum>
  <w:abstractNum w:abstractNumId="186">
    <w:nsid w:val="51A27AA6"/>
    <w:multiLevelType w:val="hybridMultilevel"/>
    <w:lvl w:ilvl="0">
      <w:lvlJc w:val="left"/>
      <w:lvlText w:val="(%1)"/>
      <w:numFmt w:val="lowerLetter"/>
      <w:start w:val="6"/>
    </w:lvl>
    <w:lvl w:ilvl="1">
      <w:lvlJc w:val="left"/>
      <w:lvlText w:val="(%2)"/>
      <w:numFmt w:val="lowerLetter"/>
      <w:start w:val="9"/>
    </w:lvl>
  </w:abstractNum>
  <w:abstractNum w:abstractNumId="187">
    <w:nsid w:val="613183F2"/>
    <w:multiLevelType w:val="hybridMultilevel"/>
    <w:lvl w:ilvl="0">
      <w:lvlJc w:val="left"/>
      <w:lvlText w:val="%1"/>
      <w:numFmt w:val="lowerLetter"/>
      <w:start w:val="1"/>
    </w:lvl>
    <w:lvl w:ilvl="1">
      <w:lvlJc w:val="left"/>
      <w:lvlText w:val="(%2)"/>
      <w:numFmt w:val="lowerRoman"/>
      <w:start w:val="2"/>
    </w:lvl>
  </w:abstractNum>
  <w:abstractNum w:abstractNumId="188">
    <w:nsid w:val="634102B4"/>
    <w:multiLevelType w:val="hybridMultilevel"/>
    <w:lvl w:ilvl="0">
      <w:lvlJc w:val="left"/>
      <w:lvlText w:val="(%1)"/>
      <w:numFmt w:val="lowerLetter"/>
      <w:start w:val="11"/>
    </w:lvl>
    <w:lvl w:ilvl="1">
      <w:lvlJc w:val="left"/>
      <w:lvlText w:val="%2"/>
      <w:numFmt w:val="lowerRoman"/>
      <w:start w:val="1"/>
    </w:lvl>
  </w:abstractNum>
  <w:abstractNum w:abstractNumId="189">
    <w:nsid w:val="65BF9DA8"/>
    <w:multiLevelType w:val="hybridMultilevel"/>
    <w:lvl w:ilvl="0">
      <w:lvlJc w:val="left"/>
      <w:lvlText w:val="(%1)"/>
      <w:numFmt w:val="lowerLetter"/>
      <w:start w:val="13"/>
    </w:lvl>
  </w:abstractNum>
  <w:abstractNum w:abstractNumId="190">
    <w:nsid w:val="21A2ECCA"/>
    <w:multiLevelType w:val="hybridMultilevel"/>
    <w:lvl w:ilvl="0">
      <w:lvlJc w:val="left"/>
      <w:lvlText w:val="%1"/>
      <w:numFmt w:val="decimal"/>
      <w:start w:val="19"/>
    </w:lvl>
  </w:abstractNum>
  <w:abstractNum w:abstractNumId="191">
    <w:nsid w:val="4D5C4899"/>
    <w:multiLevelType w:val="hybridMultilevel"/>
    <w:lvl w:ilvl="0">
      <w:lvlJc w:val="left"/>
      <w:lvlText w:val="(%1)"/>
      <w:numFmt w:val="lowerLetter"/>
      <w:start w:val="14"/>
    </w:lvl>
  </w:abstractNum>
  <w:abstractNum w:abstractNumId="192">
    <w:nsid w:val="3C3B72B2"/>
    <w:multiLevelType w:val="hybridMultilevel"/>
    <w:lvl w:ilvl="0">
      <w:lvlJc w:val="left"/>
      <w:lvlText w:val="(%1)"/>
      <w:numFmt w:val="lowerLetter"/>
      <w:start w:val="1"/>
    </w:lvl>
    <w:lvl w:ilvl="1">
      <w:lvlJc w:val="left"/>
      <w:lvlText w:val="(%2)"/>
      <w:numFmt w:val="lowerRoman"/>
      <w:start w:val="1"/>
    </w:lvl>
  </w:abstractNum>
  <w:abstractNum w:abstractNumId="193">
    <w:nsid w:val="155EC4C2"/>
    <w:multiLevelType w:val="hybridMultilevel"/>
    <w:lvl w:ilvl="0">
      <w:lvlJc w:val="left"/>
      <w:lvlText w:val="(%1)"/>
      <w:numFmt w:val="lowerLetter"/>
      <w:start w:val="2"/>
    </w:lvl>
  </w:abstractNum>
  <w:abstractNum w:abstractNumId="194">
    <w:nsid w:val="65D2A137"/>
    <w:multiLevelType w:val="hybridMultilevel"/>
    <w:lvl w:ilvl="0">
      <w:lvlJc w:val="left"/>
      <w:lvlText w:val="(%1)"/>
      <w:numFmt w:val="lowerLetter"/>
      <w:start w:val="3"/>
    </w:lvl>
  </w:abstractNum>
  <w:abstractNum w:abstractNumId="195">
    <w:nsid w:val="6EBB1F2A"/>
    <w:multiLevelType w:val="hybridMultilevel"/>
    <w:lvl w:ilvl="0">
      <w:lvlJc w:val="left"/>
      <w:lvlText w:val="(%1)"/>
      <w:numFmt w:val="lowerLetter"/>
      <w:start w:val="2"/>
    </w:lvl>
  </w:abstractNum>
  <w:abstractNum w:abstractNumId="196">
    <w:nsid w:val="6FBF29CB"/>
    <w:multiLevelType w:val="hybridMultilevel"/>
    <w:lvl w:ilvl="0">
      <w:lvlJc w:val="left"/>
      <w:lvlText w:val="(%1)"/>
      <w:numFmt w:val="lowerLetter"/>
      <w:start w:val="1"/>
    </w:lvl>
  </w:abstractNum>
  <w:abstractNum w:abstractNumId="197">
    <w:nsid w:val="550B8808"/>
    <w:multiLevelType w:val="hybridMultilevel"/>
    <w:lvl w:ilvl="0">
      <w:lvlJc w:val="left"/>
      <w:lvlText w:val="(%1)"/>
      <w:numFmt w:val="lowerLetter"/>
      <w:start w:val="1"/>
    </w:lvl>
  </w:abstractNum>
  <w:abstractNum w:abstractNumId="198">
    <w:nsid w:val="34CC3ACF"/>
    <w:multiLevelType w:val="hybridMultilevel"/>
    <w:lvl w:ilvl="0">
      <w:lvlJc w:val="left"/>
      <w:lvlText w:val="(%1)"/>
      <w:numFmt w:val="lowerLetter"/>
      <w:start w:val="2"/>
    </w:lvl>
  </w:abstractNum>
  <w:abstractNum w:abstractNumId="199">
    <w:nsid w:val="4E556261"/>
    <w:multiLevelType w:val="hybridMultilevel"/>
    <w:lvl w:ilvl="0">
      <w:lvlJc w:val="left"/>
      <w:lvlText w:val="(%1)"/>
      <w:numFmt w:val="lowerLetter"/>
      <w:start w:val="2"/>
    </w:lvl>
    <w:lvl w:ilvl="1">
      <w:lvlJc w:val="left"/>
      <w:lvlText w:val="(%2)"/>
      <w:numFmt w:val="lowerRoman"/>
      <w:start w:val="1"/>
    </w:lvl>
  </w:abstractNum>
  <w:abstractNum w:abstractNumId="200">
    <w:nsid w:val="4C672FC9"/>
    <w:multiLevelType w:val="hybridMultilevel"/>
    <w:lvl w:ilvl="0">
      <w:lvlJc w:val="left"/>
      <w:lvlText w:val="(%1)"/>
      <w:numFmt w:val="decimal"/>
      <w:start w:val="1"/>
    </w:lvl>
  </w:abstractNum>
  <w:abstractNum w:abstractNumId="201">
    <w:nsid w:val="52A311C3"/>
    <w:multiLevelType w:val="hybridMultilevel"/>
    <w:lvl w:ilvl="0">
      <w:lvlJc w:val="left"/>
      <w:lvlText w:val="(%1)"/>
      <w:numFmt w:val="lowerLetter"/>
      <w:start w:val="3"/>
    </w:lvl>
    <w:lvl w:ilvl="1">
      <w:lvlJc w:val="left"/>
      <w:lvlText w:val="(%2)"/>
      <w:numFmt w:val="lowerRoman"/>
      <w:start w:val="1"/>
    </w:lvl>
  </w:abstractNum>
  <w:abstractNum w:abstractNumId="202">
    <w:nsid w:val="44EF6B80"/>
    <w:multiLevelType w:val="hybridMultilevel"/>
    <w:lvl w:ilvl="0">
      <w:lvlJc w:val="left"/>
      <w:lvlText w:val="(%1)"/>
      <w:numFmt w:val="lowerLetter"/>
      <w:start w:val="4"/>
    </w:lvl>
  </w:abstractNum>
  <w:abstractNum w:abstractNumId="203">
    <w:nsid w:val="12FCDE5E"/>
    <w:multiLevelType w:val="hybridMultilevel"/>
    <w:lvl w:ilvl="0">
      <w:lvlJc w:val="left"/>
      <w:lvlText w:val="(%1)"/>
      <w:numFmt w:val="lowerRoman"/>
      <w:start w:val="2"/>
    </w:lvl>
  </w:abstractNum>
  <w:abstractNum w:abstractNumId="204">
    <w:nsid w:val="4A1D606E"/>
    <w:multiLevelType w:val="hybridMultilevel"/>
    <w:lvl w:ilvl="0">
      <w:lvlJc w:val="left"/>
      <w:lvlText w:val="(%1)"/>
      <w:numFmt w:val="lowerLetter"/>
      <w:start w:val="2"/>
    </w:lvl>
  </w:abstractNum>
  <w:abstractNum w:abstractNumId="205">
    <w:nsid w:val="4382503"/>
    <w:multiLevelType w:val="hybridMultilevel"/>
    <w:lvl w:ilvl="0">
      <w:lvlJc w:val="left"/>
      <w:lvlText w:val="(%1)"/>
      <w:numFmt w:val="lowerLetter"/>
      <w:start w:val="1"/>
    </w:lvl>
  </w:abstractNum>
  <w:abstractNum w:abstractNumId="206">
    <w:nsid w:val="59B76E28"/>
    <w:multiLevelType w:val="hybridMultilevel"/>
    <w:lvl w:ilvl="0">
      <w:lvlJc w:val="left"/>
      <w:lvlText w:val="(%1)"/>
      <w:numFmt w:val="lowerLetter"/>
      <w:start w:val="2"/>
    </w:lvl>
    <w:lvl w:ilvl="1">
      <w:lvlJc w:val="left"/>
      <w:lvlText w:val="(%2)"/>
      <w:numFmt w:val="lowerRoman"/>
      <w:start w:val="1"/>
    </w:lvl>
  </w:abstractNum>
  <w:abstractNum w:abstractNumId="207">
    <w:nsid w:val="4252C2DA"/>
    <w:multiLevelType w:val="hybridMultilevel"/>
    <w:lvl w:ilvl="0">
      <w:lvlJc w:val="left"/>
      <w:lvlText w:val="(%1)"/>
      <w:numFmt w:val="lowerLetter"/>
      <w:start w:val="4"/>
    </w:lvl>
  </w:abstractNum>
  <w:abstractNum w:abstractNumId="208">
    <w:nsid w:val="6A92EF4C"/>
    <w:multiLevelType w:val="hybridMultilevel"/>
    <w:lvl w:ilvl="0">
      <w:lvlJc w:val="left"/>
      <w:lvlText w:val="(%1)"/>
      <w:numFmt w:val="lowerLetter"/>
      <w:start w:val="2"/>
    </w:lvl>
  </w:abstractNum>
  <w:abstractNum w:abstractNumId="209">
    <w:nsid w:val="41ED20D7"/>
    <w:multiLevelType w:val="hybridMultilevel"/>
    <w:lvl w:ilvl="0">
      <w:lvlJc w:val="left"/>
      <w:lvlText w:val="(%1)"/>
      <w:numFmt w:val="decimal"/>
      <w:start w:val="1"/>
    </w:lvl>
  </w:abstractNum>
  <w:abstractNum w:abstractNumId="210">
    <w:nsid w:val="E6B3F6A"/>
    <w:multiLevelType w:val="hybridMultilevel"/>
    <w:lvl w:ilvl="0">
      <w:lvlJc w:val="left"/>
      <w:lvlText w:val="%1"/>
      <w:numFmt w:val="decimal"/>
      <w:start w:val="20"/>
    </w:lvl>
  </w:abstractNum>
  <w:abstractNum w:abstractNumId="211">
    <w:nsid w:val="3EB21819"/>
    <w:multiLevelType w:val="hybridMultilevel"/>
    <w:lvl w:ilvl="0">
      <w:lvlJc w:val="left"/>
      <w:lvlText w:val="(%1)"/>
      <w:numFmt w:val="upperLetter"/>
      <w:start w:val="1"/>
    </w:lvl>
  </w:abstractNum>
  <w:abstractNum w:abstractNumId="212">
    <w:nsid w:val="41531DED"/>
    <w:multiLevelType w:val="hybridMultilevel"/>
    <w:lvl w:ilvl="0">
      <w:lvlJc w:val="left"/>
      <w:lvlText w:val="%1"/>
      <w:numFmt w:val="decimal"/>
      <w:start w:val="21"/>
    </w:lvl>
  </w:abstractNum>
  <w:abstractNum w:abstractNumId="213">
    <w:nsid w:val="6353CD2"/>
    <w:multiLevelType w:val="hybridMultilevel"/>
    <w:lvl w:ilvl="0">
      <w:lvlJc w:val="left"/>
      <w:lvlText w:val="%1"/>
      <w:numFmt w:val="decimal"/>
      <w:start w:val="22"/>
    </w:lvl>
  </w:abstractNum>
  <w:abstractNum w:abstractNumId="214">
    <w:nsid w:val="683CAAD3"/>
    <w:multiLevelType w:val="hybridMultilevel"/>
    <w:lvl w:ilvl="0">
      <w:lvlJc w:val="left"/>
      <w:lvlText w:val="%1"/>
      <w:numFmt w:val="decimal"/>
      <w:start w:val="29"/>
    </w:lvl>
  </w:abstractNum>
  <w:abstractNum w:abstractNumId="215">
    <w:nsid w:val="313C7C99"/>
    <w:multiLevelType w:val="hybridMultilevel"/>
    <w:lvl w:ilvl="0">
      <w:lvlJc w:val="left"/>
      <w:lvlText w:val="%1"/>
      <w:numFmt w:val="decimal"/>
      <w:start w:val="30"/>
    </w:lvl>
  </w:abstractNum>
  <w:abstractNum w:abstractNumId="216">
    <w:nsid w:val="519EB94C"/>
    <w:multiLevelType w:val="hybridMultilevel"/>
    <w:lvl w:ilvl="0">
      <w:lvlJc w:val="left"/>
      <w:lvlText w:val="%1"/>
      <w:numFmt w:val="decimal"/>
      <w:start w:val="31"/>
    </w:lvl>
  </w:abstractNum>
  <w:abstractNum w:abstractNumId="217">
    <w:nsid w:val="39DF2579"/>
    <w:multiLevelType w:val="hybridMultilevel"/>
    <w:lvl w:ilvl="0">
      <w:lvlJc w:val="left"/>
      <w:lvlText w:val="☐"/>
      <w:numFmt w:val="bullet"/>
      <w:start w:val="1"/>
    </w:lvl>
  </w:abstractNum>
  <w:abstractNum w:abstractNumId="218">
    <w:nsid w:val="126E008B"/>
    <w:multiLevelType w:val="hybridMultilevel"/>
    <w:lvl w:ilvl="0">
      <w:lvlJc w:val="left"/>
      <w:lvlText w:val="%1."/>
      <w:numFmt w:val="decimal"/>
      <w:start w:val="1"/>
    </w:lvl>
  </w:abstractNum>
  <w:abstractNum w:abstractNumId="219">
    <w:nsid w:val="34DFBC00"/>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20">
    <w:nsid w:val="1F9EC32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21">
    <w:nsid w:val="3410ED5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2">
    <w:nsid w:val="23C049A"/>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2"/>
    </w:lvl>
  </w:abstractNum>
  <w:abstractNum w:abstractNumId="223">
    <w:nsid w:val="5BDA35D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24">
    <w:nsid w:val="496FB2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25">
    <w:nsid w:val="680EA5D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6">
    <w:nsid w:val="4A9554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7">
    <w:nsid w:val="392EDBE4"/>
    <w:multiLevelType w:val="hybridMultilevel"/>
    <w:lvl w:ilvl="0">
      <w:lvlJc w:val="left"/>
      <w:lvlText w:val="(%1)"/>
      <w:numFmt w:val="lowerRoman"/>
      <w:start w:val="3"/>
    </w:lvl>
    <w:lvl w:ilvl="1">
      <w:lvlJc w:val="left"/>
      <w:lvlText w:val="%2."/>
      <w:numFmt w:val="lowerLetter"/>
      <w:start w:val="7"/>
    </w:lvl>
  </w:abstractNum>
  <w:abstractNum w:abstractNumId="228">
    <w:nsid w:val="3D1A2DD9"/>
    <w:multiLevelType w:val="hybridMultilevel"/>
    <w:lvl w:ilvl="0">
      <w:lvlJc w:val="left"/>
      <w:lvlText w:val="%1."/>
      <w:numFmt w:val="decimal"/>
      <w:start w:val="4"/>
    </w:lvl>
    <w:lvl w:ilvl="1">
      <w:lvlJc w:val="left"/>
      <w:lvlText w:val="%2"/>
      <w:numFmt w:val="lowerLetter"/>
      <w:start w:val="1"/>
    </w:lvl>
  </w:abstractNum>
  <w:abstractNum w:abstractNumId="229">
    <w:nsid w:val="7F618FCD"/>
    <w:multiLevelType w:val="hybridMultilevel"/>
    <w:lvl w:ilvl="0">
      <w:lvlJc w:val="left"/>
      <w:lvlText w:val="(%1)"/>
      <w:numFmt w:val="decimal"/>
      <w:start w:val="1"/>
    </w:lvl>
  </w:abstractNum>
  <w:abstractNum w:abstractNumId="230">
    <w:nsid w:val="7843E45"/>
    <w:multiLevelType w:val="hybridMultilevel"/>
    <w:lvl w:ilvl="0">
      <w:lvlJc w:val="left"/>
      <w:lvlText w:val="(%1)"/>
      <w:numFmt w:val="upperLetter"/>
      <w:start w:val="1"/>
    </w:lvl>
  </w:abstractNum>
  <w:abstractNum w:abstractNumId="231">
    <w:nsid w:val="9815DA3"/>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232">
    <w:nsid w:val="5204A191"/>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33">
    <w:nsid w:val="4C73A9C6"/>
    <w:multiLevelType w:val="hybridMultilevel"/>
    <w:lvl w:ilvl="0">
      <w:lvlJc w:val="left"/>
      <w:lvlText w:val="%1"/>
      <w:numFmt w:val="lowerLetter"/>
      <w:start w:val="1"/>
    </w:lvl>
    <w:lvl w:ilvl="1">
      <w:lvlJc w:val="left"/>
      <w:lvlText w:val="%2."/>
      <w:numFmt w:val="decimal"/>
      <w:start w:val="6"/>
    </w:lvl>
  </w:abstractNum>
  <w:abstractNum w:abstractNumId="234">
    <w:nsid w:val="1C7E3C01"/>
    <w:multiLevelType w:val="hybridMultilevel"/>
    <w:lvl w:ilvl="0">
      <w:lvlJc w:val="left"/>
      <w:lvlText w:val="(%1)"/>
      <w:numFmt w:val="lowerLetter"/>
      <w:start w:val="25"/>
    </w:lvl>
    <w:lvl w:ilvl="1">
      <w:lvlJc w:val="left"/>
      <w:lvlText w:val="%2"/>
      <w:numFmt w:val="decimal"/>
      <w:start w:val="1"/>
    </w:lvl>
  </w:abstractNum>
  <w:abstractNum w:abstractNumId="235">
    <w:nsid w:val="1C2201FF"/>
    <w:multiLevelType w:val="hybridMultilevel"/>
    <w:lvl w:ilvl="0">
      <w:lvlJc w:val="left"/>
      <w:lvlText w:val="%1."/>
      <w:numFmt w:val="decimal"/>
      <w:start w:val="8"/>
    </w:lvl>
    <w:lvl w:ilvl="1">
      <w:lvlJc w:val="left"/>
      <w:lvlText w:val="%2."/>
      <w:numFmt w:val="lowerLetter"/>
      <w:start w:val="1"/>
    </w:lvl>
  </w:abstractNum>
  <w:abstractNum w:abstractNumId="236">
    <w:nsid w:val="50ABCEC9"/>
    <w:multiLevelType w:val="hybridMultilevel"/>
    <w:lvl w:ilvl="0">
      <w:lvlJc w:val="left"/>
      <w:lvlText w:val="%1."/>
      <w:numFmt w:val="upperLetter"/>
      <w:start w:val="1"/>
    </w:lvl>
    <w:lvl w:ilvl="1">
      <w:lvlJc w:val="left"/>
      <w:lvlText w:val="☐"/>
      <w:numFmt w:val="bullet"/>
      <w:start w:val="1"/>
    </w:lvl>
  </w:abstractNum>
  <w:abstractNum w:abstractNumId="237">
    <w:nsid w:val="7635AA2A"/>
    <w:multiLevelType w:val="hybridMultilevel"/>
    <w:lvl w:ilvl="0">
      <w:lvlJc w:val="left"/>
      <w:lvlText w:val="☐"/>
      <w:numFmt w:val="bullet"/>
      <w:start w:val="1"/>
    </w:lvl>
  </w:abstractNum>
  <w:abstractNum w:abstractNumId="238">
    <w:nsid w:val="5E74C4D9"/>
    <w:multiLevelType w:val="hybridMultilevel"/>
    <w:lvl w:ilvl="0">
      <w:lvlJc w:val="left"/>
      <w:lvlText w:val="☐"/>
      <w:numFmt w:val="bullet"/>
      <w:start w:val="1"/>
    </w:lvl>
  </w:abstractNum>
  <w:abstractNum w:abstractNumId="239">
    <w:nsid w:val="3B3EBE15"/>
    <w:multiLevelType w:val="hybridMultilevel"/>
    <w:lvl w:ilvl="0">
      <w:lvlJc w:val="left"/>
      <w:lvlText w:val="%1."/>
      <w:numFmt w:val="decimal"/>
      <w:start w:val="1"/>
    </w:lvl>
    <w:lvl w:ilvl="1">
      <w:lvlJc w:val="left"/>
      <w:lvlText w:val="%2."/>
      <w:numFmt w:val="lowerLetter"/>
      <w:start w:val="1"/>
    </w:lvl>
  </w:abstractNum>
  <w:abstractNum w:abstractNumId="240">
    <w:nsid w:val="3822CB0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1">
    <w:nsid w:val="6CE00443"/>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242">
    <w:nsid w:val="79F0D62F"/>
    <w:multiLevelType w:val="hybridMultilevel"/>
    <w:lvl w:ilvl="0">
      <w:lvlJc w:val="left"/>
      <w:lvlText w:val="(%1)"/>
      <w:numFmt w:val="lowerRoman"/>
      <w:start w:val="10"/>
    </w:lvl>
    <w:lvl w:ilvl="1">
      <w:lvlJc w:val="left"/>
      <w:lvlText w:val="%2."/>
      <w:numFmt w:val="lowerLetter"/>
      <w:start w:val="4"/>
    </w:lvl>
    <w:lvl w:ilvl="2">
      <w:lvlJc w:val="left"/>
      <w:lvlText w:val="(%3)"/>
      <w:numFmt w:val="lowerRoman"/>
      <w:start w:val="2"/>
    </w:lvl>
  </w:abstractNum>
  <w:abstractNum w:abstractNumId="243">
    <w:nsid w:val="7975E8E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4">
    <w:nsid w:val="73154115"/>
    <w:multiLevelType w:val="hybridMultilevel"/>
    <w:lvl w:ilvl="0">
      <w:lvlJc w:val="left"/>
      <w:lvlText w:val="(%1)"/>
      <w:numFmt w:val="lowerRoman"/>
      <w:start w:val="2"/>
    </w:lvl>
  </w:abstractNum>
  <w:abstractNum w:abstractNumId="245">
    <w:nsid w:val="622D81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246">
    <w:nsid w:val="2AB2658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47">
    <w:nsid w:val="44B3FA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8">
    <w:nsid w:val="1C0CA67C"/>
    <w:multiLevelType w:val="hybridMultilevel"/>
    <w:lvl w:ilvl="0">
      <w:lvlJc w:val="left"/>
      <w:lvlText w:val="%1."/>
      <w:numFmt w:val="lowerLetter"/>
      <w:start w:val="6"/>
    </w:lvl>
  </w:abstractNum>
  <w:abstractNum w:abstractNumId="249">
    <w:nsid w:val="3D206613"/>
    <w:multiLevelType w:val="hybridMultilevel"/>
    <w:lvl w:ilvl="0">
      <w:lvlJc w:val="left"/>
      <w:lvlText w:val="%1."/>
      <w:numFmt w:val="lowerLetter"/>
      <w:start w:val="18"/>
    </w:lvl>
  </w:abstractNum>
  <w:abstractNum w:abstractNumId="250">
    <w:nsid w:val="7993B662"/>
    <w:multiLevelType w:val="hybridMultilevel"/>
    <w:lvl w:ilvl="0">
      <w:lvlJc w:val="left"/>
      <w:lvlText w:val="%1."/>
      <w:numFmt w:val="decimal"/>
      <w:start w:val="4"/>
    </w:lvl>
    <w:lvl w:ilvl="1">
      <w:lvlJc w:val="left"/>
      <w:lvlText w:val="%2."/>
      <w:numFmt w:val="lowerLetter"/>
      <w:start w:val="1"/>
    </w:lvl>
  </w:abstractNum>
  <w:abstractNum w:abstractNumId="251">
    <w:nsid w:val="3BAB699E"/>
    <w:multiLevelType w:val="hybridMultilevel"/>
    <w:lvl w:ilvl="0">
      <w:lvlJc w:val="left"/>
      <w:lvlText w:val="%1."/>
      <w:numFmt w:val="lowerLetter"/>
      <w:start w:val="6"/>
    </w:lvl>
  </w:abstractNum>
  <w:abstractNum w:abstractNumId="252">
    <w:nsid w:val="71315369"/>
    <w:multiLevelType w:val="hybridMultilevel"/>
    <w:lvl w:ilvl="0">
      <w:lvlJc w:val="left"/>
      <w:lvlText w:val="(%1)"/>
      <w:numFmt w:val="decimal"/>
      <w:start w:val="1"/>
    </w:lvl>
  </w:abstractNum>
  <w:abstractNum w:abstractNumId="253">
    <w:nsid w:val="7BCFBAFC"/>
    <w:multiLevelType w:val="hybridMultilevel"/>
    <w:lvl w:ilvl="0">
      <w:lvlJc w:val="left"/>
      <w:lvlText w:val="(%1)"/>
      <w:numFmt w:val="upperLetter"/>
      <w:start w:val="1"/>
    </w:lvl>
  </w:abstractNum>
  <w:abstractNum w:abstractNumId="254">
    <w:nsid w:val="17859F72"/>
    <w:multiLevelType w:val="hybridMultilevel"/>
    <w:lvl w:ilvl="0">
      <w:lvlJc w:val="left"/>
      <w:lvlText w:val="%1."/>
      <w:numFmt w:val="decimal"/>
      <w:start w:val="5"/>
    </w:lvl>
  </w:abstractNum>
  <w:abstractNum w:abstractNumId="255">
    <w:nsid w:val="3AA10581"/>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56">
    <w:nsid w:val="63DE60CD"/>
    <w:multiLevelType w:val="hybridMultilevel"/>
    <w:lvl w:ilvl="0">
      <w:lvlJc w:val="left"/>
      <w:lvlText w:val="(%1)"/>
      <w:numFmt w:val="lowerLetter"/>
      <w:start w:val="25"/>
    </w:lvl>
    <w:lvl w:ilvl="1">
      <w:lvlJc w:val="left"/>
      <w:lvlText w:val="%2."/>
      <w:numFmt w:val="decimal"/>
      <w:start w:val="8"/>
    </w:lvl>
    <w:lvl w:ilvl="2">
      <w:lvlJc w:val="left"/>
      <w:lvlText w:val="%3."/>
      <w:numFmt w:val="lowerLetter"/>
      <w:start w:val="1"/>
    </w:lvl>
  </w:abstractNum>
  <w:abstractNum w:abstractNumId="257">
    <w:nsid w:val="621AF471"/>
    <w:multiLevelType w:val="hybridMultilevel"/>
    <w:lvl w:ilvl="0">
      <w:lvlJc w:val="left"/>
      <w:lvlText w:val="(%1)"/>
      <w:numFmt w:val="lowerRoman"/>
      <w:start w:val="7"/>
    </w:lvl>
  </w:abstractNum>
  <w:abstractNum w:abstractNumId="258">
    <w:nsid w:val="73CFE165"/>
    <w:multiLevelType w:val="hybridMultilevel"/>
    <w:lvl w:ilvl="0">
      <w:lvlJc w:val="left"/>
      <w:lvlText w:val="%1."/>
      <w:numFmt w:val="upperLetter"/>
      <w:start w:val="1"/>
    </w:lvl>
    <w:lvl w:ilvl="1">
      <w:lvlJc w:val="left"/>
      <w:lvlText w:val="□"/>
      <w:numFmt w:val="bullet"/>
      <w:start w:val="1"/>
    </w:lvl>
  </w:abstractNum>
  <w:abstractNum w:abstractNumId="259">
    <w:nsid w:val="20F88EA6"/>
    <w:multiLevelType w:val="hybridMultilevel"/>
    <w:lvl w:ilvl="0">
      <w:lvlJc w:val="left"/>
      <w:lvlText w:val="□"/>
      <w:numFmt w:val="bullet"/>
      <w:start w:val="1"/>
    </w:lvl>
  </w:abstractNum>
  <w:abstractNum w:abstractNumId="260">
    <w:nsid w:val="617C843E"/>
    <w:multiLevelType w:val="hybridMultilevel"/>
    <w:lvl w:ilvl="0">
      <w:lvlJc w:val="left"/>
      <w:lvlText w:val="□"/>
      <w:numFmt w:val="bullet"/>
      <w:start w:val="1"/>
    </w:lvl>
  </w:abstractNum>
  <w:abstractNum w:abstractNumId="261">
    <w:nsid w:val="7B541FAB"/>
    <w:multiLevelType w:val="hybridMultilevel"/>
    <w:lvl w:ilvl="0">
      <w:lvlJc w:val="left"/>
      <w:lvlText w:val="%1."/>
      <w:numFmt w:val="decimal"/>
      <w:start w:val="1"/>
    </w:lvl>
  </w:abstractNum>
  <w:abstractNum w:abstractNumId="262">
    <w:nsid w:val="2A79EC49"/>
    <w:multiLevelType w:val="hybridMultilevel"/>
    <w:lvl w:ilvl="0">
      <w:lvlJc w:val="left"/>
      <w:lvlText w:val="(%1)"/>
      <w:numFmt w:val="lowerRoman"/>
      <w:start w:val="1"/>
    </w:lvl>
  </w:abstractNum>
  <w:abstractNum w:abstractNumId="263">
    <w:nsid w:val="338125CF"/>
    <w:multiLevelType w:val="hybridMultilevel"/>
    <w:lvl w:ilvl="0">
      <w:lvlJc w:val="left"/>
      <w:lvlText w:val="%1."/>
      <w:numFmt w:val="decimal"/>
      <w:start w:val="4"/>
    </w:lvl>
  </w:abstractNum>
  <w:abstractNum w:abstractNumId="264">
    <w:nsid w:val="47C7C971"/>
    <w:multiLevelType w:val="hybridMultilevel"/>
    <w:lvl w:ilvl="0">
      <w:lvlJc w:val="left"/>
      <w:lvlText w:val="%1."/>
      <w:numFmt w:val="decimal"/>
      <w:start w:val="5"/>
    </w:lvl>
  </w:abstractNum>
  <w:abstractNum w:abstractNumId="265">
    <w:nsid w:val="46F8284B"/>
    <w:multiLevelType w:val="hybridMultilevel"/>
    <w:lvl w:ilvl="0">
      <w:lvlJc w:val="left"/>
      <w:lvlText w:val="%1."/>
      <w:numFmt w:val="decimal"/>
      <w:start w:val="6"/>
    </w:lvl>
  </w:abstractNum>
  <w:abstractNum w:abstractNumId="266">
    <w:nsid w:val="4FA327CE"/>
    <w:multiLevelType w:val="hybridMultilevel"/>
    <w:lvl w:ilvl="0">
      <w:lvlJc w:val="left"/>
      <w:lvlText w:val="%1."/>
      <w:numFmt w:val="decimal"/>
      <w:start w:val="7"/>
    </w:lvl>
  </w:abstractNum>
  <w:abstractNum w:abstractNumId="267">
    <w:nsid w:val="1873983A"/>
    <w:multiLevelType w:val="hybridMultilevel"/>
    <w:lvl w:ilvl="0">
      <w:lvlJc w:val="left"/>
      <w:lvlText w:val="%1."/>
      <w:numFmt w:val="decimal"/>
      <w:start w:val="8"/>
    </w:lvl>
  </w:abstractNum>
  <w:abstractNum w:abstractNumId="268">
    <w:nsid w:val="3D2DD275"/>
    <w:multiLevelType w:val="hybridMultilevel"/>
    <w:lvl w:ilvl="0">
      <w:lvlJc w:val="left"/>
      <w:lvlText w:val="%1."/>
      <w:numFmt w:val="decimal"/>
      <w:start w:val="9"/>
    </w:lvl>
  </w:abstractNum>
  <w:abstractNum w:abstractNumId="269">
    <w:nsid w:val="2E17ECA7"/>
    <w:multiLevelType w:val="hybridMultilevel"/>
    <w:lvl w:ilvl="0">
      <w:lvlJc w:val="left"/>
      <w:lvlText w:val="2"/>
      <w:numFmt w:val="bullet"/>
      <w:start w:val="1"/>
    </w:lvl>
  </w:abstractNum>
  <w:abstractNum w:abstractNumId="270">
    <w:nsid w:val="53B2564F"/>
    <w:multiLevelType w:val="hybridMultilevel"/>
    <w:lvl w:ilvl="0">
      <w:lvlJc w:val="left"/>
      <w:lvlText w:val="%1."/>
      <w:numFmt w:val="decimal"/>
      <w:start w:val="1"/>
    </w:lvl>
    <w:lvl w:ilvl="1">
      <w:lvlJc w:val="left"/>
      <w:lvlText w:val="(%2)"/>
      <w:numFmt w:val="lowerLetter"/>
      <w:start w:val="1"/>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decimal"/>
      <w:start w:val="2"/>
    </w:lvl>
    <w:lvl w:ilvl="1">
      <w:lvlJc w:val="left"/>
      <w:lvlText w:val="(%2)"/>
      <w:numFmt w:val="lowerLetter"/>
      <w:start w:val="1"/>
    </w:lvl>
  </w:abstractNum>
  <w:abstractNum w:abstractNumId="273">
    <w:nsid w:val="4DA32C7E"/>
    <w:multiLevelType w:val="hybridMultilevel"/>
    <w:lvl w:ilvl="0">
      <w:lvlJc w:val="left"/>
      <w:lvlText w:val="(%1)"/>
      <w:numFmt w:val="lowerLetter"/>
      <w:start w:val="3"/>
    </w:lvl>
  </w:abstractNum>
  <w:abstractNum w:abstractNumId="274">
    <w:nsid w:val="6EC68664"/>
    <w:multiLevelType w:val="hybridMultilevel"/>
    <w:lvl w:ilvl="0">
      <w:lvlJc w:val="left"/>
      <w:lvlText w:val="(%1)"/>
      <w:numFmt w:val="lowerLetter"/>
      <w:start w:val="5"/>
    </w:lvl>
    <w:lvl w:ilvl="1">
      <w:lvlJc w:val="left"/>
      <w:lvlText w:val="(%2)"/>
      <w:numFmt w:val="lowerLetter"/>
      <w:start w:val="9"/>
    </w:lvl>
  </w:abstractNum>
  <w:abstractNum w:abstractNumId="275">
    <w:nsid w:val="E0D31FF"/>
    <w:multiLevelType w:val="hybridMultilevel"/>
    <w:lvl w:ilvl="0">
      <w:lvlJc w:val="left"/>
      <w:lvlText w:val="%1"/>
      <w:numFmt w:val="lowerLetter"/>
      <w:start w:val="1"/>
    </w:lvl>
    <w:lvl w:ilvl="1">
      <w:lvlJc w:val="left"/>
      <w:lvlText w:val="(%2)"/>
      <w:numFmt w:val="lowerRoman"/>
      <w:start w:val="2"/>
    </w:lvl>
  </w:abstractNum>
  <w:abstractNum w:abstractNumId="276">
    <w:nsid w:val="2FD0AD81"/>
    <w:multiLevelType w:val="hybridMultilevel"/>
    <w:lvl w:ilvl="0">
      <w:lvlJc w:val="left"/>
      <w:lvlText w:val="(%1)"/>
      <w:numFmt w:val="lowerLetter"/>
      <w:start w:val="7"/>
    </w:lvl>
    <w:lvl w:ilvl="1">
      <w:lvlJc w:val="left"/>
      <w:lvlText w:val="%2"/>
      <w:numFmt w:val="lowerRoman"/>
      <w:start w:val="1"/>
    </w:lvl>
  </w:abstractNum>
  <w:abstractNum w:abstractNumId="277">
    <w:nsid w:val="1978EBEB"/>
    <w:multiLevelType w:val="hybridMultilevel"/>
    <w:lvl w:ilvl="0">
      <w:lvlJc w:val="left"/>
      <w:lvlText w:val="%1"/>
      <w:numFmt w:val="decimal"/>
      <w:start w:val="1"/>
    </w:lvl>
    <w:lvl w:ilvl="1">
      <w:lvlJc w:val="left"/>
      <w:lvlText w:val="(%2)"/>
      <w:numFmt w:val="lowerLetter"/>
      <w:start w:val="8"/>
    </w:lvl>
  </w:abstractNum>
  <w:abstractNum w:abstractNumId="278">
    <w:nsid w:val="52C12C61"/>
    <w:multiLevelType w:val="hybridMultilevel"/>
    <w:lvl w:ilvl="0">
      <w:lvlJc w:val="left"/>
      <w:lvlText w:val="%1."/>
      <w:numFmt w:val="decimal"/>
      <w:start w:val="3"/>
    </w:lvl>
    <w:lvl w:ilvl="1">
      <w:lvlJc w:val="left"/>
      <w:lvlText w:val="(%2)"/>
      <w:numFmt w:val="lowerLetter"/>
      <w:start w:val="1"/>
    </w:lvl>
  </w:abstractNum>
  <w:abstractNum w:abstractNumId="279">
    <w:nsid w:val="4BDD53F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80">
    <w:nsid w:val="569951FE"/>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5"/>
    </w:lvl>
  </w:abstractNum>
  <w:abstractNum w:abstractNumId="281">
    <w:nsid w:val="4C54E2C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2">
    <w:nsid w:val="788BD9B"/>
    <w:multiLevelType w:val="hybridMultilevel"/>
    <w:lvl w:ilvl="0">
      <w:lvlJc w:val="left"/>
      <w:lvlText w:val="(%1)"/>
      <w:numFmt w:val="lowerLetter"/>
      <w:start w:val="2"/>
    </w:lvl>
  </w:abstractNum>
  <w:abstractNum w:abstractNumId="283">
    <w:nsid w:val="47CAA567"/>
    <w:multiLevelType w:val="hybridMultilevel"/>
    <w:lvl w:ilvl="0">
      <w:lvlJc w:val="left"/>
      <w:lvlText w:val="%1."/>
      <w:numFmt w:val="decimal"/>
      <w:start w:val="5"/>
    </w:lvl>
    <w:lvl w:ilvl="1">
      <w:lvlJc w:val="left"/>
      <w:lvlText w:val="(%2)"/>
      <w:numFmt w:val="lowerLetter"/>
      <w:start w:val="1"/>
    </w:lvl>
  </w:abstractNum>
  <w:abstractNum w:abstractNumId="284">
    <w:nsid w:val="48249DBF"/>
    <w:multiLevelType w:val="hybridMultilevel"/>
    <w:lvl w:ilvl="0">
      <w:lvlJc w:val="left"/>
      <w:lvlText w:val="%1"/>
      <w:numFmt w:val="lowerLetter"/>
      <w:start w:val="1"/>
    </w:lvl>
    <w:lvl w:ilvl="1">
      <w:lvlJc w:val="left"/>
      <w:lvlText w:val="(%2)"/>
      <w:numFmt w:val="lowerLetter"/>
      <w:start w:val="4"/>
    </w:lvl>
  </w:abstractNum>
  <w:abstractNum w:abstractNumId="285">
    <w:nsid w:val="1F0E5D0D"/>
    <w:multiLevelType w:val="hybridMultilevel"/>
    <w:lvl w:ilvl="0">
      <w:lvlJc w:val="left"/>
      <w:lvlText w:val="(%1)"/>
      <w:numFmt w:val="lowerLetter"/>
      <w:start w:val="61"/>
    </w:lvl>
    <w:lvl w:ilvl="1">
      <w:lvlJc w:val="left"/>
      <w:lvlText w:val="(%2)"/>
      <w:numFmt w:val="lowerLetter"/>
      <w:start w:val="7"/>
    </w:lvl>
  </w:abstractNum>
  <w:abstractNum w:abstractNumId="286">
    <w:nsid w:val="26BAAE9"/>
    <w:multiLevelType w:val="hybridMultilevel"/>
    <w:lvl w:ilvl="0">
      <w:lvlJc w:val="left"/>
      <w:lvlText w:val="(%1)"/>
      <w:numFmt w:val="lowerLetter"/>
      <w:start w:val="11"/>
    </w:lvl>
  </w:abstractNum>
  <w:abstractNum w:abstractNumId="287">
    <w:nsid w:val="2C02FE8C"/>
    <w:multiLevelType w:val="hybridMultilevel"/>
    <w:lvl w:ilvl="0">
      <w:lvlJc w:val="left"/>
      <w:lvlText w:val="(%1)"/>
      <w:numFmt w:val="lowerLetter"/>
      <w:start w:val="19"/>
    </w:lvl>
  </w:abstractNum>
  <w:abstractNum w:abstractNumId="288">
    <w:nsid w:val="129517E"/>
    <w:multiLevelType w:val="hybridMultilevel"/>
    <w:lvl w:ilvl="0">
      <w:lvlJc w:val="left"/>
      <w:lvlText w:val="%1."/>
      <w:numFmt w:val="decimal"/>
      <w:start w:val="6"/>
    </w:lvl>
    <w:lvl w:ilvl="1">
      <w:lvlJc w:val="left"/>
      <w:lvlText w:val="(%2)"/>
      <w:numFmt w:val="lowerLetter"/>
      <w:start w:val="1"/>
    </w:lvl>
  </w:abstractNum>
  <w:abstractNum w:abstractNumId="289">
    <w:nsid w:val="763B8C4E"/>
    <w:multiLevelType w:val="hybridMultilevel"/>
    <w:lvl w:ilvl="0">
      <w:lvlJc w:val="left"/>
      <w:lvlText w:val="%1."/>
      <w:numFmt w:val="decimal"/>
      <w:start w:val="8"/>
    </w:lvl>
    <w:lvl w:ilvl="1">
      <w:lvlJc w:val="left"/>
      <w:lvlText w:val="(%2)"/>
      <w:numFmt w:val="lowerLetter"/>
      <w:start w:val="1"/>
    </w:lvl>
  </w:abstractNum>
  <w:abstractNum w:abstractNumId="290">
    <w:nsid w:val="4CFB8D32"/>
    <w:multiLevelType w:val="hybridMultilevel"/>
    <w:lvl w:ilvl="0">
      <w:lvlJc w:val="left"/>
      <w:lvlText w:val="(%1)"/>
      <w:numFmt w:val="lowerLetter"/>
      <w:start w:val="3"/>
    </w:lvl>
  </w:abstractNum>
  <w:abstractNum w:abstractNumId="291">
    <w:nsid w:val="62A5D5BD"/>
    <w:multiLevelType w:val="hybridMultilevel"/>
    <w:lvl w:ilvl="0">
      <w:lvlJc w:val="left"/>
      <w:lvlText w:val="%1."/>
      <w:numFmt w:val="decimal"/>
      <w:start w:val="9"/>
    </w:lvl>
    <w:lvl w:ilvl="1">
      <w:lvlJc w:val="left"/>
      <w:lvlText w:val="(%2)"/>
      <w:numFmt w:val="lowerLetter"/>
      <w:start w:val="1"/>
    </w:lvl>
  </w:abstractNum>
  <w:abstractNum w:abstractNumId="292">
    <w:nsid w:val="718FABF9"/>
    <w:multiLevelType w:val="hybridMultilevel"/>
    <w:lvl w:ilvl="0">
      <w:lvlJc w:val="left"/>
      <w:lvlText w:val="(%1)"/>
      <w:numFmt w:val="lowerLetter"/>
      <w:start w:val="3"/>
    </w:lvl>
  </w:abstractNum>
  <w:abstractNum w:abstractNumId="293">
    <w:nsid w:val="7775797C"/>
    <w:multiLevelType w:val="hybridMultilevel"/>
    <w:lvl w:ilvl="0">
      <w:lvlJc w:val="left"/>
      <w:lvlText w:val="%1."/>
      <w:numFmt w:val="decimal"/>
      <w:start w:val="11"/>
    </w:lvl>
    <w:lvl w:ilvl="1">
      <w:lvlJc w:val="left"/>
      <w:lvlText w:val="(%2)"/>
      <w:numFmt w:val="lowerLetter"/>
      <w:start w:val="1"/>
    </w:lvl>
  </w:abstractNum>
  <w:abstractNum w:abstractNumId="294">
    <w:nsid w:val="1626FB8C"/>
    <w:multiLevelType w:val="hybridMultilevel"/>
    <w:lvl w:ilvl="0">
      <w:lvlJc w:val="left"/>
      <w:lvlText w:val="(%1)"/>
      <w:numFmt w:val="upperLetter"/>
      <w:start w:val="2"/>
    </w:lvl>
    <w:lvl w:ilvl="1">
      <w:lvlJc w:val="left"/>
      <w:lvlText w:val="(%2)"/>
      <w:numFmt w:val="lowerLetter"/>
      <w:start w:val="13"/>
    </w:lvl>
  </w:abstractNum>
  <w:abstractNum w:abstractNumId="295">
    <w:nsid w:val="3957756A"/>
    <w:multiLevelType w:val="hybridMultilevel"/>
    <w:lvl w:ilvl="0">
      <w:lvlJc w:val="left"/>
      <w:lvlText w:val="(%1)"/>
      <w:numFmt w:val="lowerLetter"/>
      <w:start w:val="14"/>
    </w:lvl>
  </w:abstractNum>
  <w:abstractNum w:abstractNumId="296">
    <w:nsid w:val="3E6DA1C7"/>
    <w:multiLevelType w:val="hybridMultilevel"/>
    <w:lvl w:ilvl="0">
      <w:lvlJc w:val="left"/>
      <w:lvlText w:val="%1"/>
      <w:numFmt w:val="decimal"/>
      <w:start w:val="1"/>
    </w:lvl>
    <w:lvl w:ilvl="1">
      <w:lvlJc w:val="left"/>
      <w:lvlText w:val="(%2)"/>
      <w:numFmt w:val="lowerLetter"/>
      <w:start w:val="20"/>
    </w:lvl>
  </w:abstractNum>
  <w:abstractNum w:abstractNumId="297">
    <w:nsid w:val="65CA235B"/>
    <w:multiLevelType w:val="hybridMultilevel"/>
    <w:lvl w:ilvl="0">
      <w:lvlJc w:val="left"/>
      <w:lvlText w:val="%1."/>
      <w:numFmt w:val="decimal"/>
      <w:start w:val="12"/>
    </w:lvl>
    <w:lvl w:ilvl="1">
      <w:lvlJc w:val="left"/>
      <w:lvlText w:val="(%2)"/>
      <w:numFmt w:val="lowerLetter"/>
      <w:start w:val="1"/>
    </w:lvl>
  </w:abstractNum>
  <w:abstractNum w:abstractNumId="298">
    <w:nsid w:val="51CB0DA4"/>
    <w:multiLevelType w:val="hybridMultilevel"/>
    <w:lvl w:ilvl="0">
      <w:lvlJc w:val="left"/>
      <w:lvlText w:val="(%1)"/>
      <w:numFmt w:val="lowerLetter"/>
      <w:start w:val="5"/>
    </w:lvl>
  </w:abstractNum>
  <w:abstractNum w:abstractNumId="299">
    <w:nsid w:val="7B9B743C"/>
    <w:multiLevelType w:val="hybridMultilevel"/>
    <w:lvl w:ilvl="0">
      <w:lvlJc w:val="left"/>
      <w:lvlText w:val="(%1)"/>
      <w:numFmt w:val="lowerLetter"/>
      <w:start w:val="11"/>
    </w:lvl>
  </w:abstractNum>
  <w:abstractNum w:abstractNumId="300">
    <w:nsid w:val="13E21002"/>
    <w:multiLevelType w:val="hybridMultilevel"/>
    <w:lvl w:ilvl="0">
      <w:lvlJc w:val="left"/>
      <w:lvlText w:val="(%1)"/>
      <w:numFmt w:val="lowerLetter"/>
      <w:start w:val="12"/>
    </w:lvl>
    <w:lvl w:ilvl="1">
      <w:lvlJc w:val="left"/>
      <w:lvlText w:val="*"/>
      <w:numFmt w:val="bullet"/>
      <w:start w:val="1"/>
    </w:lvl>
  </w:abstractNum>
  <w:abstractNum w:abstractNumId="301">
    <w:nsid w:val="257D63F4"/>
    <w:multiLevelType w:val="hybridMultilevel"/>
    <w:lvl w:ilvl="0">
      <w:lvlJc w:val="left"/>
      <w:lvlText w:val="1"/>
      <w:numFmt w:val="bullet"/>
      <w:start w:val="1"/>
    </w:lvl>
  </w:abstractNum>
  <w:abstractNum w:abstractNumId="302">
    <w:nsid w:val="70EC11B2"/>
    <w:multiLevelType w:val="hybridMultilevel"/>
    <w:lvl w:ilvl="0">
      <w:lvlJc w:val="left"/>
      <w:lvlText w:val="(%1)"/>
      <w:numFmt w:val="lowerLetter"/>
      <w:start w:val="1"/>
    </w:lvl>
    <w:lvl w:ilvl="1">
      <w:lvlJc w:val="left"/>
      <w:lvlText w:val="(%2)"/>
      <w:numFmt w:val="lowerRoman"/>
      <w:start w:val="1"/>
    </w:lvl>
  </w:abstractNum>
  <w:abstractNum w:abstractNumId="303">
    <w:nsid w:val="2EDA00ED"/>
    <w:multiLevelType w:val="hybridMultilevel"/>
    <w:lvl w:ilvl="0">
      <w:lvlJc w:val="left"/>
      <w:lvlText w:val="(%1)"/>
      <w:numFmt w:val="lowerRoman"/>
      <w:start w:val="3"/>
    </w:lvl>
  </w:abstractNum>
  <w:abstractNum w:abstractNumId="304">
    <w:nsid w:val="73209072"/>
    <w:multiLevelType w:val="hybridMultilevel"/>
    <w:lvl w:ilvl="0">
      <w:lvlJc w:val="left"/>
      <w:lvlText w:val="(%1)"/>
      <w:numFmt w:val="lowerLetter"/>
      <w:start w:val="3"/>
    </w:lvl>
  </w:abstractNum>
  <w:abstractNum w:abstractNumId="305">
    <w:nsid w:val="5FB29816"/>
    <w:multiLevelType w:val="hybridMultilevel"/>
    <w:lvl w:ilvl="0">
      <w:lvlJc w:val="left"/>
      <w:lvlText w:val="(%1)"/>
      <w:numFmt w:val="lowerLetter"/>
      <w:start w:val="1"/>
    </w:lvl>
  </w:abstractNum>
  <w:abstractNum w:abstractNumId="306">
    <w:nsid w:val="3CE732EC"/>
    <w:multiLevelType w:val="hybridMultilevel"/>
    <w:lvl w:ilvl="0">
      <w:lvlJc w:val="left"/>
      <w:lvlText w:val="(%1)"/>
      <w:numFmt w:val="lowerLetter"/>
      <w:start w:val="1"/>
    </w:lvl>
  </w:abstractNum>
  <w:abstractNum w:abstractNumId="307">
    <w:nsid w:val="22F13DF3"/>
    <w:multiLevelType w:val="hybridMultilevel"/>
    <w:lvl w:ilvl="0">
      <w:lvlJc w:val="left"/>
      <w:lvlText w:val="(%1)"/>
      <w:numFmt w:val="lowerLetter"/>
      <w:start w:val="2"/>
    </w:lvl>
  </w:abstractNum>
  <w:abstractNum w:abstractNumId="308">
    <w:nsid w:val="792B8401"/>
    <w:multiLevelType w:val="hybridMultilevel"/>
    <w:lvl w:ilvl="0">
      <w:lvlJc w:val="left"/>
      <w:lvlText w:val="(%1)"/>
      <w:numFmt w:val="lowerLetter"/>
      <w:start w:val="1"/>
    </w:lvl>
  </w:abstractNum>
  <w:abstractNum w:abstractNumId="309">
    <w:nsid w:val="FA85F4D"/>
    <w:multiLevelType w:val="hybridMultilevel"/>
    <w:lvl w:ilvl="0">
      <w:lvlJc w:val="left"/>
      <w:lvlText w:val="(%1)"/>
      <w:numFmt w:val="lowerLetter"/>
      <w:start w:val="3"/>
    </w:lvl>
  </w:abstractNum>
  <w:abstractNum w:abstractNumId="310">
    <w:nsid w:val="6ECE91F0"/>
    <w:multiLevelType w:val="hybridMultilevel"/>
    <w:lvl w:ilvl="0">
      <w:lvlJc w:val="left"/>
      <w:lvlText w:val="(%1)"/>
      <w:numFmt w:val="lowerLetter"/>
      <w:start w:val="1"/>
    </w:lvl>
  </w:abstractNum>
  <w:abstractNum w:abstractNumId="311">
    <w:nsid w:val="4FC4D600"/>
    <w:multiLevelType w:val="hybridMultilevel"/>
    <w:lvl w:ilvl="0">
      <w:lvlJc w:val="left"/>
      <w:lvlText w:val="(%1)"/>
      <w:numFmt w:val="lowerLetter"/>
      <w:start w:val="3"/>
    </w:lvl>
  </w:abstractNum>
  <w:abstractNum w:abstractNumId="312">
    <w:nsid w:val="5BFD4210"/>
    <w:multiLevelType w:val="hybridMultilevel"/>
    <w:lvl w:ilvl="0">
      <w:lvlJc w:val="left"/>
      <w:lvlText w:val="%1."/>
      <w:numFmt w:val="decimal"/>
      <w:start w:val="1"/>
    </w:lvl>
    <w:lvl w:ilvl="1">
      <w:lvlJc w:val="left"/>
      <w:lvlText w:val="(%2)"/>
      <w:numFmt w:val="lowerLetter"/>
      <w:start w:val="1"/>
    </w:lvl>
  </w:abstractNum>
  <w:abstractNum w:abstractNumId="313">
    <w:nsid w:val="76574F8B"/>
    <w:multiLevelType w:val="hybridMultilevel"/>
    <w:lvl w:ilvl="0">
      <w:lvlJc w:val="left"/>
      <w:lvlText w:val="(%1)"/>
      <w:numFmt w:val="lowerLetter"/>
      <w:start w:val="4"/>
    </w:lvl>
  </w:abstractNum>
  <w:abstractNum w:abstractNumId="314">
    <w:nsid w:val="178F7B67"/>
    <w:multiLevelType w:val="hybridMultilevel"/>
    <w:lvl w:ilvl="0">
      <w:lvlJc w:val="left"/>
      <w:lvlText w:val="%1."/>
      <w:numFmt w:val="decimal"/>
      <w:start w:val="2"/>
    </w:lvl>
    <w:lvl w:ilvl="1">
      <w:lvlJc w:val="left"/>
      <w:lvlText w:val="(%2)"/>
      <w:numFmt w:val="lowerLetter"/>
      <w:start w:val="1"/>
    </w:lvl>
  </w:abstractNum>
  <w:abstractNum w:abstractNumId="315">
    <w:nsid w:val="2421DF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16">
    <w:nsid w:val="1565AC9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17">
    <w:nsid w:val="19FB2650"/>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318">
    <w:nsid w:val="5024DE5B"/>
    <w:multiLevelType w:val="hybridMultilevel"/>
    <w:lvl w:ilvl="0">
      <w:lvlJc w:val="left"/>
      <w:lvlText w:val="%1"/>
      <w:numFmt w:val="lowerLetter"/>
      <w:start w:val="1"/>
    </w:lvl>
    <w:lvl w:ilvl="1">
      <w:lvlJc w:val="left"/>
      <w:lvlText w:val="(%2)"/>
      <w:numFmt w:val="lowerLetter"/>
      <w:start w:val="2"/>
    </w:lvl>
  </w:abstractNum>
  <w:abstractNum w:abstractNumId="319">
    <w:nsid w:val="168EFE17"/>
    <w:multiLevelType w:val="hybridMultilevel"/>
    <w:lvl w:ilvl="0">
      <w:lvlJc w:val="left"/>
      <w:lvlText w:val="(%1)"/>
      <w:numFmt w:val="lowerLetter"/>
      <w:start w:val="61"/>
    </w:lvl>
    <w:lvl w:ilvl="1">
      <w:lvlJc w:val="left"/>
      <w:lvlText w:val="(%2)"/>
      <w:numFmt w:val="lowerLetter"/>
      <w:start w:val="3"/>
    </w:lvl>
  </w:abstractNum>
  <w:abstractNum w:abstractNumId="320">
    <w:nsid w:val="1036B29F"/>
    <w:multiLevelType w:val="hybridMultilevel"/>
    <w:lvl w:ilvl="0">
      <w:lvlJc w:val="left"/>
      <w:lvlText w:val="(%1)"/>
      <w:numFmt w:val="lowerLetter"/>
      <w:start w:val="5"/>
    </w:lvl>
  </w:abstractNum>
  <w:abstractNum w:abstractNumId="321">
    <w:nsid w:val="1D206B8E"/>
    <w:multiLevelType w:val="hybridMultilevel"/>
    <w:lvl w:ilvl="0">
      <w:lvlJc w:val="left"/>
      <w:lvlText w:val="%1."/>
      <w:numFmt w:val="decimal"/>
      <w:start w:val="7"/>
    </w:lvl>
    <w:lvl w:ilvl="1">
      <w:lvlJc w:val="left"/>
      <w:lvlText w:val="(%2)"/>
      <w:numFmt w:val="lowerLetter"/>
      <w:start w:val="1"/>
    </w:lvl>
  </w:abstractNum>
  <w:abstractNum w:abstractNumId="322">
    <w:nsid w:val="7934D3D4"/>
    <w:multiLevelType w:val="hybridMultilevel"/>
    <w:lvl w:ilvl="0">
      <w:lvlJc w:val="left"/>
      <w:lvlText w:val="(%1)"/>
      <w:numFmt w:val="lowerLetter"/>
      <w:start w:val="2"/>
    </w:lvl>
  </w:abstractNum>
  <w:abstractNum w:abstractNumId="323">
    <w:nsid w:val="1C65E98"/>
    <w:multiLevelType w:val="hybridMultilevel"/>
    <w:lvl w:ilvl="0">
      <w:lvlJc w:val="left"/>
      <w:lvlText w:val="%1."/>
      <w:numFmt w:val="decimal"/>
      <w:start w:val="8"/>
    </w:lvl>
  </w:abstractNum>
  <w:abstractNum w:abstractNumId="324">
    <w:nsid w:val="1495E50A"/>
    <w:multiLevelType w:val="hybridMultilevel"/>
    <w:lvl w:ilvl="0">
      <w:lvlJc w:val="left"/>
      <w:lvlText w:val="%1."/>
      <w:numFmt w:val="decimal"/>
      <w:start w:val="13"/>
    </w:lvl>
  </w:abstractNum>
  <w:abstractNum w:abstractNumId="325">
    <w:nsid w:val="F5BCF61"/>
    <w:multiLevelType w:val="hybridMultilevel"/>
    <w:lvl w:ilvl="0">
      <w:lvlJc w:val="left"/>
      <w:lvlText w:val="%1."/>
      <w:numFmt w:val="decimal"/>
      <w:start w:val="14"/>
    </w:lvl>
  </w:abstractNum>
  <w:abstractNum w:abstractNumId="326">
    <w:nsid w:val="3B1DD403"/>
    <w:multiLevelType w:val="hybridMultilevel"/>
    <w:lvl w:ilvl="0">
      <w:lvlJc w:val="left"/>
      <w:lvlText w:val="%1."/>
      <w:numFmt w:val="decimal"/>
      <w:start w:val="18"/>
    </w:lvl>
  </w:abstractNum>
  <w:abstractNum w:abstractNumId="327">
    <w:nsid w:val="530386D1"/>
    <w:multiLevelType w:val="hybridMultilevel"/>
    <w:lvl w:ilvl="0">
      <w:lvlJc w:val="left"/>
      <w:lvlText w:val="%1."/>
      <w:numFmt w:val="decimal"/>
      <w:start w:val="23"/>
    </w:lvl>
  </w:abstractNum>
  <w:abstractNum w:abstractNumId="328">
    <w:nsid w:val="7525F2BC"/>
    <w:multiLevelType w:val="hybridMultilevel"/>
    <w:lvl w:ilvl="0">
      <w:lvlJc w:val="left"/>
      <w:lvlText w:val="%1."/>
      <w:numFmt w:val="decimal"/>
      <w:start w:val="1"/>
    </w:lvl>
  </w:abstractNum>
  <w:abstractNum w:abstractNumId="329">
    <w:nsid w:val="CE8E1A7"/>
    <w:multiLevelType w:val="hybridMultilevel"/>
    <w:lvl w:ilvl="0">
      <w:lvlJc w:val="left"/>
      <w:lvlText w:val="(%1)"/>
      <w:numFmt w:val="lowerLetter"/>
      <w:start w:val="1"/>
    </w:lvl>
    <w:lvl w:ilvl="1">
      <w:lvlJc w:val="left"/>
      <w:lvlText w:val="(%2)"/>
      <w:numFmt w:val="lowerLetter"/>
      <w:start w:val="9"/>
    </w:lvl>
  </w:abstractNum>
  <w:abstractNum w:abstractNumId="330">
    <w:nsid w:val="4E9EFB0D"/>
    <w:multiLevelType w:val="hybridMultilevel"/>
    <w:lvl w:ilvl="0">
      <w:lvlJc w:val="left"/>
      <w:lvlText w:val="%1"/>
      <w:numFmt w:val="lowerLetter"/>
      <w:start w:val="1"/>
    </w:lvl>
    <w:lvl w:ilvl="1">
      <w:lvlJc w:val="left"/>
      <w:lvlText w:val="(%2)"/>
      <w:numFmt w:val="lowerRoman"/>
      <w:start w:val="2"/>
    </w:lvl>
  </w:abstractNum>
  <w:abstractNum w:abstractNumId="331">
    <w:nsid w:val="90802BE"/>
    <w:multiLevelType w:val="hybridMultilevel"/>
    <w:lvl w:ilvl="0">
      <w:lvlJc w:val="left"/>
      <w:lvlText w:val="(%1)"/>
      <w:numFmt w:val="lowerLetter"/>
      <w:start w:val="2"/>
    </w:lvl>
    <w:lvl w:ilvl="1">
      <w:lvlJc w:val="left"/>
      <w:lvlText w:val="(%2)"/>
      <w:numFmt w:val="lowerRoman"/>
      <w:start w:val="1"/>
    </w:lvl>
  </w:abstractNum>
  <w:abstractNum w:abstractNumId="332">
    <w:nsid w:val="3266459B"/>
    <w:multiLevelType w:val="hybridMultilevel"/>
    <w:lvl w:ilvl="0">
      <w:lvlJc w:val="left"/>
      <w:lvlText w:val="(%1)"/>
      <w:numFmt w:val="lowerLetter"/>
      <w:start w:val="6"/>
    </w:lvl>
  </w:abstractNum>
  <w:abstractNum w:abstractNumId="333">
    <w:nsid w:val="3F8B0CBF"/>
    <w:multiLevelType w:val="hybridMultilevel"/>
    <w:lvl w:ilvl="0">
      <w:lvlJc w:val="left"/>
      <w:lvlText w:val="(%1)"/>
      <w:numFmt w:val="lowerLetter"/>
      <w:start w:val="1"/>
    </w:lvl>
    <w:lvl w:ilvl="1">
      <w:lvlJc w:val="left"/>
      <w:lvlText w:val="(%2)"/>
      <w:numFmt w:val="lowerRoman"/>
      <w:start w:val="1"/>
    </w:lvl>
  </w:abstractNum>
  <w:abstractNum w:abstractNumId="334">
    <w:nsid w:val="37E203AB"/>
    <w:multiLevelType w:val="hybridMultilevel"/>
    <w:lvl w:ilvl="0">
      <w:lvlJc w:val="left"/>
      <w:lvlText w:val="(%1)"/>
      <w:numFmt w:val="lowerLetter"/>
      <w:start w:val="3"/>
    </w:lvl>
  </w:abstractNum>
  <w:abstractNum w:abstractNumId="335">
    <w:nsid w:val="2586D60E"/>
    <w:multiLevelType w:val="hybridMultilevel"/>
    <w:lvl w:ilvl="0">
      <w:lvlJc w:val="left"/>
      <w:lvlText w:val="(%1)"/>
      <w:numFmt w:val="lowerRoman"/>
      <w:start w:val="1"/>
    </w:lvl>
  </w:abstractNum>
  <w:abstractNum w:abstractNumId="336">
    <w:nsid w:val="1F3DA4D5"/>
    <w:multiLevelType w:val="hybridMultilevel"/>
    <w:lvl w:ilvl="0">
      <w:lvlJc w:val="left"/>
      <w:lvlText w:val="(%1)"/>
      <w:numFmt w:val="lowerLetter"/>
      <w:start w:val="1"/>
    </w:lvl>
  </w:abstractNum>
  <w:abstractNum w:abstractNumId="337">
    <w:nsid w:val="74C93698"/>
    <w:multiLevelType w:val="hybridMultilevel"/>
    <w:lvl w:ilvl="0">
      <w:lvlJc w:val="left"/>
      <w:lvlText w:val="(%1)"/>
      <w:numFmt w:val="lowerLetter"/>
      <w:start w:val="1"/>
    </w:lvl>
  </w:abstractNum>
  <w:abstractNum w:abstractNumId="338">
    <w:nsid w:val="48781401"/>
    <w:multiLevelType w:val="hybridMultilevel"/>
    <w:lvl w:ilvl="0">
      <w:lvlJc w:val="left"/>
      <w:lvlText w:val="●"/>
      <w:numFmt w:val="bullet"/>
      <w:start w:val="1"/>
    </w:lvl>
  </w:abstractNum>
  <w:abstractNum w:abstractNumId="339">
    <w:nsid w:val="186928D6"/>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2021-11-10T16:40:12Z</dcterms:created>
  <dcterms:modified xsi:type="dcterms:W3CDTF">2021-11-10T16:40:12Z</dcterms:modified>
</cp:coreProperties>
</file>