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333-275112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30, 2023)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8,533,000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156845</wp:posOffset>
            </wp:positionV>
            <wp:extent cx="172275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this prospectus supplement and the accompanying prospectus, we are offering in a registered direct offering to certain purchasers, 8,533,000 shares of our common stock, par value $0.0001 per share (“common stock”) at an offering price of $0.25 per share (the “public offering price”).</w:t>
      </w:r>
    </w:p>
    <w:p>
      <w:pPr>
        <w:spacing w:after="0" w:line="162"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(“Nasdaq”) under the symbol “PRST.” On February 29, 2024, the last reported sale price of our common stock on Nasdaq was $0.31 per share.</w:t>
      </w:r>
    </w:p>
    <w:p>
      <w:pPr>
        <w:spacing w:after="0" w:line="162"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retained Chardan Capital Markets LLC and Spartan Capital Securities, LLC to act as our exclusive placement agents (the “placement agents”) in connection with the shares of common stock offered by this prospectus supplement. The placement agents are not purchasing or selling any of the shares we are offering, and the placement agents are not required to arrange the purchase or sale of any specific number of shares or dollar amount. We have agreed to pay to the placement agents the placement agent fees set forth in the table below, which assumes that we sell all of the securities offered by this prospectus supplement. See “Plan of Distribution” on page S-16 of this prospectus supplement for more information regarding these arrangements.</w:t>
      </w:r>
    </w:p>
    <w:p>
      <w:pPr>
        <w:spacing w:after="0" w:line="179"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Please read “Risk Factors” beginning on page S-4 of this prospectus supplement, on page 4 of the accompanying prospectus and in the documents incorporated by reference into this prospectus supplement and the accompanying prospectus.</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40" w:type="dxa"/>
            <w:vAlign w:val="bottom"/>
          </w:tcPr>
          <w:p>
            <w:pPr>
              <w:spacing w:after="0"/>
              <w:rPr>
                <w:sz w:val="22"/>
                <w:szCs w:val="22"/>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Placement agent fees</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191,992.50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1,941,257.50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4"/>
          <w:szCs w:val="24"/>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have agreed to pay an additional flat deferred fee of $150,000 from a prior offering to Chardan Capital Markets LLC and reimburse the placement agents for certain of their offering-related expenses. See “Plan of Distribution” for a description of the compensation to be received by the placement agents.</w:t>
      </w:r>
    </w:p>
    <w:p>
      <w:pPr>
        <w:spacing w:after="0" w:line="172"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Delivery of the shares of common stock is expected to be made on or about March 4, 2024, subject to satisfaction of customary closing conditions.</w:t>
      </w:r>
    </w:p>
    <w:p>
      <w:pPr>
        <w:spacing w:after="0" w:line="221" w:lineRule="exact"/>
        <w:rPr>
          <w:sz w:val="24"/>
          <w:szCs w:val="24"/>
          <w:color w:val="auto"/>
        </w:rPr>
      </w:pPr>
    </w:p>
    <w:p>
      <w:pPr>
        <w:spacing w:after="0"/>
        <w:tabs>
          <w:tab w:leader="none" w:pos="8740" w:val="left"/>
        </w:tabs>
        <w:rPr>
          <w:sz w:val="20"/>
          <w:szCs w:val="20"/>
          <w:color w:val="auto"/>
        </w:rPr>
      </w:pPr>
      <w:r>
        <w:rPr>
          <w:rFonts w:ascii="Times New Roman" w:cs="Times New Roman" w:eastAsia="Times New Roman" w:hAnsi="Times New Roman"/>
          <w:sz w:val="17"/>
          <w:szCs w:val="17"/>
          <w:b w:val="1"/>
          <w:bCs w:val="1"/>
          <w:color w:val="auto"/>
        </w:rPr>
        <w:t>Chardan</w:t>
      </w:r>
      <w:r>
        <w:rPr>
          <w:sz w:val="20"/>
          <w:szCs w:val="20"/>
          <w:color w:val="auto"/>
        </w:rPr>
        <w:tab/>
      </w:r>
      <w:r>
        <w:rPr>
          <w:rFonts w:ascii="Times New Roman" w:cs="Times New Roman" w:eastAsia="Times New Roman" w:hAnsi="Times New Roman"/>
          <w:sz w:val="17"/>
          <w:szCs w:val="17"/>
          <w:b w:val="1"/>
          <w:bCs w:val="1"/>
          <w:color w:val="auto"/>
        </w:rPr>
        <w:t>Spartan Capital Securities, LLC</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dated February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700" w:type="dxa"/>
            <w:vAlign w:val="bottom"/>
            <w:gridSpan w:val="5"/>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00" w:type="dxa"/>
            <w:vAlign w:val="bottom"/>
            <w:gridSpan w:val="5"/>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0" w:type="dxa"/>
            <w:vAlign w:val="bottom"/>
          </w:tcPr>
          <w:p>
            <w:pPr>
              <w:spacing w:after="0"/>
              <w:rPr>
                <w:sz w:val="24"/>
                <w:szCs w:val="24"/>
                <w:color w:val="auto"/>
              </w:rPr>
            </w:pPr>
          </w:p>
        </w:tc>
      </w:tr>
      <w:tr>
        <w:trPr>
          <w:trHeight w:val="439"/>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8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740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Important Notice About Information in this Prospectus Supplement and the Accompanying Prospectus</w:t>
            </w:r>
          </w:p>
        </w:tc>
        <w:tc>
          <w:tcPr>
            <w:tcW w:w="28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176"/>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S-iii</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800" w:type="dxa"/>
            <w:vAlign w:val="bottom"/>
            <w:tcBorders>
              <w:bottom w:val="single" w:sz="8" w:color="CCEEFF"/>
            </w:tcBorders>
            <w:gridSpan w:val="1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5"/>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9060" w:type="dxa"/>
            <w:vAlign w:val="bottom"/>
            <w:tcBorders>
              <w:bottom w:val="single" w:sz="8" w:color="CCEEFF"/>
            </w:tcBorders>
            <w:gridSpan w:val="2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176"/>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S-8</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Capitalization</w:t>
            </w:r>
          </w:p>
        </w:tc>
        <w:tc>
          <w:tcPr>
            <w:tcW w:w="9220" w:type="dxa"/>
            <w:vAlign w:val="bottom"/>
            <w:tcBorders>
              <w:bottom w:val="single" w:sz="8" w:color="CCEEFF"/>
            </w:tcBorders>
            <w:gridSpan w:val="2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176"/>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Material U.S. Federal Tax Considerations for Non-U.S. Holders of Our Common Stock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800" w:type="dxa"/>
            <w:vAlign w:val="bottom"/>
            <w:tcBorders>
              <w:bottom w:val="single" w:sz="8" w:color="CCEEFF"/>
            </w:tcBorders>
            <w:gridSpan w:val="2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175"/>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9680" w:type="dxa"/>
            <w:vAlign w:val="bottom"/>
            <w:tcBorders>
              <w:bottom w:val="single" w:sz="8" w:color="CCEEFF"/>
            </w:tcBorders>
            <w:gridSpan w:val="2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S-23</w:t>
            </w:r>
          </w:p>
        </w:tc>
      </w:tr>
      <w:tr>
        <w:trPr>
          <w:trHeight w:val="176"/>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453"/>
        </w:trPr>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00" w:type="dxa"/>
            <w:vAlign w:val="bottom"/>
            <w:gridSpan w:val="5"/>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00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6"/>
        </w:trPr>
        <w:tc>
          <w:tcPr>
            <w:tcW w:w="6340" w:type="dxa"/>
            <w:vAlign w:val="bottom"/>
            <w:tcBorders>
              <w:top w:val="single" w:sz="8" w:color="0000EE"/>
            </w:tcBorders>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3900" w:type="dxa"/>
            <w:vAlign w:val="bottom"/>
            <w:tcBorders>
              <w:top w:val="single" w:sz="8" w:color="CCEEFF"/>
            </w:tcBorders>
            <w:gridSpan w:val="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980" w:type="dxa"/>
            <w:vAlign w:val="bottom"/>
            <w:tcBorders>
              <w:bottom w:val="single" w:sz="8" w:color="CCEEFF"/>
            </w:tcBorders>
            <w:gridSpan w:val="2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10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COMMON STOCK AND PREFERRED STOCK</w:t>
            </w:r>
          </w:p>
        </w:tc>
        <w:tc>
          <w:tcPr>
            <w:tcW w:w="514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5"/>
        </w:trPr>
        <w:tc>
          <w:tcPr>
            <w:tcW w:w="248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7760" w:type="dxa"/>
            <w:vAlign w:val="bottom"/>
            <w:tcBorders>
              <w:top w:val="single" w:sz="8" w:color="CCEEFF"/>
            </w:tcBorders>
            <w:gridSpan w:val="11"/>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202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8220" w:type="dxa"/>
            <w:vAlign w:val="bottom"/>
            <w:tcBorders>
              <w:top w:val="single" w:sz="8" w:color="CCEEFF"/>
            </w:tcBorders>
            <w:gridSpan w:val="17"/>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772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146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780" w:type="dxa"/>
            <w:vAlign w:val="bottom"/>
            <w:tcBorders>
              <w:top w:val="single" w:sz="8" w:color="CCEEFF"/>
            </w:tcBorders>
            <w:gridSpan w:val="20"/>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Neither we nor the placement agents have authorized anyone to provide any information other than that contained or incorporated by reference in this prospectus supplement. Neither we nor the placement agents take responsibility for, and can provide no assurance as to the reliability of, any other information that others may give you.</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This prospectus supplement and the accompanying prospectus do not constitute an offer to sell, or a solicitation of an offer to purchase, the securities offered hereby in any jurisdiction to or from any person to whom or from whom it is unlawful to make such offer or solicitation of an offer in such jurisdiction. You should not assume that the information contained or incorporated by reference in this prospectus supplement or the accompanying prospectus is accurate as of any date other than the date on the front cover of the applicable document. Neither the delivery of this prospectus supplement and the accompanying prospectus, nor any distribution of securities pursuant to this prospectus supplement or the accompanying prospectus shall, under any circumstances, create any implication that there has been no change in our business, financial condition, results of operations and prospects since the date of this prospectus supplement or the accompanying prospectus.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7"/>
          <w:szCs w:val="17"/>
          <w:b w:val="1"/>
          <w:bCs w:val="1"/>
          <w:color w:val="auto"/>
        </w:rPr>
        <w:t>You should read this prospectus supplement, the accompanying prospectus and the documents incorporated by reference in the accompanying prospectus in their entirety before making an investment decision. You should also read and consider the information in the documents to which we have referred you in the section of the prospectus supplement entitled “Incorporation of Certain Information by Reference” and in the sections of the accompanying prospectus entitled “Where You Can Find More Information” and “Incorporation of Certain Information by Reference.”</w:t>
      </w:r>
    </w:p>
    <w:p>
      <w:pPr>
        <w:spacing w:after="0" w:line="16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 we and the placement agents have not done anything that would permit this offering or possession or distribution of this prospectus supplement and the accompanying prospectus in any jurisdiction where action for that purpose is required, other than in the United States. Persons outside the United States who come into possession of this prospectus supplement and the accompanying prospectus must inform themselves about, and observe any restrictions relating to, the offering of the shares of common stock and the distribution of this prospectus supplement and the accompanying prospectus outside the United States.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ABOUT INFORMATION IN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AND THE ACCOMPANYING PROSPECTUS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form part of a registration statement on Form S-3 that we filed with the Securities and Exchange Commission, or the SEC, using a “shelf” registration process. This document contains two parts. The first part is this prospectus supplement, which describes the specific terms of this offering of shares of our common stock. The second part is the accompanying prospectus, which gives more general information, some of which may not apply to this offering of shares of our common stock. Generally, when we refer only to the “prospectus,” we are referring to both parts combined. If the information about this offering of shares of our common stock varies between this prospectus supplement and the accompanying prospectus, you should rely on the information in this prospectus supplement.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statement made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also incorporated by reference into this prospectus modifies or supersedes that statement. Any statement so modified or superseded will not be deemed, except as so modified or superseded, to constitute a part of this prospectus. Please read “Incorporation of Certain Information by Reference” in this prospectus supplement.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or the Securities Act, and Section 21E of the Securities Exchange Act of 1934, as amended, or the Exchange Act, and are based on our management’s beliefs and assumptions and on information currently available to our management. Forward-looking statements include information concerning our possible or assumed future results of our business and statements regarding our financial condition, results of operations, liquidity, plans and objectives. Forward-looking statements include all statements that are not historical facts and in some cases can be identified by terminology such as “believe,” “may,” “anticipate,” “estimate,” “continue,” “anticipate,” “intend,” “should,” “plan,” “expect,” “predict,” “project,” “potential,” “will,” or the negative of these terms or other similar expressions that convey uncertainty of future events or outcomes.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are discussed in the section titled “Risk Factors” included in our Annual Report on Form 10-K for the year ended June 30, 2023 filed with the SEC on October 11, 2023, as amended by Amendment No. 1 on Form 10-K/A filed with the SEC on October 12, 2023 (the “2023 Form 10-K”), and other risk factors detailed from time to time in filings with the SEC. 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084695" cy="55848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4695" cy="558482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This summary does not contain all of the information that you should consider before deciding whether to invest in our common stock. You should read this entire prospectus supplement carefully, including accompanying prospectus, the “Risk Factors” section in this prospectus supplement, the risks set forth under the heading “Risk Factors” in the 2023 Form 10-K, and the other documents incorporated by reference in this prospectus supplement and the accompanying prospectus, prior to making an investment decision. References in this prospectus supplement to “we,” “us,” “our,” the “Company,” and “Presto” refer to Presto Automation Inc. unless otherwise stated or the context otherwise requires.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provide enterprise grade AI and automation solutions to the restaurant technology industry. Our solutions are designed to decrease labor costs, improve staff productivity, increase revenue and enhance the guest experience. We offer our industry-leading AI solution, Presto Voice, to quick service restaurants (QSR) and our pay-at-table tablet solution, Presto Touch, to casual dining chains. Some of the most recognized restaurant names in the United States are among our customers, including Carl’s Jr. and Hardee’s, Wienerschnitzel and Checkers for Presto Voice.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our founding in 2008, we initially focused exclusively on Presto Touch. As of June 30, 2023, we had shipped over 277,000 Presto Touch tablets to three of the largest casual dining chains in the United States. Presto Voice addresses the pressing needs of drive-thru restaurant operators by improving order accuracy, reducing labor costs and increasing revenue through menu upselling, while also providing guests with an improved drive-thru experience. While Presto Touch has accounted for substantially all of our historical revenues, Presto Voice accounts for over 10% of our revenue for the three and six months ended December 31, 2023, and we believe that Presto Voice will contribute an increasing portion of our revenues in the future.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considering strategic alternatives related to our Presto Touch solution including evaluating whether to engage in a wind-down from Presto Touch, which could include either a sale, partial sale or abandonment in the coming months, and allows us to focus our efforts on our Presto Voice 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Regarding Liquidity and Credit Agreement with Metropolitan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project that the net proceeds from this offering, together with our other cash resources and projected revenues, are sufficient for us to sustain our operations through the middle of March 2024.</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previously disclosed, on February 17, 2024, we received notice from the agent and the lenders under our credit agreement of the termination of the forbearance agreement that we had entered into with them. As a result, the agent and lenders are no longer required to forbear from exercising rights and remedies against us under the credit agreement as a result of defaults under the credit agreement. The remedies that the agent and lenders have include instructing the banks in which we hold our deposits to transfer some or all of those deposits to an account designated by the agent for the purpose of reducing the outstanding principal and interest under the credit agreement.</w:t>
      </w: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1"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084695" cy="5584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4695" cy="5584825"/>
                    </a:xfrm>
                    <a:prstGeom prst="rect">
                      <a:avLst/>
                    </a:prstGeom>
                    <a:noFill/>
                  </pic:spPr>
                </pic:pic>
              </a:graphicData>
            </a:graphic>
          </wp:anchor>
        </w:drawing>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Delisting Notice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23, 2024, we received a notice (“Notice”) from Nasdaq stating that the Company is not in compliance with the requirement to maintain a minimum Market Value of Publicly Held Securities (“MVPHS”) of $15 million, as set forth in Nasdaq Listing Rule 5450(b)(2)(C) (the “MVPHS Requirement”) because the MVPHS of the Company was below $15 million for the 35 consecutive business days prior to the date of the Notice. The Notice was in addition to the previously disclosed letters received on February 6, 2024, notifying the Company that it was not in compliance with the requirement to maintain a minimum Market Value of Listed Securities of $50 million, as set forth in Nasdaq Listing Rule 5450(b)</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(2)(A), and on December 28, 2023, notifying the Company that it was not in compliance with the requirement to maintain a minimum bid price of $1.00 per share, as set forth in Nasdaq Listing Rule 5450(a)(1).</w:t>
      </w:r>
    </w:p>
    <w:p>
      <w:pPr>
        <w:spacing w:after="0" w:line="181"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Notice does not impact the listing of the Company's common stock or warrants on The Nasdaq Global Market at this time. The Notice provided that, in accordance with Nasdaq Listing Rule 5810(c)(3)(D), the Company has a period of 180 calendar days from the date of the Notice, or until August 21, 2024, to regain compliance with the MVPHS Requirement. During this period, the common stock will continue to trade on The Nasdaq Global Market. If at any time before August 21, 2024 the MVPHS closes at $15 million or more for a minimum of ten consecutive business days, Nasdaq will provide written notification that the Company has achieved compliance with the MVPHS Requirement and the matter will be closed.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the Company does not regain compliance by August 21, 2024, the Company will receive written notification that its securities are subject to delisting. At that time, the Company may appeal the delisting determination to a Hearings Panel. The Notice provides that the Company may be eligible to transfer the listing of its securities to The Nasdaq Capital Market (provided that it then satisfies the requirements for continued listing on that market).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intends to actively monitor its MVPHS and will evaluate available options to regain compliance with the MVPHS Requirement. However, there can be no assurance that the Company will be able to regain compliance with the MVPHS Requirement or maintain compliance with any of the other Nasdaq continued listing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in Authorized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26, 2024, our stockholders approved an amendment (the “Amendment”) to our Second Amended and Restated Certificate of Incorporation, to increase the number of authorized shares of common stock from 180,000,000 shares to 100,000,000,000 shares. The Company’s board of directors previously approved the Amendment on February 12, 2024, subject to stockholder approval. The Amendment was filed and effective with the Secretary of the State of Delaware on February 27,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985 Industrial Road, San Carlos, CA 94070. Our telephone number is (650) 817-9012. Our website address is www.presto.com. Information on or connected to our website is not a part of or incorporated by reference into this prospectus supplement.</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1" w:right="47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084695" cy="8627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4695" cy="8627745"/>
                    </a:xfrm>
                    <a:prstGeom prst="rect">
                      <a:avLst/>
                    </a:prstGeom>
                    <a:noFill/>
                  </pic:spPr>
                </pic:pic>
              </a:graphicData>
            </a:graphic>
          </wp:anchor>
        </w:drawing>
        <w:t>The Offering</w:t>
      </w:r>
    </w:p>
    <w:p>
      <w:pPr>
        <w:sectPr>
          <w:pgSz w:w="11900" w:h="16838" w:orient="portrait"/>
          <w:cols w:equalWidth="0" w:num="1">
            <w:col w:w="11020"/>
          </w:cols>
          <w:pgMar w:left="400" w:top="981" w:right="47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8,533,000 shares of our common stock.</w:t>
      </w:r>
    </w:p>
    <w:p>
      <w:pPr>
        <w:spacing w:after="0" w:line="211" w:lineRule="exact"/>
        <w:rPr>
          <w:sz w:val="20"/>
          <w:szCs w:val="20"/>
          <w:color w:val="auto"/>
        </w:rPr>
      </w:pPr>
    </w:p>
    <w:p>
      <w:pPr>
        <w:sectPr>
          <w:pgSz w:w="11900" w:h="16838" w:orient="portrait"/>
          <w:cols w:equalWidth="0" w:num="2">
            <w:col w:w="2600" w:space="720"/>
            <w:col w:w="7700"/>
          </w:cols>
          <w:pgMar w:left="400" w:top="981" w:right="479" w:bottom="1440" w:gutter="0" w:footer="0" w:header="0"/>
          <w:type w:val="continuous"/>
        </w:sectPr>
      </w:pPr>
    </w:p>
    <w:p>
      <w:pPr>
        <w:spacing w:after="0" w:line="25"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Common stock outstanding after this offering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87,868,628 shares of common stock</w:t>
      </w:r>
    </w:p>
    <w:p>
      <w:pPr>
        <w:spacing w:after="0" w:line="452" w:lineRule="exact"/>
        <w:rPr>
          <w:sz w:val="20"/>
          <w:szCs w:val="20"/>
          <w:color w:val="auto"/>
        </w:rPr>
      </w:pPr>
    </w:p>
    <w:p>
      <w:pPr>
        <w:sectPr>
          <w:pgSz w:w="11900" w:h="16838" w:orient="portrait"/>
          <w:cols w:equalWidth="0" w:num="2">
            <w:col w:w="2660" w:space="660"/>
            <w:col w:w="7700"/>
          </w:cols>
          <w:pgMar w:left="400" w:top="981"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$0.25 per share.</w:t>
      </w:r>
    </w:p>
    <w:p>
      <w:pPr>
        <w:spacing w:after="0" w:line="211" w:lineRule="exact"/>
        <w:rPr>
          <w:sz w:val="20"/>
          <w:szCs w:val="20"/>
          <w:color w:val="auto"/>
        </w:rPr>
      </w:pPr>
    </w:p>
    <w:p>
      <w:pPr>
        <w:sectPr>
          <w:pgSz w:w="11900" w:h="16838" w:orient="portrait"/>
          <w:cols w:equalWidth="0" w:num="2">
            <w:col w:w="2600" w:space="720"/>
            <w:col w:w="7700"/>
          </w:cols>
          <w:pgMar w:left="400" w:top="981" w:right="4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$1.5 million, after deducting the placement agent fees and estimated offering expenses payable by us.</w:t>
      </w:r>
    </w:p>
    <w:p>
      <w:pPr>
        <w:spacing w:after="0" w:line="162" w:lineRule="exact"/>
        <w:rPr>
          <w:sz w:val="20"/>
          <w:szCs w:val="20"/>
          <w:color w:val="auto"/>
        </w:rPr>
      </w:pPr>
    </w:p>
    <w:p>
      <w:pPr>
        <w:sectPr>
          <w:pgSz w:w="11900" w:h="16838" w:orient="portrait"/>
          <w:cols w:equalWidth="0" w:num="2">
            <w:col w:w="2600" w:space="720"/>
            <w:col w:w="7700"/>
          </w:cols>
          <w:pgMar w:left="400" w:top="981" w:right="479" w:bottom="1440" w:gutter="0" w:footer="0" w:header="0"/>
          <w:type w:val="continuous"/>
        </w:sectPr>
      </w:pPr>
    </w:p>
    <w:p>
      <w:pPr>
        <w:ind w:left="332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 corporate purposes.</w:t>
      </w:r>
    </w:p>
    <w:p>
      <w:pPr>
        <w:spacing w:after="0" w:line="2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See “Use of Proceeds.”</w:t>
      </w:r>
    </w:p>
    <w:p>
      <w:pPr>
        <w:sectPr>
          <w:pgSz w:w="11900" w:h="16838" w:orient="portrait"/>
          <w:cols w:equalWidth="0" w:num="1">
            <w:col w:w="11020"/>
          </w:cols>
          <w:pgMar w:left="400" w:top="981" w:right="47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is listed on Nasdaq under the trading symbol “PRST.”</w:t>
      </w:r>
    </w:p>
    <w:p>
      <w:pPr>
        <w:spacing w:after="0" w:line="211" w:lineRule="exact"/>
        <w:rPr>
          <w:sz w:val="20"/>
          <w:szCs w:val="20"/>
          <w:color w:val="auto"/>
        </w:rPr>
      </w:pPr>
    </w:p>
    <w:p>
      <w:pPr>
        <w:sectPr>
          <w:pgSz w:w="11900" w:h="16838" w:orient="portrait"/>
          <w:cols w:equalWidth="0" w:num="2">
            <w:col w:w="2600" w:space="720"/>
            <w:col w:w="7700"/>
          </w:cols>
          <w:pgMar w:left="400" w:top="981" w:right="4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Antidilution issuance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offering will result in us issuing 4,500,000 additional shares to CA (as defined below), 4,500,000 additional shares to investors who participated in our registered direct offering in November 2023, and 9,000,000 additional shares underlying warrants with an exercise price of $0.01 per share to our lenders, in each case, pursuant to antidilution rights described in more detail below.</w:t>
      </w:r>
    </w:p>
    <w:p>
      <w:pPr>
        <w:spacing w:after="0" w:line="180" w:lineRule="exact"/>
        <w:rPr>
          <w:sz w:val="20"/>
          <w:szCs w:val="20"/>
          <w:color w:val="auto"/>
        </w:rPr>
      </w:pPr>
    </w:p>
    <w:p>
      <w:pPr>
        <w:sectPr>
          <w:pgSz w:w="11900" w:h="16838" w:orient="portrait"/>
          <w:cols w:equalWidth="0" w:num="2">
            <w:col w:w="2600" w:space="720"/>
            <w:col w:w="7700"/>
          </w:cols>
          <w:pgMar w:left="400" w:top="981"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read the section titled “Risk Factors,” and the other information included, or incorporated by reference, in this prospectus supplement for a discussion of some of the risks and uncertainties you should carefully consider before deciding to invest in our common stock.</w:t>
      </w:r>
    </w:p>
    <w:p>
      <w:pPr>
        <w:spacing w:after="0" w:line="180" w:lineRule="exact"/>
        <w:rPr>
          <w:sz w:val="20"/>
          <w:szCs w:val="20"/>
          <w:color w:val="auto"/>
        </w:rPr>
      </w:pPr>
    </w:p>
    <w:p>
      <w:pPr>
        <w:sectPr>
          <w:pgSz w:w="11900" w:h="16838" w:orient="portrait"/>
          <w:cols w:equalWidth="0" w:num="2">
            <w:col w:w="2600" w:space="720"/>
            <w:col w:w="7700"/>
          </w:cols>
          <w:pgMar w:left="400" w:top="981" w:right="479" w:bottom="1440" w:gutter="0" w:footer="0" w:header="0"/>
          <w:type w:val="continuous"/>
        </w:sect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relating to the number of shares of our common stock outstanding is based on 81,419,280 shares of common stock outstanding as of February 28, 2024 and does not include:</w:t>
      </w:r>
    </w:p>
    <w:p>
      <w:pPr>
        <w:spacing w:after="0" w:line="162" w:lineRule="exact"/>
        <w:rPr>
          <w:sz w:val="20"/>
          <w:szCs w:val="20"/>
          <w:color w:val="auto"/>
        </w:rPr>
      </w:pPr>
    </w:p>
    <w:p>
      <w:pPr>
        <w:ind w:left="660" w:hanging="327"/>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certain outstanding warrants outstanding as of February 28, 2024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00" w:type="dxa"/>
            <w:vAlign w:val="bottom"/>
            <w:gridSpan w:val="2"/>
          </w:tcPr>
          <w:p>
            <w:pPr>
              <w:ind w:left="3700"/>
              <w:spacing w:after="0"/>
              <w:rPr>
                <w:sz w:val="20"/>
                <w:szCs w:val="20"/>
                <w:color w:val="auto"/>
              </w:rPr>
            </w:pPr>
            <w:r>
              <w:rPr>
                <w:rFonts w:ascii="Times New Roman" w:cs="Times New Roman" w:eastAsia="Times New Roman" w:hAnsi="Times New Roman"/>
                <w:sz w:val="18"/>
                <w:szCs w:val="18"/>
                <w:b w:val="1"/>
                <w:bCs w:val="1"/>
                <w:color w:val="auto"/>
              </w:rPr>
              <w:t>Shares Underlying Warrants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9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9,329,961</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639,026</w:t>
            </w:r>
          </w:p>
        </w:tc>
        <w:tc>
          <w:tcPr>
            <w:tcW w:w="2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294,725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71,101</w:t>
            </w:r>
          </w:p>
        </w:tc>
        <w:tc>
          <w:tcPr>
            <w:tcW w:w="2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584,648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8,625,000</w:t>
            </w:r>
          </w:p>
        </w:tc>
        <w:tc>
          <w:tcPr>
            <w:tcW w:w="2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170,993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9.25</w:t>
            </w:r>
          </w:p>
        </w:tc>
      </w:t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7,625,000</w:t>
            </w:r>
          </w:p>
        </w:tc>
        <w:tc>
          <w:tcPr>
            <w:tcW w:w="20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11.50</w:t>
            </w:r>
          </w:p>
        </w:tc>
      </w:tr>
    </w:tbl>
    <w:p>
      <w:pPr>
        <w:spacing w:after="0" w:line="179" w:lineRule="exact"/>
        <w:rPr>
          <w:sz w:val="20"/>
          <w:szCs w:val="20"/>
          <w:color w:val="auto"/>
        </w:rPr>
      </w:pPr>
    </w:p>
    <w:p>
      <w:pPr>
        <w:ind w:left="660" w:right="20" w:hanging="327"/>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3,030,576 shares of common stock underlying outstanding RSUs as of February 28, 2024 and 6,076,476 shares issuable upon the exercise of stock options outstanding as of February 28, 2024 previously granted under the Company’s equity incentive plans; and</w:t>
      </w:r>
    </w:p>
    <w:p>
      <w:pPr>
        <w:spacing w:after="0" w:line="161" w:lineRule="exact"/>
        <w:rPr>
          <w:rFonts w:ascii="Times New Roman" w:cs="Times New Roman" w:eastAsia="Times New Roman" w:hAnsi="Times New Roman"/>
          <w:sz w:val="18"/>
          <w:szCs w:val="18"/>
          <w:color w:val="auto"/>
        </w:rPr>
      </w:pPr>
    </w:p>
    <w:p>
      <w:pPr>
        <w:jc w:val="both"/>
        <w:ind w:left="660" w:hanging="327"/>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 additional shares of common stock underlying warrants with an exercise price of $0.01 per share held by Metropolitan Partners Group Administration, LLC, Metropolitan Levered Partners Fund VII, LP, Metropolitan Partners Fund VII, LP, Metropolitan Offshore Partners Fund VII, LP and CEOF Holdings LP (collectively, the “Lenders”), the agent under our credit facility, in connection with antidilution protections under the warrants that are triggered by this offering, but that may only be issued following receipt of shareholder approval pursuant to Nasdaq Rule 5635(d);</w:t>
      </w:r>
    </w:p>
    <w:p>
      <w:pPr>
        <w:spacing w:after="0" w:line="183" w:lineRule="exact"/>
        <w:rPr>
          <w:rFonts w:ascii="Times New Roman" w:cs="Times New Roman" w:eastAsia="Times New Roman" w:hAnsi="Times New Roman"/>
          <w:sz w:val="18"/>
          <w:szCs w:val="18"/>
          <w:color w:val="auto"/>
        </w:rPr>
      </w:pPr>
    </w:p>
    <w:p>
      <w:pPr>
        <w:jc w:val="both"/>
        <w:ind w:left="660" w:right="20" w:hanging="327"/>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 additional shares of common stock issuable to Presto CA LLC (“CA”) pursuant to anti-dilution protections previously granted to CA LLC, an affiliate of our shareholder, Cleveland Avenue, but that may only be issued following receipt of shareholder approval pursuant to Nasdaq Listing Rule 5635(d); and</w:t>
      </w:r>
    </w:p>
    <w:p>
      <w:pPr>
        <w:spacing w:after="0" w:line="175" w:lineRule="exact"/>
        <w:rPr>
          <w:rFonts w:ascii="Times New Roman" w:cs="Times New Roman" w:eastAsia="Times New Roman" w:hAnsi="Times New Roman"/>
          <w:sz w:val="18"/>
          <w:szCs w:val="18"/>
          <w:color w:val="auto"/>
        </w:rPr>
      </w:pPr>
    </w:p>
    <w:p>
      <w:pPr>
        <w:ind w:left="660" w:right="20" w:hanging="327"/>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 additional shares of common stock issuable to investors who participated in the Company’s registered direct offering dated November 17, 2023, but that may only be issued following receipt of shareholder approval pursuant to Nasdaq Listing Rule 5635(d).</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(1) reflects or assumes no exercise, vesting or termination of options, RSUs or warrants outstanding as of February 28, 2024, and (2) assumes a public offering price per share of $0.25.</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00" w:top="981" w:right="47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investment in our common stock involves a high degree of risk. You should carefully consider and evaluate all of the information included and incorporated by reference in this prospectus, including the risk factors below, in the 2023 Form 10-K (which is incorporated by reference into this prospectus supplement), and other filings we make with the SEC, which are incorporated by reference into this prospectus supplement. It is possible that our business, financial condition, liquidity or results of operations could be materially adversely affected by any of these risks.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Purchasers of shares in this offering will experience immediate and substantial dilution in the book value of their investment.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offering price per share in this offering is substantially higher than the net tangible book value per share of our common stock before giving effect to this offering. Accordingly, purchasers of our securities in this offering at the public offering price will incur immediate dilution of approximately $1.33 per share representing the difference between the respective offering price per share and our pro forma as-adjusted net tangible book value as of December 31, 2023. For more information, including how these amounts were calculated, see “Dilution.”</w:t>
      </w:r>
    </w:p>
    <w:p>
      <w:pPr>
        <w:spacing w:after="0" w:line="176"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granted anti-dilution protection to certain of our investors, which will cause additional significant dilution to our stockholders and may have a material adverse impact on the market price of our common stock and make it more difficult for us to raise funds through future equity offerings.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immediate dilutive effects described in “The Offering”, we have granted anti-dilution protections to holders of our shares, warrants and convertible notes that could result in the issuance of additional shares in future offerings. Moreover, the perceived risk of dilution and the resulting downward pressure on our common stock price could encourage investors to engage in short sales of our common stock, which could further contribute to price declines in our common stock. The fact that certain of our stockholders and our warrant holders can sell substantial amounts of our common stock in the public market, whether or not sales have occurred or are occurring, as well as the existence of anti-dilution provisions in the Purchase Agreement and the Third Amendment Conversion Warrants, could make it more difficult for us to raise additional funds through the sale of equity or equity-related securities in the future at a time and price that we deem reasonable or appropriate, or at all.</w:t>
      </w:r>
    </w:p>
    <w:p>
      <w:pPr>
        <w:spacing w:after="0" w:line="18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Shares of our common stock have been, and may continue to be, thinly traded, which may contribute to volatility in our stock price and less liquidity for investors.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trading volume of our common stock has varied, and at times may be characterized as thinly traded. As a result of this thin trading market or “float” for our common stock, our common stock has been, and may continue to be, less liquid than the common stock of companies with broader public ownership. If our common stock is thinly traded, the trading of a relatively small volume of our common stock may have a greater impact on the trading price of our common stock than would be the case if our float were larger. As a result, the trading prices of our common stock may be more volatile than the common stock of companies with broader public ownership, and an investor be unable to liquidate an investment in our common stock at attractive prices.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our common stock will trade in the future. Variations in financial results, announcements of material events, changes in our dividend policy, technological innovations or new products by us or our competitors, our quarterly operating results, changes in general conditions in the economy or government spending on law enforcement and military, other developments affecting us or our competitors or general price and volume fluctuations in the market are among the many factors that could cause the market price of our common stock to fluctuate substantially.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capital to sustain our operations and to the extent additional financing is unavailable or is only available on unfavorable terms, or if certain investors exercise their veto rights and block us from raising additional capital, it may have a material adverse effect on our business.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were to raise approximately $2.1 million in gross proceeds in this offering, we believe that we would have sufficient liquidity to sustain the Company until approximately the middle of March 2024 absent additional funding. If we are unable to raise additional financing in the near term, there is a significant risk that we would become insolvent and investors could lose the entirety of their investment. Further, as described in our Current Report on Form 8-K filed with the SEC on November 16, 2023. pursuant to a contractual arrangement, KKG Enterprises LLC, an affiliate of the REMUS Stockholders, and CA LLC, an affiliate of Cleveland Avenue, LLC, have veto rights over our ability to issue shares of our common stock or of our subsidiaries, or securities convertible into or exercisable for common stock, subject to certain limited exceptions, which could have a material adverse effect on our ability to raise additional financing if such veto rights are exercised.</w:t>
      </w:r>
    </w:p>
    <w:p>
      <w:pPr>
        <w:spacing w:after="0" w:line="18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lenders are no longer required to forbear from exercising rights and remedies against us as a result of defaults under credit agreements.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17, 2024, we received notice from the agent and lenders of our credit agreement of the termination of the forbearance agreement that we had entered into with them. As a result, the agent and lenders are no longer required to forbear from exercising rights and remedies against us under the credit agreement as a result of defaults under the credit agreement. The remedies that the agent and lenders have include instructing the banks in which we hold our deposits to transfer some or all of those deposits to an account designated by the agent for the purpose of reducing the outstanding principal and interest under the credit agreement. The occurrence of these events could limit the amount of cash available to us for use in our business.</w:t>
      </w:r>
    </w:p>
    <w:p>
      <w:pPr>
        <w:spacing w:after="0" w:line="17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to determine how to use the funds raised in this offering, and may use them in ways that may not enhance our operating results or the price of our common stock.</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general corporate purposes. Accordingly, we will have broad discretion as to how we use the net proceeds that we receive from this offering. We could spend the proceeds that we receive from this offering in ways that our shareholders may not agree with or that do not yield a favorable return. You will not have the opportunity as part of your investment decision to assess whether the net proceeds are being used appropriately. Investors in this offering will need to rely upon the judgment of our board of directors and management with respect to the use of proceeds. If we do not use the net proceeds that we receive in this offering effectively, our business, financial condition, results of operations and prospects could be harmed, and the market price of our shares of common stock could decline.</w:t>
      </w:r>
    </w:p>
    <w:p>
      <w:pPr>
        <w:spacing w:after="0" w:line="18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or the perception that these sales may occur, could cause the market price of our common stock to decline.</w:t>
      </w:r>
    </w:p>
    <w:p>
      <w:pPr>
        <w:spacing w:after="0" w:line="15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these sales may occur, could cause the market price of our common stock to decline. This could also impair our ability to raise additional capital through the sale of our equity securities. We may issue additional shares of common stock, which may dilute existing shareholders, including purchasers of the common stock offered hereby. In connection with the completion of this offering, we have agreed not to issue, enter into any agreement to issue or announce the issuance or proposed issuance of any shares of Common Stock or Common Stock Equivalents (as defined in the securities purchase agreement entered into in connection with this offering) or a period of 15 days after the date of this prospectus supplement, subject to certain exceptions. Separately, the holders of approximately 40% of our shares have also agreed pursuant to a separate lock-up agreement with us entered into in connection with a financing transaction not to offer, sell or transfer their shares until December 23, 2024. Following the expiration of the lock-up periods, these shares will be available for sale in the public markets subject to restrictions under applicable securities laws. We cannot predict the size of future issuances of our shares, or the effect, if any, that future sales and issuances of securities would have on the market price of our shares of common stock. See “Plan of Distribution.”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listed on the Nasdaq Stock Market. If we are unable to maintain listing of our securities on the Nasdaq Stock Market or any stock exchange, our stock price could be adversely affected and the liquidity of our stock and our ability to obtain financing could be impaired and it may be more difficult for our shareholders to sell their securities.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our common stock is currently listed on Nasdaq, we may not be able to continue to meet the exchange’s minimum listing requirements or those of any other national exchange. For example, On February 23, 2024, we received the Notice from Nasdaq stating that the Company is not in compliance with the requirement to maintain a MVPHS of $15 million, as set forth in Nasdaq Listing Rule 5450(b)(2)(C) because the MVPHS of the Company was below $15 million for the 35 consecutive business days prior to the date of the Notice. The Notice was in addition to the previously disclosed letters received on February 6, 2024, notifying the Company that it was not in compliance with the requirement to maintain a minimum Market Value of Listed Securities of $50 million, as set forth in Nasdaq Listing Rule 5450(b)(2)(A), and on December 28, 2023, notifying the Company that it was not in compliance with the requirement to maintain a minimum bid price of $1.00 per share, as set forth in Nasdaq Listing Rule 5450(a)(1). The delisting of our common stock from Nasdaq may make it more difficult for us to raise capital on favorable terms in the future. Such a delisting would likely a result in a reduction in some or all of the following may occur, each of which could have a material adverse effect on our shareholders and may impair your ability to sell or purchase our common stock when you wish to do so:</w:t>
      </w:r>
    </w:p>
    <w:p>
      <w:pPr>
        <w:spacing w:after="0" w:line="19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for the continuation of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investors that will consider investing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market makers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information concerning the trading prices and volume of our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broker-dealers willing to execute trades in shares of our common stock.</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Further, if we were to be delisted from the Nasdaq Stock Market and we are unable to obtain listing on another national securities exchange, our common stock would cease to be recognized as covered securities and we would be subject to regulation in each state in which we offer our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$1.5 million from the sale of the shares of common stock offered by us in this offering, after deducting the placement agent fees and estimated offering expenses payable by us. We intend to use the net proceeds from this offering for working capital and general corporate purposes.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not yet determined the amount of net proceeds to be used specifically for any of the foregoing purposes. Accordingly, our management will have significant discretion and flexibility in applying the net proceeds from this offering.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invest in our common stock, your interest will be diluted immediately to the extent of the difference between the offering price per share you will pay in this offering and the as-adjusted net tangible book value per share of our common stock immediately after giving effect to this offering.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tangible book value as of December 31, 2023 was approximately $(53.2) million, or $(0.76) per share of common stock. Net tangible book value per share is determined by dividing our total tangible assets, less total liabilities, by the number of shares of our common stock outstanding as of December 31, 2023.</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 forma net tangible book value as of December 31, 2023, before giving effect to this offering, was approximately $(52.5), or $(0.75) per share of common stock. Pro forma net tangible book value, before the issuance and sale of shares of securities in this offering, gives effect to the issuance and sale of an aggregate of $9.0 million principal amount of subordinated convertible notes offered in January 2024, the application of the estimated net proceeds therefrom and the issuance of shares of Common Stock pursuant to antidilution provisions triggered by the January 2024 offering, after deducting estimated offering expenses payable by us.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As-adjusted net tangible book value per share represents our net tangible book value after giving effect to the sale of shares of common stock at the public offering price of $0.25 per share, and, after deducting the placement agent fees and commissions and estimated offering expenses payable by us in connection with this offering, would have been approximately $(50.47) million, or $(0.58) per share. This represents an immediate increase in net tangible book value of $0.17 per share to our existing stockholders and an immediate dilution of approximately $1.33 per share to purchasers of our common stock in this offering at the public offering price.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this per share dilution.</w:t>
            </w: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9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December 31, 2023</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198"/>
        </w:trPr>
        <w:tc>
          <w:tcPr>
            <w:tcW w:w="99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the issuance and sale of an aggregate of $9.0 million principal amount of</w:t>
            </w: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9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subordinated convertible notes offered in January 2024, the application of the estimated net proceeds therefrom and the issuance of</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9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of Common Stock pursuant to antidilution provisions triggered by the January 2024 offering, after deducting estimated</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4"/>
        </w:trPr>
        <w:tc>
          <w:tcPr>
            <w:tcW w:w="9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 expenses payable by us</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2023</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16"/>
        </w:trPr>
        <w:tc>
          <w:tcPr>
            <w:tcW w:w="9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Pro forma as-adjusted net tangible book value per share as of December 31, 2023, after giving effect to this offering</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in this offering at the public offering price</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r>
      <w:tr>
        <w:trPr>
          <w:trHeight w:val="655"/>
        </w:trPr>
        <w:tc>
          <w:tcPr>
            <w:tcW w:w="990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S-8</w:t>
            </w: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above and in the foregoing table is based on 70,335,628 shares of our common stock outstanding as of December 31, 2023, and does not include:</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12,907,800 shares of common stock reserved for future issuance under the Company’s equity incentive plans;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 additional shares of common stock underlying warrants with an exercise price of $0.01 per share held by Metropolitan Partners Group Administration, LLC, Metropolitan Levered Partners Fund VII, LP, Metropolitan Partners Fund VII, LP, Metropolitan Offshore Partners Fund VII, LP and CEOF Holdings LP (collectively, the “Lenders”), the agent under our credit facility, in connection with antidilution protections under the warrants that are triggered by this offering, but that may only be issued following receipt of shareholder approval pursuant to Nasdaq Rule 5635(d);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 additional shares of common stock issuable to Presto CA LLC (“CA”) pursuant to anti-dilution protections previously granted to CA LLC, an affiliate of our shareholder, Cleveland Avenue, but that may only be issued following receipt of shareholder approval pursuant to Nasdaq Listing Rule 5635(d);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 additional shares of common stock issuable to investors who participated in the Company’s registered direct offering dated November 17, 2023, but that may only be issued following receipt of shareholder approval pursuant to Nasdaq Listing Rule 5635(d).</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vesting or termination of options, RSUs or warrants outstanding as of December 31, 2023. To the extent that any of these outstanding options, RSUs or warrants are exercised at prices per share below the public offering price or lead investor price per share in this offering or we issue additional shares under our equity incentive plans at prices below the public offering price or lead investor price per share in this offering,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December 31, 2023:</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as-adjusted basis to give effect to the issuance and sale of an aggregate of $9.0 million principal amount of subordinated convertible notes offered in January 2024, the application of the estimated net proceeds therefrom and the issuance of shares of Common Stock pursuant to antidilution provisions triggered by the January 2024 offering, after deducting estimated offering expenses payable by us;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as-further-adjusted basis to give effect to the issuance and sale of our common stock offered hereby and the application of the estimated net proceeds therefrom as set forth under “Use of Proceeds,” based on the sale of 8,533,000 shares of common stock at public offering price of $0.25 per share, after deducting the placement agent fees and estimated offering expenses payable by us.</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You should read this table in conjunction with the financial statements, including the notes thereto, and other financial information pertaining to us incorporated by reference in this prospectus supplement.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20" w:type="dxa"/>
            <w:vAlign w:val="bottom"/>
            <w:gridSpan w:val="8"/>
          </w:tcPr>
          <w:p>
            <w:pPr>
              <w:jc w:val="right"/>
              <w:ind w:right="981"/>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0" w:type="dxa"/>
            <w:vAlign w:val="bottom"/>
          </w:tcPr>
          <w:p>
            <w:pPr>
              <w:spacing w:after="0"/>
              <w:rPr>
                <w:sz w:val="1"/>
                <w:szCs w:val="1"/>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680"/>
              <w:spacing w:after="0" w:line="194" w:lineRule="exact"/>
              <w:rPr>
                <w:sz w:val="20"/>
                <w:szCs w:val="20"/>
                <w:color w:val="auto"/>
              </w:rPr>
            </w:pPr>
            <w:r>
              <w:rPr>
                <w:rFonts w:ascii="Times New Roman" w:cs="Times New Roman" w:eastAsia="Times New Roman" w:hAnsi="Times New Roman"/>
                <w:sz w:val="18"/>
                <w:szCs w:val="18"/>
                <w:b w:val="1"/>
                <w:bCs w:val="1"/>
                <w:color w:val="auto"/>
              </w:rPr>
              <w:t>As</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As Further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200" w:type="dxa"/>
            <w:vAlign w:val="bottom"/>
            <w:tcBorders>
              <w:bottom w:val="single" w:sz="8" w:color="CCEEFF"/>
            </w:tcBorders>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9"/>
                <w:szCs w:val="29"/>
                <w:color w:val="auto"/>
                <w:vertAlign w:val="superscript"/>
              </w:rPr>
              <w:t>(1)(2)(3)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w:t>
            </w:r>
          </w:p>
        </w:tc>
        <w:tc>
          <w:tcPr>
            <w:tcW w:w="2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50,052</w:t>
            </w: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gridSpan w:val="2"/>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55,632</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vMerge w:val="continue"/>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180,000,000 shares authorized, actual and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100,000,000,000 shares authorized, as adjusted and as further adjusted, 70,335,628 shares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issued and outstanding, actual; 79,335,628 shares issued and outstanding, as adjusted, and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87,868,628 outstanding, as further adjusted</w:t>
            </w:r>
          </w:p>
        </w:tc>
        <w:tc>
          <w:tcPr>
            <w:tcW w:w="200" w:type="dxa"/>
            <w:vAlign w:val="bottom"/>
          </w:tcPr>
          <w:p>
            <w:pPr>
              <w:spacing w:after="0"/>
              <w:rPr>
                <w:sz w:val="20"/>
                <w:szCs w:val="20"/>
                <w:color w:val="auto"/>
              </w:rPr>
            </w:pP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206,109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206,109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207,898</w:t>
            </w:r>
          </w:p>
        </w:tc>
        <w:tc>
          <w:tcPr>
            <w:tcW w:w="0" w:type="dxa"/>
            <w:vAlign w:val="bottom"/>
          </w:tcPr>
          <w:p>
            <w:pPr>
              <w:spacing w:after="0"/>
              <w:rPr>
                <w:sz w:val="1"/>
                <w:szCs w:val="1"/>
                <w:color w:val="auto"/>
              </w:rPr>
            </w:pPr>
          </w:p>
        </w:tc>
      </w:tr>
      <w:tr>
        <w:trPr>
          <w:trHeight w:val="23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(247,945)</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(247,945)</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(247,945)</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(41,829</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(41,829)</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capitalization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13,803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13,803</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10,014</w:t>
            </w:r>
          </w:p>
        </w:tc>
        <w:tc>
          <w:tcPr>
            <w:tcW w:w="0" w:type="dxa"/>
            <w:vAlign w:val="bottom"/>
          </w:tcPr>
          <w:p>
            <w:pPr>
              <w:spacing w:after="0"/>
              <w:rPr>
                <w:sz w:val="1"/>
                <w:szCs w:val="1"/>
                <w:color w:val="auto"/>
              </w:rPr>
            </w:pPr>
          </w:p>
        </w:tc>
      </w:tr>
      <w:tr>
        <w:trPr>
          <w:trHeight w:val="21"/>
        </w:trPr>
        <w:tc>
          <w:tcPr>
            <w:tcW w:w="7320" w:type="dxa"/>
            <w:vAlign w:val="bottom"/>
            <w:gridSpan w:val="2"/>
            <w:vMerge w:val="restart"/>
          </w:tcPr>
          <w:p>
            <w:pPr>
              <w:ind w:left="5460"/>
              <w:spacing w:after="0"/>
              <w:rPr>
                <w:sz w:val="20"/>
                <w:szCs w:val="20"/>
                <w:color w:val="auto"/>
              </w:rPr>
            </w:pPr>
            <w:r>
              <w:rPr>
                <w:rFonts w:ascii="Times New Roman" w:cs="Times New Roman" w:eastAsia="Times New Roman" w:hAnsi="Times New Roman"/>
                <w:sz w:val="18"/>
                <w:szCs w:val="18"/>
                <w:color w:val="auto"/>
              </w:rPr>
              <w:t>S-10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gridSpan w:val="2"/>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 FOR NON-U.S. HOLDERS OF OUR COMMON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applicable to Non-U.S. holders (as defined below) of the acquisition, ownership and disposition of our common stock purchased in accordance with this prospectus supplement, but does not purport to be a complete analysis of all potential tax consequences related thereto. This discussion applies only to our common stock that is held as a capital asset within the meaning of Section 1221 of the U.S. Internal Revenue Code of 1986, as amended (the “Code”). This discussion assumes that any distributions made (or deemed made) by us on our common stock and any consideration received (or deemed received) by a holder in consideration for the sale or other disposition of our common stock will be in U.S. dollars.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the U.S. federal income tax consequences to our founders, sponsors,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8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below, persons that actually or constructively own five percent or more (by vote or value) of our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pursuant to an exercise of employee share options, in connection with employee share incentive plans or otherwise as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constructive sale, hedge, wash sale, conversion or other integrated or similar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being taken into account in an applicable financial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holders (as defined below)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U.S. FEDERAL INCOME TAX CONSIDERATIONS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used herein, the term “Non-U.S. holder” means a beneficial owner of our common stock (other than a partnership or entity or arrangement classified as a partnership for U.S. federal income tax purposes) that is, for U.S. federal income tax purposes, not a U.S. person.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“U.S. person” is any person that, for U.S. federal income tax purposes, is or is treated as any of the following:</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U.S. persons have the authority to control all substantial decisions of the trust or (b) it has in effect a valid election under applicable Treasury regulations to be treated as a U.S.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but not including certain distributions of our stock or rights to acquire our stock)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These certifications must be provided to the applicable withholding agent prior to the payment of dividends and must be updated periodically. A Non-U.S. holder that does not timely furnish the required documentation, but is eligible for a reduced rate of withholding tax under an income tax treaty may obtain a refund or credit of any excess amounts withheld by filing an appropriate claim for refund with the IRS. In the case of any constructive dividend, it is possible that this tax would be withheld from any amount owed to a Non-U.S. holder by us or the applicable withholding agent, including from other property subsequently paid or credited to such holder.</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Dividends that are effectively connected with a Non-U.S. holder’s conduct of a trade or business within the United States and, if such Non-U.S. holder is entitled to claim treaty benefits (and the Non-U.S. holder complies with applicable certification and other requirements), that are attributable to a permanent establishment (or, for an individual, a fixed base) maintained by such Non-U.S. holder within the United States are not subject to the withholding tax described above but instead are subject to U.S. federal income tax on a net income basis at applicable graduated U.S. federal income tax rates. In order for its effectively connected dividends to be exempt from the withholding tax described above, a Non-U.S. holder will be required to provide a duly completed and properly executed IRS Form W-8ECI, certifying that the dividends are effectively connected with the Non-U.S. holder’s conduct of a trade or business within the United States. Dividends received by a Non-U.S. holder that is a corporation that are effectively connected with its conduct of a trade or business within the United States may be subject to an additional branch profits tax at a 30% rate or such lower rate as may be specified by an applicable income tax treaty.</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distribution in excess of current and accumulated earnings and profits will constitute a return of capital that will be treated first as reducing (but not below zero) the Non-U.S. holder’s adjusted tax basis in its shares of our common stock and, to the extent such distribution exceeds the Non-U.S. holder’s adjusted tax basis, as gain realized from the sale or other disposition of common stock, which will be treated as described under “</w:t>
      </w:r>
      <w:r>
        <w:rPr>
          <w:rFonts w:ascii="Times New Roman" w:cs="Times New Roman" w:eastAsia="Times New Roman" w:hAnsi="Times New Roman"/>
          <w:sz w:val="18"/>
          <w:szCs w:val="18"/>
          <w:i w:val="1"/>
          <w:iCs w:val="1"/>
          <w:color w:val="auto"/>
        </w:rPr>
        <w:t>Gain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Taxable Exchange or Other Taxable Disposition of Common Stock</w:t>
      </w:r>
      <w:r>
        <w:rPr>
          <w:rFonts w:ascii="Times New Roman" w:cs="Times New Roman" w:eastAsia="Times New Roman" w:hAnsi="Times New Roman"/>
          <w:sz w:val="18"/>
          <w:szCs w:val="18"/>
          <w:color w:val="auto"/>
        </w:rPr>
        <w:t>” below. In addition, if we determine that we are likely to be classified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real property holding corporation” (see “</w:t>
      </w:r>
      <w:r>
        <w:rPr>
          <w:rFonts w:ascii="Times New Roman" w:cs="Times New Roman" w:eastAsia="Times New Roman" w:hAnsi="Times New Roman"/>
          <w:sz w:val="18"/>
          <w:szCs w:val="18"/>
          <w:i w:val="1"/>
          <w:iCs w:val="1"/>
          <w:color w:val="auto"/>
        </w:rPr>
        <w:t>Gain on Sale, Taxable Exchange or Other Taxable Disposition of Common Stock</w:t>
      </w:r>
      <w:r>
        <w:rPr>
          <w:rFonts w:ascii="Times New Roman" w:cs="Times New Roman" w:eastAsia="Times New Roman" w:hAnsi="Times New Roman"/>
          <w:sz w:val="18"/>
          <w:szCs w:val="18"/>
          <w:color w:val="auto"/>
        </w:rPr>
        <w:t>” below), we generally will withhold 15% of any distribution that exceeds our current and accumulated earnings and profits.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Taxable Exchange or Other Taxable Disposition of Common Stock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a Non-U.S. holder generally will not be subject to U.S. federal income or withholding tax in respect of gain recognized on a sale, taxable exchange or other taxable disposition of our common stock, unless:</w:t>
      </w:r>
    </w:p>
    <w:p>
      <w:pPr>
        <w:spacing w:after="0" w:line="162"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present in the United States for 183 days or more in the taxable year of disposition and certain other requirements are met;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left="660" w:hanging="328"/>
        <w:spacing w:after="0" w:line="253"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(as defined below) for U.S. federal income tax purposes at any time during the shorter of the five-year period ending on the date of disposition or the Non-U.S. holder’s holding period for the applicable common stock, except, in the case where shares of our common stock are “regularly traded on an established securities market” (within the meaning of applicable Treasury Regulations, referred to herein as “regularly traded”), and the Non-U.S. holders has owned, directly or constructively, 5% or less of our common stock at all times within the shorter of the five-year period preceding such disposition of common stock or such Non-U.S. holder’s holding period for such common stock. It is unclear how the rules for determining the 5% threshold for this purpose would be applied with respect to our common stock, including how a Non-U.S. holder’s ownership of our warrants, if any, impacts the 5% threshold determination with respect to its common stock. We can provide no assurance as to our future status as a United States real property holding corporation or as to whether our common stock will be considered to be regularly traded. Non-U.S. holders should consult their own tax advisors regarding the application of the foregoing rules in light of their particular facts and circumstances.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corporation for U.S. federal income tax purposes may also be subject to an additional “branch profits tax” imposed at a 30% rate (or such lower rate as may be specified by an applicable income tax treaty) on a portion of its effectively connected earnings and profits for the taxable year that are attributable to such gain, as adjusted for certain items.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30% rate (or such lower rate as may be specified by an applicable income tax treaty), but may be offset by U.S. source capital losses realized during the same taxable year (even though the individual is not considered a resident of the United States), provided the Non-U.S. holder has timely filed U.S. federal income tax returns with respect to such losses. Non-U.S. holders should consult any applicable income tax treaties that may provide for different rules.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third bullet point above applies to a Non-U.S. holder, gain recognized by such holder on the sale, exchange or other disposition of our common stock will be subject to tax at generally applicable U.S. federal income tax rates as if the Non-U.S. holder were a U.S. resident. In addition, a buyer of our common stock from such holder may be required to withhold U.S. federal income tax at a rate of 15% of the amount realized upon such disposition. Any amounts withheld may be refunded or credited against a Non-U.S. holder’s U.S. federal income tax liability, provided that the required information is timely provided to the IRS.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there can be no assurance that we will not become a United States real property holding corporation in the future.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Payments of distributions on our common stock will not be subject to backup withholding, provided the applicable withholding agent does not have actual knowledge or reason to know the holder is a U.S. person and the holder either certifies its non-U.S. status, such as by furnishing a valid IRS Form W-8BEN, W-8BEN-E, W-8ECI, or W-8EXP, or otherwise establishes an exemption. However, information returns are required to be filed with the IRS in connection with any distributions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common stock conducted through a non-U.S. office of a non-U.S. broker generally will not be subject to backup withholding or information reporting.</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 or organized.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 Withholding Taxes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Non-U.S. holders should consult their tax advisors regarding the effects of FATCA on their investment in our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engaged Chardan Capital Markets LLC and Spartan Capital Markets, LLC, whom we refer to as the placement agents, to act as our placement agents in connection with the securities offered by this prospectus supplement and the accompanying prospectus. We have entered into a securities purchase agreement directly with the investors who have agreed to purchase our securities in this offering. We will only sell securities in this offering to such investors.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Delivery of the securities offered hereby is expected to occur on or about March 4, 2024, subject to the satisfaction of customary closing conditions.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agreed to pay the placement agents a cash fee equal to 9.0% of the aggregate gross proceeds from the offering. The following table shows the per share and total cash fee we will pay to the placement agents in connection with the sale of our securities offered pursuant to this prospectus supplement and the accompanying prospectus.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00" w:type="dxa"/>
            <w:vAlign w:val="bottom"/>
          </w:tcPr>
          <w:p>
            <w:pPr>
              <w:spacing w:after="0"/>
              <w:rPr>
                <w:sz w:val="21"/>
                <w:szCs w:val="21"/>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191,992.50</w:t>
            </w: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 that our total expenses of this offering will be approximately $425,000. This includes a flat deferred fee of $150,000 to Chardan Capital Markets LLC, which is the amount owed from a convertible note offering that closed on February 2, 2024, and $75,000 of other fees and expenses of the placement agents in respect of this offering. These expenses are payable by us.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have agreed to indemnify the placement agents against certain liabilities, including civil liabilities under the Securities Act of 1933, as amended, or to contribute to payments that the placement agents may be required to make in respect of those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agreed not to issue, enter into any agreement to issue or announce the issuance or proposed issuance of any shares of Common Stock or Common Stock Equivalents (as defined in the securities purchase agreement entered into in connection with this offering) for a period of 15 days after the date of this prospectus supplement, subject to limited exceptions.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placement agents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A placement agent has previously been engaged by us as a financial advisor and the placement agents may in the future engage in investment banking and other commercial dealings in the ordinary course of business with us or our affiliates. The placement agents may in the future receive customary fees and commissions for these transactions.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placement agents and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placement agents and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The placement agents may facilitate the marketing of this offering online directly or through one of their affiliates. In those cases, prospective investors may view offering terms and the prospectus supplement and accompanying prospectus online and place orders online or through their financial advisors.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placement agents may be deemed to be an underwriter within the meaning of Section 2(a)(11) of the Securities Act, and any commissions received by them and any profit realized on the resale of the securities sold by them while acting as principal might be deemed to be underwriting discounts or commissions under the Securities Act. As an underwriter, the placement agents would be required to comply with the requirements of the Securities Act and the Exchange Act, including, without limitation, Rule 10b-5 and Regulation M under the Exchange Act. These rules and regulations may limit the timing of purchases and sales of our securities by the placement agents acting as principals. Under these rules and regulations, the placement agents (i) may not engage in any stabilization activity in connection with our securities and (ii) may not bid for or purchase any of our securities or attempt to induce any person to purchase any of our securities, other than as permitted under the Exchange Act, until they have completed its participation in the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Offer, Sale, and Distribution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the placement agents or certain of the securities dealers may distribute prospectuses by electronic means, such as e-mail. In addition, the placement agents may facilitate Internet distribution for this offering to certain of their Internet subscription customers. The placement agents may allocate a limited number of securities for sale to their online brokerage customers. An electronic prospectus supplement and accompanying prospectus is available on the Internet websites maintained by any such placement agent. Other than the prospectus supplement and accompanying prospectus in electronic format, the information on the websites of the placement agents are not part of this prospectus supplement or the accompanying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“PRST.”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and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placement agents that would permit a public offering of the securities offered by this prospectus supplement in any jurisdiction where action for that purpose is required. The shares offered by this prospectus supplement may not be offered or sold, directly or indirectly, nor may this prospectus supplement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European Economic Area</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this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18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placement agents;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us or the placement agents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the placement agents and the Company that it is a “qualified investor” within the meaning of Article 2(e) of the Prospectus Regulation. In the case of any securities being offered to a financial intermediary as that term is used in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placement agents have been obtained to each such proposed offer or resale.</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not authorized and do not authorize the making of any offer of the securities through any financial intermediary on their behalf, other than offers made by the placement agents with a view to the final placement of the securities in this document. Accordingly, no purchaser of the securities, other than the placement agents, is authorized to make any further offer of the securities on behalf of us or the placement agents.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relation to the United Kingdom, no securities have been offered or will be offered pursuant to this offering to the public in the United Kingdom prior to the publication of a prospectus in relation to the securities that has been approved by the Financial Conduct Authority, except that offers of securities may be made to the public in the United Kingdom at any time under the following exemptions under the UK Prospectus Regulation:</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Article 2 of the UK Prospectus Regulation;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Article 2 of the UK Prospectus Regulation), subject to obtaining the prior consent of the placement agents;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or FSMA,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provided that no such offer of securities shall require us or any representatives to publish a prospectus pursuant to 85 of the FSMA or supplement a prospectus pursuant to Article 23 of the UK Prospectus Regulation.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person in the United Kingdom who initially acquires any securities or to whom any offer is made will be deemed to have represented, acknowledged and agreed to and with us and the representatives that it is a qualified investor within the meaning of Article 2 of the UK Prospectus Regulation.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 w:name="page23"/>
    <w:bookmarkEnd w:id="22"/>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case of any securities being offered to a financial intermediary as that term is used in Article 1(4) of the U.K. Prospectus Regulation, each financial intermediary will also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the United Kingdom to qualified investors as so defined or in circumstances in which the prior consent of the representatives has been obtained to each such proposed offer or resale.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this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offer in Australia of the securities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securities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as principal that are both “accredited investors” as defined in National Instrument 45-106 Prospectus and Registration Exemptions and “permitted clients” as defined in National Instrument 31-103 Registration Requirements, Exemptions and Ongoing Registrant Obligations. Any resale of our securities must be made in accordance with an exemption from the prospectus requirements and in compliance with the registration requirements of applicable securities laws.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supplement (including any amendment, supplement or replacement thereto) is not being distributed in the context of a public offering in France within the meaning of Article L. 411-1 of the French Monetary and Financial Code (Code monétaire et financier).</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supplement has not been and will not be submitted to the French Autorité des marchés financiers, or the AMF, for approval in France and accordingly may not and will not be distributed to the public in France.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Article 211-3 of the AMF General Regulation, French residents are hereby informed that:</w:t>
      </w:r>
    </w:p>
    <w:p>
      <w:pPr>
        <w:spacing w:after="0" w:line="225" w:lineRule="exact"/>
        <w:rPr>
          <w:sz w:val="20"/>
          <w:szCs w:val="20"/>
          <w:color w:val="auto"/>
        </w:rPr>
      </w:pPr>
    </w:p>
    <w:p>
      <w:pPr>
        <w:ind w:left="5460" w:right="4360" w:hanging="5128"/>
        <w:spacing w:after="0" w:line="783" w:lineRule="auto"/>
        <w:tabs>
          <w:tab w:leader="none" w:pos="6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does not require a prospectus to be submitted for approval to the AMF; 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or entities referred to in Point 2°, Section II of Article L.411-2 of the Monetary and Financial Code may take part in the transaction solely for their own account, as provided in Articles D. 411-1, D. 734-1, D. 744-1, D. 754-1 and D. 764-1 of the Monetary and Financial Code;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instruments thus acquired cannot be distributed directly or indirectly to the public otherwise than in accordance with Articles L. 411-1, L. 411-2, L. 412-1 and L. 621-8 to L. 621-8-3 of the Monetary and Financial Code.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to be further distributed or reproduced (in whole or in part) in France by the recipients of this prospectus supplement. This prospectus supplement has been distributed on the understanding that such recipients will only participate in the issue or sale of our securities for their own account and undertake not to transfer, directly or indirectly, our securities to the public in France, other than in compliance with all applicable laws and regulations and in particular with Articles L. 411-1 and L. 411-2 of the French Monetary and Financial Code.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Each person who is in possession of this prospectus supplement is aware of the fact that no German securities prospectus (wertpapierprospekt) within the meaning of the German Securities Prospectus Act (Wertpapier-prospektgesetz, or the Act) of the Federal Republic of Germany has been or will be published with respect to the securities. In particular, the placement agents have represented that it has not engaged and has agreed that it will not engage in a public offering in the Federal Republic of Germany within the meaning of the Act with respect to any of the securities otherwise than in accordance with the Act and all other applicable legal and regulatory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securities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securities which are or are intended to be disposed of only to persons outside Hong Kong or only to “professional investors” within the meaning of the Securities and Futures Ordinance (Cap. 571, Laws of Hong Kong) and any rules made thereunder.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Israel</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Israeli Securities Law, 5728-1968 (the Securities Law) and has not been filed with or approved by the Israel Securities Authority. In Israel, this prospectus supplement is being distributed only to, and is directed only at, and any offer of the securities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placement agents,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225"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 (Shares and Debentures) Regulations 2005.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Singapore Securities and Futures Act Product Classification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Solely for the purposes of our obligations pursuant to sections 309B(1)(a) and 309B(1)(c) of the SFA, we have determined, and hereby notify all relevant persons (as defined in Section 309A of the SFA), that the securities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Switzerland</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publiclyv offered in Switzerland and will not be listed on the SIX Swiss Exchange, or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this offering may be publicly distributed or otherwise made publicly available in Switzerland.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this offering, our company or the securities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Arab Emirates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offering has not been approved or licensed by the Central Bank of the United Arab Emirates, or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or the DFSA, a regulatory authority of the Dubai International Financial Centre, or DIFC. This offering does not constitute a public offer of securities in the UAE, DIFC and/or any other free zone in accordance with the Commercial Companies Law, Federal Law No 8 of 1984 (as amended), DFSA Offered Securities Rules and NASDAQ Dubai Listing Rules, accordingly, or otherwise. The securities may not be offered to the public in the UAE and/or any of the free zones.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securities may be offered and issued only to a limited number of investors in the UAE or any of its free zones who qualify as sophisticated investors under the relevant laws and regulations of the UAE or the free zone concerned.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offered hereby will be passed upon for us by Paul Hastings LLP. Goodwin Procter LLP represented the placement agents in this offering.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the information in other documents that we file with the SEC, which means that we can disclose important information to you by referring you to those documents. The information incorporated by reference is considered to be a part of this prospectus supplement. Information in documents that we file later with the SEC will automatically update and supersede information contained in documents filed earlier with the SEC or contained in this prospectus supplement. Any information so updated or superseded will not constitute a part of this prospectus supplement, except as so updated or superseded. We incorporate by reference into this prospectus supplement the documents listed below, which we have filed with the SEC, and any future filings that we may make with the SEC under Sections 13(a), 13(c), 14 or 15(d) of the Exchange Act (other than documents and information furnished and not filed in accordance with SEC rules, unless expressly stated otherwise therein), prior to the termination of the offering under this prospectus supplement:</w:t>
      </w:r>
    </w:p>
    <w:p>
      <w:pPr>
        <w:spacing w:after="0" w:line="192" w:lineRule="exact"/>
        <w:rPr>
          <w:sz w:val="20"/>
          <w:szCs w:val="20"/>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June 30, 2023, filed with the SEC on October 11, 2023, as amended by amendment no. 1 to our Annual Report for the year ended June 30, 2023 on </w:t>
      </w:r>
      <w:hyperlink r:id="rId39">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with the SEC on October 12, 2023;</w:t>
      </w:r>
    </w:p>
    <w:p>
      <w:pPr>
        <w:spacing w:after="0" w:line="188"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quarter ended September 30, 2023, filed with the SEC on November 20, 2023 and our Quarterly Report on </w:t>
      </w:r>
      <w:hyperlink r:id="rId4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December 31, 2023, submitted to the SEC on February 20, 2024 and deemed filed with the SEC on February 21, 2024;</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2">
        <w:r>
          <w:rPr>
            <w:rFonts w:ascii="Times New Roman" w:cs="Times New Roman" w:eastAsia="Times New Roman" w:hAnsi="Times New Roman"/>
            <w:sz w:val="18"/>
            <w:szCs w:val="18"/>
            <w:u w:val="single" w:color="auto"/>
            <w:color w:val="0000EE"/>
          </w:rPr>
          <w:t>August 2, 2023</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August 31, 2023</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October 11,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Item 2.02 and the exhibits furnished under Item 9.01 therein), </w:t>
      </w:r>
      <w:hyperlink r:id="rId45">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November 21, 2023</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December 5, 2023</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December 12, 2023</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December 14, 2023</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color w:val="auto"/>
          </w:rPr>
          <w:t xml:space="preserve">(excluding Item 7.01 and the exhibits furnished under Item 9.01 therein), </w:t>
        </w:r>
        <w:r>
          <w:rPr>
            <w:rFonts w:ascii="Times New Roman" w:cs="Times New Roman" w:eastAsia="Times New Roman" w:hAnsi="Times New Roman"/>
            <w:sz w:val="18"/>
            <w:szCs w:val="18"/>
            <w:u w:val="single" w:color="auto"/>
            <w:color w:val="0000EE"/>
          </w:rPr>
          <w:t>December 22,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1">
        <w:r>
          <w:rPr>
            <w:rFonts w:ascii="Times New Roman" w:cs="Times New Roman" w:eastAsia="Times New Roman" w:hAnsi="Times New Roman"/>
            <w:sz w:val="18"/>
            <w:szCs w:val="18"/>
            <w:u w:val="single" w:color="auto"/>
            <w:color w:val="0000EE"/>
          </w:rPr>
          <w:t xml:space="preserve">February 2, 2024 </w:t>
        </w:r>
      </w:hyperlink>
      <w:hyperlink r:id="rId50">
        <w:r>
          <w:rPr>
            <w:rFonts w:ascii="Times New Roman" w:cs="Times New Roman" w:eastAsia="Times New Roman" w:hAnsi="Times New Roman"/>
            <w:sz w:val="18"/>
            <w:szCs w:val="18"/>
            <w:color w:val="000000"/>
          </w:rPr>
          <w:t>(and the subsequent</w:t>
        </w:r>
        <w:r>
          <w:rPr>
            <w:rFonts w:ascii="Times New Roman" w:cs="Times New Roman" w:eastAsia="Times New Roman" w:hAnsi="Times New Roman"/>
            <w:sz w:val="18"/>
            <w:szCs w:val="18"/>
            <w:color w:val="0000EE"/>
          </w:rPr>
          <w:t xml:space="preserve"> </w:t>
        </w:r>
      </w:hyperlink>
      <w:hyperlink r:id="rId52">
        <w:r>
          <w:rPr>
            <w:rFonts w:ascii="Times New Roman" w:cs="Times New Roman" w:eastAsia="Times New Roman" w:hAnsi="Times New Roman"/>
            <w:sz w:val="18"/>
            <w:szCs w:val="18"/>
            <w:u w:val="single" w:color="auto"/>
            <w:color w:val="0000EE"/>
          </w:rPr>
          <w:t xml:space="preserve">Form 8-K/A </w:t>
        </w:r>
      </w:hyperlink>
      <w:hyperlink r:id="rId50">
        <w:r>
          <w:rPr>
            <w:rFonts w:ascii="Times New Roman" w:cs="Times New Roman" w:eastAsia="Times New Roman" w:hAnsi="Times New Roman"/>
            <w:sz w:val="18"/>
            <w:szCs w:val="18"/>
            <w:color w:val="000000"/>
          </w:rPr>
          <w:t>filed on February 20, 2024) and</w:t>
        </w:r>
        <w:r>
          <w:rPr>
            <w:rFonts w:ascii="Times New Roman" w:cs="Times New Roman" w:eastAsia="Times New Roman" w:hAnsi="Times New Roman"/>
            <w:sz w:val="18"/>
            <w:szCs w:val="18"/>
            <w:color w:val="0000EE"/>
          </w:rPr>
          <w:t xml:space="preserve"> </w:t>
        </w:r>
      </w:hyperlink>
      <w:hyperlink r:id="rId53">
        <w:r>
          <w:rPr>
            <w:rFonts w:ascii="Times New Roman" w:cs="Times New Roman" w:eastAsia="Times New Roman" w:hAnsi="Times New Roman"/>
            <w:sz w:val="18"/>
            <w:szCs w:val="18"/>
            <w:u w:val="single" w:color="auto"/>
            <w:color w:val="0000EE"/>
          </w:rPr>
          <w:t>February 8, 2024</w:t>
        </w:r>
      </w:hyperlink>
      <w:hyperlink r:id="rId50">
        <w:r>
          <w:rPr>
            <w:rFonts w:ascii="Times New Roman" w:cs="Times New Roman" w:eastAsia="Times New Roman" w:hAnsi="Times New Roman"/>
            <w:sz w:val="18"/>
            <w:szCs w:val="18"/>
            <w:color w:val="000000"/>
          </w:rPr>
          <w:t>; and</w:t>
        </w:r>
      </w:hyperlink>
    </w:p>
    <w:p>
      <w:pPr>
        <w:spacing w:after="0" w:line="179"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5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001-39830) filed on December 23, 2020, and any amendments or reports filed for the purposes of updating this description (including </w:t>
      </w:r>
      <w:hyperlink r:id="rId55">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for the year ended June 30, 2023).</w:t>
      </w:r>
    </w:p>
    <w:p>
      <w:pPr>
        <w:spacing w:after="0" w:line="176"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information in any of the foregoing documents will automatically be deemed to be modified or superseded to the extent that information in this prospectus supplement or in a later filed document that is incorporated or deemed to be incorporated herein by reference modifies or replaces such information.</w:t>
      </w:r>
    </w:p>
    <w:p>
      <w:pPr>
        <w:spacing w:after="0" w:line="176" w:lineRule="exact"/>
        <w:rPr>
          <w:rFonts w:ascii="Times New Roman" w:cs="Times New Roman" w:eastAsia="Times New Roman" w:hAnsi="Times New Roman"/>
          <w:sz w:val="18"/>
          <w:szCs w:val="18"/>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provide, without charge, upon written or oral request, a copy of any or all of the documents that are incorporated by reference in this prospectus supplement, excluding any exhibits to those documents unless such exhibits are specifically incorporated by reference herein.</w:t>
      </w:r>
    </w:p>
    <w:p>
      <w:pPr>
        <w:spacing w:after="0" w:line="162"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direct requests for documents to:</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(650) 817-9012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Primary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16,823,660 Shares of Common Stock Issuable Upon Exercise of Outstanding Warrants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52,709,824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7,625,000 Warrants to Purchase Shares of Common Stock Offered by the Selling Securityholders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relates to (a) the offer and sale by Presto Automation Inc., a Delaware corporation (the “Company,” “we,” “us” or “Presto”) of up to $75,000,000 in the aggregate of the Company’s common stock, par value $0.0001 per share (the “Common Stock”), preferred stock, debt securities, new warrants, rights or units, (b) the issuance by us of up to 16,250,000 shares of Common Stock, that may be issued upon exercise of warrants to purchase Common Stock at an exercise price of $8.21 per share with respect to the public warrants and $11.50 per share of Common Stock with respect to the Financing Warrants and the Private Placement Warrants (each as defined below), (c) the issuance by us of up to 573,660 shares of Common Stock, that may be issued upon exercise of warrants to purchase Common Stock at an exercise price of $0.37 per share with respect to the 2017 Trinity Warrants and $5.85 per share of Common Stock with respect to the 2016 Trinity Warrants (each as defined below), and (d) an aggregate of 52,709,824 shares of Common Stock by certain of the selling securityholders named in this prospectus (each a “Selling Securityholder” and, collectively, the “Selling Securityholders”). The securities registered for resale covered by this prospectus consist of the following:</w:t>
      </w:r>
    </w:p>
    <w:p>
      <w:pPr>
        <w:spacing w:after="0" w:line="188" w:lineRule="exact"/>
        <w:rPr>
          <w:sz w:val="20"/>
          <w:szCs w:val="20"/>
          <w:color w:val="auto"/>
        </w:rPr>
      </w:pPr>
    </w:p>
    <w:p>
      <w:pPr>
        <w:jc w:val="both"/>
        <w:ind w:left="980" w:hanging="648"/>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4,312,500 shares of Common Stock held by the Sponsors, their respective permitted transferees and the independent directors of our predecessor Ventoux CCM Acquisition Corp. (“VTAQ”) (such shares, the “Founder Shares”) purchased prior to VTAQ’s initial public offering of Common Stock on December 30, 2020 (the “IPO”), at a price of $0.005 per share;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54"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7,143,687 shares of Common Stock issued to certain institutional and accredited investors in connection with the consummation of the Business Combination (as defined herein) (the “Business Combination PIPE Shares”), which, together with the transfer of Founder Shares to certain investors by the Sponsors, resulted in (i) an investment made by an affiliate of Cleveland Avenue, LLC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p>
      <w:pPr>
        <w:spacing w:after="0" w:line="188"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left="980" w:right="20" w:hanging="648"/>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6,125,000 warrants each exercisable for one share of Common Stock at an exercise price of $11.50 per share, purchased by the Sponsors and their permitted transferees, at a price of $1.00 per warrants in a private placement simultaneously with the consummation of VTAQ’s IPO (the “Private Placement Warrants”); and 1,500,000 warrants each exercisable for one share of Common Stock at an exercise price of $11.50 per share, issued to lenders party to the Credit Agreement (as defined herein) (the “Financing Warrants”);</w:t>
      </w:r>
    </w:p>
    <w:p>
      <w:pPr>
        <w:spacing w:after="0" w:line="179"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4,760,500 shares of Common Stock (the “June 2023 PIPE Shares”) that were issued at a purchase price of $2.00 per share in a private placement (the “June 2023 Private Placement”) pursuant to that certain securities purchase agreement, dated as of May 22, 2023, by and among us and certain accredited investors named therein (the “June Purchase Agreement”);</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shares of Common Stock (the “October 2023 PIPE Shares”) that were issued at a purchase price of $2.00 per share in a private placement (the “October 2023 Private Placement”) pursuant to that certain securities purchase agreement, dated October 10, 2023 by and between us and Presto CA LLC, an accredited investor;</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5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5,925,000 shares of Common Stock issuable upon the exercise of warrants to purchase shares of our Common Stock, at an exercise price of $0.01 per share, subject to adjustment held by Metropolitan Partners Group Administration, LLC (“Metropolitan”), the administrative, payment and collateral agent for Metropolitan Levered Partners Fund VII, LP, Metropolitan Partners Fund VII, LP, Metropolitan Offshore Partners Fund VII, LP, and CEOF Holdings LP (the “Metropolitan Entities”), pursuant to that certain Credit Agreement entered into initially on September 21, 2022, as subsequently amended (the “Credit Agreement”), such warrants being issued in consideration for the conversation of interest into principal and in respect of amendments to the Credit Agreement; and</w:t>
      </w:r>
    </w:p>
    <w:p>
      <w:pPr>
        <w:spacing w:after="0" w:line="187"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402,668 shares of Common Stock issuable upon the exercise of warrants to purchase shares of our Common Stock, at an exercise price of $0.37 per share (the “2017 Trinity Warrants”), held by Trinity Capital Fund II, L.P., LLC (“Trinity”) and 170,992 shares of Common Stock issuable upon the exercise of warrants to purchase shares of our Common Stock, at an exercise price of $5.85 per share, held by Trinity (the “2016 Trinity Warrants”, and, collectively with the 2017 Trinity Warrants, the “Trinity Warrants”).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previously filed (i) a registration statement Form S-1 (File No. 333-267979) registering the issuance by us of up to 16,250,000 shares of Common Stock and the offer and sale, from time to time, by the Selling Securityholders of up to 48,149,324 shares of Common Stock and 7,625,000 outstanding Private Placement Warrants, which was declared effective by the SEC on January 9, 2023 (the “First Form S-1”), (ii) a registration statement Form S-1 (File No. 333-271551) registering up to 400,000 shares of Common Stock underlying the May 2023 Resale Warrants, which was declared effective by the SEC on May 12, 2023 (the “Second Form S-1”), and (iii) a registration statement Form S-1 (File No. 333-272913) registering up to 4,760,500 June 2023 PIPE Shares, 500,000 shares of Common Stock underlying the June 2023 Conversion Warrants, and 2,000,000 shares of Common Stock underlying the Second Amendment Warrants (the “Third Form S-1”, and, collectively with the First Form S-1 and Second Form S-1, the “Form S-1s”). We are filing this registration statement on Form S-3 to replace the Form S-1s with respect to the issuance by us of all shares of Common Stock underlying outstanding public warrants and Private Placement Warrants and the offer and sale by the Selling Securityholders of all outstanding securities still held by them, as well as to register (a) up to $75,000,000 in the aggregate of Common Stock, preferred stock, debt securities, new warrants, rights or units, (b) the October 2023 PIPE Shares, (c) 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(d) 3,000,000 shares of Common Stock issuable upon the exercise of warrants, with an exercise price of $0.01 per share that were issued pursuant to that certain third amended and restated fee letter, dated as of October 10, 2023, by and among us, E La Carte, LLC and Metropolitan and (e) the 573,660 shares of Common Stock issuable upon the exercise of the Trinity Warrants.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by the Selling Securityholders of shares of Common Stock or warrants pursuant to this prospectus or of the issuance by us of shares of Common Stock issuable upon exercise of outstanding warrants pursuant to this prospectus, except with respect to amounts received by us upon exercise of the warrants to the extent such warrants are exercised for cash. However, we will pay the expenses, other than underwriting discounts and commissions, associated with the sale of securities by the Selling Securityholders pursuant to this prospectus.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Securityholders will issue, offer or sell, as applicable, any of the securities. We or the Selling Securityholders may offer and sell the securities covered by this prospectus in a number of different ways and at varying prices. We provide more information about how we and/or the Selling Securityholders may sell the securities in the section entitled “Plan of Distribution.” You should read this prospectus and any prospectus supplement or amendment carefully before you invest in our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shares of Common Stock are listed on the Nasdaq Stock Market under the symbol “PRST.” On October 18, 2023, the closing sale price of shares of our Common Stock was $1.48. Our warrants are listed on the Nasdaq Stock Market under the symbol “PRSTW.” On October 18, 2023, the closing sale price of our warrants was $0.04.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all our warrants, except for the 2017 Trinity Warrants and the penny warrants (as defined below),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the penny warrants.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all of the securities registered for resale hereunder (and the shares of Common Stock issuable upon exercise of our warrants), or the perception that such sales may occur, may cause the market prices of our securities to decline significantly. See “</w:t>
      </w:r>
      <w:r>
        <w:rPr>
          <w:rFonts w:ascii="Times New Roman" w:cs="Times New Roman" w:eastAsia="Times New Roman" w:hAnsi="Times New Roman"/>
          <w:sz w:val="18"/>
          <w:szCs w:val="18"/>
          <w:i w:val="1"/>
          <w:iCs w:val="1"/>
          <w:color w:val="auto"/>
        </w:rPr>
        <w:t>Risk Factors—Risks Relating to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Warrants</w:t>
      </w:r>
      <w:r>
        <w:rPr>
          <w:rFonts w:ascii="Times New Roman" w:cs="Times New Roman" w:eastAsia="Times New Roman" w:hAnsi="Times New Roman"/>
          <w:sz w:val="18"/>
          <w:szCs w:val="18"/>
          <w:color w:val="auto"/>
        </w:rPr>
        <w:t>” in our Annual Report on Form 10-K for the fiscal year ended June 30, 2023 for more information.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4 of this prospectus and similar sections contained in the documents incorporated by reference into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930"/>
              <w:spacing w:after="0"/>
              <w:rPr>
                <w:sz w:val="20"/>
                <w:szCs w:val="20"/>
                <w:color w:val="auto"/>
              </w:rPr>
            </w:pPr>
            <w:r>
              <w:rPr>
                <w:rFonts w:ascii="Times New Roman" w:cs="Times New Roman" w:eastAsia="Times New Roman" w:hAnsi="Times New Roman"/>
                <w:sz w:val="18"/>
                <w:szCs w:val="18"/>
                <w:b w:val="1"/>
                <w:bCs w:val="1"/>
                <w:color w:val="auto"/>
              </w:rPr>
              <w:t>, 2023.</w:t>
            </w:r>
          </w:p>
        </w:tc>
      </w:tr>
      <w:tr>
        <w:trPr>
          <w:trHeight w:val="682"/>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STOCK AND PREFERRED STOCK</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75"/>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registration process, we and the selling securityholders named in this prospectus (the “Selling Securityholders”) may, from time to time, issue, offer and sell, as applicable, any combination of the securities described in this prospectus in one or more offerings. We may use the shelf registration statement to offer and sell up to $75,000,000 shares of common stock, par value $0.0001 per share (“Common Stock”), preferred stock, debt securities, new warrants, rights or units and to issue up to 16,823,660 shares of Common Stock upon exercise of the Trinity Warrants, Public Warrants, Financing Warrants, and the Private Placement Warrants. The Selling Securityholders may use the shelf registration statement to sell up to an aggregate of up to 52,709,824 shares of Common Stock and 7,625,000 Private Placement Warrants and Financing Warrants. More specific terms of any securities that we or the Selling Securityholders offer and sell may be provided in a prospectus supplement that describes, among other things, the specific amounts and prices of the securities being offered and the terms of the offering.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“Where You Can Find More Information.”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“Where You Can Find More Information,” and you may obtain copies of those documents as described below.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including the documents incorporated herein by reference, contains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those described in our filings made with the SEC from time to time incorporated herein by reference.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such statements.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813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7127875" cy="4813300"/>
                    </a:xfrm>
                    <a:prstGeom prst="rect">
                      <a:avLst/>
                    </a:prstGeom>
                    <a:noFill/>
                  </pic:spPr>
                </pic:pic>
              </a:graphicData>
            </a:graphic>
          </wp:anchor>
        </w:drawing>
        <w:t>SUMMARY OF THE PROSPECTUS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summary highlights selected information contained in the documents we incorporate by reference and may not contain all of the information that is important to you in making an investment decision. Before investing in our securities, you should carefully read this entire prospectus, including the documents incorporated herein by reference, especially the risk factors, management’s discussion and analysis of financial condition and results of operations, and consolidated financial statements and the related notes. See the section titled “Where You Can Find More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985 Industrial Road, San Carlos, CA 94070. Our telephone number is (650) 817-9012. Our website address is www.presto.com.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as amended by amendment no. 1 to our Annual Report on Form 10-K/A and any subsequent Current Reports on Form 8-K, and all other information contained or incorporated by reference into this prospectus, as updated by our subsequent filings under the Exchange Act, and the risk factors and other information contained in any applicable prospectus supplement. For more information, see “Where You Can Find More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may be described in an applicable prospectus supplement, we intend to use the net proceeds from the sale of the securities offered by us hereunder for general corporate purposes. We may also use such proceeds for temporary investments until we need them for general corporate purposes.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the shares of Common Stock and Warrants offered by the Selling Securityholders will be sold by them for their respective accounts. We will not receive any of the proceeds from these sales. We will receive up to an aggregate of approximately $158.6 million from the exercise of all Warrants assuming the exercise in full of all such Warrants for cash. As of the date of this prospectus, all our warrants, except for the 2017 Trinity Warrants and penny warrants,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penny warrants. Unless we inform you otherwise in a prospectus supplement or free writing prospectus, we intend to use the net proceeds from the exercise of such Warrants for general corporate purposes which may include acquisitions or other strategic investments or repayment of outstanding indebtedness.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fees, discounts, selling commissions, stock transfer taxes and certain legal expenses incurred by such Selling Securityholders in disposing of their shares of securities,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 AND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description of our Common Stock and preferred stock is set forth in our registration statement on Form 8-A as originally filed with the SEC on December 23, 2020 and any amendment or report filed for the purpose of updating this information (including Exhibit 4.1 to our Annual Report on Form 10-K for the fiscal year ended June 30, 2023), which description is incorporated by reference herein.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6" w:lineRule="exact"/>
        <w:rPr>
          <w:sz w:val="20"/>
          <w:szCs w:val="20"/>
          <w:color w:val="auto"/>
        </w:rPr>
      </w:pPr>
    </w:p>
    <w:p>
      <w:pPr>
        <w:ind w:left="980" w:hanging="648"/>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79"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7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ind w:left="980" w:hanging="648"/>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225"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16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7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7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Form, Transfer and Exchange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Unless and until it is exchanged for individual certificates evidencing securities under the limited circumstances described in the indenture, a global debt security may not be transferred except as a whole by the depositary to its nominee or by the nominee to the depositary, or by the depositary or its nominee to a successor depositary or to a nominee of the successor depositary.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Depositary holds securities that its participants deposit with Depositary. Depositary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Depositary include securities brokers and dealers, including underwriters, banks, trust companies, clearing corporations and other organizations. Access to the Depositary system is also available to others (which we sometimes refer to as indirect participants) that clear through or maintain a custodial relationship with a direct participant, either directly or indirectly. The rules applicable to Depositary and its participants are on file with the SEC.</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 long as the debt securities are in book-entry form, you will receive payments and may transfer debt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debt securities may be surrendered for payment, registration of transfer or exchange. We will make payments on book-entry debt securities to the Depositary or its nominee, as the registered owner of such securities, by wire transfer of immediately available funds.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Certificated Debt Securities</w:t>
      </w:r>
      <w:r>
        <w:rPr>
          <w:rFonts w:ascii="Times New Roman" w:cs="Times New Roman" w:eastAsia="Times New Roman" w:hAnsi="Times New Roman"/>
          <w:sz w:val="18"/>
          <w:szCs w:val="18"/>
          <w:color w:val="auto"/>
        </w:rPr>
        <w:t>. You may transfer or exchange certificated debt securities at any office we maintain for this purpose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debt securities are issued in definitive certificated form under the limited circumstances described in the indenture,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including the payment of principal, premium, if any, and interest on such debt securities. The indenture will not limit us from incurring or issuing other unsecured or secured debt and, unless otherwise indicated in the applicable prospectus supplement, the indenture will not contain any financial covenants.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162" w:lineRule="exact"/>
        <w:rPr>
          <w:sz w:val="20"/>
          <w:szCs w:val="20"/>
          <w:color w:val="auto"/>
        </w:rPr>
      </w:pPr>
    </w:p>
    <w:p>
      <w:pPr>
        <w:ind w:left="980" w:right="20" w:hanging="648"/>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Presto) is a corporation, organized and validly existing under the laws of any U.S. domestic jurisdiction and expressly assumes our obligations on the debt securities and under the indenture; and</w:t>
      </w:r>
    </w:p>
    <w:p>
      <w:pPr>
        <w:spacing w:after="0" w:line="161" w:lineRule="exact"/>
        <w:rPr>
          <w:rFonts w:ascii="Times New Roman" w:cs="Times New Roman" w:eastAsia="Times New Roman" w:hAnsi="Times New Roman"/>
          <w:sz w:val="18"/>
          <w:szCs w:val="18"/>
          <w:color w:val="auto"/>
        </w:rPr>
      </w:pPr>
    </w:p>
    <w:p>
      <w:pPr>
        <w:ind w:right="240" w:firstLine="332"/>
        <w:spacing w:after="0" w:line="498" w:lineRule="auto"/>
        <w:tabs>
          <w:tab w:leader="none" w:pos="9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(as defined below) or Event of Default shall have occurred and be continuing. Notwithstanding the above, any of our subsidiaries may consolidate with, merge into or transfer all or part of its properties to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225" w:lineRule="exact"/>
        <w:rPr>
          <w:sz w:val="20"/>
          <w:szCs w:val="20"/>
          <w:color w:val="auto"/>
        </w:rPr>
      </w:pPr>
    </w:p>
    <w:p>
      <w:pPr>
        <w:jc w:val="both"/>
        <w:ind w:left="980" w:hanging="648"/>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7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Presto and the trustee receives written notice from the holders of not less than 25% in principal amount of the outstanding debt securities of that series as provided in the indenture;</w:t>
      </w:r>
    </w:p>
    <w:p>
      <w:pPr>
        <w:spacing w:after="0" w:line="17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Presto;</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62" w:lineRule="exact"/>
        <w:rPr>
          <w:sz w:val="20"/>
          <w:szCs w:val="20"/>
          <w:color w:val="auto"/>
        </w:rPr>
      </w:pPr>
    </w:p>
    <w:p>
      <w:pPr>
        <w:ind w:left="980" w:hanging="648"/>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 will require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162" w:lineRule="exact"/>
        <w:rPr>
          <w:sz w:val="20"/>
          <w:szCs w:val="20"/>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61"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of 1939, as amended.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 majority in principal amount of the outstanding debt securities of each series affected by the modifications or amendments (with the securities of each series voting as a class). We may not make any modification or amendment without the consent of the holders of each affected debt security then outstanding if that amendment will:</w:t>
      </w:r>
    </w:p>
    <w:p>
      <w:pPr>
        <w:spacing w:after="0" w:line="176" w:lineRule="exact"/>
        <w:rPr>
          <w:sz w:val="20"/>
          <w:szCs w:val="20"/>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252"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88"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252"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 majority in aggregate principal amount of the then outstanding debt securities of that series and a waiver of the payment default that resulted from such acceleration);</w:t>
      </w:r>
    </w:p>
    <w:p>
      <w:pPr>
        <w:spacing w:after="0" w:line="20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252"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20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will provide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(subject to certain exceptions)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will provide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160" w:lineRule="exact"/>
        <w:rPr>
          <w:sz w:val="20"/>
          <w:szCs w:val="20"/>
          <w:color w:val="auto"/>
        </w:rPr>
      </w:pPr>
    </w:p>
    <w:p>
      <w:pPr>
        <w:ind w:left="980" w:hanging="648"/>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225" w:lineRule="exact"/>
        <w:rPr>
          <w:sz w:val="20"/>
          <w:szCs w:val="20"/>
          <w:color w:val="auto"/>
        </w:rPr>
      </w:pPr>
    </w:p>
    <w:p>
      <w:pPr>
        <w:jc w:val="both"/>
        <w:ind w:left="980" w:hanging="648"/>
        <w:spacing w:after="0" w:line="25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87"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such covenant defeasance and will be subject to United States federal income tax on the same amounts and in the same manner and at the same times as would have been the case if such covenant defeasance had not occurred.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covenant defeasance occurs, certain events (not including non-payment, bankruptcy, receivership, rehabilitation and insolvency events) described under “Events of Default” will no longer constitute an Event of Default with respect to the applicable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elect to offer new warrants from time to time in one or more series. The following description summarizes the general terms and provisions of the new warrants we may offer pursuant to this prospectus that are common to all series. For the avoidance of doubt, this section relates only to new warrants that we may issue and not any of our outstanding warrants, such as the Public Warrants or Private Placement Warrants, and we refer to such new warrants in this prospectus for the sake of simplicity as “warrants.”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specific terms relating to any series of our warrants that we offer will be described in a prospectus supplement, which you should read. Because the terms of specific series of warrants offered may differ from the general information that we have provided below, you should rely on information in the applicable prospectus supplement that contradicts any information below. The summary below is not complete and is subject to, and qualified in its entirety by reference to, the terms and provisions of the applicable warrant agreement relating to each series of warrants, which will be in the form filed as an exhibit to or incorporated by reference in the registration statement of which this prospectus is a part at or prior to the time of the issuance of such series of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debt securities or any combination thereof (including in the form of units), which we refer to in this prospectus, collectively, as the “underlying warrant securities.” The warrants may be issued independently or together with any series of underlying warrant securities and may be attached or separate from the underlying warrant securities. Each series of warrants will be issued pursuant to a separate form of warrant and may be issued pursuant to a separate warrant agreement to be entered into between us and a warrant agent. Any warrant agent will act solely as our agent in connection with the warrants of such series and will not assume any obligation or relationship of agency for or with holders or beneficial owners of warrants.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series of warrants in respect of which this prospectus is being delivered, including the following:</w:t>
      </w:r>
    </w:p>
    <w:p>
      <w:pPr>
        <w:spacing w:after="0" w:line="162" w:lineRule="exact"/>
        <w:rPr>
          <w:sz w:val="20"/>
          <w:szCs w:val="20"/>
          <w:color w:val="auto"/>
        </w:rPr>
      </w:pPr>
    </w:p>
    <w:p>
      <w:pPr>
        <w:ind w:left="980" w:hanging="648"/>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the warrants may be payable;</w:t>
      </w:r>
    </w:p>
    <w:p>
      <w:pPr>
        <w:spacing w:after="0" w:line="225"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underlying warrant securities purchasable upon exercise of the warrants and the number of such underlying warrant securities issuable upon exercise of the warrants;</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including composite currencies, in which the underlying warrant securities purchasable upon exercise of the warrants may be purchased;</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that right will expire (subject to any extension);</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registered form or bearer form;</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which may be exercised at any one time;</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underlying warrant securities with which the warrants are issued and the number of the warrants issued with each underlying warrant security;</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underlying warrant securities will be separately transferable;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United States federal income tax considerations applicable to the issuance or exercise of the warrants; and</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Supplements to Warrant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agreement for a series of warrants, if applicable, may be amended or supplemented without the consent of the holders of the warrants issued thereunder to effect changes that are not inconsistent with the provisions of the warrants and that do not adversely affect the interests of the holders of the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22"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describes the general terms of the rights that we may offer and sell by this prospectus. This prospectus and any accompanying prospectus supplement will contain the material terms and conditions for each right. The accompanying prospectus supplement may add, update or change the terms and conditions of the rights as described in this prospectus.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rights, the rights agreement relating to the rights and the rights certificates representing rights will be described in the applicable prospectus supplement, including, as applicable:</w:t>
      </w:r>
    </w:p>
    <w:p>
      <w:pPr>
        <w:spacing w:after="0" w:line="162" w:lineRule="exact"/>
        <w:rPr>
          <w:sz w:val="20"/>
          <w:szCs w:val="20"/>
          <w:color w:val="auto"/>
        </w:rPr>
      </w:pPr>
    </w:p>
    <w:p>
      <w:pPr>
        <w:ind w:left="980" w:hanging="648"/>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rights;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number of shares of common stock or preferred stock purchasable upon exercise of the rights;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rights will be separately transferable;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will expire; and</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units that we may offer under this prospectus. Units may be offered independently or together with common stock, preferred stock, debt securities, and warrants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debt securities, and/or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including the following:</w:t>
      </w:r>
    </w:p>
    <w:p>
      <w:pPr>
        <w:spacing w:after="0" w:line="225" w:lineRule="exact"/>
        <w:rPr>
          <w:sz w:val="20"/>
          <w:szCs w:val="20"/>
          <w:color w:val="auto"/>
        </w:rPr>
      </w:pPr>
    </w:p>
    <w:p>
      <w:pPr>
        <w:ind w:left="980" w:hanging="648"/>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in the sections entitled “Description of Common Stock and Preferred Stock,” “Description of Debt Securities,” and “Description of Warrants,” will apply to each unit and to any common stock, preferred stock, debt security, or warrant included in each unit,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we indicate differently in a prospectus supplement, the securities initially will be issued in book-entry form and represented by one or more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225" w:lineRule="exact"/>
        <w:rPr>
          <w:sz w:val="20"/>
          <w:szCs w:val="20"/>
          <w:color w:val="auto"/>
        </w:rPr>
      </w:pPr>
    </w:p>
    <w:p>
      <w:pPr>
        <w:ind w:left="980" w:hanging="648"/>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225"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Securities Exchange Act of 1934, as amended, or Exchange Act.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162" w:lineRule="exact"/>
        <w:rPr>
          <w:sz w:val="20"/>
          <w:szCs w:val="20"/>
          <w:color w:val="auto"/>
        </w:rPr>
      </w:pPr>
    </w:p>
    <w:p>
      <w:pPr>
        <w:jc w:val="both"/>
        <w:ind w:left="980" w:hanging="648"/>
        <w:spacing w:after="0" w:line="261"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17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by the Selling Securityholders of (a) up to 16,250,000 shares of Common Stock, issuable upon exercise of warrants to purchase Common Stock at an exercise price of $8.21 per share with respect to the public warrants and $11.50 per share of Common Stock with respect to the Financing Warrants and the Private Placement Warrants, (b) up to 573,660 shares of Common Stock that may be issued upon exercise of the Trinity Warrants, and (c) the offer and sale, from time to time, by the Selling Securityholders of up to an aggregate of 52,709,824 shares of Common Stock, which includes up to:</w:t>
      </w:r>
    </w:p>
    <w:p>
      <w:pPr>
        <w:spacing w:after="0" w:line="183" w:lineRule="exact"/>
        <w:rPr>
          <w:sz w:val="20"/>
          <w:szCs w:val="20"/>
          <w:color w:val="auto"/>
        </w:rPr>
      </w:pPr>
    </w:p>
    <w:p>
      <w:pPr>
        <w:ind w:left="980" w:hanging="648"/>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4,312,500 Founder Shares;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7,143,687 Business Combination PIPE Shares;</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161" w:lineRule="exact"/>
        <w:rPr>
          <w:rFonts w:ascii="Times New Roman" w:cs="Times New Roman" w:eastAsia="Times New Roman" w:hAnsi="Times New Roman"/>
          <w:sz w:val="18"/>
          <w:szCs w:val="18"/>
          <w:color w:val="auto"/>
        </w:rPr>
      </w:pPr>
    </w:p>
    <w:p>
      <w:pPr>
        <w:jc w:val="both"/>
        <w:ind w:left="980" w:right="20" w:hanging="648"/>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980" w:right="20" w:hanging="648"/>
        <w:spacing w:after="0" w:line="261"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6,125,000 Private Placement Warrants each exercisable for one share of Common Stock at an exercise price of $11.50 per share, purchased by the Sponsors and their permitted transferees, at a price of $1.00 per warrant in a private placement simultaneously with the consummation of VTAQ’s IPO; and 1,500,000 Financing Warrants each exercisable for one share of Common Stock at an exercise price of $11.50 per share, issued to lenders party to the Credit Agreement (as defined herein);</w:t>
      </w:r>
    </w:p>
    <w:p>
      <w:pPr>
        <w:spacing w:after="0" w:line="17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4,760,500 June 2023 PIPE Shares;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October 2023 PIPE Shares; and</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5,925,000 shares of Common Stock issuable upon the exercise of warrants to purchase shares of our Common Stock by Metropolitan and the Metropolitan Entities (all warrants listed below are referred to herein as the “penny warrants”), which consist of:</w:t>
      </w:r>
    </w:p>
    <w:p>
      <w:pPr>
        <w:spacing w:after="0" w:line="161"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shares of Common Stock issuable upon the exercise of warrants to purchase shares of our Common Stock, at an exercise price of $0.01 per share, subject to adjustment (the “May 2023 Resale Warrants”), held by the Selling Securityholders;</w:t>
      </w:r>
    </w:p>
    <w:p>
      <w:pPr>
        <w:spacing w:after="0" w:line="16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issuable upon the exercise of warrants, with an exercise price of $0.01 per share (the “June 2023 Conversion Warrants”), that were issued pursuant to that certain second amendment to credit agreement, dated as of May 22, 2023, by and among us, E La Carte, LLC, Metropolitan, and the Metropolitan Entities;</w:t>
      </w:r>
    </w:p>
    <w:p>
      <w:pPr>
        <w:spacing w:after="0" w:line="17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shares of Common Stock issuable upon the exercise of warrants, with an exercise price of $0.01 per share (the “Second Amendment Warrants”), that were issued pursuant to that certain second amended and restated fee letter, dated as of May 22, 2023, by and among us, E La Carte, LLC and Metropolitan;</w:t>
      </w:r>
    </w:p>
    <w:p>
      <w:pPr>
        <w:spacing w:after="0" w:line="17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and</w:t>
      </w:r>
    </w:p>
    <w:p>
      <w:pPr>
        <w:spacing w:after="0" w:line="17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Common Stock issuable upon the exercise of warrants, with an exercise price of $0.01 per share that were issued pursuant to that certain third amended and restated fee letter, dated as of October 10, 2023, by and among us, E La Carte, LLC and Metropolitan.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spacing w:after="0" w:line="254"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Stock other than through a public sale. We cannot advise you as to whether the Selling Securityholders will in fact sell any or all of such shares of Common Stock. In addition, the Selling Securityholders may sell, transfer or otherwise dispose of, at any time and from time to time, the shares of Common Stock in transactions exempt from the registration requirements of the Securities Act after the date of this prospectus. For purposes of this table, we have assumed that all of the earnout shares have been issued in accordance with the terms of the Business Combination Agreement and the Selling Securityholders will have sold all of the securities covered by this prospectus upon the completion of the offering.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to the Company’s knowledge after review of information reasonably obtainable, as of the date of this filing (or such other date as such information was provided to us by the applicable Selling Securityholders), the name and address of the Selling Securityholders, the number of shares of Common Stock beneficially owned, the number of shares of Common Stock that the Selling Securityholders may offer pursuant to this prospectus and the number of shares of Common Stock beneficially owned by the Selling Securityholders after the sale of the securities offered hereby.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“Plan of Distribution.”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beneficial ownership of shares of our Common Stock and Common Stock is based on 57,855,594 shares of our Common Stock as of September 30, 2023. 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within 60 days of September 30, 2023. Shares subject to warrants or options that are currently exercisable or exercisable within 60 days of September 30, 2023 that vest within 60 days of September 30, 2023 are considered outstanding and beneficially owned by the person holding such warrants or options for the purpose of computing the percentage ownership of that person but are not treated as outstanding for the purpose of computing the percentage ownership of any other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line="282" w:lineRule="auto"/>
        <w:rPr>
          <w:sz w:val="20"/>
          <w:szCs w:val="20"/>
          <w:color w:val="auto"/>
        </w:rPr>
      </w:pPr>
      <w:r>
        <w:rPr>
          <w:rFonts w:ascii="Times New Roman" w:cs="Times New Roman" w:eastAsia="Times New Roman" w:hAnsi="Times New Roman"/>
          <w:sz w:val="18"/>
          <w:szCs w:val="18"/>
          <w:color w:val="auto"/>
        </w:rPr>
        <w:t>Except as noted by footnote, and subject to community property laws where applicable, based on the information provided to us, the persons and entities named in the table below have sole voting and investment power with respect to all shares shown as beneficially owned by them.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gridSpan w:val="7"/>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Beneficially Owned Before the Offering</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7"/>
                <w:szCs w:val="17"/>
                <w:color w:val="auto"/>
              </w:rPr>
            </w:pPr>
          </w:p>
        </w:tc>
        <w:tc>
          <w:tcPr>
            <w:tcW w:w="322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Beneficially Owned After the Offering</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7"/>
            <w:vMerge w:val="continue"/>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0" w:type="dxa"/>
            <w:vAlign w:val="bottom"/>
          </w:tcPr>
          <w:p>
            <w:pPr>
              <w:spacing w:after="0"/>
              <w:rPr>
                <w:sz w:val="18"/>
                <w:szCs w:val="18"/>
                <w:color w:val="auto"/>
              </w:rPr>
            </w:pPr>
          </w:p>
        </w:tc>
        <w:tc>
          <w:tcPr>
            <w:tcW w:w="32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gridSpan w:val="2"/>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120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102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Stock</w:t>
            </w:r>
          </w:p>
        </w:tc>
        <w:tc>
          <w:tcPr>
            <w:tcW w:w="11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auto"/>
              </w:rPr>
              <w:t>Shares of</w:t>
            </w:r>
          </w:p>
        </w:tc>
        <w:tc>
          <w:tcPr>
            <w:tcW w:w="11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11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0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Selling Securityholder</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2"/>
              </w:rPr>
              <w:t>Stock</w:t>
            </w:r>
            <w:r>
              <w:rPr>
                <w:rFonts w:ascii="Times New Roman" w:cs="Times New Roman" w:eastAsia="Times New Roman" w:hAnsi="Times New Roman"/>
                <w:sz w:val="26"/>
                <w:szCs w:val="26"/>
                <w:b w:val="1"/>
                <w:bCs w:val="1"/>
                <w:color w:val="auto"/>
                <w:w w:val="92"/>
                <w:vertAlign w:val="superscript"/>
              </w:rPr>
              <w:t>(1)</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80Five LLC</w:t>
            </w:r>
            <w:r>
              <w:rPr>
                <w:rFonts w:ascii="Times New Roman" w:cs="Times New Roman" w:eastAsia="Times New Roman" w:hAnsi="Times New Roman"/>
                <w:sz w:val="26"/>
                <w:szCs w:val="26"/>
                <w:color w:val="auto"/>
                <w:vertAlign w:val="superscript"/>
              </w:rPr>
              <w:t>(3)</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Acadia Woods Partners,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6"/>
                <w:szCs w:val="16"/>
                <w:color w:val="auto"/>
              </w:rPr>
              <w:t>LLC</w:t>
            </w:r>
            <w:r>
              <w:rPr>
                <w:rFonts w:ascii="Times New Roman" w:cs="Times New Roman" w:eastAsia="Times New Roman" w:hAnsi="Times New Roman"/>
                <w:sz w:val="26"/>
                <w:szCs w:val="26"/>
                <w:color w:val="auto"/>
                <w:vertAlign w:val="superscript"/>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31,250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Adam Eskin</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44,866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Adam Feil</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6,250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Al Marjan Limited</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Alexander Nevinskiy</w:t>
            </w:r>
            <w:r>
              <w:rPr>
                <w:rFonts w:ascii="Times New Roman" w:cs="Times New Roman" w:eastAsia="Times New Roman" w:hAnsi="Times New Roman"/>
                <w:sz w:val="26"/>
                <w:szCs w:val="26"/>
                <w:color w:val="auto"/>
                <w:vertAlign w:val="superscript"/>
              </w:rPr>
              <w:t>(30)(32)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Aloha Partners, LLC</w:t>
            </w:r>
            <w:r>
              <w:rPr>
                <w:rFonts w:ascii="Times New Roman" w:cs="Times New Roman" w:eastAsia="Times New Roman" w:hAnsi="Times New Roman"/>
                <w:sz w:val="26"/>
                <w:szCs w:val="26"/>
                <w:color w:val="auto"/>
                <w:vertAlign w:val="superscript"/>
              </w:rPr>
              <w:t>(5)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Amir Ali Mithani</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Amy Doshi &amp; Sarin Swami</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Arbat Capital Group Ltd</w:t>
            </w:r>
            <w:r>
              <w:rPr>
                <w:rFonts w:ascii="Times New Roman" w:cs="Times New Roman" w:eastAsia="Times New Roman" w:hAnsi="Times New Roman"/>
                <w:sz w:val="26"/>
                <w:szCs w:val="26"/>
                <w:color w:val="auto"/>
                <w:vertAlign w:val="superscript"/>
              </w:rPr>
              <w:t>.(29)(30)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101,100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Art Spigel</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Biren Gosalia</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Blind 1212, LLC</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447,274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288,616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447,274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288,616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Brock Strasbourger</w:t>
            </w:r>
            <w:r>
              <w:rPr>
                <w:rFonts w:ascii="Times New Roman" w:cs="Times New Roman" w:eastAsia="Times New Roman" w:hAnsi="Times New Roman"/>
                <w:sz w:val="26"/>
                <w:szCs w:val="26"/>
                <w:color w:val="auto"/>
                <w:vertAlign w:val="superscript"/>
              </w:rPr>
              <w:t>(3)(34)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390,905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269,850</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390,905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269,850</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Cabbaj Capital Ltd.</w:t>
            </w:r>
            <w:r>
              <w:rPr>
                <w:rFonts w:ascii="Times New Roman" w:cs="Times New Roman" w:eastAsia="Times New Roman" w:hAnsi="Times New Roman"/>
                <w:sz w:val="26"/>
                <w:szCs w:val="26"/>
                <w:color w:val="auto"/>
                <w:vertAlign w:val="superscript"/>
              </w:rPr>
              <w:t>(7)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Cartoris Limited</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252,687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85,000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167,687</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CEOF Holdings LP</w:t>
            </w:r>
            <w:r>
              <w:rPr>
                <w:rFonts w:ascii="Times New Roman" w:cs="Times New Roman" w:eastAsia="Times New Roman" w:hAnsi="Times New Roman"/>
                <w:sz w:val="26"/>
                <w:szCs w:val="26"/>
                <w:color w:val="auto"/>
                <w:vertAlign w:val="superscript"/>
              </w:rPr>
              <w:t>(21)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1,021,457</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w:t>
            </w: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190,909</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1,021,457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190,909</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Chardan Capital Markets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(23)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Chardan International</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Investments, LLC</w:t>
            </w:r>
            <w:r>
              <w:rPr>
                <w:rFonts w:ascii="Times New Roman" w:cs="Times New Roman" w:eastAsia="Times New Roman" w:hAnsi="Times New Roman"/>
                <w:sz w:val="26"/>
                <w:szCs w:val="26"/>
                <w:color w:val="auto"/>
                <w:vertAlign w:val="superscript"/>
              </w:rPr>
              <w:t>(23)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2,983,171</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1,875,000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2,983,171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1,875,000</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Chris Ahrens</w:t>
            </w:r>
            <w:r>
              <w:rPr>
                <w:rFonts w:ascii="Times New Roman" w:cs="Times New Roman" w:eastAsia="Times New Roman" w:hAnsi="Times New Roman"/>
                <w:sz w:val="26"/>
                <w:szCs w:val="26"/>
                <w:color w:val="auto"/>
                <w:vertAlign w:val="superscript"/>
              </w:rPr>
              <w:t>(3)(38)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61,116</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61,116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Cindat USA LLC</w:t>
            </w:r>
            <w:r>
              <w:rPr>
                <w:rFonts w:ascii="Times New Roman" w:cs="Times New Roman" w:eastAsia="Times New Roman" w:hAnsi="Times New Roman"/>
                <w:sz w:val="26"/>
                <w:szCs w:val="26"/>
                <w:color w:val="auto"/>
                <w:vertAlign w:val="superscript"/>
              </w:rPr>
              <w:t>(17)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1,374,148</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918,387</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1,374,148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918,387</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Cleveland Avenue LLC</w:t>
            </w:r>
            <w:r>
              <w:rPr>
                <w:rFonts w:ascii="Times New Roman" w:cs="Times New Roman" w:eastAsia="Times New Roman" w:hAnsi="Times New Roman"/>
                <w:sz w:val="26"/>
                <w:szCs w:val="26"/>
                <w:color w:val="auto"/>
                <w:vertAlign w:val="superscript"/>
              </w:rPr>
              <w:t>(33)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Cliff Moskowitz</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44,866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Connective Capital Emerging</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6"/>
                <w:szCs w:val="16"/>
                <w:color w:val="auto"/>
              </w:rPr>
              <w:t>Energy QP, LP</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68,137</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68,137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Connective Capital I QP, LP</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31,863</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31,863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Cosme Fagundo</w:t>
            </w:r>
            <w:r>
              <w:rPr>
                <w:rFonts w:ascii="Times New Roman" w:cs="Times New Roman" w:eastAsia="Times New Roman" w:hAnsi="Times New Roman"/>
                <w:sz w:val="26"/>
                <w:szCs w:val="26"/>
                <w:color w:val="auto"/>
                <w:vertAlign w:val="superscript"/>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Dan Bordessa</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David Allan DeHorn</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Dentons US LLP</w:t>
            </w:r>
            <w:r>
              <w:rPr>
                <w:rFonts w:ascii="Times New Roman" w:cs="Times New Roman" w:eastAsia="Times New Roman" w:hAnsi="Times New Roman"/>
                <w:sz w:val="26"/>
                <w:szCs w:val="26"/>
                <w:color w:val="auto"/>
                <w:vertAlign w:val="superscript"/>
              </w:rPr>
              <w:t>(13)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Dhari Albader</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Dipan Desai</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Ed Scheetz</w:t>
            </w:r>
            <w:r>
              <w:rPr>
                <w:rFonts w:ascii="Times New Roman" w:cs="Times New Roman" w:eastAsia="Times New Roman" w:hAnsi="Times New Roman"/>
                <w:sz w:val="26"/>
                <w:szCs w:val="26"/>
                <w:color w:val="auto"/>
                <w:vertAlign w:val="superscript"/>
              </w:rPr>
              <w:t>(3)(11)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1,321,389</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705,762</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1,032,464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705,762</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EJK Investments LLC</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Georgia Sgardeli</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Greg Flynn</w:t>
            </w:r>
            <w:r>
              <w:rPr>
                <w:rFonts w:ascii="Times New Roman" w:cs="Times New Roman" w:eastAsia="Times New Roman" w:hAnsi="Times New Roman"/>
                <w:sz w:val="26"/>
                <w:szCs w:val="26"/>
                <w:color w:val="auto"/>
                <w:vertAlign w:val="superscript"/>
              </w:rPr>
              <w:t>(18)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HighSage Ventures LLC</w:t>
            </w:r>
            <w:r>
              <w:rPr>
                <w:rFonts w:ascii="Times New Roman" w:cs="Times New Roman" w:eastAsia="Times New Roman" w:hAnsi="Times New Roman"/>
                <w:sz w:val="26"/>
                <w:szCs w:val="26"/>
                <w:color w:val="auto"/>
                <w:vertAlign w:val="superscript"/>
              </w:rPr>
              <w:t>(19)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I2BF Global Investments</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5,682,225</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5,682,225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Jameson Weber</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Jasminder Singh</w:t>
            </w:r>
            <w:r>
              <w:rPr>
                <w:rFonts w:ascii="Times New Roman" w:cs="Times New Roman" w:eastAsia="Times New Roman" w:hAnsi="Times New Roman"/>
                <w:sz w:val="26"/>
                <w:szCs w:val="26"/>
                <w:color w:val="auto"/>
                <w:vertAlign w:val="superscript"/>
              </w:rPr>
              <w:t>(3)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82"/>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3" w:name="page54"/>
    <w:bookmarkEnd w:id="53"/>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Before the Offering</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4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9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Selling Securityholder</w:t>
            </w:r>
          </w:p>
        </w:tc>
        <w:tc>
          <w:tcPr>
            <w:tcW w:w="120" w:type="dxa"/>
            <w:vAlign w:val="bottom"/>
          </w:tcPr>
          <w:p>
            <w:pPr>
              <w:spacing w:after="0"/>
              <w:rPr>
                <w:sz w:val="22"/>
                <w:szCs w:val="22"/>
                <w:color w:val="auto"/>
              </w:rPr>
            </w:pPr>
          </w:p>
        </w:tc>
        <w:tc>
          <w:tcPr>
            <w:tcW w:w="92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2"/>
              </w:rPr>
              <w:t>Stock</w:t>
            </w:r>
            <w:r>
              <w:rPr>
                <w:rFonts w:ascii="Times New Roman" w:cs="Times New Roman" w:eastAsia="Times New Roman" w:hAnsi="Times New Roman"/>
                <w:sz w:val="26"/>
                <w:szCs w:val="26"/>
                <w:b w:val="1"/>
                <w:bCs w:val="1"/>
                <w:color w:val="auto"/>
                <w:w w:val="92"/>
                <w:vertAlign w:val="superscript"/>
              </w:rPr>
              <w:t>(1)</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Jay Lidell</w:t>
            </w:r>
            <w:r>
              <w:rPr>
                <w:rFonts w:ascii="Times New Roman" w:cs="Times New Roman" w:eastAsia="Times New Roman" w:hAnsi="Times New Roman"/>
                <w:sz w:val="26"/>
                <w:szCs w:val="26"/>
                <w:color w:val="auto"/>
                <w:vertAlign w:val="superscript"/>
              </w:rPr>
              <w:t>(3)</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6,250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Jeff Jones</w:t>
            </w:r>
            <w:r>
              <w:rPr>
                <w:rFonts w:ascii="Times New Roman" w:cs="Times New Roman" w:eastAsia="Times New Roman" w:hAnsi="Times New Roman"/>
                <w:sz w:val="26"/>
                <w:szCs w:val="26"/>
                <w:color w:val="auto"/>
                <w:vertAlign w:val="superscript"/>
              </w:rPr>
              <w:t>(20)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Jefferies LLC</w:t>
            </w:r>
            <w:r>
              <w:rPr>
                <w:rFonts w:ascii="Times New Roman" w:cs="Times New Roman" w:eastAsia="Times New Roman" w:hAnsi="Times New Roman"/>
                <w:sz w:val="26"/>
                <w:szCs w:val="26"/>
                <w:color w:val="auto"/>
                <w:vertAlign w:val="superscript"/>
              </w:rPr>
              <w:t>(24)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Julie Atkinson</w:t>
            </w:r>
            <w:r>
              <w:rPr>
                <w:rFonts w:ascii="Times New Roman" w:cs="Times New Roman" w:eastAsia="Times New Roman" w:hAnsi="Times New Roman"/>
                <w:sz w:val="26"/>
                <w:szCs w:val="26"/>
                <w:color w:val="auto"/>
                <w:vertAlign w:val="superscript"/>
              </w:rPr>
              <w:t>(3)(35)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37,946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10,495</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Kali Invest LLC</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Kepos Alpha Master</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Fund L.P.</w:t>
            </w:r>
            <w:r>
              <w:rPr>
                <w:rFonts w:ascii="Times New Roman" w:cs="Times New Roman" w:eastAsia="Times New Roman" w:hAnsi="Times New Roman"/>
                <w:sz w:val="26"/>
                <w:szCs w:val="26"/>
                <w:color w:val="auto"/>
                <w:vertAlign w:val="superscript"/>
              </w:rPr>
              <w:t>(30)(31)</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Kim Lopdrup</w:t>
            </w:r>
            <w:r>
              <w:rPr>
                <w:rFonts w:ascii="Times New Roman" w:cs="Times New Roman" w:eastAsia="Times New Roman" w:hAnsi="Times New Roman"/>
                <w:sz w:val="26"/>
                <w:szCs w:val="26"/>
                <w:color w:val="auto"/>
                <w:vertAlign w:val="superscript"/>
              </w:rPr>
              <w:t>(2)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Lago Innovation</w:t>
            </w:r>
            <w:r>
              <w:rPr>
                <w:rFonts w:ascii="Times New Roman" w:cs="Times New Roman" w:eastAsia="Times New Roman" w:hAnsi="Times New Roman"/>
                <w:sz w:val="26"/>
                <w:szCs w:val="26"/>
                <w:color w:val="auto"/>
                <w:vertAlign w:val="superscript"/>
              </w:rPr>
              <w:t>(25)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156,233</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Matt Armstrong</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52,476</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Matt MacDonald</w:t>
            </w:r>
            <w:r>
              <w:rPr>
                <w:rFonts w:ascii="Times New Roman" w:cs="Times New Roman" w:eastAsia="Times New Roman" w:hAnsi="Times New Roman"/>
                <w:sz w:val="26"/>
                <w:szCs w:val="26"/>
                <w:color w:val="auto"/>
                <w:vertAlign w:val="superscript"/>
              </w:rPr>
              <w:t>(3)(11)(36)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1,036,253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512,024</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Metropolitan Partners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380" w:type="dxa"/>
            <w:vAlign w:val="bottom"/>
            <w:gridSpan w:val="2"/>
          </w:tcPr>
          <w:p>
            <w:pPr>
              <w:ind w:left="180"/>
              <w:spacing w:after="0" w:line="242" w:lineRule="exact"/>
              <w:rPr>
                <w:sz w:val="20"/>
                <w:szCs w:val="20"/>
                <w:color w:val="auto"/>
              </w:rPr>
            </w:pPr>
            <w:r>
              <w:rPr>
                <w:rFonts w:ascii="Times New Roman" w:cs="Times New Roman" w:eastAsia="Times New Roman" w:hAnsi="Times New Roman"/>
                <w:sz w:val="16"/>
                <w:szCs w:val="16"/>
                <w:color w:val="auto"/>
              </w:rPr>
              <w:t>Group</w:t>
            </w:r>
            <w:r>
              <w:rPr>
                <w:rFonts w:ascii="Times New Roman" w:cs="Times New Roman" w:eastAsia="Times New Roman" w:hAnsi="Times New Roman"/>
                <w:sz w:val="26"/>
                <w:szCs w:val="26"/>
                <w:color w:val="auto"/>
                <w:vertAlign w:val="superscript"/>
              </w:rPr>
              <w:t>(22)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7,003,544</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Monil Gandhi Personal Revocable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Trust</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Nadir Noorani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Nexxus Capital Management Pte.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42,029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Paresh Doshi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Paul Liberman</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38,616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26,238</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Prasad Phatak</w:t>
            </w:r>
            <w:r>
              <w:rPr>
                <w:rFonts w:ascii="Times New Roman" w:cs="Times New Roman" w:eastAsia="Times New Roman" w:hAnsi="Times New Roman"/>
                <w:sz w:val="26"/>
                <w:szCs w:val="26"/>
                <w:color w:val="auto"/>
                <w:vertAlign w:val="superscript"/>
              </w:rPr>
              <w:t>(3)(37)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604,758</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415,154</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Rajat Suri</w:t>
            </w:r>
            <w:r>
              <w:rPr>
                <w:rFonts w:ascii="Times New Roman" w:cs="Times New Roman" w:eastAsia="Times New Roman" w:hAnsi="Times New Roman"/>
                <w:sz w:val="26"/>
                <w:szCs w:val="26"/>
                <w:color w:val="auto"/>
                <w:vertAlign w:val="superscript"/>
              </w:rPr>
              <w:t>(2)(15)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8,623,814</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Richard Hoon Thye Woei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28,926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Robert Martin</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52,476</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Romulus Capital</w:t>
            </w:r>
            <w:r>
              <w:rPr>
                <w:rFonts w:ascii="Times New Roman" w:cs="Times New Roman" w:eastAsia="Times New Roman" w:hAnsi="Times New Roman"/>
                <w:sz w:val="26"/>
                <w:szCs w:val="26"/>
                <w:color w:val="auto"/>
                <w:vertAlign w:val="superscript"/>
              </w:rPr>
              <w:t>(9)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18,111,939</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Sasha Hoffman</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Schechter Private Capital I, LLC –</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Series V</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1,932,773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Shamsuddin Charania</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262,069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Sheel Tyle</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Shehzaan Chunara</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87,500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Silver Rock Capital</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Partners</w:t>
            </w:r>
            <w:r>
              <w:rPr>
                <w:rFonts w:ascii="Times New Roman" w:cs="Times New Roman" w:eastAsia="Times New Roman" w:hAnsi="Times New Roman"/>
                <w:sz w:val="26"/>
                <w:szCs w:val="26"/>
                <w:color w:val="auto"/>
                <w:vertAlign w:val="superscript"/>
              </w:rPr>
              <w:t>(10)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Tan Chin Nam</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13,926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Rebecca P. Samberg 2018</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revocable Trust</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409,640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Thomas P Botts</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78,714</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Trinity Capital Fund II, L.P.,</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380" w:type="dxa"/>
            <w:vAlign w:val="bottom"/>
            <w:gridSpan w:val="2"/>
          </w:tcPr>
          <w:p>
            <w:pPr>
              <w:ind w:left="180"/>
              <w:spacing w:after="0" w:line="242"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2"/>
                <w:szCs w:val="12"/>
                <w:color w:val="auto"/>
              </w:rPr>
              <w:t>(39)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573,660</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Ventoux Acquisition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Holdings LLC</w:t>
            </w:r>
            <w:r>
              <w:rPr>
                <w:rFonts w:ascii="Times New Roman" w:cs="Times New Roman" w:eastAsia="Times New Roman" w:hAnsi="Times New Roman"/>
                <w:sz w:val="26"/>
                <w:szCs w:val="26"/>
                <w:color w:val="auto"/>
                <w:vertAlign w:val="superscript"/>
              </w:rPr>
              <w:t>(3)(16)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288,925</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White &amp; Case LLP</w:t>
            </w:r>
            <w:r>
              <w:rPr>
                <w:rFonts w:ascii="Times New Roman" w:cs="Times New Roman" w:eastAsia="Times New Roman" w:hAnsi="Times New Roman"/>
                <w:sz w:val="26"/>
                <w:szCs w:val="26"/>
                <w:color w:val="auto"/>
                <w:vertAlign w:val="superscript"/>
              </w:rPr>
              <w:t>(12)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William (Bill) Healey</w:t>
            </w:r>
            <w:r>
              <w:rPr>
                <w:rFonts w:ascii="Times New Roman" w:cs="Times New Roman" w:eastAsia="Times New Roman" w:hAnsi="Times New Roman"/>
                <w:sz w:val="26"/>
                <w:szCs w:val="26"/>
                <w:color w:val="auto"/>
                <w:vertAlign w:val="superscript"/>
              </w:rPr>
              <w:t>(2)(26)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307,318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William Souillard-Mandar</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Wilton Trustees (IOM) Limited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ATO Dalmia Trust</w:t>
            </w:r>
            <w:r>
              <w:rPr>
                <w:rFonts w:ascii="Times New Roman" w:cs="Times New Roman" w:eastAsia="Times New Roman" w:hAnsi="Times New Roman"/>
                <w:sz w:val="26"/>
                <w:szCs w:val="26"/>
                <w:color w:val="auto"/>
                <w:vertAlign w:val="superscript"/>
              </w:rPr>
              <w:t>(15)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5"/>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Woolery &amp; Co PLLC</w:t>
            </w:r>
            <w:r>
              <w:rPr>
                <w:rFonts w:ascii="Times New Roman" w:cs="Times New Roman" w:eastAsia="Times New Roman" w:hAnsi="Times New Roman"/>
                <w:sz w:val="26"/>
                <w:szCs w:val="26"/>
                <w:color w:val="auto"/>
                <w:vertAlign w:val="superscript"/>
              </w:rPr>
              <w:t>(14)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-7065645</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-6748780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-6440170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-6002655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-5694045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-5385435</wp:posOffset>
            </wp:positionV>
            <wp:extent cx="7132320" cy="283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-4819650</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-4382770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-4074160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-3456940</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-3148330</wp:posOffset>
            </wp:positionV>
            <wp:extent cx="7132320" cy="282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-2710815</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-2402205</wp:posOffset>
            </wp:positionV>
            <wp:extent cx="7132320" cy="282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-1965325</wp:posOffset>
            </wp:positionV>
            <wp:extent cx="7132320" cy="282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-1527810</wp:posOffset>
            </wp:positionV>
            <wp:extent cx="7132320" cy="282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-962025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-653415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17830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3160" w:type="dxa"/>
            <w:vAlign w:val="bottom"/>
            <w:gridSpan w:val="7"/>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Beneficially Owned After the Offering</w:t>
            </w:r>
          </w:p>
        </w:tc>
        <w:tc>
          <w:tcPr>
            <w:tcW w:w="0" w:type="dxa"/>
            <w:vAlign w:val="bottom"/>
          </w:tcPr>
          <w:p>
            <w:pPr>
              <w:spacing w:after="0"/>
              <w:rPr>
                <w:sz w:val="1"/>
                <w:szCs w:val="1"/>
                <w:color w:val="auto"/>
              </w:rPr>
            </w:pPr>
          </w:p>
        </w:tc>
      </w:tr>
      <w:tr>
        <w:trPr>
          <w:trHeight w:val="212"/>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0" w:type="dxa"/>
            <w:vAlign w:val="bottom"/>
          </w:tcPr>
          <w:p>
            <w:pPr>
              <w:spacing w:after="0"/>
              <w:rPr>
                <w:sz w:val="18"/>
                <w:szCs w:val="18"/>
                <w:color w:val="auto"/>
              </w:rPr>
            </w:pPr>
          </w:p>
        </w:tc>
        <w:tc>
          <w:tcPr>
            <w:tcW w:w="316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Being</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25"/>
        </w:trPr>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6,250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37,946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10,495</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156,233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77,232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747,328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512,024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7,003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39,529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38,616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604,758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415,154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4,386,655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8,926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77,232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18,111,939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1,432,773</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174,569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8,926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284,640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115,848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288,925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288,925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307,318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70" w:lineRule="exact"/>
        <w:rPr>
          <w:sz w:val="20"/>
          <w:szCs w:val="20"/>
          <w:color w:val="auto"/>
        </w:rPr>
      </w:pPr>
    </w:p>
    <w:p>
      <w:pPr>
        <w:sectPr>
          <w:pgSz w:w="11900" w:h="16838" w:orient="portrait"/>
          <w:cols w:equalWidth="0" w:num="2">
            <w:col w:w="5580" w:space="100"/>
            <w:col w:w="5560"/>
          </w:cols>
          <w:pgMar w:left="320" w:top="893" w:right="339" w:bottom="1440" w:gutter="0" w:footer="0" w:header="0"/>
        </w:sect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w:t>
      </w:r>
    </w:p>
    <w:p>
      <w:pPr>
        <w:spacing w:after="0" w:line="252" w:lineRule="exact"/>
        <w:rPr>
          <w:sz w:val="20"/>
          <w:szCs w:val="20"/>
          <w:color w:val="auto"/>
        </w:rPr>
      </w:pPr>
    </w:p>
    <w:p>
      <w:pPr>
        <w:ind w:left="66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such number of shares of Presto Common Stock underlying the Private Placement Warrants, Financing Warrants, Trinity Warrants and penny warrants registered hereby as such warrants are currently exercisable.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54" w:name="page55"/>
    <w:bookmarkEnd w:id="54"/>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these securityholders is c/o Presto Automation Inc., 985 Industrial Road, San Carlos, CA 94070.</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each of these securityholders is c/o Ventoux Acquisition Holdings LLC, 1 East Putnam Avenue, Floor 4, Greenwich, CT 06830.</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Acadia Woods Partners, LLC is c/o Hawkes Financial LLC, 77 Bedford Road, Katonah, NY 10536.</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Aloha Partners, LLC is c/o Hawkes Financial LLC 77 Bedford Road, Omaha, NE 68127.</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Presto Common Stock held of record by I2BF Global Investments LTD (“I2BF”) and 1,252,717 Earnout Shares that may be issued to I2BF from time to time upon achievement of certain stock price thresholds in accordance with the terms of the Merger Agreement. Ilya Golubovich is a director of the Company and is the sole director of I2BF and possesses both voting and dispositive power over the shares. The business address of I2BF is C/O HSM Corporate Services Ltd. 68 Fort Street, PO Box 31726, Grand Cayman KY 1-1297, Cayman Islands.</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Cabbaj Capital Ltd. is Georgiou Katsounotou, 6, 3026, Limassol, Cyprus.</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CA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5" w:lineRule="exact"/>
        <w:rPr>
          <w:rFonts w:ascii="Times New Roman" w:cs="Times New Roman" w:eastAsia="Times New Roman" w:hAnsi="Times New Roman"/>
          <w:sz w:val="18"/>
          <w:szCs w:val="18"/>
          <w:color w:val="auto"/>
        </w:rPr>
      </w:pPr>
    </w:p>
    <w:p>
      <w:pPr>
        <w:jc w:val="both"/>
        <w:ind w:left="660" w:hanging="652"/>
        <w:spacing w:after="0" w:line="25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279,680 shares of Presto Common Stock held of record by KKG Enterprises LLC, for which Krishna K. Gupta, the chairman of our Board of Directors,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(vi) 638,076 shares of Presto Common Stock held of record by Zaffran Special Opportunities LLC, for which Mr. Gupta is the sole general partner; (vii) 1,200,000 shares of Common Stock underlying outstanding restricted stock units that Legacy Presto granted to Mr. Gupta for services rendered prior to and in connection with the Business Combination, which were subsequently transferred from Mr. Gupta to KKG Enterprises LLC pursuant to that certain Restricted Stock Unit Transfer Agreement, by and among the Company, Mr. Gupta, and KKG Enterprises LLC, dated as of September 29, 2022 and (viii) 3,761,549 Earnout Shares that may be issued to such entities from time to time upon achievement of certain stock price thresholds in accordance with the terms of the Merger Agreement.</w:t>
      </w:r>
    </w:p>
    <w:p>
      <w:pPr>
        <w:spacing w:after="0" w:line="21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Private Placement Warrants held of record by Lake Vineyard Fund LP and Silver Rock Empire Fund LP — Series 2022, for which Silver Rock Capital Partners LP acts as investment advisor and possesses voting and dispositive power over such Private Placement Warrants. Vinay Kumar is the Managing Partner of Silver Rock Capital Partners LP.</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Ventoux Acquisition Holdings LLC, for which Edward Scheetz and Matt MacDonald are the managing members and have voting and/or dispositive powers with respect to such shares. Edward Sheetz currently serves as a director of the Company.</w:t>
      </w:r>
    </w:p>
    <w:p>
      <w:pPr>
        <w:spacing w:after="0" w:line="188"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White &amp; Case LLP is 1221 Avenue of the Americas New York, NY 10020. White &amp; Case LLP served as counsel to Legacy Presto in connection with the Business Combination.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5" w:name="page56"/>
    <w:bookmarkEnd w:id="55"/>
    <w:p>
      <w:pPr>
        <w:ind w:left="6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Dentons US LLP is 233 South Wacker Drive, Suite 5900, Chicago, IL 60606. Dentons US LLP served as co-counsel to VTAQ in connection with the Business Combination.</w:t>
      </w:r>
    </w:p>
    <w:p>
      <w:pPr>
        <w:spacing w:after="0" w:line="192" w:lineRule="exact"/>
        <w:rPr>
          <w:rFonts w:ascii="Times New Roman" w:cs="Times New Roman" w:eastAsia="Times New Roman" w:hAnsi="Times New Roman"/>
          <w:sz w:val="18"/>
          <w:szCs w:val="18"/>
          <w:color w:val="auto"/>
        </w:rPr>
      </w:pPr>
    </w:p>
    <w:p>
      <w:pPr>
        <w:ind w:left="660" w:hanging="652"/>
        <w:spacing w:after="0" w:line="188" w:lineRule="auto"/>
        <w:tabs>
          <w:tab w:leader="none" w:pos="660" w:val="left"/>
        </w:tabs>
        <w:numPr>
          <w:ilvl w:val="0"/>
          <w:numId w:val="3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Woolery &amp; Co. PLLC is 1 Pier 76, 408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 New York, NY 10018. Woolery &amp; Co. PLLC served as co-counsel to VTAQ in connection with the Business Combination.</w:t>
      </w:r>
    </w:p>
    <w:p>
      <w:pPr>
        <w:spacing w:after="0" w:line="225" w:lineRule="exact"/>
        <w:rPr>
          <w:rFonts w:ascii="Times New Roman" w:cs="Times New Roman" w:eastAsia="Times New Roman" w:hAnsi="Times New Roman"/>
          <w:sz w:val="36"/>
          <w:szCs w:val="36"/>
          <w:color w:val="auto"/>
          <w:vertAlign w:val="superscript"/>
        </w:rPr>
      </w:pPr>
    </w:p>
    <w:p>
      <w:pPr>
        <w:jc w:val="both"/>
        <w:ind w:left="660" w:hanging="652"/>
        <w:spacing w:after="0" w:line="258"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consists of (i) 2,234,703 shares of Presto Common Stock currently owned by Rajat Suri, our former Chief Executive Officer and former member of the Presto Board, (ii) 4,237,159 shares of Presto Common Stock underlying stock options that are currently exercisable or exercisable within 60 days and (iii) up to 2,151,952 Earnout Shares that may be issued to Mr. Suri from time to time upon achievement of certain stock price thresholds in accordance with the terms of the Merger Agreement. The 2,234,703 shares of Presto Common Stock and 2,151,952 Earnout Shares are being offered by this prospectus.</w:t>
      </w:r>
    </w:p>
    <w:p>
      <w:pPr>
        <w:spacing w:after="0" w:line="21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288,925 shares of Presto Common Stock that are subject to vesting based upon achievement of certain stock price thresholds in accordance with the terms of the Merger Agreement. VTAQ was the corporate predecessor of the Company.</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Cindat USA LLC is Beijing Yintai Center, Tower C, Suite 5101, 2 Jianwai Avenue, Beijing 100022, PRC.</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Greg Flynn is 225 Bush Street, Suite 1800, San Francisco, CA 94104.</w:t>
      </w:r>
    </w:p>
    <w:p>
      <w:pPr>
        <w:spacing w:after="0" w:line="23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HighSage Ventures, LLC is 200 Clarendon Street, 59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101" w:lineRule="exact"/>
        <w:rPr>
          <w:rFonts w:ascii="Times New Roman" w:cs="Times New Roman" w:eastAsia="Times New Roman" w:hAnsi="Times New Roman"/>
          <w:sz w:val="36"/>
          <w:szCs w:val="36"/>
          <w:color w:val="auto"/>
          <w:vertAlign w:val="superscript"/>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Jeff Jones is 1180 NW Maple St Ste 105, Issaquah, WA 98027.</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3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New York 10022. Mr. Bergstrom disclaims beneficial ownership of shares held by CEOF. CEOF is a lender under the Credit Agreement.</w:t>
      </w:r>
    </w:p>
    <w:p>
      <w:pPr>
        <w:spacing w:after="0" w:line="224" w:lineRule="exact"/>
        <w:rPr>
          <w:rFonts w:ascii="Times New Roman" w:cs="Times New Roman" w:eastAsia="Times New Roman" w:hAnsi="Times New Roman"/>
          <w:sz w:val="18"/>
          <w:szCs w:val="18"/>
          <w:color w:val="auto"/>
        </w:rPr>
      </w:pPr>
    </w:p>
    <w:p>
      <w:pPr>
        <w:jc w:val="both"/>
        <w:ind w:left="660" w:hanging="652"/>
        <w:spacing w:after="0" w:line="237"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MPF VII GP, LLC, an affiliate of Metropolitan Partners Group, is the general partner of Metropolitan Levered Partners Fund VII, LP, Metropolitan Offshore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10022. Metropolitan Levered Partners Fund VII, LP, Metropolitan Partners Fund VII, LP, Metropolitan Offshore Partners Fund VII, LP are lenders under the Credit Agreement.</w:t>
      </w:r>
    </w:p>
    <w:p>
      <w:pPr>
        <w:spacing w:after="0" w:line="228" w:lineRule="exact"/>
        <w:rPr>
          <w:rFonts w:ascii="Times New Roman" w:cs="Times New Roman" w:eastAsia="Times New Roman" w:hAnsi="Times New Roman"/>
          <w:sz w:val="18"/>
          <w:szCs w:val="18"/>
          <w:color w:val="auto"/>
        </w:rPr>
      </w:pPr>
    </w:p>
    <w:p>
      <w:pPr>
        <w:jc w:val="both"/>
        <w:ind w:left="660" w:hanging="652"/>
        <w:spacing w:after="0" w:line="235"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1,108,171 shares of Presto Common Stock and 1,875,000 Private Placement Warrants held by Chardan International Investments, LLC and (ii) 350,000 shares of Presto Common Stock held by Chardan Capital Markets,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NY 10004. Chardan Capital Markets, LLC served as an advisor to Legacy Presto in connection with the Business Combination</w:t>
      </w:r>
    </w:p>
    <w:p>
      <w:pPr>
        <w:spacing w:after="0" w:line="229" w:lineRule="exact"/>
        <w:rPr>
          <w:rFonts w:ascii="Times New Roman" w:cs="Times New Roman" w:eastAsia="Times New Roman" w:hAnsi="Times New Roman"/>
          <w:sz w:val="18"/>
          <w:szCs w:val="18"/>
          <w:color w:val="auto"/>
        </w:rPr>
      </w:pPr>
    </w:p>
    <w:p>
      <w:pPr>
        <w:ind w:left="660" w:hanging="652"/>
        <w:spacing w:after="0" w:line="188" w:lineRule="auto"/>
        <w:tabs>
          <w:tab w:leader="none" w:pos="660" w:val="left"/>
        </w:tabs>
        <w:numPr>
          <w:ilvl w:val="0"/>
          <w:numId w:val="3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Jefferies LLC is 520 Madison Avenue,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10022. Jefferies LLC served as financial advisor to Legacy Presto in connection with the Business Combination.</w:t>
      </w:r>
    </w:p>
    <w:p>
      <w:pPr>
        <w:spacing w:after="0" w:line="225" w:lineRule="exact"/>
        <w:rPr>
          <w:rFonts w:ascii="Times New Roman" w:cs="Times New Roman" w:eastAsia="Times New Roman" w:hAnsi="Times New Roman"/>
          <w:sz w:val="36"/>
          <w:szCs w:val="36"/>
          <w:color w:val="auto"/>
          <w:vertAlign w:val="superscript"/>
        </w:rPr>
      </w:pPr>
    </w:p>
    <w:p>
      <w:pPr>
        <w:jc w:val="both"/>
        <w:ind w:left="66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93,739, 31,247 and 31,247 shares of Presto Common Stock held by Lago Acceleration I, LLC, Lago Innovation Fund I, LLC and Lago Innovation Fund II, LLC, respectively. Tim Gottfried and Heather La Freniere are the managing members of each of these entities and have voting and/or dispositive powers with respect to such shares. The business address of such holders is 211 West Wacker Drive 1500A, Chicago, IL 60606.</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266,822 Earnout Shares that may be issued from time to time upon achievement of certain stock price thresholds in accordance with the terms of the Merger Agreement.</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Wilton Trustees (IOM) Limited ATO Dalmia Trust is Grosvenor House 66-67 Athol Street, Isle of Man IM1 IJE.</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Cosme Fagundo is 711 Calle Artis San Jose, CA 95131.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6" w:name="page57"/>
    <w:bookmarkEnd w:id="56"/>
    <w:p>
      <w:pPr>
        <w:jc w:val="both"/>
        <w:ind w:left="660" w:hanging="652"/>
        <w:spacing w:after="0" w:line="25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100,000 June 2023 PIPE Shares. Other shares of Common Stock beneficially owned prior to this offering consists of 101,100 shares of Common Stock. Mr. Golubovich is a director of Arbat and disclaims beneficial ownership of the Common Stock held by Arbat except to the extent of his pecuniary interest therein. The business address of Arbat is 5 Themistokli Dervi St., 1066 Nicosia, Cyprus. Mr. Golubovich is a director of Arbat and disclaims beneficial ownership of the common stock held by Arbat except to the extent of his pecuniary interest therein. The business address of Arbat is Room 207 Mortlake Business Centre, 20 Mortlake High Street, London, SW14 8JN, UK.</w:t>
      </w:r>
    </w:p>
    <w:p>
      <w:pPr>
        <w:spacing w:after="0" w:line="214"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shares of Common Stock to be sold pursuant to this prospectus represent June 2023 PIPE Shares held by the securityholders.</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500,000 June 2023 PIPE Shares held of record by Kepos Capital LP. Kepos Capital LP is the investment manager of Kepos Alpha Master Fund L.P. and Kepos Partners LLC is the General Partner of Kepos Alpha Master Fund L.P.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Kepos Alpha Master Fund L.P. Mr. Carhart disclaims beneficial ownership of the shares held by Kepos Alpha Master Fund L.P. The business address of Kepos Capital LP and Mr. Carhart is 11 Times Square, 35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10036.</w:t>
      </w:r>
    </w:p>
    <w:p>
      <w:pPr>
        <w:spacing w:after="0" w:line="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250,000 June 2023 PIPE Shares. As of April 2022, Mr. Nevinskiy was a partner of I2BF. I2BF, together with its affiliates, holds more than 5% beneficial ownership of the Company and Mr. Golubovich, the sole director of I2BF, currently serves as a director of the Company.</w:t>
      </w:r>
    </w:p>
    <w:p>
      <w:pPr>
        <w:spacing w:after="0" w:line="202"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1,500,000 June 2023 PIPE Shares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Cleveland Avenue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Brock Strasbourger was the Chief Operating Officer of the Company’s corporate predecessor, VTAQ.</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Julie Atkinson was a director of the Company’s corporate predecessor, VTAQ.</w:t>
      </w:r>
    </w:p>
    <w:p>
      <w:pPr>
        <w:spacing w:after="0" w:line="25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Matt MacDonald was the Chief Financial Officer, Secretary, and a director of the Company’s corporate predecessor, VTAQ.</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Prasad Phatak was the Chief Investment Officer of the Company’s corporate predecessor, VTAQ.</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Chris Ahrens was a director of the Company’s corporate predecessor, VTAQ.</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Trinity Capital Fund II, L.P., LLC is 2121 West Chandler Boulevard, Suite 103, Chandler, Arizona 85224.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from time to time (i) the offer and sale by us of up to $75,000,000 in the aggregate of the Company’s Common Stock, preferred stock, debt securities, new warrants, rights or units, (ii) the offer and sale by us of up to 16,823,660 shares of Common Stock upon exercise of the Trinity Warrants, Public Warrants, Financing Warrants, and the Private Placement Warrants and (iii) the resale by certain of the Selling Securityholders named in this prospectus of (a) an aggregate of 52,709,824 shares of Common Stock and (b) 7,625,000 Private Placement Warrants and Financing Warrants.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registering the securities covered by this prospectus on both our behalf and that of the Selling Securityholders. All costs, expenses and fees connected with the registration of such securities will be borne by us. Any brokerage commissions and similar expenses connected with selling such securities will be borne by both us and the Selling Securityholders, respectively, according to the allocation of securities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effectiveness of the registration statement of which this prospectus forms a part, the securities beneficially owned by us or the Selling Securityholders covered by this prospectus may be offered and sold from time to time by us or the Selling Securityholders, as applicable.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We and the Selling Securityholders and any of their permitted transferees may sell securities offered by this prospectus on any stock exchange, market or trading facility on which the securities are traded or in private transactions.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we and the Selling Securityholders may use any one or more of the following methods when selling the securities offered by this prospectus:</w:t>
      </w:r>
    </w:p>
    <w:p>
      <w:pPr>
        <w:spacing w:after="0" w:line="162" w:lineRule="exact"/>
        <w:rPr>
          <w:sz w:val="20"/>
          <w:szCs w:val="20"/>
          <w:color w:val="auto"/>
        </w:rPr>
      </w:pPr>
    </w:p>
    <w:p>
      <w:pPr>
        <w:ind w:left="980" w:hanging="648"/>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directly to purchasers, including through a specific bidding, auction or other process or in privately negotiated transactions;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or</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in connection with the sale of the shares of Common Stock registered hereby, the Selling Securityholders may enter into hedging transactions with broker-dealers or other financial institutions, which may in turn engage in short sales of our securities or the PIPE Shares in the course of hedging the positions they assume. We or the Selling Securityholders may also sell the securities or PIPE Shares short and deliver these securities to close out their short positions, or loan or pledge the securities or PIPE Shares to broker-dealers that in turn may sell these shares. We or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the validity of the securities to be offered by this prospectus will be passed upon for us by White &amp; Case LLP, 1221 Avenue of the Americas, New York, New York 10020 and for any agents, underwriters, dealers, remarketing firms or other third parties by counsel named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have also filed registration statements on Form S-1,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https://investor.presto.com/. The information on our web site, however, is not, and should not be deemed to be, a part of this prospectus.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(excluding any portions of such documents that have been “furnished to” but not “filed with” the SEC for purposes of the Exchange Act):</w:t>
      </w:r>
    </w:p>
    <w:p>
      <w:pPr>
        <w:spacing w:after="0" w:line="162" w:lineRule="exact"/>
        <w:rPr>
          <w:sz w:val="20"/>
          <w:szCs w:val="20"/>
          <w:color w:val="auto"/>
        </w:rPr>
      </w:pPr>
    </w:p>
    <w:p>
      <w:pPr>
        <w:ind w:left="980" w:hanging="648"/>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June 30, 2023, filed with the SEC on October 11, 2023, as amended by amendment no. 1 to our Annual Report for the year ended June 30, 2023 on </w:t>
      </w:r>
      <w:hyperlink r:id="rId39">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with the SEC on October 12, 2023;</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08">
        <w:r>
          <w:rPr>
            <w:rFonts w:ascii="Times New Roman" w:cs="Times New Roman" w:eastAsia="Times New Roman" w:hAnsi="Times New Roman"/>
            <w:sz w:val="18"/>
            <w:szCs w:val="18"/>
            <w:u w:val="single" w:color="auto"/>
            <w:color w:val="0000EE"/>
          </w:rPr>
          <w:t>August 2, 2023</w:t>
        </w:r>
      </w:hyperlink>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EE"/>
          </w:rPr>
          <w:t>August 31, 2023</w:t>
        </w:r>
      </w:hyperlink>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EE"/>
          </w:rPr>
          <w:t>October 11, 2023</w:t>
        </w:r>
      </w:hyperlink>
      <w:r>
        <w:rPr>
          <w:rFonts w:ascii="Times New Roman" w:cs="Times New Roman" w:eastAsia="Times New Roman" w:hAnsi="Times New Roman"/>
          <w:sz w:val="18"/>
          <w:szCs w:val="18"/>
          <w:color w:val="auto"/>
        </w:rPr>
        <w:t xml:space="preserve">, and </w:t>
      </w:r>
      <w:hyperlink r:id="rId111">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5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001-39830) filed on December 23, 2020, and any amendments or reports filed for the purposes of updating this description (including </w:t>
      </w:r>
      <w:hyperlink r:id="rId55">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for the year ended June 30, 2023).</w:t>
      </w:r>
    </w:p>
    <w:p>
      <w:pPr>
        <w:spacing w:after="0" w:line="176"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w:t>
      </w:r>
    </w:p>
    <w:p>
      <w:pPr>
        <w:spacing w:after="0" w:line="180" w:lineRule="exact"/>
        <w:rPr>
          <w:rFonts w:ascii="Times New Roman" w:cs="Times New Roman" w:eastAsia="Times New Roman" w:hAnsi="Times New Roman"/>
          <w:sz w:val="18"/>
          <w:szCs w:val="18"/>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23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(650) 817-9012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Xavier Casanova</w:t>
      </w:r>
    </w:p>
    <w:p>
      <w:pPr>
        <w:spacing w:after="0" w:line="207"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15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FOR SECURITIES ACT LIABILITIES</w:t>
      </w:r>
    </w:p>
    <w:p>
      <w:pPr>
        <w:spacing w:after="0" w:line="229"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8,533,000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740" w:val="left"/>
        </w:tabs>
        <w:rPr>
          <w:sz w:val="20"/>
          <w:szCs w:val="20"/>
          <w:color w:val="auto"/>
        </w:rPr>
      </w:pPr>
      <w:r>
        <w:rPr>
          <w:rFonts w:ascii="Times New Roman" w:cs="Times New Roman" w:eastAsia="Times New Roman" w:hAnsi="Times New Roman"/>
          <w:sz w:val="17"/>
          <w:szCs w:val="17"/>
          <w:b w:val="1"/>
          <w:bCs w:val="1"/>
          <w:color w:val="auto"/>
        </w:rPr>
        <w:t>Chardan</w:t>
      </w:r>
      <w:r>
        <w:rPr>
          <w:sz w:val="20"/>
          <w:szCs w:val="20"/>
          <w:color w:val="auto"/>
        </w:rPr>
        <w:tab/>
      </w:r>
      <w:r>
        <w:rPr>
          <w:rFonts w:ascii="Times New Roman" w:cs="Times New Roman" w:eastAsia="Times New Roman" w:hAnsi="Times New Roman"/>
          <w:sz w:val="17"/>
          <w:szCs w:val="17"/>
          <w:b w:val="1"/>
          <w:bCs w:val="1"/>
          <w:color w:val="auto"/>
        </w:rPr>
        <w:t>Spartan Capital Securities, LLC</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1)"/>
      <w:numFmt w:val="lowerLetter"/>
      <w:start w:val="1"/>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Letter"/>
      <w:start w:val="2"/>
    </w:lvl>
  </w:abstractNum>
  <w:abstractNum w:abstractNumId="15">
    <w:nsid w:val="2901D82"/>
    <w:multiLevelType w:val="hybridMultilevel"/>
    <w:lvl w:ilvl="0">
      <w:lvlJc w:val="left"/>
      <w:lvlText w:val="(%1)"/>
      <w:numFmt w:val="lowerLetter"/>
      <w:start w:val="1"/>
    </w:lvl>
    <w:lvl w:ilvl="1">
      <w:lvlJc w:val="left"/>
      <w:lvlText w:val="%2."/>
      <w:numFmt w:val="decimal"/>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lowerRoman"/>
      <w:start w:val="1"/>
    </w:lvl>
  </w:abstractNum>
  <w:abstractNum w:abstractNumId="18">
    <w:nsid w:val="1E7FF521"/>
    <w:multiLevelType w:val="hybridMultilevel"/>
    <w:lvl w:ilvl="0">
      <w:lvlJc w:val="left"/>
      <w:lvlText w:val="(%1)"/>
      <w:numFmt w:val="lowerRoman"/>
      <w:start w:val="4"/>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lowerRoman"/>
      <w:start w:val="1"/>
    </w:lvl>
    <w:lvl w:ilvl="1">
      <w:lvlJc w:val="left"/>
      <w:lvlText w:val="%2."/>
      <w:numFmt w:val="lowerLetter"/>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2"/>
    </w:lvl>
  </w:abstractNum>
  <w:abstractNum w:abstractNumId="38">
    <w:nsid w:val="580BD78F"/>
    <w:multiLevelType w:val="hybridMultilevel"/>
    <w:lvl w:ilvl="0">
      <w:lvlJc w:val="left"/>
      <w:lvlText w:val="(%1)"/>
      <w:numFmt w:val="decimal"/>
      <w:start w:val="13"/>
    </w:lvl>
  </w:abstractNum>
  <w:abstractNum w:abstractNumId="39">
    <w:nsid w:val="153EA438"/>
    <w:multiLevelType w:val="hybridMultilevel"/>
    <w:lvl w:ilvl="0">
      <w:lvlJc w:val="left"/>
      <w:lvlText w:val="(%1)"/>
      <w:numFmt w:val="decimal"/>
      <w:start w:val="29"/>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38" Type="http://schemas.openxmlformats.org/officeDocument/2006/relationships/hyperlink" Target="http://www.sec.gov/Archives/edgar/data/1822145/000155837023016336/prst-20230630x10k.htm" TargetMode="External"/><Relationship Id="rId39" Type="http://schemas.openxmlformats.org/officeDocument/2006/relationships/hyperlink" Target="http://www.sec.gov/Archives/edgar/data/1822145/000155837023016408/prst-20230630x10ka.htm" TargetMode="External"/><Relationship Id="rId40" Type="http://schemas.openxmlformats.org/officeDocument/2006/relationships/hyperlink" Target="http://www.sec.gov/Archives/edgar/data/1822145/000155837023019254/prst-20230930x10q.htm" TargetMode="External"/><Relationship Id="rId41" Type="http://schemas.openxmlformats.org/officeDocument/2006/relationships/hyperlink" Target="http://www.sec.gov/Archives/edgar/data/1822145/000155837024001375/prst-20231231x10q.htm" TargetMode="External"/><Relationship Id="rId42" Type="http://schemas.openxmlformats.org/officeDocument/2006/relationships/hyperlink" Target="http://www.sec.gov/Archives/edgar/data/1822145/000110465923086535/tm2322640d1_8k.htm" TargetMode="External"/><Relationship Id="rId43" Type="http://schemas.openxmlformats.org/officeDocument/2006/relationships/hyperlink" Target="http://www.sec.gov/Archives/edgar/data/1822145/000110465923097311/tm2325309d1_8k.htm" TargetMode="External"/><Relationship Id="rId44" Type="http://schemas.openxmlformats.org/officeDocument/2006/relationships/hyperlink" Target="http://www.sec.gov/Archives/edgar/data/1822145/000101376223002979/ea186564-8k_prestoauto.htm" TargetMode="External"/><Relationship Id="rId45" Type="http://schemas.openxmlformats.org/officeDocument/2006/relationships/hyperlink" Target="http://www.sec.gov/Archives/edgar/data/1822145/000101376223005246/ea187043-8k_prestoauto.htm" TargetMode="External"/><Relationship Id="rId46" Type="http://schemas.openxmlformats.org/officeDocument/2006/relationships/hyperlink" Target="http://www.sec.gov/Archives/edgar/data/1822145/000121390023089293/ea188717-8k_presto.htm" TargetMode="External"/><Relationship Id="rId47" Type="http://schemas.openxmlformats.org/officeDocument/2006/relationships/hyperlink" Target="http://www.sec.gov/Archives/edgar/data/1822145/000155837023019477/prst-20231129x8k.htm" TargetMode="External"/><Relationship Id="rId48" Type="http://schemas.openxmlformats.org/officeDocument/2006/relationships/hyperlink" Target="http://www.sec.gov/Archives/edgar/data/1822145/000155837023019744/prst-20231206x8k.htm" TargetMode="External"/><Relationship Id="rId49" Type="http://schemas.openxmlformats.org/officeDocument/2006/relationships/hyperlink" Target="http://www.sec.gov/Archives/edgar/data/1822145/000121390023095635/ea190049-8k_presto.htm" TargetMode="External"/><Relationship Id="rId50" Type="http://schemas.openxmlformats.org/officeDocument/2006/relationships/hyperlink" Target="http://www.sec.gov/Archives/edgar/data/1822145/000121390024009098/ea192676-8k_presto.htm" TargetMode="External"/><Relationship Id="rId51" Type="http://schemas.openxmlformats.org/officeDocument/2006/relationships/hyperlink" Target="http://www.sec.gov/Archives/edgar/data/1822145/000110465924010183/tm244871d1_8k.htm" TargetMode="External"/><Relationship Id="rId52" Type="http://schemas.openxmlformats.org/officeDocument/2006/relationships/hyperlink" Target="http://www.sec.gov/Archives/edgar/data/1822145/000110465924025618/tm246736d1_8ka.htm" TargetMode="External"/><Relationship Id="rId53" Type="http://schemas.openxmlformats.org/officeDocument/2006/relationships/hyperlink" Target="http://www.sec.gov/Archives/edgar/data/1822145/000110465924012313/tm245632d1_8k.htm" TargetMode="External"/><Relationship Id="rId54" Type="http://schemas.openxmlformats.org/officeDocument/2006/relationships/hyperlink" Target="http://www.sec.gov/Archives/edgar/data/1822145/000121390020044238/ea131985-8a12b_ventouxccm.htm" TargetMode="External"/><Relationship Id="rId55" Type="http://schemas.openxmlformats.org/officeDocument/2006/relationships/hyperlink" Target="http://www.sec.gov/Archives/edgar/data/1822145/000155837023016336/prst-20230630xex4d1.htm" TargetMode="External"/><Relationship Id="rId108" Type="http://schemas.openxmlformats.org/officeDocument/2006/relationships/hyperlink" Target="https://www.sec.gov/Archives/edgar/data/1822145/000110465923086535/tm2322640d1_8k.htm" TargetMode="External"/><Relationship Id="rId109" Type="http://schemas.openxmlformats.org/officeDocument/2006/relationships/hyperlink" Target="https://www.sec.gov/Archives/edgar/data/1822145/000110465923097311/tm2325309d1_8k.htm" TargetMode="External"/><Relationship Id="rId110" Type="http://schemas.openxmlformats.org/officeDocument/2006/relationships/hyperlink" Target="https://www.sec.gov/Archives/edgar/data/1822145/000101376223002979/ea186564-8k_prestoauto.htm" TargetMode="External"/><Relationship Id="rId111" Type="http://schemas.openxmlformats.org/officeDocument/2006/relationships/hyperlink" Target="https://www.sec.gov/Archives/edgar/data/1822145/000101376223005246/ea187043-8k_prestoau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2024-03-01T16:37:50Z</dcterms:created>
  <dcterms:modified xsi:type="dcterms:W3CDTF">2024-03-01T16:37:50Z</dcterms:modified>
</cp:coreProperties>
</file>