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earliest event reported: August 6, 2024</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84-2968594</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42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985 Industrial Road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 Carlos,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94070</w:t>
            </w:r>
          </w:p>
        </w:tc>
      </w:tr>
      <w:tr>
        <w:trPr>
          <w:trHeight w:val="23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817-9012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PRST</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PRSTW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 of common stock</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on February 6, 2024, Presto Automation Inc. (the “Company”) received a notice (the “Notice”) from the Listing Qualifications Department (the “Staff”) of The Nasdaq Stock Market LLC (“Nasdaq”) stating that the Company was not in compliance with the requirement to maintain a minimum Market Value of Listed Securities (“MVLS”) of $50 million, as set forth in Nasdaq Listing Rule 5450(b)(2)(A) (the “MVLS Requirement”), because the MVLS of the Company was below $50 million for the 30 consecutive business days prior to the date of the Notice. In accordance with Nasdaq Listing Rule 5810(c)(3)(C), the Company was provided 180 calendar days from the date of the Notice, or until August 5, 2024, to regain compliance with the MVLS Requirement.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6, 2024, the Company received a Staff determination letter from Nasdaq informing the Company that the Company had not regained compliance with the MVLS Requirement and this matter serves as an additional basis for delisting the Company’s securities from Nasdaq.</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the Company had already received a separate Staff determination letter from Nasdaq informing the Company that the Company had not regained compliance with the requirement to maintain a minimum closing bid price of $1.00 per share, as set forth in Nasdaq Listing Rule 5450(a)</w:t>
      </w:r>
    </w:p>
    <w:p>
      <w:pPr>
        <w:jc w:val="both"/>
        <w:spacing w:after="0" w:line="253" w:lineRule="auto"/>
        <w:rPr>
          <w:sz w:val="20"/>
          <w:szCs w:val="20"/>
          <w:color w:val="auto"/>
        </w:rPr>
      </w:pPr>
      <w:r>
        <w:rPr>
          <w:rFonts w:ascii="Times New Roman" w:cs="Times New Roman" w:eastAsia="Times New Roman" w:hAnsi="Times New Roman"/>
          <w:sz w:val="18"/>
          <w:szCs w:val="18"/>
          <w:color w:val="auto"/>
        </w:rPr>
        <w:t>(1). The Company had previously disclosed that it intended to request a hearing before a Nasdaq Hearings Panel. The Company requested such a hearing on July 5, 2024, but on August 6, 2024, the Company informed Nasdaq that it was withdrawing its appeal. As a result of the Company withdrawing its appeal, on August 6, 2024, the Company received a letter from Nasdaq informing the Company that its shares of common stock, par value $0.0001 per share (the “Common Stock”), and warrants will be suspended at the open of business on August 8, 2024 and that Nasdaq will file a Form 25-NSE with the Securities and Exchange Commission (the “SEC”), which will remove the Company’s securities from listing and registration on Nasdaq.</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that the trading of its common stock will transition to the OTC Bulletin Board or “pink sheets” market shortly. The transition to over-the-counter markets is not expected to affect the Company’s operations or business and does not change its reporting requirements under SEC rules. The Company cannot predict what the impact of the transition will be on the liquidity in its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Deregistration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examining whether it will be eligible to terminate the registration of the Common Stock under the Exchange Act of 1934, as amended (the “Exchange Act”). If eligible, such termination would result in the Company ceasing to file Forms 10-K, 10-Q and 8-K in the near future. The Common Stock would remain outstanding, but its liquidity may be materially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Update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on July 19, 2024, the Company and Presto Automation LLC (the “Borrower”), the Company’s wholly owned subsidiary (the “Loan Parties”) entered into an amendment (the “Amendment”) to the Cooperation Agreement (as amended by the Amendment, the “Cooperation Agreement”), dated May 16, 2024,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and certain significant stockholders.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Cooperation Agreement, the Company is required to raise $2.0 million on or before each of August 1, 2024, August 15, 2024 and August 29, 2024 (each, a “Forbearance Date”) for a cumulative total of $6.0 million in order to prevent its senior secured lender from exercising remedies against the Company, including but not limited to an Article 9 foreclosure, which would result in the Common Stock becoming worthless. The Company received a waiver from the Lenders with respect to the August 1, 2024 Forbearance Date requiring it to raise $4.0 million by August 15,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required to raise an additional $32.0 million by no later than the Forbearance Date in order to facilitate negotiations with its senior secured lender for the assignment and restructuring of their loan. The Company has received no indications of interest from outside investors to make such investment since the opportunity to seek such an investment was granted on May 16, 2024. While there exists a possibility that such an investment may be secured, the Company considers this outcome to be extremely unlikely. Accordingly, the Company believes that it is extremely likely that holders of Common Stock will lose all of their investment because the senior secured lender will be free to exercise remedies at that time.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 Adjustments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previously disclosed, on July 24, 2024, the Company entered into a Common Stock Purchase Agreement (the “CSPA”) with Triton Funds LP, a Delaware limited partnership (“Triton”). Pursuant to the CSPA, the Company has the right, but not the obligation, to sell to Triton up to $25,000,000 of shares of the Company’s Common Stock from time to time during the commitment period commencing on July 24, 2024 and terminating on the earlier of</w:t>
      </w:r>
    </w:p>
    <w:p>
      <w:pPr>
        <w:spacing w:after="0" w:line="1" w:lineRule="exact"/>
        <w:rPr>
          <w:sz w:val="20"/>
          <w:szCs w:val="20"/>
          <w:color w:val="auto"/>
        </w:rPr>
      </w:pPr>
    </w:p>
    <w:p>
      <w:pPr>
        <w:ind w:firstLine="8"/>
        <w:spacing w:after="0" w:line="260" w:lineRule="auto"/>
        <w:tabs>
          <w:tab w:leader="none" w:pos="2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2024 or (ii) the date on which Triton shall have purchased shares of the Company’s Common Stock pursuant to the CSPA equal to the investment amount of $25,000,000 (the “Triton Offering”).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Triton Offering triggered anti-dilution adjustment provisions in the following:</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dated October 10, 2023, between the Company and Presto CA LLC (the “CA Purchase Agreement”);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purchase agreements, dated November 17, 2023, between the Company and several investors (the “November 2023 Purchase Agreements”) solely with respect to those parties that also participated in the offering of the Company’s Common Stock set forth under subparagraph (5) below;</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to purchase shares of the Company’s Common Stock initially issued to the Lenders on October 16, 2023 (as amended and restated, the “Third Amendment Conversion Warrants”);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to purchase shares of the Company’s Common Stock initially issued to the Lenders on January 30, 2024 (as amended and restated, the “Fifth Amendment Conversion Warrants”);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subordinated convertible notes issued on January 30, 2024 (the “January 2024 Notes”);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dated as of May 20, 2024, between the Company and the purchasers thereto (the “May 2024 Purchase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the impact of these anti-dilution protections is set forth below, based on the lowest purchase price in the Offering of $0.01808 per share. In total, the anti-dilution adjustments result in the issuance of an aggregate 263,597,880 shares and the ability of holders of the Company’s convertible notes or warrants to acquire an additional 616,416,770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Securityholder</w:t>
            </w:r>
          </w:p>
        </w:tc>
        <w:tc>
          <w:tcPr>
            <w:tcW w:w="120" w:type="dxa"/>
            <w:vAlign w:val="bottom"/>
          </w:tcPr>
          <w:p>
            <w:pPr>
              <w:spacing w:after="0"/>
              <w:rPr>
                <w:sz w:val="21"/>
                <w:szCs w:val="21"/>
                <w:color w:val="auto"/>
              </w:rPr>
            </w:pP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Subject Security</w:t>
            </w:r>
          </w:p>
        </w:tc>
        <w:tc>
          <w:tcPr>
            <w:tcW w:w="650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Impact of the Triton Offering</w:t>
            </w:r>
          </w:p>
        </w:tc>
      </w:tr>
      <w:tr>
        <w:trPr>
          <w:trHeight w:val="198"/>
        </w:trPr>
        <w:tc>
          <w:tcPr>
            <w:tcW w:w="20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Presto CA</w:t>
            </w:r>
          </w:p>
        </w:tc>
        <w:tc>
          <w:tcPr>
            <w:tcW w:w="1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107,958,187 additional shares.</w:t>
            </w:r>
          </w:p>
        </w:tc>
      </w:tr>
      <w:tr>
        <w:trPr>
          <w:trHeight w:val="234"/>
        </w:trPr>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of New Issuance Price from $0.05175 to $0.01808.</w:t>
            </w: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November 2023 Purchasers</w:t>
            </w:r>
          </w:p>
        </w:tc>
        <w:tc>
          <w:tcPr>
            <w:tcW w:w="27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100,760,978 additional shares.</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New Issuance Price from $0.05175 to $0.01808.</w:t>
            </w: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Lenders</w:t>
            </w:r>
          </w:p>
        </w:tc>
        <w:tc>
          <w:tcPr>
            <w:tcW w:w="270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Third Amendment Conversion</w:t>
            </w: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the number of shares underlying the Third Amendment Conversion Warrants</w:t>
            </w:r>
          </w:p>
        </w:tc>
      </w:tr>
      <w:tr>
        <w:trPr>
          <w:trHeight w:val="216"/>
        </w:trPr>
        <w:tc>
          <w:tcPr>
            <w:tcW w:w="204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115,942,029 to 331,858,407 shares.</w:t>
            </w:r>
          </w:p>
        </w:tc>
      </w:tr>
      <w:tr>
        <w:trPr>
          <w:trHeight w:val="234"/>
        </w:trPr>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in the Applicable Price from $0.05175 to $0.01808.</w:t>
            </w:r>
          </w:p>
        </w:tc>
      </w:tr>
      <w:tr>
        <w:trPr>
          <w:trHeight w:val="198"/>
        </w:trPr>
        <w:tc>
          <w:tcPr>
            <w:tcW w:w="2040" w:type="dxa"/>
            <w:vAlign w:val="bottom"/>
          </w:tcPr>
          <w:p>
            <w:pPr>
              <w:spacing w:after="0"/>
              <w:rPr>
                <w:sz w:val="17"/>
                <w:szCs w:val="17"/>
                <w:color w:val="auto"/>
              </w:rPr>
            </w:pPr>
          </w:p>
        </w:tc>
        <w:tc>
          <w:tcPr>
            <w:tcW w:w="27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Fifth Amendment Conversion</w:t>
            </w: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in the number of shares underlying the Fifth Amendment Conversion Warrants</w:t>
            </w:r>
          </w:p>
        </w:tc>
      </w:tr>
      <w:tr>
        <w:trPr>
          <w:trHeight w:val="216"/>
        </w:trPr>
        <w:tc>
          <w:tcPr>
            <w:tcW w:w="2040" w:type="dxa"/>
            <w:vAlign w:val="bottom"/>
          </w:tcPr>
          <w:p>
            <w:pPr>
              <w:spacing w:after="0"/>
              <w:rPr>
                <w:sz w:val="18"/>
                <w:szCs w:val="18"/>
                <w:color w:val="auto"/>
              </w:rPr>
            </w:pPr>
          </w:p>
        </w:tc>
        <w:tc>
          <w:tcPr>
            <w:tcW w:w="2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from 41,146,271 to 117,772,096 shares.</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Reduction in the Applicable Price from $0.05175 to $0.01808.</w:t>
            </w: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January 2024 Noteholders</w:t>
            </w:r>
          </w:p>
        </w:tc>
        <w:tc>
          <w:tcPr>
            <w:tcW w:w="270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January 2024 Notes</w:t>
            </w: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an aggregate 323,874,566 additional shares underlying the principal of the</w:t>
            </w:r>
          </w:p>
        </w:tc>
      </w:tr>
      <w:tr>
        <w:trPr>
          <w:trHeight w:val="216"/>
        </w:trPr>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 Notes.</w:t>
            </w:r>
          </w:p>
        </w:tc>
      </w:tr>
      <w:tr>
        <w:trPr>
          <w:trHeight w:val="234"/>
        </w:trPr>
        <w:tc>
          <w:tcPr>
            <w:tcW w:w="2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of Conversion Price from $0.05175 to $0.01808.</w:t>
            </w: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May 2024 Purchasers</w:t>
            </w:r>
          </w:p>
        </w:tc>
        <w:tc>
          <w:tcPr>
            <w:tcW w:w="270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54,878,715 additional shares.</w:t>
            </w:r>
          </w:p>
        </w:tc>
      </w:tr>
      <w:tr>
        <w:trPr>
          <w:trHeight w:val="234"/>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New Issuance Price from $0.05175 to $0.01808.</w:t>
            </w:r>
          </w:p>
        </w:tc>
      </w:tr>
      <w:tr>
        <w:trPr>
          <w:trHeight w:val="655"/>
        </w:trPr>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(the “Form 8-K”) contains statements that constitute “forward-looking statements” within the meaning of Section 27A of the Securities Act of 1933, as amended, and Section 21E of the Securities Exchange Act.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Examples of such statements and uncertainties include, but are not limited to, statements with respect to potential listing on the OTC Bulletin Board, the potential deregistration of the Company’s Common Stock, the Cooperation Agreement and the Forbearance Date and capital raising efforts.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outcomes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Guillaume Lefevre</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2024-08-07T07:17:26Z</dcterms:created>
  <dcterms:modified xsi:type="dcterms:W3CDTF">2024-08-07T07:17:26Z</dcterms:modified>
</cp:coreProperties>
</file>