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225425</wp:posOffset>
            </wp:positionH>
            <wp:positionV relativeFrom="page">
              <wp:posOffset>328930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405765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9"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Presto Automation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$0.0001 par value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74113T105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February 29,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780" w:firstLine="8"/>
        <w:spacing w:after="0" w:line="226" w:lineRule="exact"/>
        <w:tabs>
          <w:tab w:leader="none" w:pos="445"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Rule 13d-1(b)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13d-1(c)</w:t>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5" w:lineRule="exact"/>
        <w:rPr>
          <w:sz w:val="24"/>
          <w:szCs w:val="24"/>
          <w:color w:val="auto"/>
        </w:rPr>
      </w:pPr>
    </w:p>
    <w:p>
      <w:pPr>
        <w:ind w:left="460" w:right="20" w:hanging="452"/>
        <w:spacing w:after="0" w:line="282"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157480</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208915</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spacing w:after="0"/>
        <w:tabs>
          <w:tab w:leader="none" w:pos="9940" w:val="left"/>
        </w:tabs>
        <w:rPr>
          <w:sz w:val="20"/>
          <w:szCs w:val="20"/>
          <w:color w:val="auto"/>
        </w:rPr>
      </w:pPr>
      <w:r>
        <w:rPr>
          <w:rFonts w:ascii="Times New Roman" w:cs="Times New Roman" w:eastAsia="Times New Roman" w:hAnsi="Times New Roman"/>
          <w:sz w:val="18"/>
          <w:szCs w:val="18"/>
          <w:color w:val="auto"/>
        </w:rPr>
        <w:t>CUSIP No. 74113T105</w:t>
      </w:r>
      <w:r>
        <w:rPr>
          <w:sz w:val="20"/>
          <w:szCs w:val="20"/>
          <w:color w:val="auto"/>
        </w:rPr>
        <w:tab/>
      </w:r>
      <w:r>
        <w:rPr>
          <w:rFonts w:ascii="Times New Roman" w:cs="Times New Roman" w:eastAsia="Times New Roman" w:hAnsi="Times New Roman"/>
          <w:sz w:val="17"/>
          <w:szCs w:val="17"/>
          <w:color w:val="auto"/>
        </w:rPr>
        <w:t>Page 1 of 7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825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825625"/>
                    </a:xfrm>
                    <a:prstGeom prst="rect">
                      <a:avLst/>
                    </a:prstGeom>
                    <a:noFill/>
                  </pic:spPr>
                </pic:pic>
              </a:graphicData>
            </a:graphic>
          </wp:anchor>
        </w:drawing>
      </w:r>
    </w:p>
    <w:p>
      <w:pPr>
        <w:spacing w:after="0" w:line="246" w:lineRule="exact"/>
        <w:rPr>
          <w:sz w:val="24"/>
          <w:szCs w:val="24"/>
          <w:color w:val="auto"/>
        </w:rPr>
      </w:pPr>
    </w:p>
    <w:p>
      <w:pPr>
        <w:ind w:left="940" w:hanging="525"/>
        <w:spacing w:after="0"/>
        <w:tabs>
          <w:tab w:leader="none" w:pos="9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Brown Stone Capital Limited</w:t>
      </w:r>
    </w:p>
    <w:p>
      <w:pPr>
        <w:spacing w:after="0" w:line="77" w:lineRule="exact"/>
        <w:rPr>
          <w:sz w:val="24"/>
          <w:szCs w:val="24"/>
          <w:color w:val="auto"/>
        </w:rPr>
      </w:pPr>
    </w:p>
    <w:p>
      <w:pPr>
        <w:ind w:left="940" w:hanging="525"/>
        <w:spacing w:after="0"/>
        <w:tabs>
          <w:tab w:leader="none" w:pos="9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184" w:lineRule="exact"/>
        <w:rPr>
          <w:sz w:val="24"/>
          <w:szCs w:val="24"/>
          <w:color w:val="auto"/>
        </w:rPr>
      </w:pPr>
    </w:p>
    <w:p>
      <w:pPr>
        <w:ind w:left="9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17" w:lineRule="exact"/>
        <w:rPr>
          <w:sz w:val="24"/>
          <w:szCs w:val="24"/>
          <w:color w:val="auto"/>
        </w:rPr>
      </w:pPr>
    </w:p>
    <w:p>
      <w:pPr>
        <w:ind w:left="940" w:hanging="525"/>
        <w:spacing w:after="0"/>
        <w:tabs>
          <w:tab w:leader="none" w:pos="9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4"/>
          <w:szCs w:val="24"/>
          <w:color w:val="auto"/>
        </w:rPr>
      </w:pPr>
    </w:p>
    <w:p>
      <w:pPr>
        <w:spacing w:after="0" w:line="309" w:lineRule="exact"/>
        <w:rPr>
          <w:sz w:val="24"/>
          <w:szCs w:val="24"/>
          <w:color w:val="auto"/>
        </w:rPr>
      </w:pPr>
    </w:p>
    <w:p>
      <w:pPr>
        <w:ind w:left="940" w:right="6640" w:hanging="525"/>
        <w:spacing w:after="0" w:line="532" w:lineRule="auto"/>
        <w:tabs>
          <w:tab w:leader="none" w:pos="9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United Kingdom</w:t>
      </w:r>
    </w:p>
    <w:tbl>
      <w:tblPr>
        <w:tblLayout w:type="fixed"/>
        <w:tblInd w:w="10" w:type="dxa"/>
        <w:tblCellMar>
          <w:top w:w="0" w:type="dxa"/>
          <w:left w:w="0" w:type="dxa"/>
          <w:bottom w:w="0" w:type="dxa"/>
          <w:right w:w="0" w:type="dxa"/>
        </w:tblCellMar>
      </w:tblPr>
      <w:tr>
        <w:trPr>
          <w:trHeight w:val="223"/>
        </w:trPr>
        <w:tc>
          <w:tcPr>
            <w:tcW w:w="13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top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5</w:t>
            </w:r>
          </w:p>
        </w:tc>
        <w:tc>
          <w:tcPr>
            <w:tcW w:w="89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tcPr>
          <w:p>
            <w:pPr>
              <w:spacing w:after="0"/>
              <w:rPr>
                <w:sz w:val="19"/>
                <w:szCs w:val="19"/>
                <w:color w:val="auto"/>
              </w:rPr>
            </w:pPr>
          </w:p>
        </w:tc>
        <w:tc>
          <w:tcPr>
            <w:tcW w:w="8980" w:type="dxa"/>
            <w:vAlign w:val="bottom"/>
            <w:tcBorders>
              <w:right w:val="single" w:sz="8" w:color="auto"/>
            </w:tcBorders>
          </w:tcPr>
          <w:p>
            <w:pPr>
              <w:ind w:left="20"/>
              <w:spacing w:after="0" w:line="221" w:lineRule="exact"/>
              <w:rPr>
                <w:sz w:val="20"/>
                <w:szCs w:val="20"/>
                <w:color w:val="auto"/>
              </w:rPr>
            </w:pPr>
            <w:r>
              <w:rPr>
                <w:rFonts w:ascii="Times New Roman" w:cs="Times New Roman" w:eastAsia="Times New Roman" w:hAnsi="Times New Roman"/>
                <w:sz w:val="25"/>
                <w:szCs w:val="25"/>
                <w:color w:val="auto"/>
                <w:vertAlign w:val="subscript"/>
              </w:rPr>
              <w:t>0</w:t>
            </w: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81"/>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7"/>
                <w:szCs w:val="7"/>
                <w:color w:val="auto"/>
              </w:rPr>
            </w:pPr>
          </w:p>
        </w:tc>
        <w:tc>
          <w:tcPr>
            <w:tcW w:w="89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1380" w:type="dxa"/>
            <w:vAlign w:val="bottom"/>
            <w:tcBorders>
              <w:left w:val="single" w:sz="8" w:color="auto"/>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6</w:t>
            </w:r>
          </w:p>
        </w:tc>
        <w:tc>
          <w:tcPr>
            <w:tcW w:w="89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26"/>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880" w:type="dxa"/>
            <w:vAlign w:val="bottom"/>
            <w:tcBorders>
              <w:right w:val="single" w:sz="8" w:color="auto"/>
            </w:tcBorders>
            <w:vMerge w:val="continue"/>
          </w:tcPr>
          <w:p>
            <w:pPr>
              <w:spacing w:after="0"/>
              <w:rPr>
                <w:sz w:val="10"/>
                <w:szCs w:val="10"/>
                <w:color w:val="auto"/>
              </w:rPr>
            </w:pPr>
          </w:p>
        </w:tc>
        <w:tc>
          <w:tcPr>
            <w:tcW w:w="89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380" w:type="dxa"/>
            <w:vAlign w:val="bottom"/>
            <w:tcBorders>
              <w:left w:val="single" w:sz="8" w:color="auto"/>
              <w:right w:val="single" w:sz="8" w:color="auto"/>
            </w:tcBorders>
            <w:vMerge w:val="continue"/>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8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88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20"/>
              <w:spacing w:after="0" w:line="396" w:lineRule="exact"/>
              <w:rPr>
                <w:sz w:val="20"/>
                <w:szCs w:val="20"/>
                <w:color w:val="auto"/>
              </w:rPr>
            </w:pPr>
            <w:r>
              <w:rPr>
                <w:rFonts w:ascii="Times New Roman" w:cs="Times New Roman" w:eastAsia="Times New Roman" w:hAnsi="Times New Roman"/>
                <w:sz w:val="35"/>
                <w:szCs w:val="35"/>
                <w:color w:val="auto"/>
                <w:vertAlign w:val="subscript"/>
              </w:rPr>
              <w:t>0</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94"/>
        </w:trPr>
        <w:tc>
          <w:tcPr>
            <w:tcW w:w="1380" w:type="dxa"/>
            <w:vAlign w:val="bottom"/>
            <w:tcBorders>
              <w:left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bottom w:val="single" w:sz="8" w:color="auto"/>
              <w:right w:val="single" w:sz="8" w:color="auto"/>
            </w:tcBorders>
          </w:tcPr>
          <w:p>
            <w:pPr>
              <w:spacing w:after="0"/>
              <w:rPr>
                <w:sz w:val="16"/>
                <w:szCs w:val="16"/>
                <w:color w:val="auto"/>
              </w:rPr>
            </w:pPr>
          </w:p>
        </w:tc>
        <w:tc>
          <w:tcPr>
            <w:tcW w:w="89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7</w:t>
            </w:r>
          </w:p>
        </w:tc>
        <w:tc>
          <w:tcPr>
            <w:tcW w:w="8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482"/>
        </w:trPr>
        <w:tc>
          <w:tcPr>
            <w:tcW w:w="1380" w:type="dxa"/>
            <w:vAlign w:val="bottom"/>
            <w:tcBorders>
              <w:left w:val="single" w:sz="8" w:color="auto"/>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35"/>
                <w:szCs w:val="35"/>
                <w:color w:val="auto"/>
                <w:vertAlign w:val="subscript"/>
              </w:rPr>
              <w:t>0</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bl>
    <w:p>
      <w:pPr>
        <w:sectPr>
          <w:pgSz w:w="11900" w:h="16900" w:orient="portrait"/>
          <w:cols w:equalWidth="0" w:num="1">
            <w:col w:w="11240"/>
          </w:cols>
          <w:pgMar w:left="320" w:top="887" w:right="339" w:bottom="0" w:gutter="0" w:footer="0" w:header="0"/>
        </w:sectPr>
      </w:pPr>
    </w:p>
    <w:bookmarkStart w:id="1" w:name="page2"/>
    <w:bookmarkEnd w:id="1"/>
    <w:p>
      <w:pPr>
        <w:ind w:left="2280" w:right="6420" w:hanging="515"/>
        <w:spacing w:after="0" w:line="298" w:lineRule="auto"/>
        <w:tabs>
          <w:tab w:leader="none" w:pos="22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88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88950"/>
                    </a:xfrm>
                    <a:prstGeom prst="rect">
                      <a:avLst/>
                    </a:prstGeom>
                    <a:noFill/>
                  </pic:spPr>
                </pic:pic>
              </a:graphicData>
            </a:graphic>
          </wp:anchor>
        </w:drawing>
        <w:t xml:space="preserve">SHARED DISPOSITIVE POWER </w:t>
      </w:r>
      <w:r>
        <w:rPr>
          <w:rFonts w:ascii="Times New Roman" w:cs="Times New Roman" w:eastAsia="Times New Roman" w:hAnsi="Times New Roman"/>
          <w:sz w:val="35"/>
          <w:szCs w:val="35"/>
          <w:color w:val="auto"/>
          <w:vertAlign w:val="subscript"/>
        </w:rPr>
        <w:t>0</w:t>
      </w: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877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877060"/>
                    </a:xfrm>
                    <a:prstGeom prst="rect">
                      <a:avLst/>
                    </a:prstGeom>
                    <a:noFill/>
                  </pic:spPr>
                </pic:pic>
              </a:graphicData>
            </a:graphic>
          </wp:anchor>
        </w:drawing>
      </w:r>
    </w:p>
    <w:p>
      <w:pPr>
        <w:spacing w:after="0" w:line="209" w:lineRule="exact"/>
        <w:rPr>
          <w:sz w:val="20"/>
          <w:szCs w:val="20"/>
          <w:color w:val="auto"/>
        </w:rPr>
      </w:pPr>
    </w:p>
    <w:p>
      <w:pPr>
        <w:ind w:left="940" w:hanging="525"/>
        <w:spacing w:after="0"/>
        <w:tabs>
          <w:tab w:leader="none" w:pos="9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35"/>
          <w:szCs w:val="35"/>
          <w:color w:val="auto"/>
          <w:vertAlign w:val="subscript"/>
        </w:rPr>
        <w:t>0</w:t>
      </w:r>
      <w:r>
        <w:rPr>
          <w:rFonts w:ascii="Times New Roman" w:cs="Times New Roman" w:eastAsia="Times New Roman" w:hAnsi="Times New Roman"/>
          <w:sz w:val="15"/>
          <w:szCs w:val="15"/>
          <w:color w:val="auto"/>
        </w:rPr>
        <w:t>(1)</w:t>
      </w:r>
    </w:p>
    <w:p>
      <w:pPr>
        <w:spacing w:after="0" w:line="119" w:lineRule="exact"/>
        <w:rPr>
          <w:sz w:val="20"/>
          <w:szCs w:val="20"/>
          <w:color w:val="auto"/>
        </w:rPr>
      </w:pPr>
    </w:p>
    <w:p>
      <w:pPr>
        <w:ind w:left="940" w:hanging="570"/>
        <w:spacing w:after="0"/>
        <w:tabs>
          <w:tab w:leader="none" w:pos="94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184" w:lineRule="exact"/>
        <w:rPr>
          <w:rFonts w:ascii="Times New Roman" w:cs="Times New Roman" w:eastAsia="Times New Roman" w:hAnsi="Times New Roman"/>
          <w:sz w:val="18"/>
          <w:szCs w:val="18"/>
          <w:b w:val="1"/>
          <w:bCs w:val="1"/>
          <w:color w:val="auto"/>
        </w:rPr>
      </w:pPr>
    </w:p>
    <w:p>
      <w:pPr>
        <w:ind w:left="9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144" w:lineRule="exact"/>
        <w:rPr>
          <w:rFonts w:ascii="Times New Roman" w:cs="Times New Roman" w:eastAsia="Times New Roman" w:hAnsi="Times New Roman"/>
          <w:sz w:val="18"/>
          <w:szCs w:val="18"/>
          <w:b w:val="1"/>
          <w:bCs w:val="1"/>
          <w:color w:val="auto"/>
        </w:rPr>
      </w:pPr>
    </w:p>
    <w:p>
      <w:pPr>
        <w:ind w:left="940" w:right="5240" w:hanging="565"/>
        <w:spacing w:after="0" w:line="296" w:lineRule="auto"/>
        <w:tabs>
          <w:tab w:leader="none" w:pos="94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PERCENT OF CLASS REPRESENTED BY AMOUNT IN ROW (9) </w:t>
      </w:r>
      <w:r>
        <w:rPr>
          <w:rFonts w:ascii="Times New Roman" w:cs="Times New Roman" w:eastAsia="Times New Roman" w:hAnsi="Times New Roman"/>
          <w:sz w:val="35"/>
          <w:szCs w:val="35"/>
          <w:color w:val="auto"/>
          <w:vertAlign w:val="subscript"/>
        </w:rPr>
        <w:t>0%</w:t>
      </w:r>
      <w:r>
        <w:rPr>
          <w:rFonts w:ascii="Times New Roman" w:cs="Times New Roman" w:eastAsia="Times New Roman" w:hAnsi="Times New Roman"/>
          <w:sz w:val="14"/>
          <w:szCs w:val="14"/>
          <w:color w:val="auto"/>
        </w:rPr>
        <w:t>(1)</w:t>
      </w:r>
    </w:p>
    <w:p>
      <w:pPr>
        <w:spacing w:after="0" w:line="4" w:lineRule="exact"/>
        <w:rPr>
          <w:rFonts w:ascii="Times New Roman" w:cs="Times New Roman" w:eastAsia="Times New Roman" w:hAnsi="Times New Roman"/>
          <w:sz w:val="18"/>
          <w:szCs w:val="18"/>
          <w:b w:val="1"/>
          <w:bCs w:val="1"/>
          <w:color w:val="auto"/>
        </w:rPr>
      </w:pPr>
    </w:p>
    <w:p>
      <w:pPr>
        <w:ind w:left="940" w:right="7800" w:hanging="570"/>
        <w:spacing w:after="0" w:line="524" w:lineRule="auto"/>
        <w:tabs>
          <w:tab w:leader="none" w:pos="94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CO</w:t>
      </w: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CUSIP No. 74113T105</w:t>
            </w:r>
          </w:p>
        </w:tc>
        <w:tc>
          <w:tcPr>
            <w:tcW w:w="520" w:type="dxa"/>
            <w:vAlign w:val="bottom"/>
          </w:tcPr>
          <w:p>
            <w:pPr>
              <w:spacing w:after="0"/>
              <w:rPr>
                <w:sz w:val="20"/>
                <w:szCs w:val="20"/>
                <w:color w:val="auto"/>
              </w:rPr>
            </w:pPr>
          </w:p>
        </w:tc>
        <w:tc>
          <w:tcPr>
            <w:tcW w:w="8980" w:type="dxa"/>
            <w:vAlign w:val="bottom"/>
          </w:tcPr>
          <w:p>
            <w:pPr>
              <w:ind w:left="7700"/>
              <w:spacing w:after="0"/>
              <w:rPr>
                <w:sz w:val="20"/>
                <w:szCs w:val="20"/>
                <w:color w:val="auto"/>
              </w:rPr>
            </w:pPr>
            <w:r>
              <w:rPr>
                <w:rFonts w:ascii="Times New Roman" w:cs="Times New Roman" w:eastAsia="Times New Roman" w:hAnsi="Times New Roman"/>
                <w:sz w:val="18"/>
                <w:szCs w:val="18"/>
                <w:color w:val="auto"/>
                <w:w w:val="96"/>
              </w:rPr>
              <w:t>Page 2 of 7 Pages</w:t>
            </w:r>
          </w:p>
        </w:tc>
        <w:tc>
          <w:tcPr>
            <w:tcW w:w="0" w:type="dxa"/>
            <w:vAlign w:val="bottom"/>
          </w:tcPr>
          <w:p>
            <w:pPr>
              <w:spacing w:after="0"/>
              <w:rPr>
                <w:sz w:val="1"/>
                <w:szCs w:val="1"/>
                <w:color w:val="auto"/>
              </w:rPr>
            </w:pPr>
          </w:p>
        </w:tc>
      </w:tr>
      <w:tr>
        <w:trPr>
          <w:trHeight w:val="216"/>
        </w:trPr>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8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20" w:type="dxa"/>
            <w:vAlign w:val="bottom"/>
          </w:tcPr>
          <w:p>
            <w:pPr>
              <w:spacing w:after="0"/>
              <w:rPr>
                <w:sz w:val="20"/>
                <w:szCs w:val="20"/>
                <w:color w:val="auto"/>
              </w:rPr>
            </w:pPr>
          </w:p>
        </w:tc>
        <w:tc>
          <w:tcPr>
            <w:tcW w:w="103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32"/>
        </w:trPr>
        <w:tc>
          <w:tcPr>
            <w:tcW w:w="92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Nima Montazeri</w:t>
            </w:r>
          </w:p>
        </w:tc>
        <w:tc>
          <w:tcPr>
            <w:tcW w:w="8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8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20" w:type="dxa"/>
            <w:vAlign w:val="bottom"/>
          </w:tcPr>
          <w:p>
            <w:pPr>
              <w:spacing w:after="0"/>
              <w:rPr>
                <w:sz w:val="20"/>
                <w:szCs w:val="20"/>
                <w:color w:val="auto"/>
              </w:rPr>
            </w:pPr>
          </w:p>
        </w:tc>
        <w:tc>
          <w:tcPr>
            <w:tcW w:w="103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59"/>
        </w:trPr>
        <w:tc>
          <w:tcPr>
            <w:tcW w:w="920" w:type="dxa"/>
            <w:vAlign w:val="bottom"/>
            <w:tcBorders>
              <w:left w:val="single" w:sz="8" w:color="auto"/>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20" w:type="dxa"/>
            <w:vAlign w:val="bottom"/>
          </w:tcPr>
          <w:p>
            <w:pPr>
              <w:spacing w:after="0"/>
              <w:rPr>
                <w:sz w:val="20"/>
                <w:szCs w:val="20"/>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8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20" w:type="dxa"/>
            <w:vAlign w:val="bottom"/>
            <w:tcBorders>
              <w:left w:val="single" w:sz="8" w:color="auto"/>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20" w:type="dxa"/>
            <w:vAlign w:val="bottom"/>
          </w:tcPr>
          <w:p>
            <w:pPr>
              <w:spacing w:after="0"/>
              <w:rPr>
                <w:sz w:val="20"/>
                <w:szCs w:val="20"/>
                <w:color w:val="auto"/>
              </w:rPr>
            </w:pPr>
          </w:p>
        </w:tc>
        <w:tc>
          <w:tcPr>
            <w:tcW w:w="103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92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520" w:type="dxa"/>
            <w:vAlign w:val="bottom"/>
          </w:tcPr>
          <w:p>
            <w:pPr>
              <w:spacing w:after="0"/>
              <w:rPr>
                <w:sz w:val="24"/>
                <w:szCs w:val="24"/>
                <w:color w:val="auto"/>
              </w:rPr>
            </w:pPr>
          </w:p>
        </w:tc>
        <w:tc>
          <w:tcPr>
            <w:tcW w:w="8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5</w:t>
            </w:r>
          </w:p>
        </w:tc>
        <w:tc>
          <w:tcPr>
            <w:tcW w:w="8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75"/>
        </w:trPr>
        <w:tc>
          <w:tcPr>
            <w:tcW w:w="138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8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35"/>
                <w:szCs w:val="35"/>
                <w:color w:val="auto"/>
                <w:vertAlign w:val="subscript"/>
              </w:rPr>
              <w:t>0</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5"/>
        </w:trPr>
        <w:tc>
          <w:tcPr>
            <w:tcW w:w="1380" w:type="dxa"/>
            <w:vAlign w:val="bottom"/>
            <w:tcBorders>
              <w:left w:val="single" w:sz="8" w:color="auto"/>
              <w:right w:val="single" w:sz="8" w:color="auto"/>
            </w:tcBorders>
            <w:gridSpan w:val="3"/>
            <w:vMerge w:val="continue"/>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8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380" w:type="dxa"/>
            <w:vAlign w:val="bottom"/>
            <w:tcBorders>
              <w:left w:val="single" w:sz="8" w:color="auto"/>
              <w:right w:val="single" w:sz="8" w:color="auto"/>
            </w:tcBorders>
            <w:gridSpan w:val="3"/>
            <w:vMerge w:val="continue"/>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Borders>
              <w:right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6</w:t>
            </w:r>
          </w:p>
        </w:tc>
        <w:tc>
          <w:tcPr>
            <w:tcW w:w="89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67"/>
        </w:trPr>
        <w:tc>
          <w:tcPr>
            <w:tcW w:w="138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spacing w:after="0"/>
              <w:rPr>
                <w:sz w:val="14"/>
                <w:szCs w:val="14"/>
                <w:color w:val="auto"/>
              </w:rPr>
            </w:pPr>
          </w:p>
        </w:tc>
        <w:tc>
          <w:tcPr>
            <w:tcW w:w="520" w:type="dxa"/>
            <w:vAlign w:val="bottom"/>
            <w:tcBorders>
              <w:right w:val="single" w:sz="8" w:color="auto"/>
            </w:tcBorders>
            <w:vMerge w:val="continue"/>
          </w:tcPr>
          <w:p>
            <w:pPr>
              <w:spacing w:after="0"/>
              <w:rPr>
                <w:sz w:val="14"/>
                <w:szCs w:val="14"/>
                <w:color w:val="auto"/>
              </w:rPr>
            </w:pPr>
          </w:p>
        </w:tc>
        <w:tc>
          <w:tcPr>
            <w:tcW w:w="89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380" w:type="dxa"/>
            <w:vAlign w:val="bottom"/>
            <w:tcBorders>
              <w:left w:val="single" w:sz="8" w:color="auto"/>
              <w:right w:val="single" w:sz="8" w:color="auto"/>
            </w:tcBorders>
            <w:gridSpan w:val="3"/>
            <w:vMerge w:val="continue"/>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89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35"/>
                <w:szCs w:val="35"/>
                <w:color w:val="auto"/>
                <w:vertAlign w:val="subscript"/>
              </w:rPr>
              <w:t>0</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89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940" w:type="dxa"/>
            <w:vAlign w:val="bottom"/>
            <w:tcBorders>
              <w:left w:val="single" w:sz="8" w:color="auto"/>
            </w:tcBorders>
            <w:gridSpan w:val="2"/>
          </w:tcPr>
          <w:p>
            <w:pPr>
              <w:jc w:val="center"/>
              <w:ind w:left="350"/>
              <w:spacing w:after="0" w:line="182" w:lineRule="exact"/>
              <w:rPr>
                <w:sz w:val="20"/>
                <w:szCs w:val="20"/>
                <w:color w:val="auto"/>
              </w:rPr>
            </w:pPr>
            <w:r>
              <w:rPr>
                <w:rFonts w:ascii="Times New Roman" w:cs="Times New Roman" w:eastAsia="Times New Roman" w:hAnsi="Times New Roman"/>
                <w:sz w:val="18"/>
                <w:szCs w:val="18"/>
                <w:color w:val="auto"/>
              </w:rPr>
              <w:t>EACH</w:t>
            </w:r>
          </w:p>
        </w:tc>
        <w:tc>
          <w:tcPr>
            <w:tcW w:w="4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Borders>
              <w:right w:val="single" w:sz="8" w:color="auto"/>
            </w:tcBorders>
          </w:tcPr>
          <w:p>
            <w:pPr>
              <w:jc w:val="right"/>
              <w:ind w:right="310"/>
              <w:spacing w:after="0" w:line="182" w:lineRule="exact"/>
              <w:rPr>
                <w:sz w:val="20"/>
                <w:szCs w:val="20"/>
                <w:color w:val="auto"/>
              </w:rPr>
            </w:pPr>
            <w:r>
              <w:rPr>
                <w:rFonts w:ascii="Times New Roman" w:cs="Times New Roman" w:eastAsia="Times New Roman" w:hAnsi="Times New Roman"/>
                <w:sz w:val="18"/>
                <w:szCs w:val="18"/>
                <w:b w:val="1"/>
                <w:bCs w:val="1"/>
                <w:color w:val="auto"/>
              </w:rPr>
              <w:t>7</w:t>
            </w:r>
          </w:p>
        </w:tc>
        <w:tc>
          <w:tcPr>
            <w:tcW w:w="898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1"/>
        </w:trPr>
        <w:tc>
          <w:tcPr>
            <w:tcW w:w="13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3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3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8980" w:type="dxa"/>
            <w:vAlign w:val="bottom"/>
            <w:tcBorders>
              <w:right w:val="single" w:sz="8" w:color="auto"/>
            </w:tcBorders>
          </w:tcPr>
          <w:p>
            <w:pPr>
              <w:ind w:left="20"/>
              <w:spacing w:after="0" w:line="236" w:lineRule="exact"/>
              <w:rPr>
                <w:sz w:val="20"/>
                <w:szCs w:val="20"/>
                <w:color w:val="auto"/>
              </w:rPr>
            </w:pPr>
            <w:r>
              <w:rPr>
                <w:rFonts w:ascii="Times New Roman" w:cs="Times New Roman" w:eastAsia="Times New Roman" w:hAnsi="Times New Roman"/>
                <w:sz w:val="27"/>
                <w:szCs w:val="27"/>
                <w:color w:val="auto"/>
                <w:vertAlign w:val="subscript"/>
              </w:rPr>
              <w:t>0</w:t>
            </w: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06"/>
        </w:trPr>
        <w:tc>
          <w:tcPr>
            <w:tcW w:w="940" w:type="dxa"/>
            <w:vAlign w:val="bottom"/>
            <w:tcBorders>
              <w:left w:val="single" w:sz="8" w:color="auto"/>
            </w:tcBorders>
            <w:gridSpan w:val="2"/>
            <w:vMerge w:val="restart"/>
          </w:tcPr>
          <w:p>
            <w:pPr>
              <w:jc w:val="center"/>
              <w:ind w:left="350"/>
              <w:spacing w:after="0"/>
              <w:rPr>
                <w:sz w:val="20"/>
                <w:szCs w:val="20"/>
                <w:color w:val="auto"/>
              </w:rPr>
            </w:pPr>
            <w:r>
              <w:rPr>
                <w:rFonts w:ascii="Times New Roman" w:cs="Times New Roman" w:eastAsia="Times New Roman" w:hAnsi="Times New Roman"/>
                <w:sz w:val="18"/>
                <w:szCs w:val="18"/>
                <w:color w:val="auto"/>
                <w:w w:val="97"/>
              </w:rPr>
              <w:t>WITH</w:t>
            </w:r>
          </w:p>
        </w:tc>
        <w:tc>
          <w:tcPr>
            <w:tcW w:w="440" w:type="dxa"/>
            <w:vAlign w:val="bottom"/>
            <w:tcBorders>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8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tcBorders>
            <w:gridSpan w:val="2"/>
            <w:vMerge w:val="continue"/>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Borders>
              <w:right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8</w:t>
            </w:r>
          </w:p>
        </w:tc>
        <w:tc>
          <w:tcPr>
            <w:tcW w:w="89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8"/>
        </w:trPr>
        <w:tc>
          <w:tcPr>
            <w:tcW w:w="920" w:type="dxa"/>
            <w:vAlign w:val="bottom"/>
            <w:tcBorders>
              <w:lef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89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75"/>
        </w:trPr>
        <w:tc>
          <w:tcPr>
            <w:tcW w:w="920" w:type="dxa"/>
            <w:vAlign w:val="bottom"/>
            <w:tcBorders>
              <w:lef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8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35"/>
                <w:szCs w:val="35"/>
                <w:color w:val="auto"/>
                <w:vertAlign w:val="subscript"/>
              </w:rPr>
              <w:t>0</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5"/>
        </w:trPr>
        <w:tc>
          <w:tcPr>
            <w:tcW w:w="920" w:type="dxa"/>
            <w:vAlign w:val="bottom"/>
            <w:tcBorders>
              <w:left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gridSpan w:val="2"/>
          </w:tcPr>
          <w:p>
            <w:pPr>
              <w:spacing w:after="0"/>
              <w:rPr>
                <w:sz w:val="2"/>
                <w:szCs w:val="2"/>
                <w:color w:val="auto"/>
              </w:rPr>
            </w:pPr>
          </w:p>
        </w:tc>
        <w:tc>
          <w:tcPr>
            <w:tcW w:w="8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300" w:type="dxa"/>
            <w:vAlign w:val="bottom"/>
            <w:tcBorders>
              <w:bottom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20" w:type="dxa"/>
            <w:vAlign w:val="bottom"/>
          </w:tcPr>
          <w:p>
            <w:pPr>
              <w:spacing w:after="0"/>
              <w:rPr>
                <w:sz w:val="20"/>
                <w:szCs w:val="20"/>
                <w:color w:val="auto"/>
              </w:rPr>
            </w:pPr>
          </w:p>
        </w:tc>
        <w:tc>
          <w:tcPr>
            <w:tcW w:w="103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75"/>
        </w:trPr>
        <w:tc>
          <w:tcPr>
            <w:tcW w:w="92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35"/>
                <w:szCs w:val="35"/>
                <w:color w:val="auto"/>
                <w:vertAlign w:val="subscript"/>
              </w:rPr>
              <w:t>0</w:t>
            </w:r>
            <w:r>
              <w:rPr>
                <w:rFonts w:ascii="Times New Roman" w:cs="Times New Roman" w:eastAsia="Times New Roman" w:hAnsi="Times New Roman"/>
                <w:sz w:val="15"/>
                <w:szCs w:val="15"/>
                <w:color w:val="auto"/>
              </w:rPr>
              <w:t>(1)</w:t>
            </w: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92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30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20" w:type="dxa"/>
            <w:vAlign w:val="bottom"/>
          </w:tcPr>
          <w:p>
            <w:pPr>
              <w:spacing w:after="0"/>
              <w:rPr>
                <w:sz w:val="20"/>
                <w:szCs w:val="20"/>
                <w:color w:val="auto"/>
              </w:rPr>
            </w:pPr>
          </w:p>
        </w:tc>
        <w:tc>
          <w:tcPr>
            <w:tcW w:w="103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9"/>
        </w:trPr>
        <w:tc>
          <w:tcPr>
            <w:tcW w:w="920" w:type="dxa"/>
            <w:vAlign w:val="bottom"/>
            <w:tcBorders>
              <w:left w:val="single" w:sz="8" w:color="auto"/>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20" w:type="dxa"/>
            <w:vAlign w:val="bottom"/>
          </w:tcPr>
          <w:p>
            <w:pPr>
              <w:spacing w:after="0"/>
              <w:rPr>
                <w:sz w:val="20"/>
                <w:szCs w:val="20"/>
                <w:color w:val="auto"/>
              </w:rPr>
            </w:pPr>
          </w:p>
        </w:tc>
        <w:tc>
          <w:tcPr>
            <w:tcW w:w="103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75"/>
        </w:trPr>
        <w:tc>
          <w:tcPr>
            <w:tcW w:w="92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35"/>
                <w:szCs w:val="35"/>
                <w:color w:val="auto"/>
                <w:w w:val="82"/>
                <w:vertAlign w:val="subscript"/>
              </w:rPr>
              <w:t>0%</w:t>
            </w:r>
            <w:r>
              <w:rPr>
                <w:rFonts w:ascii="Times New Roman" w:cs="Times New Roman" w:eastAsia="Times New Roman" w:hAnsi="Times New Roman"/>
                <w:sz w:val="15"/>
                <w:szCs w:val="15"/>
                <w:color w:val="auto"/>
                <w:w w:val="82"/>
              </w:rPr>
              <w:t>(1)</w:t>
            </w: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92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30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20" w:type="dxa"/>
            <w:vAlign w:val="bottom"/>
          </w:tcPr>
          <w:p>
            <w:pPr>
              <w:spacing w:after="0"/>
              <w:rPr>
                <w:sz w:val="20"/>
                <w:szCs w:val="20"/>
                <w:color w:val="auto"/>
              </w:rPr>
            </w:pPr>
          </w:p>
        </w:tc>
        <w:tc>
          <w:tcPr>
            <w:tcW w:w="103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32"/>
        </w:trPr>
        <w:tc>
          <w:tcPr>
            <w:tcW w:w="92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w:t>
            </w:r>
          </w:p>
        </w:tc>
        <w:tc>
          <w:tcPr>
            <w:tcW w:w="520" w:type="dxa"/>
            <w:vAlign w:val="bottom"/>
          </w:tcPr>
          <w:p>
            <w:pPr>
              <w:spacing w:after="0"/>
              <w:rPr>
                <w:sz w:val="24"/>
                <w:szCs w:val="24"/>
                <w:color w:val="auto"/>
              </w:rPr>
            </w:pPr>
          </w:p>
        </w:tc>
        <w:tc>
          <w:tcPr>
            <w:tcW w:w="8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62" w:right="339" w:bottom="353" w:gutter="0" w:footer="0" w:header="0"/>
        </w:sectPr>
      </w:pPr>
    </w:p>
    <w:bookmarkStart w:id="2" w:name="page3"/>
    <w:bookmarkEnd w:id="2"/>
    <w:p>
      <w:pPr>
        <w:spacing w:after="0"/>
        <w:tabs>
          <w:tab w:leader="none" w:pos="9940" w:val="left"/>
        </w:tabs>
        <w:rPr>
          <w:sz w:val="20"/>
          <w:szCs w:val="20"/>
          <w:color w:val="auto"/>
        </w:rPr>
      </w:pPr>
      <w:r>
        <w:rPr>
          <w:rFonts w:ascii="Times New Roman" w:cs="Times New Roman" w:eastAsia="Times New Roman" w:hAnsi="Times New Roman"/>
          <w:sz w:val="18"/>
          <w:szCs w:val="18"/>
          <w:color w:val="auto"/>
        </w:rPr>
        <w:t>CUSIP No. 74113T105</w:t>
      </w:r>
      <w:r>
        <w:rPr>
          <w:sz w:val="20"/>
          <w:szCs w:val="20"/>
          <w:color w:val="auto"/>
        </w:rPr>
        <w:tab/>
      </w:r>
      <w:r>
        <w:rPr>
          <w:rFonts w:ascii="Times New Roman" w:cs="Times New Roman" w:eastAsia="Times New Roman" w:hAnsi="Times New Roman"/>
          <w:sz w:val="17"/>
          <w:szCs w:val="17"/>
          <w:color w:val="auto"/>
        </w:rPr>
        <w:t>Page 3 of 7 Pages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5" w:lineRule="exact"/>
        <w:rPr>
          <w:sz w:val="20"/>
          <w:szCs w:val="20"/>
          <w:color w:val="auto"/>
        </w:rPr>
      </w:pPr>
    </w:p>
    <w:p>
      <w:pPr>
        <w:ind w:left="900" w:hanging="447"/>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Name of Issuer</w:t>
      </w:r>
    </w:p>
    <w:p>
      <w:pPr>
        <w:spacing w:after="0" w:line="22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21" w:lineRule="exact"/>
        <w:rPr>
          <w:sz w:val="20"/>
          <w:szCs w:val="20"/>
          <w:color w:val="auto"/>
        </w:rPr>
      </w:pPr>
    </w:p>
    <w:p>
      <w:pPr>
        <w:ind w:left="900" w:hanging="447"/>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Address of Issuer’s principal executive offices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985 Industrial Road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Carlos, CA 94070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5" w:lineRule="exact"/>
        <w:rPr>
          <w:sz w:val="20"/>
          <w:szCs w:val="20"/>
          <w:color w:val="auto"/>
        </w:rPr>
      </w:pPr>
    </w:p>
    <w:p>
      <w:pPr>
        <w:ind w:left="900" w:hanging="447"/>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Name of persons filing</w:t>
      </w:r>
    </w:p>
    <w:p>
      <w:pPr>
        <w:spacing w:after="0" w:line="229" w:lineRule="exact"/>
        <w:rPr>
          <w:sz w:val="20"/>
          <w:szCs w:val="20"/>
          <w:color w:val="auto"/>
        </w:rPr>
      </w:pPr>
    </w:p>
    <w:p>
      <w:pPr>
        <w:ind w:left="1220"/>
        <w:spacing w:after="0" w:line="282" w:lineRule="auto"/>
        <w:rPr>
          <w:sz w:val="20"/>
          <w:szCs w:val="20"/>
          <w:color w:val="auto"/>
        </w:rPr>
      </w:pPr>
      <w:r>
        <w:rPr>
          <w:rFonts w:ascii="Times New Roman" w:cs="Times New Roman" w:eastAsia="Times New Roman" w:hAnsi="Times New Roman"/>
          <w:sz w:val="18"/>
          <w:szCs w:val="18"/>
          <w:color w:val="auto"/>
        </w:rPr>
        <w:t>This Schedule 13G is being jointly filed by Brown Stone Capital Limited (“</w:t>
      </w:r>
      <w:r>
        <w:rPr>
          <w:rFonts w:ascii="Times New Roman" w:cs="Times New Roman" w:eastAsia="Times New Roman" w:hAnsi="Times New Roman"/>
          <w:sz w:val="18"/>
          <w:szCs w:val="18"/>
          <w:u w:val="single" w:color="auto"/>
          <w:color w:val="auto"/>
        </w:rPr>
        <w:t>Brown Stone Capital</w:t>
      </w:r>
      <w:r>
        <w:rPr>
          <w:rFonts w:ascii="Times New Roman" w:cs="Times New Roman" w:eastAsia="Times New Roman" w:hAnsi="Times New Roman"/>
          <w:sz w:val="18"/>
          <w:szCs w:val="18"/>
          <w:color w:val="auto"/>
        </w:rPr>
        <w:t>”) and Nima Montazeri (“</w:t>
      </w:r>
      <w:r>
        <w:rPr>
          <w:rFonts w:ascii="Times New Roman" w:cs="Times New Roman" w:eastAsia="Times New Roman" w:hAnsi="Times New Roman"/>
          <w:sz w:val="18"/>
          <w:szCs w:val="18"/>
          <w:u w:val="single" w:color="auto"/>
          <w:color w:val="auto"/>
        </w:rPr>
        <w:t>Mr. Montazeri</w:t>
      </w:r>
      <w:r>
        <w:rPr>
          <w:rFonts w:ascii="Times New Roman" w:cs="Times New Roman" w:eastAsia="Times New Roman" w:hAnsi="Times New Roman"/>
          <w:sz w:val="18"/>
          <w:szCs w:val="18"/>
          <w:color w:val="auto"/>
        </w:rPr>
        <w:t>” and, together with Brown Stone Capital, collectively,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20"/>
        <w:spacing w:after="0" w:line="282" w:lineRule="auto"/>
        <w:rPr>
          <w:sz w:val="20"/>
          <w:szCs w:val="20"/>
          <w:color w:val="auto"/>
        </w:rPr>
      </w:pPr>
      <w:r>
        <w:rPr>
          <w:rFonts w:ascii="Times New Roman" w:cs="Times New Roman" w:eastAsia="Times New Roman" w:hAnsi="Times New Roman"/>
          <w:sz w:val="18"/>
          <w:szCs w:val="18"/>
          <w:color w:val="auto"/>
        </w:rPr>
        <w:t>Brown Stone Capital is beneficially owned and controlled by Mr. Montazeri and, in such capacity, exercises the sole voting and investment power over the Common Stock of the Company held by Brown Stone Capital.</w:t>
      </w:r>
    </w:p>
    <w:p>
      <w:pPr>
        <w:spacing w:after="0" w:line="158" w:lineRule="exact"/>
        <w:rPr>
          <w:sz w:val="20"/>
          <w:szCs w:val="20"/>
          <w:color w:val="auto"/>
        </w:rPr>
      </w:pPr>
    </w:p>
    <w:p>
      <w:pPr>
        <w:ind w:left="900" w:hanging="447"/>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Address or principal business office or, if none, residence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Brown Stone Capital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Rear No. 2 Glenthorne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United Kingdom, N11 3HT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Nima Montazeri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Brown Stone Capital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Rear No. 2 Glenthorne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United Kingdom, N11 3HT</w:t>
      </w:r>
    </w:p>
    <w:p>
      <w:pPr>
        <w:spacing w:after="0" w:line="203" w:lineRule="exact"/>
        <w:rPr>
          <w:sz w:val="20"/>
          <w:szCs w:val="20"/>
          <w:color w:val="auto"/>
        </w:rPr>
      </w:pPr>
    </w:p>
    <w:p>
      <w:pPr>
        <w:ind w:left="900" w:hanging="447"/>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Citizenship</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Brown Stone Capital Limited is organized under the laws of the United Kingdom. Nima Montazeri is a citizen of Canada and a permanent resident of the United States.</w:t>
      </w:r>
    </w:p>
    <w:p>
      <w:pPr>
        <w:spacing w:after="0" w:line="158" w:lineRule="exact"/>
        <w:rPr>
          <w:sz w:val="20"/>
          <w:szCs w:val="20"/>
          <w:color w:val="auto"/>
        </w:rPr>
      </w:pPr>
    </w:p>
    <w:p>
      <w:pPr>
        <w:ind w:left="900" w:hanging="447"/>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Title of class of securities</w:t>
      </w:r>
    </w:p>
    <w:p>
      <w:pPr>
        <w:spacing w:after="0" w:line="22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Common Stock, $0.0001 par value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220" w:right="9200" w:hanging="767"/>
        <w:spacing w:after="0" w:line="582" w:lineRule="auto"/>
        <w:tabs>
          <w:tab w:leader="none" w:pos="89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CUSIP No. </w:t>
      </w:r>
      <w:r>
        <w:rPr>
          <w:rFonts w:ascii="Times New Roman" w:cs="Times New Roman" w:eastAsia="Times New Roman" w:hAnsi="Times New Roman"/>
          <w:sz w:val="17"/>
          <w:szCs w:val="17"/>
          <w:color w:val="auto"/>
        </w:rPr>
        <w:t>74113T105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9940" w:val="left"/>
        </w:tabs>
        <w:rPr>
          <w:sz w:val="20"/>
          <w:szCs w:val="20"/>
          <w:color w:val="auto"/>
        </w:rPr>
      </w:pPr>
      <w:r>
        <w:rPr>
          <w:rFonts w:ascii="Times New Roman" w:cs="Times New Roman" w:eastAsia="Times New Roman" w:hAnsi="Times New Roman"/>
          <w:sz w:val="18"/>
          <w:szCs w:val="18"/>
          <w:color w:val="auto"/>
        </w:rPr>
        <w:t>CUSIP No. 74113T105</w:t>
      </w:r>
      <w:r>
        <w:rPr>
          <w:sz w:val="20"/>
          <w:szCs w:val="20"/>
          <w:color w:val="auto"/>
        </w:rPr>
        <w:tab/>
      </w:r>
      <w:r>
        <w:rPr>
          <w:rFonts w:ascii="Times New Roman" w:cs="Times New Roman" w:eastAsia="Times New Roman" w:hAnsi="Times New Roman"/>
          <w:sz w:val="17"/>
          <w:szCs w:val="17"/>
          <w:color w:val="auto"/>
        </w:rPr>
        <w:t>Page 4 of 7 Pages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If this statement is filed pursuant to Rule 13d-1(b), or 13d-2(b), check whether the person filing is a:</w:t>
      </w:r>
    </w:p>
    <w:p>
      <w:pPr>
        <w:spacing w:after="0" w:line="184" w:lineRule="exact"/>
        <w:rPr>
          <w:sz w:val="20"/>
          <w:szCs w:val="20"/>
          <w:color w:val="auto"/>
        </w:rPr>
      </w:pPr>
    </w:p>
    <w:p>
      <w:pPr>
        <w:ind w:left="460" w:hanging="452"/>
        <w:spacing w:after="0" w:line="207" w:lineRule="exact"/>
        <w:tabs>
          <w:tab w:leader="none" w:pos="46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460" w:hanging="452"/>
        <w:spacing w:after="0" w:line="207" w:lineRule="exact"/>
        <w:tabs>
          <w:tab w:leader="none" w:pos="46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460" w:hanging="452"/>
        <w:spacing w:after="0" w:line="207" w:lineRule="exact"/>
        <w:tabs>
          <w:tab w:leader="none" w:pos="46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460" w:hanging="452"/>
        <w:spacing w:after="0" w:line="207" w:lineRule="exact"/>
        <w:tabs>
          <w:tab w:leader="none" w:pos="46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460" w:hanging="452"/>
        <w:spacing w:after="0" w:line="207" w:lineRule="exact"/>
        <w:tabs>
          <w:tab w:leader="none" w:pos="46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460" w:hanging="452"/>
        <w:spacing w:after="0" w:line="207" w:lineRule="exact"/>
        <w:tabs>
          <w:tab w:leader="none" w:pos="46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460" w:hanging="452"/>
        <w:spacing w:after="0" w:line="207" w:lineRule="exact"/>
        <w:tabs>
          <w:tab w:leader="none" w:pos="46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460" w:hanging="452"/>
        <w:spacing w:after="0" w:line="207" w:lineRule="exact"/>
        <w:tabs>
          <w:tab w:leader="none" w:pos="46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900" w:hanging="892"/>
        <w:spacing w:after="0" w:line="245" w:lineRule="exact"/>
        <w:tabs>
          <w:tab w:leader="none" w:pos="454"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ectPr>
          <w:pgSz w:w="11900" w:h="16838" w:orient="portrait"/>
          <w:cols w:equalWidth="0" w:num="1">
            <w:col w:w="11240"/>
          </w:cols>
          <w:pgMar w:left="320" w:top="621" w:right="339" w:bottom="0" w:gutter="0" w:footer="0" w:header="0"/>
        </w:sectPr>
      </w:pPr>
    </w:p>
    <w:bookmarkStart w:id="3" w:name="page4"/>
    <w:bookmarkEnd w:id="3"/>
    <w:p>
      <w:pPr>
        <w:ind w:left="460" w:hanging="452"/>
        <w:spacing w:after="0" w:line="207" w:lineRule="exact"/>
        <w:tabs>
          <w:tab w:leader="none" w:pos="46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§240.13d-1(b)(1)(ii)(J).</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filing as a non-U.S. institution in accordance with Rule 13d-1(b)(1)(ii)(J), please specify the type of institution: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Ownership</w:t>
      </w:r>
    </w:p>
    <w:p>
      <w:pPr>
        <w:spacing w:after="0" w:line="225" w:lineRule="exact"/>
        <w:rPr>
          <w:sz w:val="20"/>
          <w:szCs w:val="20"/>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See the response to Item 4(c) below for each Reporting Person.</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See the response to Item 4(c) below for each Reporting Person.</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440" w:hanging="217"/>
        <w:spacing w:after="0"/>
        <w:tabs>
          <w:tab w:leader="none" w:pos="14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See the table below.</w:t>
      </w:r>
    </w:p>
    <w:p>
      <w:pPr>
        <w:spacing w:after="0" w:line="225" w:lineRule="exact"/>
        <w:rPr>
          <w:sz w:val="20"/>
          <w:szCs w:val="20"/>
          <w:color w:val="auto"/>
        </w:rPr>
      </w:pPr>
    </w:p>
    <w:p>
      <w:pPr>
        <w:ind w:left="1220" w:right="6760" w:firstLine="3"/>
        <w:spacing w:after="0" w:line="500" w:lineRule="auto"/>
        <w:tabs>
          <w:tab w:leader="none" w:pos="14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See the table below.</w:t>
      </w:r>
    </w:p>
    <w:p>
      <w:pPr>
        <w:spacing w:after="0" w:line="1" w:lineRule="exact"/>
        <w:rPr>
          <w:rFonts w:ascii="Times New Roman" w:cs="Times New Roman" w:eastAsia="Times New Roman" w:hAnsi="Times New Roman"/>
          <w:sz w:val="18"/>
          <w:szCs w:val="18"/>
          <w:color w:val="auto"/>
        </w:rPr>
      </w:pPr>
    </w:p>
    <w:p>
      <w:pPr>
        <w:ind w:left="1220" w:right="5980" w:firstLine="3"/>
        <w:spacing w:after="0" w:line="500" w:lineRule="auto"/>
        <w:tabs>
          <w:tab w:leader="none" w:pos="15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the table below.</w:t>
      </w:r>
    </w:p>
    <w:p>
      <w:pPr>
        <w:spacing w:after="0" w:line="1" w:lineRule="exact"/>
        <w:rPr>
          <w:rFonts w:ascii="Times New Roman" w:cs="Times New Roman" w:eastAsia="Times New Roman" w:hAnsi="Times New Roman"/>
          <w:sz w:val="18"/>
          <w:szCs w:val="18"/>
          <w:color w:val="auto"/>
        </w:rPr>
      </w:pPr>
    </w:p>
    <w:p>
      <w:pPr>
        <w:ind w:left="1520" w:hanging="297"/>
        <w:spacing w:after="0"/>
        <w:tabs>
          <w:tab w:leader="none" w:pos="1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See the table below.</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part of this report, the Reporting Persons current position as of the date of the event which requires filing this statement and as of the date of this report is included in the table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8540" w:type="dxa"/>
            <w:vAlign w:val="bottom"/>
            <w:tcBorders>
              <w:bottom w:val="single" w:sz="8" w:color="auto"/>
            </w:tcBorders>
          </w:tcPr>
          <w:p>
            <w:pPr>
              <w:ind w:left="3620"/>
              <w:spacing w:after="0"/>
              <w:rPr>
                <w:sz w:val="20"/>
                <w:szCs w:val="20"/>
                <w:color w:val="auto"/>
              </w:rPr>
            </w:pPr>
            <w:r>
              <w:rPr>
                <w:rFonts w:ascii="Times New Roman" w:cs="Times New Roman" w:eastAsia="Times New Roman" w:hAnsi="Times New Roman"/>
                <w:sz w:val="18"/>
                <w:szCs w:val="18"/>
                <w:b w:val="1"/>
                <w:bCs w:val="1"/>
                <w:color w:val="auto"/>
              </w:rPr>
              <w:t>Transaction Date</w:t>
            </w: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20" w:type="dxa"/>
            <w:vAlign w:val="bottom"/>
          </w:tcPr>
          <w:p>
            <w:pPr>
              <w:spacing w:after="0"/>
              <w:rPr>
                <w:sz w:val="24"/>
                <w:szCs w:val="24"/>
                <w:color w:val="auto"/>
              </w:rPr>
            </w:pPr>
          </w:p>
        </w:tc>
        <w:tc>
          <w:tcPr>
            <w:tcW w:w="1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Percentage</w:t>
            </w:r>
            <w:r>
              <w:rPr>
                <w:rFonts w:ascii="Times New Roman" w:cs="Times New Roman" w:eastAsia="Times New Roman" w:hAnsi="Times New Roman"/>
                <w:sz w:val="29"/>
                <w:szCs w:val="29"/>
                <w:b w:val="1"/>
                <w:bCs w:val="1"/>
                <w:color w:val="auto"/>
                <w:w w:val="96"/>
                <w:vertAlign w:val="superscript"/>
              </w:rPr>
              <w:t>(1)</w:t>
            </w:r>
          </w:p>
        </w:tc>
        <w:tc>
          <w:tcPr>
            <w:tcW w:w="160" w:type="dxa"/>
            <w:vAlign w:val="bottom"/>
          </w:tcPr>
          <w:p>
            <w:pPr>
              <w:spacing w:after="0"/>
              <w:rPr>
                <w:sz w:val="24"/>
                <w:szCs w:val="24"/>
                <w:color w:val="auto"/>
              </w:rPr>
            </w:pPr>
          </w:p>
        </w:tc>
      </w:tr>
      <w:tr>
        <w:trPr>
          <w:trHeight w:val="21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29, 2024</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5,333,000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Current Position</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left="900" w:right="20" w:hanging="447"/>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an aggregate of 87,868,628 shares of Common Stock issued and outstanding as of February 29, 2024, as reported on the Issuer’s Prospectus Supplement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March 1, 2024 pursuant to Rule 424(b)(5).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9940" w:val="left"/>
        </w:tabs>
        <w:rPr>
          <w:sz w:val="20"/>
          <w:szCs w:val="20"/>
          <w:color w:val="auto"/>
        </w:rPr>
      </w:pPr>
      <w:r>
        <w:rPr>
          <w:rFonts w:ascii="Times New Roman" w:cs="Times New Roman" w:eastAsia="Times New Roman" w:hAnsi="Times New Roman"/>
          <w:sz w:val="18"/>
          <w:szCs w:val="18"/>
          <w:color w:val="auto"/>
        </w:rPr>
        <w:t>CUSIP No. 74113T105</w:t>
      </w:r>
      <w:r>
        <w:rPr>
          <w:sz w:val="20"/>
          <w:szCs w:val="20"/>
          <w:color w:val="auto"/>
        </w:rPr>
        <w:tab/>
      </w:r>
      <w:r>
        <w:rPr>
          <w:rFonts w:ascii="Times New Roman" w:cs="Times New Roman" w:eastAsia="Times New Roman" w:hAnsi="Times New Roman"/>
          <w:sz w:val="17"/>
          <w:szCs w:val="17"/>
          <w:color w:val="auto"/>
        </w:rPr>
        <w:t>Page 5 of 7 Pages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Ownership of Five Percent or Less of a Class</w:t>
      </w:r>
    </w:p>
    <w:p>
      <w:pPr>
        <w:spacing w:after="0" w:line="225" w:lineRule="exact"/>
        <w:rPr>
          <w:sz w:val="20"/>
          <w:szCs w:val="20"/>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Ownership of More than Five Percent on Behalf of Another Person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 Identification and Classification of the Subsidiary Which Acquired the Security Being Reported on By the Parent Holding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8. Identification and Classification of Members of the Group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 Notice of Dissolution of Group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10. 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380365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97" w:right="339" w:bottom="533" w:gutter="0" w:footer="0" w:header="0"/>
        </w:sectPr>
      </w:pPr>
    </w:p>
    <w:bookmarkStart w:id="4" w:name="page5"/>
    <w:bookmarkEnd w:id="4"/>
    <w:p>
      <w:pPr>
        <w:spacing w:after="0"/>
        <w:tabs>
          <w:tab w:leader="none" w:pos="9940" w:val="left"/>
        </w:tabs>
        <w:rPr>
          <w:sz w:val="20"/>
          <w:szCs w:val="20"/>
          <w:color w:val="auto"/>
        </w:rPr>
      </w:pPr>
      <w:r>
        <w:rPr>
          <w:rFonts w:ascii="Times New Roman" w:cs="Times New Roman" w:eastAsia="Times New Roman" w:hAnsi="Times New Roman"/>
          <w:sz w:val="18"/>
          <w:szCs w:val="18"/>
          <w:color w:val="auto"/>
        </w:rPr>
        <w:t>CUSIP No. 74113T105</w:t>
      </w:r>
      <w:r>
        <w:rPr>
          <w:sz w:val="20"/>
          <w:szCs w:val="20"/>
          <w:color w:val="auto"/>
        </w:rPr>
        <w:tab/>
      </w:r>
      <w:r>
        <w:rPr>
          <w:rFonts w:ascii="Times New Roman" w:cs="Times New Roman" w:eastAsia="Times New Roman" w:hAnsi="Times New Roman"/>
          <w:sz w:val="17"/>
          <w:szCs w:val="17"/>
          <w:color w:val="auto"/>
        </w:rPr>
        <w:t>Page 6 of 7 Pages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4,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Brown Stone Capital Limited</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Nima Montazeri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24942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Nima Montazeri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/s/ Nima Montazeri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24942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Nima Montazeri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9940" w:val="left"/>
        </w:tabs>
        <w:rPr>
          <w:sz w:val="20"/>
          <w:szCs w:val="20"/>
          <w:color w:val="auto"/>
        </w:rPr>
      </w:pPr>
      <w:r>
        <w:rPr>
          <w:rFonts w:ascii="Times New Roman" w:cs="Times New Roman" w:eastAsia="Times New Roman" w:hAnsi="Times New Roman"/>
          <w:sz w:val="18"/>
          <w:szCs w:val="18"/>
          <w:color w:val="auto"/>
        </w:rPr>
        <w:t>CUSIP No. 74113T105</w:t>
      </w:r>
      <w:r>
        <w:rPr>
          <w:sz w:val="20"/>
          <w:szCs w:val="20"/>
          <w:color w:val="auto"/>
        </w:rPr>
        <w:tab/>
      </w:r>
      <w:r>
        <w:rPr>
          <w:rFonts w:ascii="Times New Roman" w:cs="Times New Roman" w:eastAsia="Times New Roman" w:hAnsi="Times New Roman"/>
          <w:sz w:val="17"/>
          <w:szCs w:val="17"/>
          <w:color w:val="auto"/>
        </w:rPr>
        <w:t>Page 7 of 7 Pages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0000EE"/>
        </w:rPr>
        <w:t>Exhibit 99.1</w:t>
      </w:r>
      <w:r>
        <w:rPr>
          <w:sz w:val="20"/>
          <w:szCs w:val="20"/>
          <w:color w:val="auto"/>
        </w:rPr>
        <w:tab/>
      </w:r>
      <w:r>
        <w:rPr>
          <w:rFonts w:ascii="Times New Roman" w:cs="Times New Roman" w:eastAsia="Times New Roman" w:hAnsi="Times New Roman"/>
          <w:sz w:val="17"/>
          <w:szCs w:val="17"/>
          <w:u w:val="single" w:color="auto"/>
          <w:color w:val="0000EE"/>
        </w:rPr>
        <w:t>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with respect to the Common Stock, $0.0001 par value per share (the “Common Stock”) of Presto Automation Inc., a Delaware corporation, dated as of April 4, 2024, is, and any amendments thereto (including amendments on Schedule 13G) signed by each of the undersigned shall be, filed on behalf of each of us pursuant to and in accordance with the provisions of Rule 13d-1(k) under the Securities Exchange Act of 1934, as amended.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4,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Brown Stone Capital Limited</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Nima Montazeri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24942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Nima Montazeri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/s/ Nima Montazeri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24942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Nima Montazeri</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bullet"/>
      <w:start w:val="1"/>
    </w:lvl>
  </w:abstractNum>
  <w:abstractNum w:abstractNumId="3">
    <w:nsid w:val="109CF92E"/>
    <w:multiLevelType w:val="hybridMultilevel"/>
    <w:lvl w:ilvl="0">
      <w:lvlJc w:val="left"/>
      <w:lvlText w:val="2"/>
      <w:numFmt w:val="bullet"/>
      <w:start w:val="1"/>
    </w:lvl>
  </w:abstractNum>
  <w:abstractNum w:abstractNumId="4">
    <w:nsid w:val="DED7263"/>
    <w:multiLevelType w:val="hybridMultilevel"/>
    <w:lvl w:ilvl="0">
      <w:lvlJc w:val="left"/>
      <w:lvlText w:val="3"/>
      <w:numFmt w:val="bullet"/>
      <w:start w:val="1"/>
    </w:lvl>
  </w:abstractNum>
  <w:abstractNum w:abstractNumId="5">
    <w:nsid w:val="7FDCC233"/>
    <w:multiLevelType w:val="hybridMultilevel"/>
    <w:lvl w:ilvl="0">
      <w:lvlJc w:val="left"/>
      <w:lvlText w:val="4"/>
      <w:numFmt w:val="bullet"/>
      <w:start w:val="1"/>
    </w:lvl>
  </w:abstractNum>
  <w:abstractNum w:abstractNumId="6">
    <w:nsid w:val="1BEFD79F"/>
    <w:multiLevelType w:val="hybridMultilevel"/>
    <w:lvl w:ilvl="0">
      <w:lvlJc w:val="left"/>
      <w:lvlText w:val="8"/>
      <w:numFmt w:val="bullet"/>
      <w:start w:val="1"/>
    </w:lvl>
  </w:abstractNum>
  <w:abstractNum w:abstractNumId="7">
    <w:nsid w:val="41A7C4C9"/>
    <w:multiLevelType w:val="hybridMultilevel"/>
    <w:lvl w:ilvl="0">
      <w:lvlJc w:val="left"/>
      <w:lvlText w:val="9"/>
      <w:numFmt w:val="bullet"/>
      <w:start w:val="1"/>
    </w:lvl>
  </w:abstractNum>
  <w:abstractNum w:abstractNumId="8">
    <w:nsid w:val="6B68079A"/>
    <w:multiLevelType w:val="hybridMultilevel"/>
    <w:lvl w:ilvl="0">
      <w:lvlJc w:val="left"/>
      <w:lvlText w:val="%1"/>
      <w:numFmt w:val="decimal"/>
      <w:start w:val="1"/>
    </w:lvl>
    <w:lvl w:ilvl="1">
      <w:lvlJc w:val="left"/>
      <w:lvlText w:val="%2"/>
      <w:numFmt w:val="decimal"/>
      <w:start w:val="10"/>
    </w:lvl>
  </w:abstractNum>
  <w:abstractNum w:abstractNumId="9">
    <w:nsid w:val="4E6AFB66"/>
    <w:multiLevelType w:val="hybridMultilevel"/>
    <w:lvl w:ilvl="0">
      <w:lvlJc w:val="left"/>
      <w:lvlText w:val="(%1)"/>
      <w:numFmt w:val="decimal"/>
      <w:start w:val="1"/>
    </w:lvl>
    <w:lvl w:ilvl="1">
      <w:lvlJc w:val="left"/>
      <w:lvlText w:val="%2"/>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lowerLetter"/>
      <w:start w:val="2"/>
    </w:lvl>
  </w:abstractNum>
  <w:abstractNum w:abstractNumId="13">
    <w:nsid w:val="3F2DBA31"/>
    <w:multiLevelType w:val="hybridMultilevel"/>
    <w:lvl w:ilvl="0">
      <w:lvlJc w:val="left"/>
      <w:lvlText w:val="(%1)"/>
      <w:numFmt w:val="lowerLetter"/>
      <w:start w:val="1"/>
    </w:lvl>
  </w:abstractNum>
  <w:abstractNum w:abstractNumId="14">
    <w:nsid w:val="7C83E458"/>
    <w:multiLevelType w:val="hybridMultilevel"/>
    <w:lvl w:ilvl="0">
      <w:lvlJc w:val="left"/>
      <w:lvlText w:val="(%1)"/>
      <w:numFmt w:val="lowerLetter"/>
      <w:start w:val="2"/>
    </w:lvl>
  </w:abstractNum>
  <w:abstractNum w:abstractNumId="15">
    <w:nsid w:val="257130A3"/>
    <w:multiLevelType w:val="hybridMultilevel"/>
    <w:lvl w:ilvl="0">
      <w:lvlJc w:val="left"/>
      <w:lvlText w:val="(%1)"/>
      <w:numFmt w:val="lowerLetter"/>
      <w:start w:val="3"/>
    </w:lvl>
  </w:abstractNum>
  <w:abstractNum w:abstractNumId="16">
    <w:nsid w:val="62BBD95A"/>
    <w:multiLevelType w:val="hybridMultilevel"/>
    <w:lvl w:ilvl="0">
      <w:lvlJc w:val="left"/>
      <w:lvlText w:val="(%1)"/>
      <w:numFmt w:val="lowerLetter"/>
      <w:start w:val="4"/>
    </w:lvl>
  </w:abstractNum>
  <w:abstractNum w:abstractNumId="17">
    <w:nsid w:val="436C6125"/>
    <w:multiLevelType w:val="hybridMultilevel"/>
    <w:lvl w:ilvl="0">
      <w:lvlJc w:val="left"/>
      <w:lvlText w:val="(%1)"/>
      <w:numFmt w:val="lowerLetter"/>
      <w:start w:val="5"/>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lowerLetter"/>
      <w:start w:val="10"/>
    </w:lvl>
  </w:abstractNum>
  <w:abstractNum w:abstractNumId="20">
    <w:nsid w:val="721DA317"/>
    <w:multiLevelType w:val="hybridMultilevel"/>
    <w:lvl w:ilvl="0">
      <w:lvlJc w:val="left"/>
      <w:lvlText w:val="(%1)"/>
      <w:numFmt w:val="lowerLetter"/>
      <w:start w:val="1"/>
    </w:lvl>
    <w:lvl w:ilvl="1">
      <w:lvlJc w:val="left"/>
      <w:lvlText w:val="(%2)"/>
      <w:numFmt w:val="lowerLetter"/>
      <w:start w:val="9"/>
    </w:lvl>
  </w:abstractNum>
  <w:abstractNum w:abstractNumId="21">
    <w:nsid w:val="2443A858"/>
    <w:multiLevelType w:val="hybridMultilevel"/>
    <w:lvl w:ilvl="0">
      <w:lvlJc w:val="left"/>
      <w:lvlText w:val="(%1)"/>
      <w:numFmt w:val="lowerRoman"/>
      <w:start w:val="2"/>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2024-04-04T16:10:09Z</dcterms:created>
  <dcterms:modified xsi:type="dcterms:W3CDTF">2024-04-04T16:10:09Z</dcterms:modified>
</cp:coreProperties>
</file>