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jc w:val="center"/>
        <w:ind w:left="3980" w:right="1120" w:hanging="2854"/>
        <w:spacing w:after="0" w:line="503" w:lineRule="auto"/>
        <w:tabs>
          <w:tab w:leader="none" w:pos="132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2021</w:t>
      </w:r>
    </w:p>
    <w:p>
      <w:pPr>
        <w:ind w:left="55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1"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For the transition period from _____________ to ________________</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5"/>
          </w:tcPr>
          <w:p>
            <w:pPr>
              <w:jc w:val="center"/>
              <w:ind w:left="3510"/>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001-39830</w:t>
            </w:r>
          </w:p>
        </w:tc>
        <w:tc>
          <w:tcPr>
            <w:tcW w:w="3580" w:type="dxa"/>
            <w:vAlign w:val="bottom"/>
          </w:tcPr>
          <w:p>
            <w:pPr>
              <w:spacing w:after="0"/>
              <w:rPr>
                <w:sz w:val="17"/>
                <w:szCs w:val="17"/>
                <w:color w:val="auto"/>
              </w:rPr>
            </w:pPr>
          </w:p>
        </w:tc>
      </w:tr>
      <w:tr>
        <w:trPr>
          <w:trHeight w:val="20"/>
        </w:trPr>
        <w:tc>
          <w:tcPr>
            <w:tcW w:w="6180" w:type="dxa"/>
            <w:vAlign w:val="bottom"/>
            <w:gridSpan w:val="3"/>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438"/>
        </w:trPr>
        <w:tc>
          <w:tcPr>
            <w:tcW w:w="7660" w:type="dxa"/>
            <w:vAlign w:val="bottom"/>
            <w:gridSpan w:val="5"/>
          </w:tcPr>
          <w:p>
            <w:pPr>
              <w:jc w:val="center"/>
              <w:ind w:left="3490"/>
              <w:spacing w:after="0"/>
              <w:rPr>
                <w:sz w:val="20"/>
                <w:szCs w:val="20"/>
                <w:color w:val="auto"/>
              </w:rPr>
            </w:pPr>
            <w:r>
              <w:rPr>
                <w:rFonts w:ascii="Arial" w:cs="Arial" w:eastAsia="Arial" w:hAnsi="Arial"/>
                <w:sz w:val="18"/>
                <w:szCs w:val="18"/>
                <w:b w:val="1"/>
                <w:bCs w:val="1"/>
                <w:color w:val="auto"/>
              </w:rPr>
              <w:t>VENTOUX CCM ACQUISITION CORP.</w:t>
            </w:r>
          </w:p>
        </w:tc>
        <w:tc>
          <w:tcPr>
            <w:tcW w:w="3580" w:type="dxa"/>
            <w:vAlign w:val="bottom"/>
          </w:tcPr>
          <w:p>
            <w:pPr>
              <w:spacing w:after="0"/>
              <w:rPr>
                <w:sz w:val="24"/>
                <w:szCs w:val="24"/>
                <w:color w:val="auto"/>
              </w:rPr>
            </w:pPr>
          </w:p>
        </w:tc>
      </w:tr>
      <w:tr>
        <w:trPr>
          <w:trHeight w:val="230"/>
        </w:trPr>
        <w:tc>
          <w:tcPr>
            <w:tcW w:w="7660" w:type="dxa"/>
            <w:vAlign w:val="bottom"/>
            <w:gridSpan w:val="5"/>
          </w:tcPr>
          <w:p>
            <w:pPr>
              <w:jc w:val="center"/>
              <w:ind w:left="3490"/>
              <w:spacing w:after="0"/>
              <w:rPr>
                <w:sz w:val="20"/>
                <w:szCs w:val="20"/>
                <w:color w:val="auto"/>
              </w:rPr>
            </w:pPr>
            <w:r>
              <w:rPr>
                <w:rFonts w:ascii="Arial" w:cs="Arial" w:eastAsia="Arial" w:hAnsi="Arial"/>
                <w:sz w:val="18"/>
                <w:szCs w:val="18"/>
                <w:color w:val="auto"/>
                <w:w w:val="90"/>
              </w:rPr>
              <w:t>(Exact name of registrant as specified in its charter)</w:t>
            </w:r>
          </w:p>
        </w:tc>
        <w:tc>
          <w:tcPr>
            <w:tcW w:w="3580" w:type="dxa"/>
            <w:vAlign w:val="bottom"/>
          </w:tcPr>
          <w:p>
            <w:pPr>
              <w:spacing w:after="0"/>
              <w:rPr>
                <w:sz w:val="20"/>
                <w:szCs w:val="20"/>
                <w:color w:val="auto"/>
              </w:rPr>
            </w:pPr>
          </w:p>
        </w:tc>
      </w:tr>
      <w:tr>
        <w:trPr>
          <w:trHeight w:val="439"/>
        </w:trPr>
        <w:tc>
          <w:tcPr>
            <w:tcW w:w="7660" w:type="dxa"/>
            <w:vAlign w:val="bottom"/>
            <w:gridSpan w:val="5"/>
          </w:tcPr>
          <w:p>
            <w:pPr>
              <w:jc w:val="center"/>
              <w:ind w:right="2140"/>
              <w:spacing w:after="0"/>
              <w:rPr>
                <w:sz w:val="20"/>
                <w:szCs w:val="20"/>
                <w:color w:val="auto"/>
              </w:rPr>
            </w:pPr>
            <w:r>
              <w:rPr>
                <w:rFonts w:ascii="Arial" w:cs="Arial" w:eastAsia="Arial" w:hAnsi="Arial"/>
                <w:sz w:val="18"/>
                <w:szCs w:val="18"/>
                <w:b w:val="1"/>
                <w:bCs w:val="1"/>
                <w:color w:val="auto"/>
                <w:w w:val="91"/>
              </w:rPr>
              <w:t>Delaware</w:t>
            </w:r>
          </w:p>
        </w:tc>
        <w:tc>
          <w:tcPr>
            <w:tcW w:w="3580" w:type="dxa"/>
            <w:vAlign w:val="bottom"/>
          </w:tcPr>
          <w:p>
            <w:pPr>
              <w:jc w:val="right"/>
              <w:ind w:right="2230"/>
              <w:spacing w:after="0"/>
              <w:rPr>
                <w:sz w:val="20"/>
                <w:szCs w:val="20"/>
                <w:color w:val="auto"/>
              </w:rPr>
            </w:pPr>
            <w:r>
              <w:rPr>
                <w:rFonts w:ascii="Arial" w:cs="Arial" w:eastAsia="Arial" w:hAnsi="Arial"/>
                <w:sz w:val="18"/>
                <w:szCs w:val="18"/>
                <w:b w:val="1"/>
                <w:bCs w:val="1"/>
                <w:color w:val="auto"/>
              </w:rPr>
              <w:t>84-2968594</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660" w:type="dxa"/>
            <w:vAlign w:val="bottom"/>
            <w:gridSpan w:val="5"/>
          </w:tcPr>
          <w:p>
            <w:pPr>
              <w:jc w:val="center"/>
              <w:ind w:right="2140"/>
              <w:spacing w:after="0"/>
              <w:rPr>
                <w:sz w:val="20"/>
                <w:szCs w:val="20"/>
                <w:color w:val="auto"/>
              </w:rPr>
            </w:pPr>
            <w:r>
              <w:rPr>
                <w:rFonts w:ascii="Arial" w:cs="Arial" w:eastAsia="Arial" w:hAnsi="Arial"/>
                <w:sz w:val="18"/>
                <w:szCs w:val="18"/>
                <w:color w:val="auto"/>
                <w:w w:val="92"/>
              </w:rPr>
              <w:t>incorporation or organization)</w:t>
            </w:r>
          </w:p>
        </w:tc>
        <w:tc>
          <w:tcPr>
            <w:tcW w:w="3580" w:type="dxa"/>
            <w:vAlign w:val="bottom"/>
          </w:tcPr>
          <w:p>
            <w:pPr>
              <w:jc w:val="center"/>
              <w:ind w:right="18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60" w:type="dxa"/>
            <w:vAlign w:val="bottom"/>
            <w:gridSpan w:val="5"/>
          </w:tcPr>
          <w:p>
            <w:pPr>
              <w:jc w:val="center"/>
              <w:ind w:right="2140"/>
              <w:spacing w:after="0"/>
              <w:rPr>
                <w:sz w:val="20"/>
                <w:szCs w:val="20"/>
                <w:color w:val="auto"/>
              </w:rPr>
            </w:pPr>
            <w:r>
              <w:rPr>
                <w:rFonts w:ascii="Arial" w:cs="Arial" w:eastAsia="Arial" w:hAnsi="Arial"/>
                <w:sz w:val="18"/>
                <w:szCs w:val="18"/>
                <w:b w:val="1"/>
                <w:bCs w:val="1"/>
                <w:color w:val="auto"/>
                <w:w w:val="90"/>
              </w:rPr>
              <w:t>1 East Putnam Avenue, Floor 4</w:t>
            </w:r>
          </w:p>
        </w:tc>
        <w:tc>
          <w:tcPr>
            <w:tcW w:w="3580" w:type="dxa"/>
            <w:vAlign w:val="bottom"/>
          </w:tcPr>
          <w:p>
            <w:pPr>
              <w:spacing w:after="0"/>
              <w:rPr>
                <w:sz w:val="24"/>
                <w:szCs w:val="24"/>
                <w:color w:val="auto"/>
              </w:rPr>
            </w:pPr>
          </w:p>
        </w:tc>
      </w:tr>
      <w:tr>
        <w:trPr>
          <w:trHeight w:val="241"/>
        </w:trPr>
        <w:tc>
          <w:tcPr>
            <w:tcW w:w="7660" w:type="dxa"/>
            <w:vAlign w:val="bottom"/>
            <w:gridSpan w:val="5"/>
          </w:tcPr>
          <w:p>
            <w:pPr>
              <w:jc w:val="center"/>
              <w:ind w:right="2120"/>
              <w:spacing w:after="0"/>
              <w:rPr>
                <w:sz w:val="20"/>
                <w:szCs w:val="20"/>
                <w:color w:val="auto"/>
              </w:rPr>
            </w:pPr>
            <w:r>
              <w:rPr>
                <w:rFonts w:ascii="Arial" w:cs="Arial" w:eastAsia="Arial" w:hAnsi="Arial"/>
                <w:sz w:val="18"/>
                <w:szCs w:val="18"/>
                <w:b w:val="1"/>
                <w:bCs w:val="1"/>
                <w:color w:val="auto"/>
                <w:w w:val="93"/>
              </w:rPr>
              <w:t>Greenwich, CT</w:t>
            </w:r>
          </w:p>
        </w:tc>
        <w:tc>
          <w:tcPr>
            <w:tcW w:w="3580" w:type="dxa"/>
            <w:vAlign w:val="bottom"/>
          </w:tcPr>
          <w:p>
            <w:pPr>
              <w:jc w:val="right"/>
              <w:ind w:right="2430"/>
              <w:spacing w:after="0"/>
              <w:rPr>
                <w:sz w:val="20"/>
                <w:szCs w:val="20"/>
                <w:color w:val="auto"/>
              </w:rPr>
            </w:pPr>
            <w:r>
              <w:rPr>
                <w:rFonts w:ascii="Arial" w:cs="Arial" w:eastAsia="Arial" w:hAnsi="Arial"/>
                <w:sz w:val="18"/>
                <w:szCs w:val="18"/>
                <w:b w:val="1"/>
                <w:bCs w:val="1"/>
                <w:color w:val="auto"/>
              </w:rPr>
              <w:t>06830</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tcPr>
          <w:p>
            <w:pPr>
              <w:jc w:val="center"/>
              <w:ind w:right="181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465-9000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1"/>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VTAQ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VTAQW</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3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VTAQR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Units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VTAQU</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Non-accelerated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301" w:lineRule="auto"/>
        <w:rPr>
          <w:sz w:val="20"/>
          <w:szCs w:val="20"/>
          <w:color w:val="auto"/>
        </w:rPr>
      </w:pPr>
      <w:r>
        <w:rPr>
          <w:rFonts w:ascii="Arial" w:cs="Arial" w:eastAsia="Arial" w:hAnsi="Arial"/>
          <w:sz w:val="16"/>
          <w:szCs w:val="16"/>
          <w:color w:val="auto"/>
        </w:rPr>
        <w:t>The aggregate market value of voting stock held by non-affiliates of the registrant was approximately $171.5 million as of June 30, 2021, based upon the closing price of $9.93 per share of the registrant’s common stock on the Nasdaq Capital Market on Wednesday, June 30, 2021, the last business day of the registrant’s most recently completed second fiscal quarter. Shares of common stock held by each executive officer, director and holder of 10% or more of the outstanding common stock have been excluded in that such persons may be deemed to be affiliates. This determination of affiliate status is not</w:t>
      </w:r>
    </w:p>
    <w:p>
      <w:pPr>
        <w:sectPr>
          <w:pgSz w:w="11900" w:h="16841" w:orient="portrait"/>
          <w:cols w:equalWidth="0" w:num="1">
            <w:col w:w="11240"/>
          </w:cols>
          <w:pgMar w:left="320" w:top="513" w:right="339" w:bottom="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necessarily a conclusive determination for other purposes. As of February 22, 2022, there were 21,562,500 shares of the registrant’s common stock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60" w:type="dxa"/>
            <w:vAlign w:val="bottom"/>
            <w:gridSpan w:val="14"/>
          </w:tcPr>
          <w:p>
            <w:pPr>
              <w:ind w:left="180"/>
              <w:spacing w:after="0"/>
              <w:rPr>
                <w:sz w:val="20"/>
                <w:szCs w:val="20"/>
                <w:color w:val="auto"/>
              </w:rPr>
            </w:pPr>
            <w:r>
              <w:rPr>
                <w:rFonts w:ascii="Arial" w:cs="Arial" w:eastAsia="Arial" w:hAnsi="Arial"/>
                <w:sz w:val="18"/>
                <w:szCs w:val="18"/>
                <w:b w:val="1"/>
                <w:bCs w:val="1"/>
                <w:color w:val="auto"/>
              </w:rPr>
              <w:t>VENTOUX CCM ACQUISITION CORP.</w:t>
            </w:r>
          </w:p>
        </w:tc>
        <w:tc>
          <w:tcPr>
            <w:tcW w:w="960" w:type="dxa"/>
            <w:vAlign w:val="bottom"/>
          </w:tcPr>
          <w:p>
            <w:pPr>
              <w:spacing w:after="0"/>
              <w:rPr>
                <w:sz w:val="20"/>
                <w:szCs w:val="20"/>
                <w:color w:val="auto"/>
              </w:rPr>
            </w:pPr>
          </w:p>
        </w:tc>
      </w:tr>
      <w:tr>
        <w:trPr>
          <w:trHeight w:val="216"/>
        </w:trPr>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6"/>
        </w:trPr>
        <w:tc>
          <w:tcPr>
            <w:tcW w:w="1140" w:type="dxa"/>
            <w:vAlign w:val="bottom"/>
            <w:gridSpan w:val="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1A. RISK FACTORS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1B. UNRESOLVED STAFF COMMENTS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2.</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PROPERTIES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3.</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LEGAL PROCEEDINGS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4.</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MINE SAFETY DISCLOSURES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8"/>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PART II</w:t>
              </w:r>
            </w:hyperlink>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16"/>
        </w:trPr>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75"/>
        </w:trPr>
        <w:tc>
          <w:tcPr>
            <w:tcW w:w="200" w:type="dxa"/>
            <w:vAlign w:val="bottom"/>
            <w:shd w:val="clear" w:color="auto" w:fill="CCEEFF"/>
          </w:tcPr>
          <w:p>
            <w:pPr>
              <w:spacing w:after="0"/>
              <w:rPr>
                <w:sz w:val="15"/>
                <w:szCs w:val="15"/>
                <w:color w:val="auto"/>
              </w:rPr>
            </w:pPr>
          </w:p>
        </w:tc>
        <w:tc>
          <w:tcPr>
            <w:tcW w:w="620" w:type="dxa"/>
            <w:vAlign w:val="bottom"/>
            <w:gridSpan w:val="5"/>
            <w:shd w:val="clear" w:color="auto" w:fill="CCEEFF"/>
          </w:tcPr>
          <w:p>
            <w:pPr>
              <w:spacing w:after="0" w:line="17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ITEM 5.</w:t>
              </w:r>
            </w:hyperlink>
          </w:p>
        </w:tc>
        <w:tc>
          <w:tcPr>
            <w:tcW w:w="320" w:type="dxa"/>
            <w:vAlign w:val="bottom"/>
            <w:gridSpan w:val="2"/>
            <w:shd w:val="clear" w:color="auto" w:fill="CCEEFF"/>
          </w:tcPr>
          <w:p>
            <w:pPr>
              <w:spacing w:after="0"/>
              <w:rPr>
                <w:sz w:val="15"/>
                <w:szCs w:val="15"/>
                <w:color w:val="auto"/>
              </w:rPr>
            </w:pPr>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MARKET FOR REGISTRANT’S COMMON EQUITY, RELATED STOCKHOLDER MATTERS AND ISSUER</w:t>
              </w:r>
            </w:hyperlink>
          </w:p>
        </w:tc>
        <w:tc>
          <w:tcPr>
            <w:tcW w:w="960" w:type="dxa"/>
            <w:vAlign w:val="bottom"/>
            <w:shd w:val="clear" w:color="auto" w:fill="CCEEFF"/>
          </w:tcPr>
          <w:p>
            <w:pPr>
              <w:spacing w:after="0"/>
              <w:rPr>
                <w:sz w:val="15"/>
                <w:szCs w:val="15"/>
                <w:color w:val="auto"/>
              </w:rPr>
            </w:pPr>
          </w:p>
        </w:tc>
      </w:tr>
      <w:tr>
        <w:trPr>
          <w:trHeight w:val="217"/>
        </w:trPr>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0000EE"/>
            </w:tcBorders>
            <w:gridSpan w:val="22"/>
            <w:shd w:val="clear" w:color="auto" w:fill="CCEEFF"/>
          </w:tcPr>
          <w:p>
            <w:pPr>
              <w:ind w:left="16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PURCHASES OF EQUITY SECURITIES</w:t>
              </w:r>
            </w:hyperlink>
          </w:p>
        </w:tc>
        <w:tc>
          <w:tcPr>
            <w:tcW w:w="88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7</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ITEM 6.</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[RESERVED]</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10080" w:type="dxa"/>
            <w:vAlign w:val="bottom"/>
            <w:gridSpan w:val="31"/>
            <w:shd w:val="clear" w:color="auto" w:fill="CCEEFF"/>
          </w:tcPr>
          <w:p>
            <w:pPr>
              <w:spacing w:after="0" w:line="176"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ITEM 7.</w:t>
              </w:r>
            </w:hyperlink>
            <w:hyperlink w:anchor="page11">
              <w:r>
                <w:rPr>
                  <w:rFonts w:ascii="Arial" w:cs="Arial" w:eastAsia="Arial" w:hAnsi="Arial"/>
                  <w:sz w:val="18"/>
                  <w:szCs w:val="18"/>
                  <w:color w:val="0000EE"/>
                  <w:w w:val="97"/>
                </w:rPr>
                <w:t>MANAGEMENT’S DISCUSSION AND ANALYSIS OF FINANCIAL CONDITION AND RESULTS OF OPERATIONS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7A. QUANTITATIVE AND QUALITATIVE DISCLOSURES ABOUT MARKET RISK</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8.</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FINANCIAL STATEMENTS AND SUPPLEMENTARY DATA</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10080" w:type="dxa"/>
            <w:vAlign w:val="bottom"/>
            <w:gridSpan w:val="31"/>
            <w:shd w:val="clear" w:color="auto" w:fill="CCEEFF"/>
          </w:tcPr>
          <w:p>
            <w:pPr>
              <w:spacing w:after="0" w:line="17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ITEM 9.</w:t>
              </w:r>
            </w:hyperlink>
            <w:hyperlink w:anchor="page14">
              <w:r>
                <w:rPr>
                  <w:rFonts w:ascii="Arial" w:cs="Arial" w:eastAsia="Arial" w:hAnsi="Arial"/>
                  <w:sz w:val="18"/>
                  <w:szCs w:val="18"/>
                  <w:color w:val="0000EE"/>
                  <w:w w:val="97"/>
                </w:rPr>
                <w:t>CHANGES IN AND DISAGREEMENTS WITH ACCOUNTANTS ON ACCOUNTING AND FINANCIAL DISCLOSURE</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9A. CONTROLS AND PROCEDURES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9B. OTHER INFORMATION</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9C. DISCLOSURE REGARDING FOREIGN JURISDICTIONS THAT PREVENT INSPECTIONS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8"/>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PART III</w:t>
              </w:r>
            </w:hyperlink>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16"/>
        </w:trPr>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10.</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DIRECTORS, EXECUTIVE OFFICERS AND CORPORATE GOVERNANCE</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11.</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EXECUTIVE COMPENSATION</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75"/>
        </w:trPr>
        <w:tc>
          <w:tcPr>
            <w:tcW w:w="200" w:type="dxa"/>
            <w:vAlign w:val="bottom"/>
            <w:shd w:val="clear" w:color="auto" w:fill="CCEEFF"/>
          </w:tcPr>
          <w:p>
            <w:pPr>
              <w:spacing w:after="0"/>
              <w:rPr>
                <w:sz w:val="15"/>
                <w:szCs w:val="15"/>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12.</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SECURITY OWNERSHIP OF CERTAIN BENEFICIAL OWNERS AND MANAGEMENT AND RELATED</w:t>
              </w:r>
            </w:hyperlink>
          </w:p>
        </w:tc>
        <w:tc>
          <w:tcPr>
            <w:tcW w:w="960" w:type="dxa"/>
            <w:vAlign w:val="bottom"/>
            <w:shd w:val="clear" w:color="auto" w:fill="CCEEFF"/>
          </w:tcPr>
          <w:p>
            <w:pPr>
              <w:spacing w:after="0"/>
              <w:rPr>
                <w:sz w:val="15"/>
                <w:szCs w:val="15"/>
                <w:color w:val="auto"/>
              </w:rPr>
            </w:pPr>
          </w:p>
        </w:tc>
      </w:tr>
      <w:tr>
        <w:trPr>
          <w:trHeight w:val="216"/>
        </w:trPr>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20" w:type="dxa"/>
            <w:vAlign w:val="bottom"/>
            <w:tcBorders>
              <w:top w:val="single" w:sz="8" w:color="0000EE"/>
            </w:tcBorders>
            <w:gridSpan w:val="21"/>
            <w:shd w:val="clear" w:color="auto" w:fill="CCEEFF"/>
          </w:tcPr>
          <w:p>
            <w:pPr>
              <w:ind w:left="16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STOCKHOLDER MATTERS</w:t>
              </w:r>
            </w:hyperlink>
          </w:p>
        </w:tc>
        <w:tc>
          <w:tcPr>
            <w:tcW w:w="1120" w:type="dxa"/>
            <w:vAlign w:val="bottom"/>
            <w:tcBorders>
              <w:top w:val="single" w:sz="8" w:color="CCEEFF"/>
            </w:tcBorders>
            <w:gridSpan w:val="3"/>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10080" w:type="dxa"/>
            <w:vAlign w:val="bottom"/>
            <w:gridSpan w:val="3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13.   CERTAIN RELATIONSHIPS AND RELATED TRANSACTIONS, AND DIRECTOR INDEPENDENCE</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14.</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PRINCIPAL ACCOUNTANT FEES AND SERVICES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8"/>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IV</w:t>
              </w:r>
            </w:hyperlink>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96"/>
        </w:trPr>
        <w:tc>
          <w:tcPr>
            <w:tcW w:w="200" w:type="dxa"/>
            <w:vAlign w:val="bottom"/>
            <w:shd w:val="clear" w:color="auto" w:fill="CCEEFF"/>
          </w:tcPr>
          <w:p>
            <w:pPr>
              <w:spacing w:after="0"/>
              <w:rPr>
                <w:sz w:val="17"/>
                <w:szCs w:val="17"/>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15.</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 AND FINANCIAL STATEMENT SCHEDULES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75"/>
        </w:trPr>
        <w:tc>
          <w:tcPr>
            <w:tcW w:w="200" w:type="dxa"/>
            <w:vAlign w:val="bottom"/>
            <w:shd w:val="clear" w:color="auto" w:fill="CCEEFF"/>
          </w:tcPr>
          <w:p>
            <w:pPr>
              <w:spacing w:after="0"/>
              <w:rPr>
                <w:sz w:val="15"/>
                <w:szCs w:val="15"/>
                <w:color w:val="auto"/>
              </w:rPr>
            </w:pPr>
          </w:p>
        </w:tc>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16.</w:t>
              </w:r>
            </w:hyperlink>
          </w:p>
        </w:tc>
        <w:tc>
          <w:tcPr>
            <w:tcW w:w="9140" w:type="dxa"/>
            <w:vAlign w:val="bottom"/>
            <w:gridSpan w:val="2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FORM 10-K SUMMARY</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w:t>
      </w:r>
    </w:p>
    <w:p>
      <w:pPr>
        <w:spacing w:after="0" w:line="178"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particularly in light of disruption that may result from limitations imposed by the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 and other benefits;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delisting of our securities from Nasdaq or an inability to have our securities listed on Nasdaq following a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change in control if we acquire one or more target businesses for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our filings from time to time with the United States Securities and Exchange Commission (the “SEC”).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blank check company formed under the laws of the State of Delaware on July 10, 2019 for the purpose of effecting a merger, share exchange, asset acquisition, stock purchase, recapitalization, reorganization or other similar business transaction with one or more businesses or entities (a “Business Combination”).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we may pursue a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 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 Business Combination with the ultimate goal of pursuing attractive returns for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225"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170" w:lineRule="exact"/>
        <w:rPr>
          <w:rFonts w:ascii="Arial" w:cs="Arial" w:eastAsia="Arial" w:hAnsi="Arial"/>
          <w:sz w:val="18"/>
          <w:szCs w:val="18"/>
          <w:color w:val="auto"/>
        </w:rPr>
      </w:pPr>
    </w:p>
    <w:p>
      <w:pPr>
        <w:jc w:val="both"/>
        <w:ind w:left="740" w:right="2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680" w:hanging="335"/>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225" w:lineRule="exact"/>
        <w:rPr>
          <w:rFonts w:ascii="Arial" w:cs="Arial" w:eastAsia="Arial" w:hAnsi="Arial"/>
          <w:sz w:val="18"/>
          <w:szCs w:val="18"/>
          <w:color w:val="auto"/>
        </w:rPr>
      </w:pPr>
    </w:p>
    <w:p>
      <w:pPr>
        <w:ind w:left="680" w:hanging="335"/>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obtain additional financing, if necessary, if the debt security contains covenants restricting our ability to obtain additional financing while such security is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10, 2021, the Company entered into an agreement and plan of merger by and among the Company, Ventoux Merger Sub I Inc., a Delaware corporation and a direct, wholly-owned subsidiary of the Company (“Ventoux Merger Sub”), Ventoux Merger Sub II, LLC, a Delaware limited liability company and a direct, wholly-owned subsidiary of the Company (“Ventoux Merger Sub II”), and E La Carte, Inc., d/b/a Presto, Inc., a Delaware corporation (“Presto”) (as amended and/or restated from time to time, the “Merger Agreement”). The Merger Agreement has been approved by the Company’s and Presto’s board of directors. Subject to the satisfaction or waiver of certain closing conditions set forth in the Merger Agreement, including the approval of the Merger Agreement and the transactions contemplated thereby by Presto and the Company’s stockholders, (a) Ventoux Merger Sub will merge with and into Presto (the “First Merger”), with Presto being the surviving entity in the First Merger and continuing (immediately following the First Merger) as a wholly-owned subsidiary of the Company (the “Surviving Corporation”), and (b) immediately following the First Merger and as part of the same overall transaction as the First Merger, the Surviving Corporation will merge with and into Ventoux Merger Sub II (the “Second Merger”), with Ventoux Merger Sub II being the surviving entity in the Second Merger and continuing (immediately following the Second Merger) as a wholly-owned subsidiary of the Company (the “Mergers” and the other agreements and transactions contemplated by the Merger Agreement, the “Proposed Business Combination”). In addition, in connection with the consummation of the Proposed Business Combination, the Company will be renamed Presto Technologies, Inc. and is referred to herein as “New Presto” as of the time of such change of name.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Merger Agreement, subject to the satisfaction or waiver of certain closing conditions set forth therein, at the closing of the Proposed Business Combination (the “Closing”), the Company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Aggregate Base Consideration, Presto stockholders may be entitled to receive, as additional consideration, and without any action on behalf of the Company, Ventoux Merger Sub, Ventoux Merger Sub II or the Company’s stockholders,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Merger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Presto Convertible Notes and 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Merger Agreement, at the time the First Merger becomes effective (the “Effective Time”), each option exercisable for Presto equity that is outstanding and unexercised immediately prior to the Effective Time will be assumed and converted into a newly issued option exercisable for common stock of New Presto. At the Effective Time, each warrant of Presto that is outstanding and unexercised immediately prior to the Effective Time shall, in accordance with its terms, either be (i) cancelled and converted into the right to receive common stock of New Presto, or (ii) assumed and converted into a newly issued warrant exercisable for common stock of New Presto. Immediately prior to the Effective Time, each convertible promissory note convertible for Presto equity that is issued and outstanding shall be cancelled and converted into the right to receive common stock of New Presto in accordance with the terms therein.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equity subscription agreements (the “Equity Subscription Agreements”) each dated as of November 10, 2021, with certain accredited investors, pursuant to which, among other things, the Company agreed to issue and sell, in private placements to close immediately prior to or substantially concurrently with the Closing, an aggregate of 1,500,000 shares of common stock for $10.00 per share. The Equity Subscription Agreements provide that the Company must file a registration statement to register the resale of the subscribed common stock no later than 30 days after the closing date of the Proposed Business Combination (the “Closing Date”).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entered into a convertible note subscription agreement (the “Convertible Note Subscription Agreement” and, together with the Equity Subscription Agreements, the “Subscription Agreements”), each dated as of November 10, 2021, with an institutional accredited investor (collectively, the “Note Investor”), pursuant to which, among other things, the Company agreed to issue and sell, in a private placement to close immediately prior to the Closing, an aggregate of $55,000,000 in aggregate principal amount of convertible notes (the “Notes”) and an aggregate of 1,000,000 warrants (the “Note Financing Warrants”).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any time prior to the close of business on the second trading day immediately preceding the maturity date of the Notes, the Notes will be convertible, at each holder’s option, into shares of common stock of New Presto at an initial conversion price equal to the lesser of (i) $13.00 and (ii) a 30% premium to the lowest per share price at which any equity of the Company is issued within 15 days prior to the Closing Date (the “Conversion Rate”). In the event of a conversion in connection with a Fundamental Change (as defined below), the Conversion Rate will be increased by a number of additional shares set forth in a usual and customary “make-whole table” to be included in the indenture governing the Notes (the “Indenture”).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any time on or after the first anniversary of the issuance of the Notes until the second business day prior to maturity, the Notes will be convertible, in whole but not in part, at the Company’s option (a “Mandatory Conversion”) if the closing price of common stock is greater than or equal to 130% of the conversion price of the Notes for 20 trading days during any 30-consecutive-trading-day period ending on day before the notice of the Mandatory Conversion is given. The Conversion Rate in connection with a Mandatory Conversion will be increased by a number of additional shares pursuant to the make-whole table described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In addition, the Company may redeem the Notes at any time prior to the 21st trading day before maturity by paying, in cash, the principal, accrued interest, and a premium equal to, (1) through third anniversary, the present value of all remaining scheduled interest payments, computed using a discount rate equal to the Treasury Rate (to be defined in the Indenture) plus 0.50%, and warrants to purchase a number of shares equal to 50% of the number of shares into which the Notes redeemed were convertible, or (2) between third anniversary and maturity, of all remaining scheduled interest payments, computed using a discount rate equal to the Treasury Rate.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holder of a Note will have the right to cause the Company to repurchase for cash all or a portion of the Notes held by such holder at any time upon the occurrence of a Fundamental Change, at a repurchase price equal to 100% of the principal amount of such Notes plus accrued and unpaid interest thereon to, but excluding, the repurchase date.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pay interest on the principal amount of the Notes in cash or in kind, at the Company’s election. If the Company elects to pay interest in cash (“Cash Interest”), the interest on the Notes will accrue at a rate of 9.0% per annum and be payable in cash. If the Company elects to pay interest in kind (“PIK Interest”), the interest on the Notes will be increased to a rate of 11.0% per annum. PIK Interest will be payable either (x) by increasing the principal amount of the outstanding Notes by an amount equal to the amount of PIK Interest for the applicable interest period (rounded up to the nearest $1.00) or (y) if the Notes are no longer held as global notes, by issuing additional Notes in certificated form in an aggregate principal amount equal to the amount of PIK Interest for the period (rounded up to the nearest $1.00). Following an increase in the principal amount of the outstanding Notes as a result of a PIK Interest payment, the Notes will bear interest on such increased principal amount.</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Note Financing Warrants have the same terms and conditions as the Company’s outstanding publicly held warrants, except that each Note Financing Warrant is exercisable into one whole share of common stock at an exercise price of $11.50 per share. The Note Financing Warrants, like the publicly held warrants, may be redeemed if, among other conditions, the reported last sale price of the Company common stock equals or exceeds $16.50 per share, for any 20 trading days within a 30-day trading period ending on the third business day prior to the date of the notice of redemption to warrantholders.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“Fundamental Change” will be deemed to have occurred under the terms of our Notes at the time after the Notes are originally issued if any of the following occurs:</w:t>
      </w:r>
    </w:p>
    <w:p>
      <w:pPr>
        <w:spacing w:after="0" w:line="170" w:lineRule="exact"/>
        <w:rPr>
          <w:sz w:val="20"/>
          <w:szCs w:val="20"/>
          <w:color w:val="auto"/>
        </w:rPr>
      </w:pPr>
    </w:p>
    <w:p>
      <w:pPr>
        <w:jc w:val="both"/>
        <w:ind w:firstLine="440"/>
        <w:spacing w:after="0" w:line="271" w:lineRule="auto"/>
        <w:tabs>
          <w:tab w:leader="none" w:pos="685" w:val="left"/>
        </w:tabs>
        <w:numPr>
          <w:ilvl w:val="1"/>
          <w:numId w:val="5"/>
        </w:numPr>
        <w:rPr>
          <w:rFonts w:ascii="Arial" w:cs="Arial" w:eastAsia="Arial" w:hAnsi="Arial"/>
          <w:sz w:val="17"/>
          <w:szCs w:val="17"/>
          <w:color w:val="auto"/>
        </w:rPr>
      </w:pPr>
      <w:r>
        <w:rPr>
          <w:rFonts w:ascii="Arial" w:cs="Arial" w:eastAsia="Arial" w:hAnsi="Arial"/>
          <w:sz w:val="17"/>
          <w:szCs w:val="17"/>
          <w:color w:val="auto"/>
        </w:rPr>
        <w:t>a “person” or “group” within the meaning of Section 13(d) of the Exchange Act, other than us, our wholly owned subsidiaries and our and their employee benefit plans, has become the direct or indirect “beneficial owner,” as defined in Rule 13d-3 under the Exchange Act, of our common equity representing more than 50% of the voting power of our common equity and has filed a Schedule TO (or any successor schedule, form or report) or any schedule, form or report under the Exchange Act that discloses such fact,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provided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178" w:lineRule="exact"/>
        <w:rPr>
          <w:rFonts w:ascii="Arial" w:cs="Arial" w:eastAsia="Arial" w:hAnsi="Arial"/>
          <w:sz w:val="17"/>
          <w:szCs w:val="17"/>
          <w:color w:val="auto"/>
        </w:rPr>
      </w:pPr>
    </w:p>
    <w:p>
      <w:pPr>
        <w:jc w:val="both"/>
        <w:ind w:firstLine="440"/>
        <w:spacing w:after="0" w:line="287" w:lineRule="auto"/>
        <w:tabs>
          <w:tab w:leader="none" w:pos="695"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consummation of (A) any recapitalization, reclassification or change of our Common Stock (other than changes resulting from a subdivision or combination) as a result of which our Common Stock would be converted into, or exchanged for, stock, other securities, other property or assets; (B) any share exchange, consolidation or merger of us pursuant to which our common stock will be converted into cash, securities or other property or assets; or</w:t>
      </w:r>
    </w:p>
    <w:p>
      <w:pPr>
        <w:spacing w:after="0" w:line="2" w:lineRule="exact"/>
        <w:rPr>
          <w:rFonts w:ascii="Arial" w:cs="Arial" w:eastAsia="Arial" w:hAnsi="Arial"/>
          <w:sz w:val="16"/>
          <w:szCs w:val="16"/>
          <w:color w:val="auto"/>
        </w:rPr>
      </w:pPr>
    </w:p>
    <w:p>
      <w:pPr>
        <w:jc w:val="both"/>
        <w:ind w:firstLine="8"/>
        <w:spacing w:after="0" w:line="251" w:lineRule="auto"/>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sale, lease or other transfer in one transaction or a series of transactions of all or substantially all of the consolidated assets of us and our subsidiaries, taken as a whole, to any person other than one of our wholly owned subsidiaries; provided, however, that neither (i) a transaction described in clause (A) or clause (B) in which the holders of all classes of our Common Stock immediately prior to such transaction own, directly or indirectly, more than 50% of all classes of Common Stock of the continuing or surviving corporation or transferee or the direct or indirect parent thereof immediately after such transaction in substantially the same proportions (relative to each other) as such ownership immediately prior to such transaction nor (ii) any merger of the Company solely for the purpose of change its jurisdiction of incorporation that results in a reclassification, conversion or exchange of outstanding shares of Common Stock solely into shares of common stock of the surviving entity shall, in each case, be a Fundamental Change pursuant to this clause (b);</w:t>
      </w:r>
    </w:p>
    <w:p>
      <w:pPr>
        <w:spacing w:after="0" w:line="197" w:lineRule="exact"/>
        <w:rPr>
          <w:rFonts w:ascii="Arial" w:cs="Arial" w:eastAsia="Arial" w:hAnsi="Arial"/>
          <w:sz w:val="18"/>
          <w:szCs w:val="18"/>
          <w:color w:val="auto"/>
        </w:rPr>
      </w:pPr>
    </w:p>
    <w:p>
      <w:pPr>
        <w:ind w:left="680" w:hanging="240"/>
        <w:spacing w:after="0"/>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stockholders approve any plan or proposal for the liquidation or dissolution of us; or</w:t>
      </w:r>
    </w:p>
    <w:p>
      <w:pPr>
        <w:spacing w:after="0" w:line="225" w:lineRule="exact"/>
        <w:rPr>
          <w:rFonts w:ascii="Arial" w:cs="Arial" w:eastAsia="Arial" w:hAnsi="Arial"/>
          <w:sz w:val="18"/>
          <w:szCs w:val="18"/>
          <w:color w:val="auto"/>
        </w:rPr>
      </w:pPr>
    </w:p>
    <w:p>
      <w:pPr>
        <w:ind w:firstLine="440"/>
        <w:spacing w:after="0" w:line="277" w:lineRule="auto"/>
        <w:tabs>
          <w:tab w:leader="none" w:pos="697"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Common Stock ceases to be listed or quoted on any of The New York Stock Exchange or The NASDAQ Stock Market, and is not listed or quote on either such exchange one trading day following such event.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transaction or transactions described in clause (a) or clause (b) above will not constitute a fundamental change, however, if at least 90% of the consideration received or to be received by our common stockholders, excluding cash payments for fractional shares and cash payments made in respect of dissenters' appraisal rights, in connection with such transaction or transactions consists of shares of common stock that are listed or quoted on any of The New York Stock Exchange or the Nasdaq Stock Market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Amended and Restated Warrant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the Closing, New Presto, the Sponsors and Continental Stock Transfer &amp; Trust Company, as warrant agent, will enter into an amended and restated warrant agreement (the “Amended and Restated Warrant Agreement”) to reflect the issuance of the Note Financing Warrants. In addition, the Amended and Restated Warrant Agreement also provides that 600,000 of the Sponsors’ 6,675,000 private placement warrants will be cancelled. Each Note Financing Warrant and each private placement warrant is exercisable for one share of common stock at an exercise price of $11.50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Registration Rights Agreement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the Closing, New Presto, the Sponsors, the Note Investor, certain investors and other holders of Presto capital stock (the “Presto Holders” and together with the Sponsors and the investors, the “Holders”) will enter into an amended and restated registration rights agreement (the “Amended and Restated Registration Rights Agreement”). Pursuant to the terms of the Amended and Restated Registration Rights Agreement, New Presto will be obligated to file a registration statement to register the resale of certain securities of New Presto held by the Holders. The Amended and Restated Registration Rights Agreement also provides the Holders with certain “demand” and “piggy-back” registration rights, subject to certain requirements and customary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Support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execution of the Merger Agreement, the Sponsors, Presto’s directors and officers and certain affiliates of the Sponsors (together, the “Sponsor Parties”) entered into a Sponsor Support Agreement (the “Sponsor Agreement”) with the Company and Presto, pursuant to which the Sponsor Parties agreed, among other things, to vote all shares of the Company common stock beneficially owned by them in favor of each of the proposals at the Company Special Meeting and against any proposal that would impede the Proposed Business Combination. The Sponsor Agreement also provides that the Sponsor Parties will not redeem any shares of the Company common stock.</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Parties agreed to subject the founder shares they acquired prior to the Company’s initial public offering (the “Initial Public Offering”) to lock-up restrictions. During the period beginning on the Closing Date until the period beginning on the Closing Date to six months after the Closing Date, the Sponsor Parties may not transfer any of its, his or her founder shares, and during the period beginning on the date that is six months after the Closing Date to 12 twelve months after the Closing Date, the Sponsor Parties may only transfer up to 50% of its, his or her founder shares, in each case except for certain limited permitted transfers. In addition, the Sponsor Parties agreed that they will not transfer any privately placed warrants, acquired prior to the Initial Public Offering, during the period from the Closing Date to 12 months after the Closing Date.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Sponsors also agreed to subject their founder shares to vesting and forfeiture provisions as set forth in the Sponsor Agreement based on the number of public shares redeemed at the closing of the Proposed Business Combination (such shares, the “Sponsors’ Earnout Shares”). Pursuant to the Sponsor Agreement, at the Closing, (i) in the case of redemptions of public shares of 90% or more, 15% of the Sponsors’ founder shares that are owned immediately after the Closing will be subject to vesting, (ii) in the case of redemptions of public shares of between 80% and 90%, 10% of the Sponsors’ founder shares that are owned immediately after the Closing will be subject to vesting, (iii) in the case of redemptions of public shares of between 70% and 80%, 5% of the Sponsors’ founder shares that are owned immediately after the Closing will be subject to vesting and (iv) in the case of redemptions of public shares of less than 70%, none of the Sponsors’ founder shares will be subject to vesting. The Sponsors’ Earnout Shares will vest if, during the period from and after the Closing until the fifth anniversary of the Closing, the VWAP of New Presto common stock is greater than or equal to $12.50 for any 40 trading days within a period of 60 consecutive trading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Stockholder Support Agreement</w:t>
      </w:r>
    </w:p>
    <w:p>
      <w:pPr>
        <w:spacing w:after="0" w:line="225" w:lineRule="exact"/>
        <w:rPr>
          <w:sz w:val="20"/>
          <w:szCs w:val="20"/>
          <w:color w:val="auto"/>
        </w:rPr>
      </w:pPr>
    </w:p>
    <w:p>
      <w:pPr>
        <w:jc w:val="both"/>
        <w:ind w:firstLine="47"/>
        <w:spacing w:after="0" w:line="257" w:lineRule="auto"/>
        <w:rPr>
          <w:sz w:val="20"/>
          <w:szCs w:val="20"/>
          <w:color w:val="auto"/>
        </w:rPr>
      </w:pPr>
      <w:r>
        <w:rPr>
          <w:rFonts w:ascii="Arial" w:cs="Arial" w:eastAsia="Arial" w:hAnsi="Arial"/>
          <w:sz w:val="18"/>
          <w:szCs w:val="18"/>
          <w:color w:val="auto"/>
        </w:rPr>
        <w:t>In connection with the execution of the Merger Agreement, certain stockholders of Presto (collectively, the “Presto Supporting Stockholders”) entered into support agreements (collectively, the “Stockholder Support Agreements”), pursuant to which each Presto Supporting Stockholder agreed to, among other things, vote in favor of the Merger Agreement and the transactions contemplated thereby (including the Proposed Business Combination), not to transfer his, her or its Presto shares prior to the Closing Date, and to execute the Amended and Restated Registration Rights Agreement (as defined below) at the Closing Date.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Presto Stockholder Support Agreements provide that during the period beginning on the Closing Date and ending on the date that is six months after the Closing Date, the Presto Supporting Stockholders may not transfer any of their shares of New Presto common stock, and during the period beginning on the date that is six months after the Closing Date and ending on the date that is 12 months after the Closing Date, the Presto Supporting Stockholders may only transfer up to 50% of their New Presto common stock, in each case, except for certain limited permitted transfers.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Governance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the Closing, New Presto, Rajat Suri, REMUS Capital, an affiliate of Presto, and certain other parties set forth therein, will enter into a Governance Agreement (the “Governance Agreement”) to provide for certain governance rights and address certain governance matters relating to New Presto. The Governance Agreement will provide REMUS Capital the right to designate a replacement New Presto director if a director appointed within class I of the board is removed within one year of Closing and also will provide each of Mr. Suri and REMUS Capital with the right to nominate one individual to the New Presto board of directors, subject to certain qualifications, requirements and exceptions as set forth therein.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Proposed Business Combination is expected to be consummated after receipt of the required approvals by the stockholders of the Company and Presto and the satisfaction or waiver of certain other customary conditions. For full details and the filed agreements, refer to our Current Report on 8-K announcing the Merger Agreement filed on November 10,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Annual Report on Form 10-K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office space is located at 1 East Putnam Avenue, Floor 4, Greenwich, CT 06830. We consider our current office space adequate for our current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Other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(which we refer to herein as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date of the , (b) in which we have total annual gross revenue of at least $1.07 billion, or (c) in which we are deemed to be a large accelerated filer, which means the market value of our shares of common stock that are held by non-affiliates exceeds $700 million on the last day of the second fiscal quarter of any given fiscal year, and (2) the date on which we have issued more than $1.0 billion in non-convertible debt during the prior three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office is located at 1 East Putnam Avenue, Floor 4, Greenwich, CT 06830. We consider our current office space adequate for our current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units, common stock, rights and warrants trade on The Nasdaq Stock Market LLC, or Nasdaq, under the symbols “VTAQU,” “VTAQ,” “VTAQR” and “VTAQW,”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February 22, 2022, there were 21,562,500 shares of common stock issued and outstanding held by one stockholder of record. The number of record holders was determined from the records of our transfer agent and does not include beneficial owners of shares of common stock whose shares are held in the names of various security brokers, dealers, and registered clearing agencies.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unregistered securities to report which have not been previously included in a Quarterly Report on Form 10-Q or a Current Report on Form 8-K.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“Forward-Looking Statements” and elsewhere in this Annual Report on Form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are a blank check company formed under the laws of the State of Delaware on July 10, 2019 for the purpose of entering into a merger, share exchange, asset acquisition, stock purchase, recapitalization, reorganization or other similar business transaction with one or more businesses or entities that the Company has not yet identified (a “Business Combination”. We intend to effectuate our Business Combination using cash from the proceeds of the Initial Public Offering and the private placements of the private warrants, our shares, rights, new debt, or a combination of these.</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Business Combination</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10, 2021, the Company entered into the Merger Agreement. Pursuant to the Merger Agreement, the Company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spacing w:after="0" w:line="103"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In addition to the Aggregate Base Consideration, Presto stockholders may be entitled to receive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Merger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The Company entered into Equity Subscription Agreements with certain accredited investors, pursuant to which, among other things, the Company agreed to issue and sell, in private placements to close immediately prior to or substantially concurrently with the Closing, an aggregate of 1,500,000 shares of common stock for $10.00 per share.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entered into the Convertible Note Subscription Agreement with an institutional accredited investor, pursuant to which, among other things, the Company agreed to issue and sell, in a private placement to close immediately prior to the Closing, an aggregate of $55,000,000 in aggregate principal amount of convertible notes and an aggregate of 1,000,000 warrants.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detailed description of the proposed business combination, please see the section of this Annual Report titled “Business—Proposed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neither engaged in any operations nor generated any revenues to date. Our only activities through December 31, 2021 were organizational activities, those necessary to prepare for the Initial Public Offering, identifying a target company for a Business Combination and activities in connection with the proposed acquisition of Presto.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we had a net income of $3,841,344, which consists of a change in fair value of warrant liabilities of $4,953,000 and interest earned on marketable securities held in our trust account of $41,206, offset by general and administrative expenses of $990,862 and a loss on initial issuance of private warrants of $162,000.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we had a net loss of $1,363,061, which consists of general and administrative expenses $18,208, a change in fair value of warrant liabilities of $180,000, a loss on initial issuance of private warrants of $1,140,000 and transaction costs allocable to warrant liabilities of $24,853.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2020, we completed the Initial Public Offering of 15,000,000 Units at $10.00 per Unit, generating gross proceeds of $150,000,000. Simultaneously with the closing of the Initial Public Offering, we completed the sale of 6,000,000 private warrants at a price of $1.00 per private warrant in a private placement to the co-sponsors, generating gross proceeds of $6,000,000.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5, 2021, in connection with the underwriters’ exercise of their over-allotment option in full, we completed the sale of an additional 2,250,000 Units, at $10.00 per Unit, generating gross proceeds of $22,500,000. Simultaneously with the closing of the over-allotment we completed a sale of an additional 675,000 private warrants, at $1.00 per private warrant, generating total proceeds of $675,000.</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Following the Initial Public Offering, the full exercise of the over-allotment option, and the sale of the private warrants a total of $174,225,000 was placed in the trust account. We incurred $3,993,017 in Initial Public Offering related costs, including $3,450,000 of underwriting fees and $543,017 of other costs.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cash used in operating activities was $638,090. Net income of $3,841,344 was affected by interest earned on marketable securities held in the trust account of $41,206, change in fair value of warrant liabilities of $4,953,000 and loss on initial issuance of private warrants of $162,000. Changes in operating assets and liabilities provided $352,772 of cash for operating activities.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cash used in operating activities was $30,735. Net loss of $1,363,061 was affected by transaction cost allocable to warrant liabilities of $24,853, change in fair value of warrant liabilities of $180,000 and loss on initial issuance of private warrants of $1,140,000. Changes in operating assets and liabilities used $12,527 of cash for operating activities.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had marketable securities held in the trust account of $174,266,206 (including approximately $41,206 of interest income) invested in a money market account that invests in US Treasury Bills. Interest income on the balance in the trust account may be used by us to pay taxes. Through December 31, 2021, we have not withdrawn any interest earned from the trust account.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we had cash of $313,158.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jc w:val="both"/>
        <w:spacing w:after="0" w:line="272"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our initial stockholders, officers and directors or their affiliates may, but are not obligated to, loan us funds as may be required. If we complete a Business Combination, we would repay such loaned amounts. In the event that a Business Combination is not consummated, we may use a portion of the working capital held outside the trust account to repay such loaned amounts but no proceeds from our trust account would be used for such repayment. Up to $500,000 of such loans may be convertible into warrants at a price of $1.00 per unit, at the option of the lender. The units would be identical to the private warrants.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7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If we are unable to raise additional capital, we may be required to take additional measures to conserve liquidity, which could include, but not necessarily be limited to, suspending the pursuit of a Business Combination. We cannot provide any assurance that new financing will be available to it on commercially acceptable terms, if at all.</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above, in connection with our assessment of going concern considerations in accordance with Financial Accounting Standard Board’s Accounting Standards Update (“ASU”) 2014-15, “Disclosures of Uncertainties about an Entity’s Ability to Continue as a Going Concern,” we have determined that the liquidity condition and date for mandatory liquidation and dissolution raise substantial doubt about our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we be unable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Chardan Capital Markets, LLC a total of $10,000 per month for office space, utilities and secretarial support. We began incurring these fees on December 23, 2020, and will continue to incur these fees monthly until the earlier of the completion of the Business Combination and our liquidation.</w:t>
      </w:r>
    </w:p>
    <w:p>
      <w:pPr>
        <w:spacing w:after="0" w:line="16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We have engaged Chardan Capital Markets, LLC as an advisor in connection with a Business Combination to assist us in holding meetings with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press releases and public filings in connection with the Business Combination. We will pay Chardan Capital Markets, LLC a marketing fee for such services upon the completion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Business Combination is consummated.</w:t>
      </w:r>
    </w:p>
    <w:p>
      <w:pPr>
        <w:spacing w:after="0" w:line="17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to Chardan Capital Markets, LLC, we have engaged certain advisors to assist in capital raising efforts in connection with the proposed Business Combination. The fee arrangement with the advisors, including William Blair &amp; Company LLC, Truist Securities Inc. and others are only payable upon the consummation of the Business Combination.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warrants to purchase shares of common stock, to determine if such instruments are derivatives or contain features that qualify as embedded derivatives, pursuant to ASC 480 and ASC 815. We account for the private warrants in accordance with the guidance contained in ASC 815-40 under which the private warrants do not meet the criteria for equity treatment and must be recorded as liabilities. Accordingly, we classify the private warrants as liabilities at their fair value and adjust the private warrants to fair value at each reporting period. This liability is subject to re-measurement at each balance sheet date until exercised, and any change in fair value is recognized in our statements of operations. The private warrants are valued using a Modified Black Scholes model.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common stock subject to possible redemption in accordance with the guidance in Accounting Standards Codification (“ASC”) Topic 480 “Distinguishing Liabilities from Equity.” Shares of common stock subject to mandatory redemption are classified as a liability instrument and are measured at fair value. Conditionally redeemable common stock (including common stock that features redemption rights that is either within the control of the holder or subject to redemption upon the occurrence of uncertain events not solely within our control) is classified as temporary equity. At all other times, common stock is classified as stockholders’ equity. Certain of our common stock feature certain redemption rights that are considered to be outside of our control and subject to occurrence of uncertain future events. Accordingly, at December 31, 2021 and 2020, common stock subject to possible redemption is presented as temporary equity, outside of the stockholders’ deficit section of our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(loss) per common share is computed by dividing net income (loss) by the weighted average number of shares of common stock outstanding for the period. Accretion associated with the redeemable shares of common stock is excluded from earnings per share as the redemption value approximates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2020, the Financial Accounting Standards Board (“FASB”) issued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We are currently assessing the impact, if any, that ASU 2020-06 would have on its financial position, results of operations or cash flows.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consummation of our Initial Public Offering, the proceeds held in the trust account have been invested in U.S. government treasury obligations with a maturity of 183 days or less or in certain money market funds that invest solely in U.S. treasuries. Due to the short-term nature of these investments, we believe there will be no associated material exposure to interest rate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financial statements and supplementary data required by this Item are listed in Part IV, Item 15 of this Annual Report on Form 10-K (or are incorporated therein by reference) and are presented beginning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December 31, 2021. Based upon their evaluation, our Chief Executive Officer and Chief Financial Officer concluded that our disclosure controls and procedures (as defined in Rules 13a-15(e) and 15d-15(e) under the Exchange Act) were not effective, due solely to the material weakness in our internal control over financial reporting related to the Company’s accounting for complex financial instruments. As a result, we performed additional analysis as deemed necessary to ensure that our financial statements were prepared in accordance with U.S. generally accepted accounting principles. Accordingly, management believes that the financial statements included in this Form 10-K present fairly in all material respects our financial position, results of operations and cash flows for the period presented.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GAAP. Our internal control over financial reporting includes those policies and procedures that:</w:t>
      </w:r>
    </w:p>
    <w:p>
      <w:pPr>
        <w:spacing w:after="0" w:line="171" w:lineRule="exact"/>
        <w:rPr>
          <w:sz w:val="20"/>
          <w:szCs w:val="20"/>
          <w:color w:val="auto"/>
        </w:rPr>
      </w:pPr>
    </w:p>
    <w:p>
      <w:pPr>
        <w:ind w:right="20" w:firstLine="8"/>
        <w:spacing w:after="0" w:line="277" w:lineRule="auto"/>
        <w:tabs>
          <w:tab w:leader="none" w:pos="282"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our company;</w:t>
      </w:r>
    </w:p>
    <w:p>
      <w:pPr>
        <w:spacing w:after="0" w:line="170" w:lineRule="exact"/>
        <w:rPr>
          <w:rFonts w:ascii="Arial" w:cs="Arial" w:eastAsia="Arial" w:hAnsi="Arial"/>
          <w:sz w:val="18"/>
          <w:szCs w:val="18"/>
          <w:color w:val="auto"/>
        </w:rPr>
      </w:pPr>
    </w:p>
    <w:p>
      <w:pPr>
        <w:ind w:firstLine="8"/>
        <w:spacing w:after="0" w:line="342" w:lineRule="auto"/>
        <w:tabs>
          <w:tab w:leader="none" w:pos="264"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consolidated financial statements in accordance with GAAP, and that our receipts and expenditures are being made only in accordance with authorizations of our management and directors, and</w:t>
      </w:r>
    </w:p>
    <w:p>
      <w:pPr>
        <w:spacing w:after="0" w:line="123" w:lineRule="exact"/>
        <w:rPr>
          <w:rFonts w:ascii="Arial" w:cs="Arial" w:eastAsia="Arial" w:hAnsi="Arial"/>
          <w:sz w:val="16"/>
          <w:szCs w:val="16"/>
          <w:color w:val="auto"/>
        </w:rPr>
      </w:pPr>
    </w:p>
    <w:p>
      <w:pPr>
        <w:ind w:firstLine="8"/>
        <w:spacing w:after="0" w:line="277"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2021. In making these assessments, management used the criteria set forth by the Committee of Sponsoring Organizations of the Treadway Commission (COSO) in Internal Control — Integrated Framework (2013). Based on our assessments and those criteria, management determined that we did not maintain effective internal control over financial reporting as of December 31, 2021.</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has implemented remediation steps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our status as an emerging growth company under the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current directors and executive officers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706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Scheetz</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top w:val="single" w:sz="8" w:color="CCEEFF"/>
            </w:tcBorders>
            <w:shd w:val="clear" w:color="auto" w:fill="CCEEFF"/>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Chief Executive Officer, Director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Matthew MacDonald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 Secretary, Director</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Prasad Phatak</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Chief Investment Officer</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Jonas Grossman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Woodrow H. Levin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Weil</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Julie Atkinson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Bernard Van der Lande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Edward Scheetz </w:t>
      </w:r>
      <w:r>
        <w:rPr>
          <w:rFonts w:ascii="Arial" w:cs="Arial" w:eastAsia="Arial" w:hAnsi="Arial"/>
          <w:sz w:val="17"/>
          <w:szCs w:val="17"/>
          <w:color w:val="auto"/>
        </w:rPr>
        <w:t>has been our Chief Executive Officer and Chairman since August 2020. He is also the co-founder, Chief Executive Officer and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of Ventoux Acquisition Holdings LLC (“Ventoux Acquisition”), our co-sponsor.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Matthew MacDonald </w:t>
      </w:r>
      <w:r>
        <w:rPr>
          <w:rFonts w:ascii="Arial" w:cs="Arial" w:eastAsia="Arial" w:hAnsi="Arial"/>
          <w:sz w:val="18"/>
          <w:szCs w:val="18"/>
          <w:color w:val="auto"/>
        </w:rPr>
        <w:t>has been our Chief Financial Officer and Secretary, and a director since August 2020. He is also the co-founder and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Brock Strasbourger </w:t>
      </w:r>
      <w:r>
        <w:rPr>
          <w:rFonts w:ascii="Arial" w:cs="Arial" w:eastAsia="Arial" w:hAnsi="Arial"/>
          <w:sz w:val="18"/>
          <w:szCs w:val="18"/>
          <w:color w:val="auto"/>
        </w:rPr>
        <w:t>has been our Chief Operating Officer since October 2020. He is also the Chief Operating Officer of Ventoux Acquisition. Prior to his</w:t>
      </w:r>
      <w:r>
        <w:rPr>
          <w:rFonts w:ascii="Arial" w:cs="Arial" w:eastAsia="Arial" w:hAnsi="Arial"/>
          <w:sz w:val="18"/>
          <w:szCs w:val="18"/>
          <w:b w:val="1"/>
          <w:bCs w:val="1"/>
          <w:color w:val="auto"/>
        </w:rPr>
        <w:t xml:space="preserve"> </w:t>
      </w:r>
      <w:r>
        <w:rPr>
          <w:rFonts w:ascii="Arial" w:cs="Arial" w:eastAsia="Arial" w:hAnsi="Arial"/>
          <w:sz w:val="18"/>
          <w:szCs w:val="18"/>
          <w:color w:val="auto"/>
        </w:rPr>
        <w:t>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Prasad Phatak </w:t>
      </w:r>
      <w:r>
        <w:rPr>
          <w:rFonts w:ascii="Arial" w:cs="Arial" w:eastAsia="Arial" w:hAnsi="Arial"/>
          <w:sz w:val="16"/>
          <w:szCs w:val="16"/>
          <w:color w:val="auto"/>
        </w:rPr>
        <w:t>has been our Chief Investment Officer since September 2020. He is also the Chief Investment Officer of Ventoux Acquisition. Since July</w:t>
      </w:r>
      <w:r>
        <w:rPr>
          <w:rFonts w:ascii="Arial" w:cs="Arial" w:eastAsia="Arial" w:hAnsi="Arial"/>
          <w:sz w:val="16"/>
          <w:szCs w:val="16"/>
          <w:b w:val="1"/>
          <w:bCs w:val="1"/>
          <w:color w:val="auto"/>
        </w:rPr>
        <w:t xml:space="preserve"> </w:t>
      </w:r>
      <w:r>
        <w:rPr>
          <w:rFonts w:ascii="Arial" w:cs="Arial" w:eastAsia="Arial" w:hAnsi="Arial"/>
          <w:sz w:val="16"/>
          <w:szCs w:val="16"/>
          <w:color w:val="auto"/>
        </w:rPr>
        <w:t>2011, Mr. Phatak has been the Managing Member of Tappan Street Partners LLC, where he has led the investment research and portfolio management for several private investment funds these past nine years. Additionally, from December 2019 to September 2020, Mr. Phatak was a Partner at Markley Capital Management, a US-focused investment firm. Mr. Phatak founded Tappan Street Partners after leaving Eton Park Capital Management, where he began as a Research Associate in October 2005 and focused on investing in both public and private investments in a variety of industries. Prior to Eton Park, Mr. Phatak worked as a private equity associate for Madison Dearborn Partners from July 2005 to October 2005, and began his career in July 2003 at the Blackstone Group (NYSE: BX) in the Restructuring and Reorganization Advisory Group, where he worked for two years as an investment banking analyst, analyzing complex corporate restructurings in both out of court and Chapter 11 reorganizations. Mr. Phatak graduated with high distinction from the University of Michigan Ross School of Business with a B.B.A. in Finance and Accounting in May 2003.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6"/>
          <w:szCs w:val="16"/>
          <w:b w:val="1"/>
          <w:bCs w:val="1"/>
          <w:color w:val="auto"/>
        </w:rPr>
        <w:t xml:space="preserve">Jonas Grossman </w:t>
      </w:r>
      <w:r>
        <w:rPr>
          <w:rFonts w:ascii="Arial" w:cs="Arial" w:eastAsia="Arial" w:hAnsi="Arial"/>
          <w:sz w:val="16"/>
          <w:szCs w:val="16"/>
          <w:color w:val="auto"/>
        </w:rPr>
        <w:t>has been our director since July 2019. Mr. Grossman is Chief Executive Officer of Chardan Capital Markets, LLC’s 11</w:t>
      </w:r>
      <w:r>
        <w:rPr>
          <w:rFonts w:ascii="Arial" w:cs="Arial" w:eastAsia="Arial" w:hAnsi="Arial"/>
          <w:sz w:val="26"/>
          <w:szCs w:val="26"/>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sponsored or co-sponsored SPAC, Chardan NexTech Acquisition 2 Corp, a disruptive technology and healthcare focused SPAC. He served as President and Chief Executive Officer of Chardan Healthcare Acquisition 2 Corp. until its merger in September 2021 with Renovacor, Inc. (NYSE: RCOR). He is currently a director of Renovacor. He also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(NASDAQ: VINC) in December of 2020. He has served as a director to Ventoux CCM Acquisition Corp. since December, 2020 and as a director to CleanTech Acquisition Corp. since July 2021. From 2001 until 2003, Mr. Grossman worked at Ramius Capital Group, LLC, a global multi-strategy hedge fund where he served as Vice President and Head Trader. Mr. Grossman has served as Partner and Head of Capital Markets for Chardan Capital Markets, LLC, a New York headquartered broker/dealer, since December 2003, and has served as President of Chardan Capital Markets, LLC since September 2015. Since 2003, Mr. Grossman has overseen the firm’s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Woodrow (“Woody”) H. Levin </w:t>
      </w:r>
      <w:r>
        <w:rPr>
          <w:rFonts w:ascii="Arial" w:cs="Arial" w:eastAsia="Arial" w:hAnsi="Arial"/>
          <w:sz w:val="16"/>
          <w:szCs w:val="16"/>
          <w:color w:val="auto"/>
        </w:rPr>
        <w:t>has been our director since December 2020. Mr. Levin is the founder, and has been the Chief Executive Officer since</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2019, of Extend, Inc. Since January 2022, Mr. Levin has been a member of the board of directors of 10X Capital Venture Acquisition Corp. II , a special purpose acquisition company. Mr. Levin was the Chief Executive Officer of 3.0 Capital GP, LLC from November 2017 until January 2019. From September 2015 until October 2017, Mr. Levin served as Vice President of Growth at DocuSign, Inc. (NASDAQ: DOCU). In addition, Mr. Levin served as the founder and Chief Executive Officer of Estate Assist, Inc., from February 2014 to September 2015 (at which time it was acquired), and BringIt, Inc., from June 2009 to September 2012 (at which time it was acquired by DocuSign). Before that, Mr. Levin served as Director Emerging Business — Office of the CTO at International Game Technology PLC (NYSE: IGT). Since May 2013, Mr. Levin has served as a member of the board of directors of DraftKings Inc. (NASDAQ: DKNG), and he has served as a member of the board of directors of Extend, Inc. since February 2019. Since September 2020, Mr. Levin has been a member of the board of directors of 10X Capital Venture Acquisition Corp., a special purpose acquisition company. Mr. Levin received his J.D. from Chicago-Kent College of Law, Illinois Institute of Technology, and his B.A. from the University of Wisconsin. We believe Mr. Levin is qualified to serve on our board of directors because of his extensive experience and knowledge as an executive for technology companies.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Alex Weil </w:t>
      </w:r>
      <w:r>
        <w:rPr>
          <w:rFonts w:ascii="Arial" w:cs="Arial" w:eastAsia="Arial" w:hAnsi="Arial"/>
          <w:sz w:val="17"/>
          <w:szCs w:val="17"/>
          <w:color w:val="auto"/>
        </w:rPr>
        <w:t>has been our director since December 2020. Mr. Weil has served as Managing Director and Co-Head of Fintech Investment Banking at Chardan</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Markets, LLC since March 2020. Since March 2021, he has served as Chief Financial Officer of Chardan NexTech Acquisition Corp., for which he has agreed to serve as a director upon the effectiveness of its registration statement. Since April 2021, he has served as Chief Financial Officer of Chardan NexTech Acquisition 2 Corp., and since August 2021 has also served on its board of directors. From January 2018 to March 2020, Mr. Weil served as Managing Director and Head of Insurtech Investment banking at SenaHill Securities, LLC, a New York headquartered broker/dealer. From January 2013 to September 2017, Mr. Weil, was a Director at PricewaterhouseCoopers Inc.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Julie Atkinson </w:t>
      </w:r>
      <w:r>
        <w:rPr>
          <w:rFonts w:ascii="Arial" w:cs="Arial" w:eastAsia="Arial" w:hAnsi="Arial"/>
          <w:sz w:val="17"/>
          <w:szCs w:val="17"/>
          <w:color w:val="auto"/>
        </w:rPr>
        <w:t>has been our director since December 2020. Ms. Atkinson served as Chief Marketing Officer for Founders Table Restaurant Group since</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2019.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Christian (“Chris”) Ahrens </w:t>
      </w:r>
      <w:r>
        <w:rPr>
          <w:rFonts w:ascii="Arial" w:cs="Arial" w:eastAsia="Arial" w:hAnsi="Arial"/>
          <w:sz w:val="17"/>
          <w:szCs w:val="17"/>
          <w:color w:val="auto"/>
        </w:rPr>
        <w:t>has been our director since December 2020. Mr. Ahrens has been an Advisor with Certares Management LLC since October</w:t>
      </w:r>
      <w:r>
        <w:rPr>
          <w:rFonts w:ascii="Arial" w:cs="Arial" w:eastAsia="Arial" w:hAnsi="Arial"/>
          <w:sz w:val="17"/>
          <w:szCs w:val="17"/>
          <w:b w:val="1"/>
          <w:bCs w:val="1"/>
          <w:color w:val="auto"/>
        </w:rPr>
        <w:t xml:space="preserve"> </w:t>
      </w:r>
      <w:r>
        <w:rPr>
          <w:rFonts w:ascii="Arial" w:cs="Arial" w:eastAsia="Arial" w:hAnsi="Arial"/>
          <w:sz w:val="17"/>
          <w:szCs w:val="17"/>
          <w:color w:val="auto"/>
        </w:rPr>
        <w:t>2017. From January 2015 until September 2017 Mr. Ahrens was a Partner with Certares. Prior to December 2015 Mr. Ahrens was a Managing Director at One Equity Partners, the private equity investing arm of JPMorgan Chase, which he joined in September 2001. Mr. Ahrens has served as a board member at Internova Travel Group since January 2015. Mr. Ahrens received his A.B. from Princeton University. We believe Mr. Ahrens is qualified to serve on our board of directors because of his experience in corporate finance and investing.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b w:val="1"/>
          <w:bCs w:val="1"/>
          <w:color w:val="auto"/>
        </w:rPr>
        <w:t xml:space="preserve">Bernard A. Van der Lande </w:t>
      </w:r>
      <w:r>
        <w:rPr>
          <w:rFonts w:ascii="Arial" w:cs="Arial" w:eastAsia="Arial" w:hAnsi="Arial"/>
          <w:sz w:val="18"/>
          <w:szCs w:val="18"/>
          <w:color w:val="auto"/>
        </w:rPr>
        <w:t>has been our director since December 2020. Mr. Van der Lande has been a Managing Director of Cindat USA LLC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2020. Mr. Van der Lande was Chief Issuance Officer of Templum, Inc. from February 2019 until August 2019. From November 2017 until January 2019, Mr. Van der Lande served as Managing Director of Easterly Capital, LLC. Before that, Mr. Van der Lande was with CBRE, Inc. from January 2013 until November 2017, where he served in capacities of Managing Director of its investment banking division, Capital Advisors, and Senior Vice President of its international hotels brokerage business. In addition, Mr. Van der Lande served as Managing Director of Hodges Ward Elliott’s Lodging Capital Markets business, where he worked from October 2008 until December 2012. Mr. Van der Lande received his B.A. from Davidson College. We believe Mr. Van der Lande is qualified to serve on our board of directors because of his extensive experience in the global capital markets, public and private markets, and with cross-border lodging and hospitality transactions, as well as his knowledge as an executive for emerging technology, and private equity companies.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Ventoux Acquisition has agreed with one of its members to re-nominate each of our current directors for any election of directors we hold prior to the closing of our initial Business Combination, and that it will vote in favor of the election of such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Qualifications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officers and board of directors are composed of a diverse group of leaders with a wide array of professional roles. In these roles, they have gained experience in core management skills, such as strategic and financial planning, financial reporting, compliance, risk management, and leadership development. Many of our officers and directors also have experience serving on boards of directors and board committees of other companies, and have an understanding of corporate governance practices and trends, which provides an understanding of different business processes, challenges, and strategies. Further, our officers and directors also have other experience that makes them valuable, managing and investing assets or facilitating the consummation of business combinations.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along with our officers and directors, believe that the above-mentioned attributes, along with the leadership skills and other experiences of our officers and board members described below, provide us with a diverse range of perspectives and judgment necessary to facilitate our goals of consummating an acquisition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2021, the Board held three meetings.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has a standing audit, nominating and corporate governance, and compensation committee. The independent directors oversee director nominations. Each committee has a charter, adopted in connection with the consummation of the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Audit Committee, which is established in accordance with Section 3(a)(58)(A) of the Exchange Act, engages the Company’s independent accountants, reviewing their independence and performance, and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five meetings during 2021.</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 of the Audit Committee are Mr. Weil, Mr. Levin, and Mr. Ahrens, each of whom is an independent director under Nasdaq’s listing standards. Mr. Weil is the Chairperson of the Audit Committee. The Board has determined that Mr. Weil qualifies as an “audit committee financial expert,” as defined under the rules and regulations of Nasdaq and the SEC.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Nominating and Corporate Governance Committee is responsible for overseeing the selection of persons to be nominated to serve on our Board. Specifically, the Nominating and Corporate Governance Committee makes recommendations to the Board regarding the size and composition of the Board, establishes procedures for the director nomination process and screens and recommends candidates for election to the Board. On an annual basis, the Nominating and Corporate Governance Committee recommends for approval by the Board certain desired qualifications and characteristics for board membership. Additionally, the Nominating and Corporate Governance Committee establishes and administers a periodic assessment procedure relating to the performance of the Board as a whole and its individual members. The Nominating and Corporate Governance Committee will consider a number of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stockholders and other persons. The Nominating and Corporate Governance Committee did not hold any meetings during 2021.</w:t>
      </w:r>
    </w:p>
    <w:p>
      <w:pPr>
        <w:spacing w:after="0" w:line="1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members of the Nominating and Corporate Governance Committee are Mr. Weil, Mr. Ahrens, and Ms. Atkinson, each of whom is an independent director under Nasdaq’s listing standards. Mr. Ahrens is the Chairperson of the Nominating and Corporate Governance Committee.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did not meet during 2021.</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Compensation Committee are Mr. Levin, Ms. Atkinson, and Mr. Van der Lande, each of whom is an independent director under Nasdaq’s listing standards. Mr. Levin is the Chairperson of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a code of conduct and ethics applicable to our directors, officers and employees in accordance with applicable federal securities laws. The code of ethics codifies the business and ethical principles that govern all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entered into any employment agreements with our executive officers and have not made any agreements to provide benefits upon termination of employment.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Executive Officers and Director Compensation</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executive officer has received any cash compensation for services rendered to us.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However, such individuals will be reimbursed for any out-of-pocket expenses incurred in connection with activities on our behalf such as identifying potential target businesses and performing due diligence on suitable business combinations. There is no limit on the amount of these out-of-pocket expenses and there will be no review of the reasonableness of the expenses by anyone other than our board of directors and Audit Committee, which includes persons who may seek reimbursement, or a court of competent jurisdiction if such reimbursement is challenged.</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as of February 22, 2022, certain information regarding beneficial ownership of the Company’s common stock by each person who is known by the Company to beneficially own more than 5% of the Company’s common stock. The table also identifies the stock ownership of each of the Company’s directors and officers, and all directors and officers as a group. Except as otherwise indicated, the stockholders listed in the table have sole voting and investment powers with respect to the shares indicated.</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Shares of common stock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and</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Nature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of Beneficial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Common</w:t>
            </w:r>
          </w:p>
        </w:tc>
      </w:tr>
      <w:tr>
        <w:trPr>
          <w:trHeight w:val="241"/>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Beneficial Owner(1)</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Ownership (2)</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Stock (%)</w:t>
            </w:r>
          </w:p>
        </w:tc>
        <w:tc>
          <w:tcPr>
            <w:tcW w:w="160" w:type="dxa"/>
            <w:vAlign w:val="bottom"/>
            <w:tcBorders>
              <w:bottom w:val="single" w:sz="8" w:color="CCEEFF"/>
            </w:tcBorders>
          </w:tcPr>
          <w:p>
            <w:pPr>
              <w:spacing w:after="0"/>
              <w:rPr>
                <w:sz w:val="20"/>
                <w:szCs w:val="20"/>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Edward Scheetz(3)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2,728,875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Matthew MacDonald(3)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2,728,875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Prasad Phatak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Jonas Grossman(4)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1,493,625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Woodrow H. Levin(5)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Julie Atkinson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22,500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Bernard Van der Lande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 (10 individuals)(3)(4)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Ventoux Acquisition Holdings LLC(6)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2,728,875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Chardan International Investments, LLC(7)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1,493,625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Polar Asset Management Partners Inc.(8)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Montreal(9)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1,202,033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MMCAP International Inc. SPC(10)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Financial Group, Inc.(11)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Barclays PLC(12)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1,100,593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9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131" w:lineRule="exact"/>
        <w:rPr>
          <w:sz w:val="20"/>
          <w:szCs w:val="20"/>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stockholders is c/o Ventoux CCM Acquisition Corp., 1 East Putnam Avenue, Floor 4, Greenwich, CT 06830.</w:t>
      </w:r>
    </w:p>
    <w:p>
      <w:pPr>
        <w:spacing w:after="0" w:line="75"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Excludes shares issuable pursuant to warrants and rights issued in connection with the Initial Public Offering. The warrants will not become exercisable until the later of one year after the closing of the Initial Public Offering or the consummation of an initial Business Combination. Each holder of a right will receive one-twentieth (1/20) of a share of common stock upon consummation of our initial Business Combination.</w:t>
      </w:r>
    </w:p>
    <w:p>
      <w:pPr>
        <w:spacing w:after="0" w:line="70"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shares owned by Ventoux Acquisition Holdings LLC, for which Edward Scheetz and Matthew MacDonald are the managing members.</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owned by Chardan International Investments, LLC, for which Jonas Grossman is the managing member.</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shares owned by Blind 1212, LLC for which Woodrow H. Levin is the sole and managing member.</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Edward Scheetz and Matthew MacDonald are the managing members of Ventoux Acquisition Holdings LLC.</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Jonas Grossman is the managing member of Chardan International Investments, LLC.</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0" w:name="page21"/>
    <w:bookmarkEnd w:id="20"/>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reported is based on a Schedule 13G/A filed on February 11, 2021. According to the Schedule 13G/A, as of December 31, 2021, Polar Asset Management Partners Inc. (“Polar”), which serves as the investment advisor to Polar Multi-Strategy Master Fund (“PMSMF”) with respect to the 1,300,000 shares of our common stock directly held by PMSMF, has sole voting and dispositive power with respect to such securities. The address for Polar is 16 York Street, Suite 2900, Toronto, ON, Canada M5J 0E6.</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reported is based on a Schedule 13G filed on February 15, 2022. According to the Schedule 13G, as of December 31, 2021, Bank of Montreal (as a parent holding company) has sole voting and dispositive power with respect to 1,202,033 shares of our common stock. The address for Bank of Montreal is 100 King Street West, 21st Floor, Toronto, M5X 1A1, Ontario, Canada.</w:t>
      </w:r>
    </w:p>
    <w:p>
      <w:pPr>
        <w:spacing w:after="0" w:line="183"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reported is based on a Schedule 13G/A filed on February 4, 2022. According to the Schedule 13G/A, as of December 31, 2021, each of MMCAP International Inc. SPC and MM Asset Management Inc. has shared voting and dispositive power over 1,200,000 shares of our common stock. The address for MMCAP International Inc. is Mourant Governance Services (Cayman) Limited, 94 Solaris Avenue, Camana Bay, P.O. Box 1348, Grand Cayman, KY1-1108, Cayman Islands. The address for MM Asset Management Inc. is 161 Bay Street, TD Canada Trust Tower Ste 2240, Toronto, ON M5J 2S1, Canada.</w:t>
      </w:r>
    </w:p>
    <w:p>
      <w:pPr>
        <w:spacing w:after="0" w:line="187"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is based on a Schedule 13G filed on February 12, 2021. According to the Schedule 13G, as of December 31, 2020, Mizuho Financial Group, Inc., Mizuho Bank, Ltd. and Mizuho Americas LLC may be deemed to be indirect beneficial owners of 1,150,000 shares of our common stock held by Mizuho Securities USA LLC, which is their wholly-owned subsidiary. Mizuho Financial Group, Inc. has sole voting and dispositive power over such securities. The address of each of Mizuho Financial Group, Inc. and Mizuho Bank, Ltd. is 1–5–5, Otemachi, Chiyoda–ku, Tokyo 100–8176, Japan. The address of each of Mizuho Americas LLC and Mizuho Securities USA LLC is 1271 Avenue of the Americas, New York, NY 10020.</w:t>
      </w:r>
    </w:p>
    <w:p>
      <w:pPr>
        <w:spacing w:after="0" w:line="161"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reported is based on a Schedule 13G filed on February 11, 2022. According to the Schedule 13G, as of December 31, 2021, Barclays PLC (as a parent holding company) (“Barclays”) has sole voting and dispositive power with respect to 1,100,593 shares of our common stock. The address for Barclays is 1 Churchill Place, London, E14 5HP, England.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20, 2020, the Company issued an unsecured promissory note to Ventoux Acquisition. The outstanding balance under the promissory note of $151,812 was repaid in full on December 31,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at the closing of the IPO, the Company’s stockholders prior to the IPO purchased from the Company an aggregate of 6,000,000 private warrants at $1.00 per private warrant (for a total purchase price of $6,000,000). In connection with the closing of the issuance sale of the Over-Allotment Option Units, the Company’s stockholders prior to the IPO purchased from the Company an aggregate of 675,000 private warrants at $1.00 per private warrant (for a total purchase price of $675,000). As of December 31, 2020, the Company had no loans outstanding, including any loans from its directors or officers.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Jonas Grossman and Alex Weil are affiliated with Chardan Capital Markets, LLC, in addition to being directors of the Company. While no direct compensation arrangements regarding such individuals have been entered into regarding such fees, these executives may benefit indirectly from any such amounts payable to Chardan Capital Markets, LLC in respect of marketing fees, costs and expenses incurred by Chardan Capital Markets, LLC in connection with the identification, review and negotiation and approval of the initial Business Combination.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pay to Chardan Capital Markets, LLC, an affiliate of Chardan International Investments, LLC, our co-sponsor and an affiliate of certain of the Company’s directors and Chardan Capital Markets, LLC, the representative of the underwriters in our Initial Public Offering, a fee of $10,000 per month for use of office space and certain office and secretarial services.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9, 2021, we entered into an engagement agreement with Chardan Capital Markets, LLC, pursuant to which Chardan Capital Markets, LLC will act as co-lead placement agent in our private placement of securities in connection with the proposed Business Combination. Under the terms of the engagement agreement, we agreed to pay the placement agents (i) a fee equal to 6% of the amounts raised under the private placement and (ii) a fee equal to 1% of the amount remaining in the trust account after redemptions in connection with the Business Combination. Chardan Capital Markets, LLC will be paid no less than 20% of such fees. Our director, Jonas Grossman is President of Chardan Capital Markets, LLC.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w:t>
      </w:r>
    </w:p>
    <w:p>
      <w:pPr>
        <w:spacing w:after="0" w:line="2" w:lineRule="exact"/>
        <w:rPr>
          <w:sz w:val="20"/>
          <w:szCs w:val="20"/>
          <w:color w:val="auto"/>
        </w:rPr>
      </w:pPr>
    </w:p>
    <w:p>
      <w:pPr>
        <w:jc w:val="both"/>
        <w:ind w:firstLine="8"/>
        <w:spacing w:after="0" w:line="253" w:lineRule="auto"/>
        <w:tabs>
          <w:tab w:leader="none" w:pos="2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spacing w:after="0" w:line="271" w:lineRule="auto"/>
        <w:rPr>
          <w:sz w:val="20"/>
          <w:szCs w:val="20"/>
          <w:color w:val="auto"/>
        </w:rPr>
      </w:pPr>
      <w:r>
        <w:rPr>
          <w:rFonts w:ascii="Arial" w:cs="Arial" w:eastAsia="Arial" w:hAnsi="Arial"/>
          <w:sz w:val="17"/>
          <w:szCs w:val="17"/>
          <w:color w:val="auto"/>
        </w:rPr>
        <w:t>Our Audit Committee, pursuant to its written charter, is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of directors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listing standards require that a majority of our board of directors be independent. For a description of the director independence, see above Part III, Item 10 – Directors, Executive Officers and Corporate Governance.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firm of WithumSmith+Brown, PC, or Withum, acts as our independent registered public accounting firm. The following is a summary of fees paid to Withum for services rendered.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For the year ended December 31, 2021 and 2020, fees for our independent registered public accounting firm were approximately $99,910 and</w:t>
      </w:r>
      <w:r>
        <w:rPr>
          <w:rFonts w:ascii="Arial" w:cs="Arial" w:eastAsia="Arial" w:hAnsi="Arial"/>
          <w:sz w:val="16"/>
          <w:szCs w:val="16"/>
          <w:i w:val="1"/>
          <w:iCs w:val="1"/>
          <w:color w:val="auto"/>
        </w:rPr>
        <w:t xml:space="preserve"> </w:t>
      </w:r>
      <w:r>
        <w:rPr>
          <w:rFonts w:ascii="Arial" w:cs="Arial" w:eastAsia="Arial" w:hAnsi="Arial"/>
          <w:sz w:val="16"/>
          <w:szCs w:val="16"/>
          <w:color w:val="auto"/>
        </w:rPr>
        <w:t>$65,400, respectively, for the services Withum performed in connection with our Initial Public Offering, review of the financial information included in our Forms 10-Q for the respective periods and the audit of our December 31, 2021 financial statements included in this Annual Report on Form 10-K.</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For the year ended December 31, 2021 and 2020, our independent registered public accounting firm did not render assurance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services related to the performance of the audit or review of financial statements.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For the year ended December 31, 2021 and 2020, fees for our independent registered public accounting firm were approximately $7,725 and $0</w:t>
      </w:r>
      <w:r>
        <w:rPr>
          <w:rFonts w:ascii="Arial" w:cs="Arial" w:eastAsia="Arial" w:hAnsi="Arial"/>
          <w:sz w:val="18"/>
          <w:szCs w:val="18"/>
          <w:i w:val="1"/>
          <w:iCs w:val="1"/>
          <w:color w:val="auto"/>
        </w:rPr>
        <w:t xml:space="preserve"> </w:t>
      </w:r>
      <w:r>
        <w:rPr>
          <w:rFonts w:ascii="Arial" w:cs="Arial" w:eastAsia="Arial" w:hAnsi="Arial"/>
          <w:sz w:val="18"/>
          <w:szCs w:val="18"/>
          <w:color w:val="auto"/>
        </w:rPr>
        <w:t>for tax compliance, tax advice and tax planning,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For the year ended December 31, 2021 and 2020, there were no fees billed for products and services provided by our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other than those set forth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9" w:lineRule="exact"/>
        <w:rPr>
          <w:sz w:val="20"/>
          <w:szCs w:val="20"/>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1020" w:hanging="337"/>
        <w:spacing w:after="0"/>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196"/>
        </w:trPr>
        <w:tc>
          <w:tcPr>
            <w:tcW w:w="10120" w:type="dxa"/>
            <w:vAlign w:val="bottom"/>
            <w:gridSpan w:val="7"/>
            <w:shd w:val="clear" w:color="auto" w:fill="CCEEFF"/>
          </w:tcPr>
          <w:p>
            <w:pPr>
              <w:spacing w:after="0" w:line="142" w:lineRule="exact"/>
              <w:rPr>
                <w:rFonts w:ascii="Arial" w:cs="Arial" w:eastAsia="Arial" w:hAnsi="Arial"/>
                <w:sz w:val="16"/>
                <w:szCs w:val="16"/>
                <w:color w:val="0000EE"/>
              </w:rPr>
            </w:pPr>
            <w:hyperlink w:anchor="page28">
              <w:r>
                <w:rPr>
                  <w:rFonts w:ascii="Arial" w:cs="Arial" w:eastAsia="Arial" w:hAnsi="Arial"/>
                  <w:sz w:val="16"/>
                  <w:szCs w:val="16"/>
                  <w:color w:val="0000EE"/>
                </w:rPr>
                <w:t>Report of Independent Registered Public Accounting Firm</w:t>
              </w:r>
            </w:hyperlink>
          </w:p>
        </w:tc>
        <w:tc>
          <w:tcPr>
            <w:tcW w:w="112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99"/>
              </w:rPr>
              <w:t>F-2</w:t>
            </w:r>
          </w:p>
        </w:tc>
      </w:tr>
      <w:tr>
        <w:trPr>
          <w:trHeight w:val="176"/>
        </w:trPr>
        <w:tc>
          <w:tcPr>
            <w:tcW w:w="422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Consolidated Balance Sheets</w:t>
              </w:r>
            </w:hyperlink>
          </w:p>
        </w:tc>
        <w:tc>
          <w:tcPr>
            <w:tcW w:w="590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Consolidated Statements of Operations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0"/>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7"/>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Statements of Changes in Stockholders’ Deficit</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Consolidated Statements of Cash Flows</w:t>
              </w:r>
            </w:hyperlink>
          </w:p>
        </w:tc>
        <w:tc>
          <w:tcPr>
            <w:tcW w:w="724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175"/>
        </w:trPr>
        <w:tc>
          <w:tcPr>
            <w:tcW w:w="3160" w:type="dxa"/>
            <w:vAlign w:val="bottom"/>
            <w:tcBorders>
              <w:bottom w:val="single" w:sz="8" w:color="0000EE"/>
            </w:tcBorders>
            <w:gridSpan w:val="4"/>
          </w:tcPr>
          <w:p>
            <w:pPr>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Notes to Consolidated Financial Statements</w:t>
              </w:r>
            </w:hyperlink>
          </w:p>
        </w:tc>
        <w:tc>
          <w:tcPr>
            <w:tcW w:w="6960" w:type="dxa"/>
            <w:vAlign w:val="bottom"/>
            <w:gridSpan w:val="3"/>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8"/>
              </w:rPr>
              <w:t>F-7</w:t>
            </w:r>
          </w:p>
        </w:tc>
      </w:tr>
    </w:tbl>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ind w:left="68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filed with this report. Exhibits which are incorporated herein by reference can be obtained from the SEC’s website at http://www.sec.gov.</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14"/>
          </w:tcPr>
          <w:p>
            <w:pPr>
              <w:spacing w:after="0"/>
              <w:rPr>
                <w:sz w:val="20"/>
                <w:szCs w:val="20"/>
                <w:color w:val="auto"/>
              </w:rPr>
            </w:pPr>
            <w:r>
              <w:rPr>
                <w:rFonts w:ascii="Arial" w:cs="Arial" w:eastAsia="Arial" w:hAnsi="Arial"/>
                <w:sz w:val="18"/>
                <w:szCs w:val="18"/>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80" w:type="dxa"/>
            <w:vAlign w:val="bottom"/>
            <w:tcBorders>
              <w:top w:val="single" w:sz="8" w:color="auto"/>
              <w:bottom w:val="single" w:sz="8" w:color="0000EE"/>
            </w:tcBorders>
            <w:gridSpan w:val="13"/>
            <w:shd w:val="clear" w:color="auto" w:fill="CCEEFF"/>
          </w:tcPr>
          <w:p>
            <w:pPr>
              <w:spacing w:after="0" w:line="17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Merger Agreement, dated as of November 10, 2021, by and among the Company, Ventoux Merger Sub Inc., Ventoux Merger Sub II, LLC</w:t>
              </w:r>
            </w:hyperlink>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0000EE"/>
            </w:tcBorders>
            <w:gridSpan w:val="13"/>
            <w:shd w:val="clear" w:color="auto" w:fill="CCEEFF"/>
          </w:tcPr>
          <w:p>
            <w:pPr>
              <w:spacing w:after="0" w:line="196" w:lineRule="exact"/>
              <w:rPr>
                <w:rFonts w:ascii="Arial" w:cs="Arial" w:eastAsia="Arial" w:hAnsi="Arial"/>
                <w:sz w:val="18"/>
                <w:szCs w:val="18"/>
                <w:color w:val="0000EE"/>
                <w:w w:val="93"/>
              </w:rPr>
            </w:pPr>
            <w:hyperlink r:id="rId34">
              <w:r>
                <w:rPr>
                  <w:rFonts w:ascii="Arial" w:cs="Arial" w:eastAsia="Arial" w:hAnsi="Arial"/>
                  <w:sz w:val="18"/>
                  <w:szCs w:val="18"/>
                  <w:color w:val="0000EE"/>
                  <w:w w:val="93"/>
                </w:rPr>
                <w:t>and E La Carte, Inc. (incorporated by reference to Exhibit 2.1 to the Current Report on Form 8-K filed with the Securities and Exchange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0"/>
              </w:rPr>
            </w:pPr>
            <w:hyperlink r:id="rId34">
              <w:r>
                <w:rPr>
                  <w:rFonts w:ascii="Arial" w:cs="Arial" w:eastAsia="Arial" w:hAnsi="Arial"/>
                  <w:sz w:val="18"/>
                  <w:szCs w:val="18"/>
                  <w:color w:val="0000EE"/>
                  <w:w w:val="90"/>
                </w:rPr>
                <w:t>Commission on November 10, 2021)</w:t>
              </w:r>
            </w:hyperlink>
          </w:p>
        </w:tc>
        <w:tc>
          <w:tcPr>
            <w:tcW w:w="7420" w:type="dxa"/>
            <w:vAlign w:val="bottom"/>
            <w:tcBorders>
              <w:bottom w:val="single" w:sz="8" w:color="CCEEFF"/>
            </w:tcBorders>
            <w:gridSpan w:val="8"/>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Amended and Restated Certificate of Incorporation (incorporated by reference to Exhibit 3.1 to the Current Report on Form 8-K filed with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the Securities and Exchange Commission on 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7"/>
              </w:rPr>
            </w:pPr>
            <w:hyperlink r:id="rId36">
              <w:r>
                <w:rPr>
                  <w:rFonts w:ascii="Arial" w:cs="Arial" w:eastAsia="Arial" w:hAnsi="Arial"/>
                  <w:sz w:val="18"/>
                  <w:szCs w:val="18"/>
                  <w:color w:val="0000EE"/>
                  <w:w w:val="97"/>
                </w:rPr>
                <w:t>Bylaws (incorporated by reference to Exhibit 3.5 to the Registration Statement on Form S-1 filed with the Securities and Exchange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Commission on December 1, 2020)</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3"/>
              </w:rPr>
            </w:pPr>
            <w:hyperlink r:id="rId37">
              <w:r>
                <w:rPr>
                  <w:rFonts w:ascii="Arial" w:cs="Arial" w:eastAsia="Arial" w:hAnsi="Arial"/>
                  <w:sz w:val="18"/>
                  <w:szCs w:val="18"/>
                  <w:color w:val="0000EE"/>
                  <w:w w:val="93"/>
                </w:rPr>
                <w:t>Specimen Unit Certificate (incorporated by reference to Exhibit 4.1 to the Registration Statement on Form S-1/A filed with the Securities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and Exchange Commission on December 15, 2020)</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Specimen Common Stock Certificate (incorporated by reference to Exhibit 4.2 to the Registration Statement on Form S-1/A filed with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Securities and Exchange Commission on December 15, 2020)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8"/>
              </w:rPr>
            </w:pPr>
            <w:hyperlink r:id="rId39">
              <w:r>
                <w:rPr>
                  <w:rFonts w:ascii="Arial" w:cs="Arial" w:eastAsia="Arial" w:hAnsi="Arial"/>
                  <w:sz w:val="18"/>
                  <w:szCs w:val="18"/>
                  <w:color w:val="0000EE"/>
                  <w:w w:val="98"/>
                </w:rPr>
                <w:t>Specimen Warrant Certificate (incorporated by reference to Exhibit 4.3 to the Registration Statement on Form S-1/A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Securities and Exchange Commission on December 15, 2020)</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8"/>
              </w:rPr>
            </w:pPr>
            <w:hyperlink r:id="rId40">
              <w:r>
                <w:rPr>
                  <w:rFonts w:ascii="Arial" w:cs="Arial" w:eastAsia="Arial" w:hAnsi="Arial"/>
                  <w:sz w:val="18"/>
                  <w:szCs w:val="18"/>
                  <w:color w:val="0000EE"/>
                  <w:w w:val="98"/>
                </w:rPr>
                <w:t>Warrant Agreement, dated December 23, 2020, by and between the Company and Continental Stock Transfer &amp; Trust Company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7"/>
              </w:rPr>
            </w:pPr>
            <w:hyperlink r:id="rId40">
              <w:r>
                <w:rPr>
                  <w:rFonts w:ascii="Arial" w:cs="Arial" w:eastAsia="Arial" w:hAnsi="Arial"/>
                  <w:sz w:val="18"/>
                  <w:szCs w:val="18"/>
                  <w:color w:val="0000EE"/>
                  <w:w w:val="97"/>
                </w:rPr>
                <w:t>(incorporated by reference to Exhibit 4.1 to the Current Report on Form 8-K filed with the Securities and Exchange Commission on</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40">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13"/>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9"/>
              </w:rPr>
            </w:pPr>
            <w:hyperlink r:id="rId41">
              <w:r>
                <w:rPr>
                  <w:rFonts w:ascii="Arial" w:cs="Arial" w:eastAsia="Arial" w:hAnsi="Arial"/>
                  <w:sz w:val="18"/>
                  <w:szCs w:val="18"/>
                  <w:color w:val="0000EE"/>
                  <w:w w:val="99"/>
                </w:rPr>
                <w:t>Rights Agreement, dated December 23, 2020, by and between the Company and Continental Stock Transfer &amp; Trust Company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41">
              <w:r>
                <w:rPr>
                  <w:rFonts w:ascii="Arial" w:cs="Arial" w:eastAsia="Arial" w:hAnsi="Arial"/>
                  <w:sz w:val="18"/>
                  <w:szCs w:val="18"/>
                  <w:color w:val="0000EE"/>
                  <w:w w:val="97"/>
                </w:rPr>
                <w:t>(incorporated by reference to Exhibit 4.2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December 31, 2020)</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8"/>
              </w:rPr>
            </w:pPr>
            <w:hyperlink r:id="rId42">
              <w:r>
                <w:rPr>
                  <w:rFonts w:ascii="Arial" w:cs="Arial" w:eastAsia="Arial" w:hAnsi="Arial"/>
                  <w:sz w:val="18"/>
                  <w:szCs w:val="18"/>
                  <w:color w:val="0000EE"/>
                  <w:w w:val="98"/>
                </w:rPr>
                <w:t>Description of Securities (incorporated by reference to Exhibit 4.6 to the Annual Report on Form 10-K filed with the Securities and</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Exchange Commission on March 30, 2020)</w:t>
              </w:r>
            </w:hyperlink>
          </w:p>
        </w:tc>
        <w:tc>
          <w:tcPr>
            <w:tcW w:w="6920" w:type="dxa"/>
            <w:vAlign w:val="bottom"/>
            <w:tcBorders>
              <w:bottom w:val="single" w:sz="8" w:color="CCEEFF"/>
            </w:tcBorders>
            <w:gridSpan w:val="7"/>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5"/>
                <w:szCs w:val="15"/>
                <w:color w:val="auto"/>
              </w:rPr>
            </w:pPr>
          </w:p>
        </w:tc>
        <w:tc>
          <w:tcPr>
            <w:tcW w:w="10100" w:type="dxa"/>
            <w:vAlign w:val="bottom"/>
            <w:gridSpan w:val="14"/>
          </w:tcPr>
          <w:p>
            <w:pPr>
              <w:spacing w:after="0" w:line="176" w:lineRule="exact"/>
              <w:rPr>
                <w:rFonts w:ascii="Arial" w:cs="Arial" w:eastAsia="Arial" w:hAnsi="Arial"/>
                <w:sz w:val="18"/>
                <w:szCs w:val="18"/>
                <w:color w:val="0000EE"/>
                <w:w w:val="93"/>
              </w:rPr>
            </w:pPr>
            <w:hyperlink r:id="rId43">
              <w:r>
                <w:rPr>
                  <w:rFonts w:ascii="Arial" w:cs="Arial" w:eastAsia="Arial" w:hAnsi="Arial"/>
                  <w:sz w:val="18"/>
                  <w:szCs w:val="18"/>
                  <w:color w:val="0000EE"/>
                  <w:w w:val="93"/>
                </w:rPr>
                <w:t>Form of Indenture, by and among the Company, the guarantors from time to time party thereto and U.S. Bank, National Association, as</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940" w:type="dxa"/>
            <w:vAlign w:val="bottom"/>
            <w:gridSpan w:val="6"/>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trustee (incorporated by reference to Exhibit 4.1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November 10,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3"/>
              </w:rPr>
            </w:pPr>
            <w:hyperlink r:id="rId43">
              <w:r>
                <w:rPr>
                  <w:rFonts w:ascii="Arial" w:cs="Arial" w:eastAsia="Arial" w:hAnsi="Arial"/>
                  <w:sz w:val="18"/>
                  <w:szCs w:val="18"/>
                  <w:color w:val="0000EE"/>
                  <w:w w:val="93"/>
                </w:rPr>
                <w:t>Form of 9.0%/11.0% Convertible Senior PIK Toggle Note due 2026 (incorporated by reference to Exhibit A included in Exhibit 4.1 to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Current Report on Form 8-K filed with the Securities and Exchange Commission on November 10, 2021)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6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Letter Agreements, dated December 23, 2020, by and between the Company and the Company’s officers, directors and initial stockholders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44">
              <w:r>
                <w:rPr>
                  <w:rFonts w:ascii="Arial" w:cs="Arial" w:eastAsia="Arial" w:hAnsi="Arial"/>
                  <w:sz w:val="18"/>
                  <w:szCs w:val="18"/>
                  <w:color w:val="0000EE"/>
                  <w:w w:val="96"/>
                </w:rPr>
                <w:t>(incorporated by reference to Exhibit 10.1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Investment Management Trust Agreement, dated December 23, 2020, by and between the Company and Continental Stock Transfer &amp;</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6"/>
              </w:rPr>
            </w:pPr>
            <w:hyperlink r:id="rId45">
              <w:r>
                <w:rPr>
                  <w:rFonts w:ascii="Arial" w:cs="Arial" w:eastAsia="Arial" w:hAnsi="Arial"/>
                  <w:sz w:val="18"/>
                  <w:szCs w:val="18"/>
                  <w:color w:val="0000EE"/>
                  <w:w w:val="96"/>
                </w:rPr>
                <w:t>Trust Company (incorporated by reference to Exhibit 10.2 to the Current Report on Form 8-K filed with the Securities and Exchange</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Commission on December 31, 2020)</w:t>
              </w:r>
            </w:hyperlink>
          </w:p>
        </w:tc>
        <w:tc>
          <w:tcPr>
            <w:tcW w:w="7440" w:type="dxa"/>
            <w:vAlign w:val="bottom"/>
            <w:tcBorders>
              <w:bottom w:val="single" w:sz="8" w:color="CCEEFF"/>
            </w:tcBorders>
            <w:gridSpan w:val="9"/>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4"/>
              </w:rPr>
            </w:pPr>
            <w:hyperlink r:id="rId46">
              <w:r>
                <w:rPr>
                  <w:rFonts w:ascii="Arial" w:cs="Arial" w:eastAsia="Arial" w:hAnsi="Arial"/>
                  <w:sz w:val="18"/>
                  <w:szCs w:val="18"/>
                  <w:color w:val="0000EE"/>
                  <w:w w:val="94"/>
                </w:rPr>
                <w:t>Stock Escrow Agreement, dated December 23, 2020, by and between the Company and Continental Stock Transfer &amp; Trust Company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46">
              <w:r>
                <w:rPr>
                  <w:rFonts w:ascii="Arial" w:cs="Arial" w:eastAsia="Arial" w:hAnsi="Arial"/>
                  <w:sz w:val="18"/>
                  <w:szCs w:val="18"/>
                  <w:color w:val="0000EE"/>
                  <w:w w:val="96"/>
                </w:rPr>
                <w:t>(incorporated by reference to Exhibit 10.3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Arial" w:cs="Arial" w:eastAsia="Arial" w:hAnsi="Arial"/>
                <w:sz w:val="18"/>
                <w:szCs w:val="18"/>
                <w:color w:val="0000EE"/>
                <w:w w:val="94"/>
              </w:rPr>
            </w:pPr>
            <w:hyperlink r:id="rId47">
              <w:r>
                <w:rPr>
                  <w:rFonts w:ascii="Arial" w:cs="Arial" w:eastAsia="Arial" w:hAnsi="Arial"/>
                  <w:sz w:val="18"/>
                  <w:szCs w:val="18"/>
                  <w:color w:val="0000EE"/>
                  <w:w w:val="94"/>
                </w:rPr>
                <w:t>Registration Rights Agreement, dated December 23, 2020, by and between the Company and the initial stockholders of the Company</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836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6"/>
              </w:rPr>
            </w:pPr>
            <w:hyperlink r:id="rId47">
              <w:r>
                <w:rPr>
                  <w:rFonts w:ascii="Arial" w:cs="Arial" w:eastAsia="Arial" w:hAnsi="Arial"/>
                  <w:sz w:val="18"/>
                  <w:szCs w:val="18"/>
                  <w:color w:val="0000EE"/>
                  <w:w w:val="96"/>
                </w:rPr>
                <w:t>(incorporated by reference to Exhibit 10.4 to the Current Report on Form 8-K filed with the Securities and Exchange Commission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47">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13"/>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9"/>
              </w:rPr>
            </w:pPr>
            <w:hyperlink r:id="rId48">
              <w:r>
                <w:rPr>
                  <w:rFonts w:ascii="Arial" w:cs="Arial" w:eastAsia="Arial" w:hAnsi="Arial"/>
                  <w:sz w:val="18"/>
                  <w:szCs w:val="18"/>
                  <w:color w:val="0000EE"/>
                  <w:w w:val="99"/>
                </w:rPr>
                <w:t>Indemnity Agreements, dated December 23, 2020, by and between the Company and the directors and officers of the Company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48">
              <w:r>
                <w:rPr>
                  <w:rFonts w:ascii="Arial" w:cs="Arial" w:eastAsia="Arial" w:hAnsi="Arial"/>
                  <w:sz w:val="18"/>
                  <w:szCs w:val="18"/>
                  <w:color w:val="0000EE"/>
                  <w:w w:val="96"/>
                </w:rPr>
                <w:t>(incorporated by reference to Exhibit 10.5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December 31, 2020)</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Subscription Agreement, dated December 23, 2020, by and between the Company and Ventoux Acquisition Holdings LLC (incorporated by</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8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reference to Exhibit 10.6 to the Current Report on Form 8-K filed with the Securities and Exchange Commission on December 31, 2020)</w:t>
              </w:r>
            </w:hyperlink>
          </w:p>
        </w:tc>
        <w:tc>
          <w:tcPr>
            <w:tcW w:w="220" w:type="dxa"/>
            <w:vAlign w:val="bottom"/>
            <w:tcBorders>
              <w:bottom w:val="single" w:sz="8" w:color="CCEEFF"/>
            </w:tcBorders>
            <w:gridSpan w:val="2"/>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9"/>
              </w:rPr>
            </w:pPr>
            <w:hyperlink r:id="rId50">
              <w:r>
                <w:rPr>
                  <w:rFonts w:ascii="Arial" w:cs="Arial" w:eastAsia="Arial" w:hAnsi="Arial"/>
                  <w:sz w:val="18"/>
                  <w:szCs w:val="18"/>
                  <w:color w:val="0000EE"/>
                  <w:w w:val="99"/>
                </w:rPr>
                <w:t>Subscription Agreement, dated December 23, 2020, by and between the Company and Chardan International Investments, LLC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50">
              <w:r>
                <w:rPr>
                  <w:rFonts w:ascii="Arial" w:cs="Arial" w:eastAsia="Arial" w:hAnsi="Arial"/>
                  <w:sz w:val="18"/>
                  <w:szCs w:val="18"/>
                  <w:color w:val="0000EE"/>
                  <w:w w:val="96"/>
                </w:rPr>
                <w:t>(incorporated by reference to Exhibit 10.7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December 31, 2020)</w:t>
              </w:r>
            </w:hyperlink>
          </w:p>
        </w:tc>
        <w:tc>
          <w:tcPr>
            <w:tcW w:w="8620" w:type="dxa"/>
            <w:vAlign w:val="bottom"/>
            <w:gridSpan w:val="13"/>
          </w:tcPr>
          <w:p>
            <w:pPr>
              <w:spacing w:after="0"/>
              <w:rPr>
                <w:sz w:val="17"/>
                <w:szCs w:val="17"/>
                <w:color w:val="auto"/>
              </w:rPr>
            </w:pPr>
          </w:p>
        </w:tc>
      </w:tr>
      <w:tr>
        <w:trPr>
          <w:trHeight w:val="676"/>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0"/>
          </w:tcPr>
          <w:p>
            <w:pPr>
              <w:ind w:left="4400"/>
              <w:spacing w:after="0"/>
              <w:rPr>
                <w:sz w:val="20"/>
                <w:szCs w:val="20"/>
                <w:color w:val="auto"/>
              </w:rPr>
            </w:pPr>
            <w:r>
              <w:rPr>
                <w:rFonts w:ascii="Arial" w:cs="Arial" w:eastAsia="Arial" w:hAnsi="Arial"/>
                <w:sz w:val="18"/>
                <w:szCs w:val="18"/>
                <w:color w:val="auto"/>
              </w:rPr>
              <w:t>20</w:t>
            </w:r>
          </w:p>
        </w:tc>
        <w:tc>
          <w:tcPr>
            <w:tcW w:w="28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10100" w:type="dxa"/>
            <w:vAlign w:val="bottom"/>
            <w:tcBorders>
              <w:right w:val="single" w:sz="8" w:color="CCEEFF"/>
            </w:tcBorders>
            <w:gridSpan w:val="9"/>
            <w:shd w:val="clear" w:color="auto" w:fill="CCEEFF"/>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Business Combination Marketing Agreement, dated December 23, 2020, by and between the Company and Chardan Capital Markets, LLC</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4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9"/>
            <w:shd w:val="clear" w:color="auto" w:fill="CCEEFF"/>
          </w:tcPr>
          <w:p>
            <w:pPr>
              <w:spacing w:after="0" w:line="196" w:lineRule="exact"/>
              <w:rPr>
                <w:rFonts w:ascii="Arial" w:cs="Arial" w:eastAsia="Arial" w:hAnsi="Arial"/>
                <w:sz w:val="18"/>
                <w:szCs w:val="18"/>
                <w:color w:val="0000EE"/>
                <w:w w:val="96"/>
              </w:rPr>
            </w:pPr>
            <w:hyperlink r:id="rId51">
              <w:r>
                <w:rPr>
                  <w:rFonts w:ascii="Arial" w:cs="Arial" w:eastAsia="Arial" w:hAnsi="Arial"/>
                  <w:sz w:val="18"/>
                  <w:szCs w:val="18"/>
                  <w:color w:val="0000EE"/>
                  <w:w w:val="96"/>
                </w:rPr>
                <w:t>(incorporated by reference to Exhibit 10.8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1">
              <w:r>
                <w:rPr>
                  <w:rFonts w:ascii="Arial" w:cs="Arial" w:eastAsia="Arial" w:hAnsi="Arial"/>
                  <w:sz w:val="18"/>
                  <w:szCs w:val="18"/>
                  <w:color w:val="0000EE"/>
                  <w:w w:val="88"/>
                </w:rPr>
                <w:t>December 31, 2020)</w:t>
              </w:r>
            </w:hyperlink>
          </w:p>
        </w:tc>
        <w:tc>
          <w:tcPr>
            <w:tcW w:w="8620" w:type="dxa"/>
            <w:vAlign w:val="bottom"/>
            <w:tcBorders>
              <w:bottom w:val="single" w:sz="8" w:color="CCEEFF"/>
              <w:right w:val="single" w:sz="8" w:color="CCEEFF"/>
            </w:tcBorders>
            <w:gridSpan w:val="8"/>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0100" w:type="dxa"/>
            <w:vAlign w:val="bottom"/>
            <w:tcBorders>
              <w:bottom w:val="single" w:sz="8" w:color="0000EE"/>
            </w:tcBorders>
            <w:gridSpan w:val="9"/>
          </w:tcPr>
          <w:p>
            <w:pPr>
              <w:spacing w:after="0" w:line="176" w:lineRule="exact"/>
              <w:rPr>
                <w:rFonts w:ascii="Arial" w:cs="Arial" w:eastAsia="Arial" w:hAnsi="Arial"/>
                <w:sz w:val="18"/>
                <w:szCs w:val="18"/>
                <w:color w:val="0000EE"/>
                <w:w w:val="97"/>
              </w:rPr>
            </w:pPr>
            <w:hyperlink r:id="rId52">
              <w:r>
                <w:rPr>
                  <w:rFonts w:ascii="Arial" w:cs="Arial" w:eastAsia="Arial" w:hAnsi="Arial"/>
                  <w:sz w:val="18"/>
                  <w:szCs w:val="18"/>
                  <w:color w:val="0000EE"/>
                  <w:w w:val="97"/>
                </w:rPr>
                <w:t>Administrative Services Agreement, dated December 23, 2020, by and between the Company and Chardan Capital Markets, LLC</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52">
              <w:r>
                <w:rPr>
                  <w:rFonts w:ascii="Arial" w:cs="Arial" w:eastAsia="Arial" w:hAnsi="Arial"/>
                  <w:sz w:val="18"/>
                  <w:szCs w:val="18"/>
                  <w:color w:val="0000EE"/>
                  <w:w w:val="96"/>
                </w:rPr>
                <w:t>(incorporated by reference to Exhibit 10.9 to the Current Report on Form 8-K filed with the Securities and Exchange Commission on</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December 31, 2020)</w:t>
              </w:r>
            </w:hyperlink>
          </w:p>
        </w:tc>
      </w:tr>
      <w:tr>
        <w:trPr>
          <w:trHeight w:val="21"/>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Arial" w:cs="Arial" w:eastAsia="Arial" w:hAnsi="Arial"/>
                <w:sz w:val="18"/>
                <w:szCs w:val="18"/>
                <w:color w:val="0000EE"/>
                <w:w w:val="97"/>
              </w:rPr>
            </w:pPr>
            <w:hyperlink r:id="rId53">
              <w:r>
                <w:rPr>
                  <w:rFonts w:ascii="Arial" w:cs="Arial" w:eastAsia="Arial" w:hAnsi="Arial"/>
                  <w:sz w:val="18"/>
                  <w:szCs w:val="18"/>
                  <w:color w:val="0000EE"/>
                  <w:w w:val="97"/>
                </w:rPr>
                <w:t>Form of Equity Subscription Agreement (incorporated by reference to Exhibit 10.1 to the Current Report on Form 8-K filed with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Securities and Exchange Commission on November 10, 2021)</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0100" w:type="dxa"/>
            <w:vAlign w:val="bottom"/>
            <w:tcBorders>
              <w:bottom w:val="single" w:sz="8" w:color="0000EE"/>
            </w:tcBorders>
            <w:gridSpan w:val="9"/>
          </w:tcPr>
          <w:p>
            <w:pPr>
              <w:spacing w:after="0" w:line="17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Form of Convertible Note Subscription Agreement (incorporated by reference to Exhibit 10.2 to the Current Report on Form 8-K filed with</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the Securities and Exchange Commission on November 10, 2021)</w:t>
              </w:r>
            </w:hyperlink>
          </w:p>
        </w:tc>
      </w:tr>
      <w:tr>
        <w:trPr>
          <w:trHeight w:val="21"/>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Form of Amended and Restated Warrant Agreement (incorporated by reference to Exhibit 10.3 to the Current Report on Form 8-K filed</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with the Securities and Exchange Commission on November 10, 2021)</w:t>
              </w:r>
            </w:hyperlink>
          </w:p>
        </w:tc>
        <w:tc>
          <w:tcPr>
            <w:tcW w:w="4980" w:type="dxa"/>
            <w:vAlign w:val="bottom"/>
            <w:tcBorders>
              <w:bottom w:val="single" w:sz="8" w:color="CCEEFF"/>
              <w:right w:val="single" w:sz="8" w:color="CCEEFF"/>
            </w:tcBorders>
            <w:gridSpan w:val="2"/>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10.13+</w:t>
            </w:r>
          </w:p>
        </w:tc>
        <w:tc>
          <w:tcPr>
            <w:tcW w:w="10100" w:type="dxa"/>
            <w:vAlign w:val="bottom"/>
            <w:tcBorders>
              <w:bottom w:val="single" w:sz="8" w:color="0000EE"/>
            </w:tcBorders>
            <w:gridSpan w:val="9"/>
          </w:tcPr>
          <w:p>
            <w:pPr>
              <w:spacing w:after="0" w:line="17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Form of Amended and Restated Registration Rights Agreement (incorporated by reference to Exhibit 10.4 to the Current Report on Form 8-</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K filed with the Securities and Exchange Commission on November 10, 2021)</w:t>
              </w:r>
            </w:hyperlink>
          </w:p>
        </w:tc>
      </w:tr>
      <w:tr>
        <w:trPr>
          <w:trHeight w:val="21"/>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0100" w:type="dxa"/>
            <w:vAlign w:val="bottom"/>
            <w:tcBorders>
              <w:right w:val="single" w:sz="8" w:color="CCEEFF"/>
            </w:tcBorders>
            <w:gridSpan w:val="9"/>
            <w:shd w:val="clear" w:color="auto" w:fill="CCEEFF"/>
          </w:tcPr>
          <w:p>
            <w:pPr>
              <w:spacing w:after="0" w:line="176"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Sponsor Support Agreement, dated as of November 10, 2021, by and among Ventoux Acquisition Holdings LLC, Chardan International</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5180" w:type="dxa"/>
            <w:vAlign w:val="bottom"/>
            <w:tcBorders>
              <w:right w:val="single" w:sz="8" w:color="CCEEFF"/>
            </w:tcBorders>
            <w:gridSpan w:val="3"/>
            <w:shd w:val="clear" w:color="auto" w:fill="0000EE"/>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Investments, LLC, the Company and E La Carte, Inc. (incorporated by reference to Exhibit 10.5 to the Current Report on Form 8-K filed</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512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with the Securities and Exchange Commission on November 10, 2021)</w:t>
              </w:r>
            </w:hyperlink>
          </w:p>
        </w:tc>
        <w:tc>
          <w:tcPr>
            <w:tcW w:w="4980" w:type="dxa"/>
            <w:vAlign w:val="bottom"/>
            <w:tcBorders>
              <w:top w:val="single" w:sz="8" w:color="0000EE"/>
              <w:bottom w:val="single" w:sz="8" w:color="CCEEFF"/>
              <w:right w:val="single" w:sz="8" w:color="CCEEFF"/>
            </w:tcBorders>
            <w:gridSpan w:val="2"/>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10100" w:type="dxa"/>
            <w:vAlign w:val="bottom"/>
            <w:tcBorders>
              <w:bottom w:val="single" w:sz="8" w:color="0000EE"/>
            </w:tcBorders>
            <w:gridSpan w:val="9"/>
          </w:tcPr>
          <w:p>
            <w:pPr>
              <w:spacing w:after="0" w:line="17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Form of Presto Stockholder Support Agreement, dated as of November 10, 2021, by and among certain stockholders of E La Carte, Inc., the</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58">
              <w:r>
                <w:rPr>
                  <w:rFonts w:ascii="Arial" w:cs="Arial" w:eastAsia="Arial" w:hAnsi="Arial"/>
                  <w:sz w:val="18"/>
                  <w:szCs w:val="18"/>
                  <w:color w:val="0000EE"/>
                  <w:w w:val="93"/>
                </w:rPr>
                <w:t>Company and E La Carte, Inc. (incorporated by reference to Exhibit 10.6 to the Current Report on Form 8-K filed with the Securities and</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Exchange Commission on November 10, 2021)</w:t>
              </w:r>
            </w:hyperlink>
          </w:p>
        </w:tc>
      </w:tr>
      <w:tr>
        <w:trPr>
          <w:trHeight w:val="21"/>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Form of Governance Agreement (incorporated by reference to Exhibit 10.7 to the Current Report on Form 8-K filed with the Securities and</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Exchange Commission on November 10, 2021)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9"/>
          </w:tcPr>
          <w:p>
            <w:pPr>
              <w:spacing w:after="0" w:line="176"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adopted pursuant to Section 302 of the Sarbanes-Oxley Act of 2002.</w:t>
              </w:r>
            </w:hyperlink>
          </w:p>
        </w:tc>
      </w:tr>
      <w:tr>
        <w:trPr>
          <w:trHeight w:val="21"/>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Certification of Principal Financial Officer pursuant to Rules 13a-14(a) and 15d-14(a) under the Securities Exchange Act of 1934, as</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adopted pursuant to Section 302 of the Sarbanes-Oxley Act of 2002.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10100" w:type="dxa"/>
            <w:vAlign w:val="bottom"/>
            <w:tcBorders>
              <w:bottom w:val="single" w:sz="8" w:color="0000EE"/>
            </w:tcBorders>
            <w:gridSpan w:val="9"/>
          </w:tcPr>
          <w:p>
            <w:pPr>
              <w:spacing w:after="0" w:line="17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Certification of Principal Executive Officer and Principal Financial Officer pursuant to 18 U.S.C. Section 1350, as adopted pursuant to</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Section 906 of the Sarbanes-Oxley Act of 2002.</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tcBorders>
              <w:right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tcBorders>
              <w:right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tcBorders>
              <w:right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8"/>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20" w:firstLine="8"/>
        <w:spacing w:after="0" w:line="491" w:lineRule="auto"/>
        <w:tabs>
          <w:tab w:leader="none" w:pos="11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 w:lineRule="exact"/>
        <w:rPr>
          <w:sz w:val="20"/>
          <w:szCs w:val="20"/>
          <w:color w:val="auto"/>
        </w:rPr>
      </w:pPr>
    </w:p>
    <w:p>
      <w:pPr>
        <w:jc w:val="both"/>
        <w:ind w:left="340" w:right="20" w:hanging="339"/>
        <w:spacing w:after="0" w:line="255" w:lineRule="auto"/>
        <w:tabs>
          <w:tab w:leader="none" w:pos="320" w:val="left"/>
        </w:tabs>
        <w:rPr>
          <w:sz w:val="20"/>
          <w:szCs w:val="20"/>
          <w:color w:val="auto"/>
        </w:rPr>
      </w:pPr>
      <w:r>
        <w:rPr>
          <w:rFonts w:ascii="Arial" w:cs="Arial" w:eastAsia="Arial" w:hAnsi="Arial"/>
          <w:sz w:val="18"/>
          <w:szCs w:val="18"/>
          <w:color w:val="auto"/>
        </w:rPr>
        <w:t>**</w:t>
        <w:tab/>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601(a)(5). The Registrant agrees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furnish a copy of all omitted exhibits and schedules to the SEC upon its request.</w:t>
      </w:r>
    </w:p>
    <w:p>
      <w:pPr>
        <w:spacing w:after="0" w:line="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Portions of this exhibit (indicated by +) have been omitted under rules of the SEC permitting the confidential treatment of select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960" w:type="dxa"/>
            <w:vAlign w:val="bottom"/>
            <w:gridSpan w:val="2"/>
          </w:tcPr>
          <w:p>
            <w:pPr>
              <w:ind w:left="2420"/>
              <w:spacing w:after="0"/>
              <w:rPr>
                <w:sz w:val="20"/>
                <w:szCs w:val="20"/>
                <w:color w:val="auto"/>
              </w:rPr>
            </w:pPr>
            <w:r>
              <w:rPr>
                <w:rFonts w:ascii="Arial" w:cs="Arial" w:eastAsia="Arial" w:hAnsi="Arial"/>
                <w:sz w:val="18"/>
                <w:szCs w:val="18"/>
                <w:b w:val="1"/>
                <w:bCs w:val="1"/>
                <w:color w:val="auto"/>
              </w:rPr>
              <w:t>VENTOUX CCM ACQUISITION CORP.</w:t>
            </w:r>
          </w:p>
        </w:tc>
      </w:tr>
      <w:tr>
        <w:trPr>
          <w:trHeight w:val="439"/>
        </w:trPr>
        <w:tc>
          <w:tcPr>
            <w:tcW w:w="4280" w:type="dxa"/>
            <w:vAlign w:val="bottom"/>
          </w:tcPr>
          <w:p>
            <w:pPr>
              <w:spacing w:after="0"/>
              <w:rPr>
                <w:sz w:val="20"/>
                <w:szCs w:val="20"/>
                <w:color w:val="auto"/>
              </w:rPr>
            </w:pPr>
            <w:r>
              <w:rPr>
                <w:rFonts w:ascii="Arial" w:cs="Arial" w:eastAsia="Arial" w:hAnsi="Arial"/>
                <w:sz w:val="18"/>
                <w:szCs w:val="18"/>
                <w:color w:val="auto"/>
              </w:rPr>
              <w:t>Dated: February 23, 2022</w:t>
            </w:r>
          </w:p>
        </w:tc>
        <w:tc>
          <w:tcPr>
            <w:tcW w:w="2940" w:type="dxa"/>
            <w:vAlign w:val="bottom"/>
          </w:tcPr>
          <w:p>
            <w:pPr>
              <w:ind w:left="24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Scheetz</w:t>
            </w:r>
          </w:p>
        </w:tc>
      </w:tr>
      <w:tr>
        <w:trPr>
          <w:trHeight w:val="202"/>
        </w:trPr>
        <w:tc>
          <w:tcPr>
            <w:tcW w:w="4280" w:type="dxa"/>
            <w:vAlign w:val="bottom"/>
          </w:tcPr>
          <w:p>
            <w:pPr>
              <w:spacing w:after="0"/>
              <w:rPr>
                <w:sz w:val="17"/>
                <w:szCs w:val="17"/>
                <w:color w:val="auto"/>
              </w:rPr>
            </w:pPr>
          </w:p>
        </w:tc>
        <w:tc>
          <w:tcPr>
            <w:tcW w:w="2940" w:type="dxa"/>
            <w:vAlign w:val="bottom"/>
          </w:tcPr>
          <w:p>
            <w:pPr>
              <w:ind w:left="2420"/>
              <w:spacing w:after="0" w:line="201" w:lineRule="exact"/>
              <w:rPr>
                <w:sz w:val="20"/>
                <w:szCs w:val="20"/>
                <w:color w:val="auto"/>
              </w:rPr>
            </w:pPr>
            <w:r>
              <w:rPr>
                <w:rFonts w:ascii="Arial" w:cs="Arial" w:eastAsia="Arial" w:hAnsi="Arial"/>
                <w:sz w:val="18"/>
                <w:szCs w:val="18"/>
                <w:color w:val="auto"/>
                <w:w w:val="94"/>
              </w:rPr>
              <w:t>Name:</w:t>
            </w: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Edward Scheetz</w:t>
            </w:r>
          </w:p>
        </w:tc>
      </w:tr>
      <w:tr>
        <w:trPr>
          <w:trHeight w:val="230"/>
        </w:trPr>
        <w:tc>
          <w:tcPr>
            <w:tcW w:w="4280" w:type="dxa"/>
            <w:vAlign w:val="bottom"/>
          </w:tcPr>
          <w:p>
            <w:pPr>
              <w:spacing w:after="0"/>
              <w:rPr>
                <w:sz w:val="20"/>
                <w:szCs w:val="20"/>
                <w:color w:val="auto"/>
              </w:rPr>
            </w:pPr>
          </w:p>
        </w:tc>
        <w:tc>
          <w:tcPr>
            <w:tcW w:w="2940" w:type="dxa"/>
            <w:vAlign w:val="bottom"/>
          </w:tcPr>
          <w:p>
            <w:pPr>
              <w:ind w:left="2420"/>
              <w:spacing w:after="0"/>
              <w:rPr>
                <w:sz w:val="20"/>
                <w:szCs w:val="20"/>
                <w:color w:val="auto"/>
              </w:rPr>
            </w:pPr>
            <w:r>
              <w:rPr>
                <w:rFonts w:ascii="Arial" w:cs="Arial" w:eastAsia="Arial" w:hAnsi="Arial"/>
                <w:sz w:val="18"/>
                <w:szCs w:val="18"/>
                <w:color w:val="auto"/>
              </w:rPr>
              <w:t>Title:</w:t>
            </w:r>
          </w:p>
        </w:tc>
        <w:tc>
          <w:tcPr>
            <w:tcW w:w="40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this report has been signed below by the following persons in the capacities and on the dates indicated.</w:t>
      </w:r>
    </w:p>
    <w:p>
      <w:pPr>
        <w:sectPr>
          <w:pgSz w:w="11900" w:h="16838" w:orient="portrait"/>
          <w:cols w:equalWidth="0" w:num="1">
            <w:col w:w="11240"/>
          </w:cols>
          <w:pgMar w:left="320" w:top="877" w:right="339" w:bottom="1440" w:gutter="0" w:footer="0" w:header="0"/>
        </w:sectPr>
      </w:pPr>
    </w:p>
    <w:p>
      <w:pPr>
        <w:spacing w:after="0" w:line="166" w:lineRule="exact"/>
        <w:rPr>
          <w:sz w:val="20"/>
          <w:szCs w:val="20"/>
          <w:color w:val="auto"/>
        </w:rPr>
      </w:pPr>
    </w:p>
    <w:p>
      <w:pPr>
        <w:jc w:val="right"/>
        <w:ind w:right="9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Scheetz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MacDonald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Jonas Grossman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 Weil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Woodrow H. Levin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Julie Atkinson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Christian Ahrens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Bernard Van der Lande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Date</w:t>
            </w:r>
          </w:p>
        </w:tc>
      </w:tr>
      <w:tr>
        <w:trPr>
          <w:trHeight w:val="445"/>
        </w:trPr>
        <w:tc>
          <w:tcPr>
            <w:tcW w:w="38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Chairman and Chief Executive Officer</w:t>
            </w:r>
          </w:p>
        </w:tc>
        <w:tc>
          <w:tcPr>
            <w:tcW w:w="3600" w:type="dxa"/>
            <w:vAlign w:val="bottom"/>
          </w:tcPr>
          <w:p>
            <w:pPr>
              <w:ind w:left="1120"/>
              <w:spacing w:after="0"/>
              <w:rPr>
                <w:sz w:val="20"/>
                <w:szCs w:val="20"/>
                <w:color w:val="auto"/>
              </w:rPr>
            </w:pPr>
            <w:r>
              <w:rPr>
                <w:rFonts w:ascii="Arial" w:cs="Arial" w:eastAsia="Arial" w:hAnsi="Arial"/>
                <w:sz w:val="18"/>
                <w:szCs w:val="18"/>
                <w:color w:val="auto"/>
              </w:rPr>
              <w:t>February 23, 2022</w:t>
            </w:r>
          </w:p>
        </w:tc>
      </w:tr>
      <w:tr>
        <w:trPr>
          <w:trHeight w:val="230"/>
        </w:trPr>
        <w:tc>
          <w:tcPr>
            <w:tcW w:w="38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(Principal Executive Officer)</w:t>
            </w:r>
          </w:p>
        </w:tc>
        <w:tc>
          <w:tcPr>
            <w:tcW w:w="3600" w:type="dxa"/>
            <w:vAlign w:val="bottom"/>
          </w:tcPr>
          <w:p>
            <w:pPr>
              <w:spacing w:after="0"/>
              <w:rPr>
                <w:sz w:val="20"/>
                <w:szCs w:val="20"/>
                <w:color w:val="auto"/>
              </w:rPr>
            </w:pPr>
          </w:p>
        </w:tc>
      </w:tr>
      <w:tr>
        <w:trPr>
          <w:trHeight w:val="431"/>
        </w:trPr>
        <w:tc>
          <w:tcPr>
            <w:tcW w:w="38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Chief Financial Officer</w:t>
            </w:r>
          </w:p>
        </w:tc>
        <w:tc>
          <w:tcPr>
            <w:tcW w:w="3600" w:type="dxa"/>
            <w:vAlign w:val="bottom"/>
          </w:tcPr>
          <w:p>
            <w:pPr>
              <w:ind w:left="1140"/>
              <w:spacing w:after="0"/>
              <w:rPr>
                <w:sz w:val="20"/>
                <w:szCs w:val="20"/>
                <w:color w:val="auto"/>
              </w:rPr>
            </w:pPr>
            <w:r>
              <w:rPr>
                <w:rFonts w:ascii="Arial" w:cs="Arial" w:eastAsia="Arial" w:hAnsi="Arial"/>
                <w:sz w:val="18"/>
                <w:szCs w:val="18"/>
                <w:color w:val="auto"/>
              </w:rPr>
              <w:t>February 23, 2022</w:t>
            </w:r>
          </w:p>
        </w:tc>
      </w:tr>
      <w:tr>
        <w:trPr>
          <w:trHeight w:val="216"/>
        </w:trPr>
        <w:tc>
          <w:tcPr>
            <w:tcW w:w="38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(Principal Accounting and Financial Officer),</w:t>
            </w:r>
          </w:p>
        </w:tc>
        <w:tc>
          <w:tcPr>
            <w:tcW w:w="3600" w:type="dxa"/>
            <w:vAlign w:val="bottom"/>
          </w:tcPr>
          <w:p>
            <w:pPr>
              <w:spacing w:after="0"/>
              <w:rPr>
                <w:sz w:val="18"/>
                <w:szCs w:val="18"/>
                <w:color w:val="auto"/>
              </w:rPr>
            </w:pPr>
          </w:p>
        </w:tc>
      </w:tr>
      <w:tr>
        <w:trPr>
          <w:trHeight w:val="230"/>
        </w:trPr>
        <w:tc>
          <w:tcPr>
            <w:tcW w:w="38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Secretary and Director</w:t>
            </w:r>
          </w:p>
        </w:tc>
        <w:tc>
          <w:tcPr>
            <w:tcW w:w="3600" w:type="dxa"/>
            <w:vAlign w:val="bottom"/>
          </w:tcPr>
          <w:p>
            <w:pPr>
              <w:spacing w:after="0"/>
              <w:rPr>
                <w:sz w:val="20"/>
                <w:szCs w:val="20"/>
                <w:color w:val="auto"/>
              </w:rPr>
            </w:pPr>
          </w:p>
        </w:tc>
      </w:tr>
      <w:tr>
        <w:trPr>
          <w:trHeight w:val="445"/>
        </w:trPr>
        <w:tc>
          <w:tcPr>
            <w:tcW w:w="38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ind w:left="1140"/>
              <w:spacing w:after="0"/>
              <w:rPr>
                <w:sz w:val="20"/>
                <w:szCs w:val="20"/>
                <w:color w:val="auto"/>
              </w:rPr>
            </w:pPr>
            <w:r>
              <w:rPr>
                <w:rFonts w:ascii="Arial" w:cs="Arial" w:eastAsia="Arial" w:hAnsi="Arial"/>
                <w:sz w:val="18"/>
                <w:szCs w:val="18"/>
                <w:color w:val="auto"/>
              </w:rPr>
              <w:t>February 23, 2022</w:t>
            </w:r>
          </w:p>
        </w:tc>
      </w:tr>
      <w:tr>
        <w:trPr>
          <w:trHeight w:val="675"/>
        </w:trPr>
        <w:tc>
          <w:tcPr>
            <w:tcW w:w="38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ind w:left="1140"/>
              <w:spacing w:after="0"/>
              <w:rPr>
                <w:sz w:val="20"/>
                <w:szCs w:val="20"/>
                <w:color w:val="auto"/>
              </w:rPr>
            </w:pPr>
            <w:r>
              <w:rPr>
                <w:rFonts w:ascii="Arial" w:cs="Arial" w:eastAsia="Arial" w:hAnsi="Arial"/>
                <w:sz w:val="18"/>
                <w:szCs w:val="18"/>
                <w:color w:val="auto"/>
              </w:rPr>
              <w:t>February 23, 2022</w:t>
            </w:r>
          </w:p>
        </w:tc>
      </w:tr>
      <w:tr>
        <w:trPr>
          <w:trHeight w:val="675"/>
        </w:trPr>
        <w:tc>
          <w:tcPr>
            <w:tcW w:w="38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ind w:left="1140"/>
              <w:spacing w:after="0"/>
              <w:rPr>
                <w:sz w:val="20"/>
                <w:szCs w:val="20"/>
                <w:color w:val="auto"/>
              </w:rPr>
            </w:pPr>
            <w:r>
              <w:rPr>
                <w:rFonts w:ascii="Arial" w:cs="Arial" w:eastAsia="Arial" w:hAnsi="Arial"/>
                <w:sz w:val="18"/>
                <w:szCs w:val="18"/>
                <w:color w:val="auto"/>
              </w:rPr>
              <w:t>February 23, 2022</w:t>
            </w:r>
          </w:p>
        </w:tc>
      </w:tr>
      <w:tr>
        <w:trPr>
          <w:trHeight w:val="675"/>
        </w:trPr>
        <w:tc>
          <w:tcPr>
            <w:tcW w:w="38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ind w:left="1140"/>
              <w:spacing w:after="0"/>
              <w:rPr>
                <w:sz w:val="20"/>
                <w:szCs w:val="20"/>
                <w:color w:val="auto"/>
              </w:rPr>
            </w:pPr>
            <w:r>
              <w:rPr>
                <w:rFonts w:ascii="Arial" w:cs="Arial" w:eastAsia="Arial" w:hAnsi="Arial"/>
                <w:sz w:val="18"/>
                <w:szCs w:val="18"/>
                <w:color w:val="auto"/>
              </w:rPr>
              <w:t>February 23, 2022</w:t>
            </w:r>
          </w:p>
        </w:tc>
      </w:tr>
      <w:tr>
        <w:trPr>
          <w:trHeight w:val="675"/>
        </w:trPr>
        <w:tc>
          <w:tcPr>
            <w:tcW w:w="38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ind w:left="1140"/>
              <w:spacing w:after="0"/>
              <w:rPr>
                <w:sz w:val="20"/>
                <w:szCs w:val="20"/>
                <w:color w:val="auto"/>
              </w:rPr>
            </w:pPr>
            <w:r>
              <w:rPr>
                <w:rFonts w:ascii="Arial" w:cs="Arial" w:eastAsia="Arial" w:hAnsi="Arial"/>
                <w:sz w:val="18"/>
                <w:szCs w:val="18"/>
                <w:color w:val="auto"/>
              </w:rPr>
              <w:t>February 23, 2022</w:t>
            </w:r>
          </w:p>
        </w:tc>
      </w:tr>
      <w:tr>
        <w:trPr>
          <w:trHeight w:val="675"/>
        </w:trPr>
        <w:tc>
          <w:tcPr>
            <w:tcW w:w="38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ind w:left="1140"/>
              <w:spacing w:after="0"/>
              <w:rPr>
                <w:sz w:val="20"/>
                <w:szCs w:val="20"/>
                <w:color w:val="auto"/>
              </w:rPr>
            </w:pPr>
            <w:r>
              <w:rPr>
                <w:rFonts w:ascii="Arial" w:cs="Arial" w:eastAsia="Arial" w:hAnsi="Arial"/>
                <w:sz w:val="18"/>
                <w:szCs w:val="18"/>
                <w:color w:val="auto"/>
              </w:rPr>
              <w:t>February 23, 2022</w:t>
            </w:r>
          </w:p>
        </w:tc>
      </w:tr>
    </w:tbl>
    <w:p>
      <w:pPr>
        <w:spacing w:after="0" w:line="406" w:lineRule="exact"/>
        <w:rPr>
          <w:sz w:val="20"/>
          <w:szCs w:val="20"/>
          <w:color w:val="auto"/>
        </w:rPr>
      </w:pPr>
    </w:p>
    <w:p>
      <w:pPr>
        <w:sectPr>
          <w:pgSz w:w="11900" w:h="16838" w:orient="portrait"/>
          <w:cols w:equalWidth="0" w:num="2">
            <w:col w:w="3120" w:space="720"/>
            <w:col w:w="7400"/>
          </w:cols>
          <w:pgMar w:left="320" w:top="877"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40" w:type="dxa"/>
            <w:vAlign w:val="bottom"/>
            <w:gridSpan w:val="8"/>
            <w:shd w:val="clear" w:color="auto" w:fill="CCEEFF"/>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Report of Independent Registered Public Accounting Firm</w:t>
              </w:r>
            </w:hyperlink>
          </w:p>
        </w:tc>
        <w:tc>
          <w:tcPr>
            <w:tcW w:w="6200" w:type="dxa"/>
            <w:vAlign w:val="bottom"/>
            <w:shd w:val="clear" w:color="auto" w:fill="CCEEFF"/>
          </w:tcPr>
          <w:p>
            <w:pPr>
              <w:ind w:left="5520"/>
              <w:spacing w:after="0"/>
              <w:rPr>
                <w:sz w:val="20"/>
                <w:szCs w:val="20"/>
                <w:color w:val="auto"/>
              </w:rPr>
            </w:pPr>
            <w:r>
              <w:rPr>
                <w:rFonts w:ascii="Arial" w:cs="Arial" w:eastAsia="Arial" w:hAnsi="Arial"/>
                <w:sz w:val="18"/>
                <w:szCs w:val="18"/>
                <w:color w:val="auto"/>
              </w:rPr>
              <w:t>F-2</w:t>
            </w:r>
          </w:p>
        </w:tc>
      </w:tr>
      <w:tr>
        <w:trPr>
          <w:trHeight w:val="216"/>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820" w:type="dxa"/>
            <w:vAlign w:val="bottom"/>
            <w:tcBorders>
              <w:top w:val="single" w:sz="8" w:color="CCEEFF"/>
            </w:tcBorders>
            <w:gridSpan w:val="2"/>
          </w:tcPr>
          <w:p>
            <w:pPr>
              <w:spacing w:after="0"/>
              <w:rPr>
                <w:sz w:val="18"/>
                <w:szCs w:val="18"/>
                <w:color w:val="auto"/>
              </w:rPr>
            </w:pPr>
          </w:p>
        </w:tc>
        <w:tc>
          <w:tcPr>
            <w:tcW w:w="620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Consolidated Balance Sheets</w:t>
              </w:r>
            </w:hyperlink>
          </w:p>
        </w:tc>
        <w:tc>
          <w:tcPr>
            <w:tcW w:w="2780" w:type="dxa"/>
            <w:vAlign w:val="bottom"/>
            <w:tcBorders>
              <w:bottom w:val="single" w:sz="8" w:color="CCEEFF"/>
            </w:tcBorders>
            <w:gridSpan w:val="6"/>
            <w:shd w:val="clear" w:color="auto" w:fill="CCEEFF"/>
          </w:tcPr>
          <w:p>
            <w:pPr>
              <w:spacing w:after="0"/>
              <w:rPr>
                <w:sz w:val="17"/>
                <w:szCs w:val="17"/>
                <w:color w:val="auto"/>
              </w:rPr>
            </w:pPr>
          </w:p>
        </w:tc>
        <w:tc>
          <w:tcPr>
            <w:tcW w:w="6200" w:type="dxa"/>
            <w:vAlign w:val="bottom"/>
            <w:tcBorders>
              <w:bottom w:val="single" w:sz="8" w:color="CCEEFF"/>
            </w:tcBorders>
            <w:shd w:val="clear" w:color="auto" w:fill="CCEEFF"/>
          </w:tcPr>
          <w:p>
            <w:pPr>
              <w:ind w:left="5520"/>
              <w:spacing w:after="0" w:line="176" w:lineRule="exact"/>
              <w:rPr>
                <w:sz w:val="20"/>
                <w:szCs w:val="20"/>
                <w:color w:val="auto"/>
              </w:rPr>
            </w:pPr>
            <w:r>
              <w:rPr>
                <w:rFonts w:ascii="Arial" w:cs="Arial" w:eastAsia="Arial" w:hAnsi="Arial"/>
                <w:sz w:val="18"/>
                <w:szCs w:val="18"/>
                <w:color w:val="auto"/>
              </w:rPr>
              <w:t>F-3</w:t>
            </w:r>
          </w:p>
        </w:tc>
      </w:tr>
      <w:tr>
        <w:trPr>
          <w:trHeight w:val="176"/>
        </w:trPr>
        <w:tc>
          <w:tcPr>
            <w:tcW w:w="5040" w:type="dxa"/>
            <w:vAlign w:val="bottom"/>
            <w:gridSpan w:val="8"/>
          </w:tcPr>
          <w:p>
            <w:pPr>
              <w:ind w:left="16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Consolidated Statements of Operations</w:t>
              </w:r>
            </w:hyperlink>
          </w:p>
        </w:tc>
        <w:tc>
          <w:tcPr>
            <w:tcW w:w="6200" w:type="dxa"/>
            <w:vAlign w:val="bottom"/>
          </w:tcPr>
          <w:p>
            <w:pPr>
              <w:ind w:left="5520"/>
              <w:spacing w:after="0" w:line="176" w:lineRule="exact"/>
              <w:rPr>
                <w:sz w:val="20"/>
                <w:szCs w:val="20"/>
                <w:color w:val="auto"/>
              </w:rPr>
            </w:pPr>
            <w:r>
              <w:rPr>
                <w:rFonts w:ascii="Arial" w:cs="Arial" w:eastAsia="Arial" w:hAnsi="Arial"/>
                <w:sz w:val="18"/>
                <w:szCs w:val="18"/>
                <w:color w:val="auto"/>
              </w:rPr>
              <w:t>F-4</w:t>
            </w:r>
          </w:p>
        </w:tc>
      </w:tr>
      <w:tr>
        <w:trPr>
          <w:trHeight w:val="21"/>
        </w:trPr>
        <w:tc>
          <w:tcPr>
            <w:tcW w:w="16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4880" w:type="dxa"/>
            <w:vAlign w:val="bottom"/>
            <w:gridSpan w:val="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Statements of Changes in Stockholders’ Deficit</w:t>
              </w:r>
            </w:hyperlink>
          </w:p>
        </w:tc>
        <w:tc>
          <w:tcPr>
            <w:tcW w:w="6200" w:type="dxa"/>
            <w:vAlign w:val="bottom"/>
            <w:shd w:val="clear" w:color="auto" w:fill="CCEEFF"/>
          </w:tcPr>
          <w:p>
            <w:pPr>
              <w:ind w:left="5520"/>
              <w:spacing w:after="0" w:line="176" w:lineRule="exact"/>
              <w:rPr>
                <w:sz w:val="20"/>
                <w:szCs w:val="20"/>
                <w:color w:val="auto"/>
              </w:rPr>
            </w:pPr>
            <w:r>
              <w:rPr>
                <w:rFonts w:ascii="Arial" w:cs="Arial" w:eastAsia="Arial" w:hAnsi="Arial"/>
                <w:sz w:val="18"/>
                <w:szCs w:val="18"/>
                <w:color w:val="auto"/>
              </w:rPr>
              <w:t>F-5</w:t>
            </w:r>
          </w:p>
        </w:tc>
      </w:tr>
      <w:tr>
        <w:trPr>
          <w:trHeight w:val="175"/>
        </w:trPr>
        <w:tc>
          <w:tcPr>
            <w:tcW w:w="160" w:type="dxa"/>
            <w:vAlign w:val="bottom"/>
            <w:tcBorders>
              <w:top w:val="single" w:sz="8" w:color="CCEEFF"/>
            </w:tcBorders>
          </w:tcPr>
          <w:p>
            <w:pPr>
              <w:spacing w:after="0"/>
              <w:rPr>
                <w:sz w:val="15"/>
                <w:szCs w:val="15"/>
                <w:color w:val="auto"/>
              </w:rPr>
            </w:pPr>
          </w:p>
        </w:tc>
        <w:tc>
          <w:tcPr>
            <w:tcW w:w="442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Consolidated Statements of Cash Flows</w:t>
              </w:r>
            </w:hyperlink>
          </w:p>
        </w:tc>
        <w:tc>
          <w:tcPr>
            <w:tcW w:w="460" w:type="dxa"/>
            <w:vAlign w:val="bottom"/>
            <w:tcBorders>
              <w:top w:val="single" w:sz="8" w:color="CCEEFF"/>
            </w:tcBorders>
          </w:tcPr>
          <w:p>
            <w:pPr>
              <w:spacing w:after="0"/>
              <w:rPr>
                <w:sz w:val="15"/>
                <w:szCs w:val="15"/>
                <w:color w:val="auto"/>
              </w:rPr>
            </w:pPr>
          </w:p>
        </w:tc>
        <w:tc>
          <w:tcPr>
            <w:tcW w:w="6200" w:type="dxa"/>
            <w:vAlign w:val="bottom"/>
            <w:tcBorders>
              <w:top w:val="single" w:sz="8" w:color="CCEEFF"/>
            </w:tcBorders>
          </w:tcPr>
          <w:p>
            <w:pPr>
              <w:ind w:left="5520"/>
              <w:spacing w:after="0" w:line="176" w:lineRule="exact"/>
              <w:rPr>
                <w:sz w:val="20"/>
                <w:szCs w:val="20"/>
                <w:color w:val="auto"/>
              </w:rPr>
            </w:pPr>
            <w:r>
              <w:rPr>
                <w:rFonts w:ascii="Arial" w:cs="Arial" w:eastAsia="Arial" w:hAnsi="Arial"/>
                <w:sz w:val="18"/>
                <w:szCs w:val="18"/>
                <w:color w:val="auto"/>
              </w:rPr>
              <w:t>F-6</w:t>
            </w:r>
          </w:p>
        </w:tc>
      </w:tr>
      <w:tr>
        <w:trPr>
          <w:trHeight w:val="21"/>
        </w:trPr>
        <w:tc>
          <w:tcPr>
            <w:tcW w:w="16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196"/>
        </w:trPr>
        <w:tc>
          <w:tcPr>
            <w:tcW w:w="504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Notes to Consolidated Financial Statements</w:t>
              </w:r>
            </w:hyperlink>
          </w:p>
        </w:tc>
        <w:tc>
          <w:tcPr>
            <w:tcW w:w="6200" w:type="dxa"/>
            <w:vAlign w:val="bottom"/>
            <w:shd w:val="clear" w:color="auto" w:fill="CCEEFF"/>
          </w:tcPr>
          <w:p>
            <w:pPr>
              <w:ind w:left="5520"/>
              <w:spacing w:after="0" w:line="176" w:lineRule="exact"/>
              <w:rPr>
                <w:sz w:val="20"/>
                <w:szCs w:val="20"/>
                <w:color w:val="auto"/>
              </w:rPr>
            </w:pPr>
            <w:r>
              <w:rPr>
                <w:rFonts w:ascii="Arial" w:cs="Arial" w:eastAsia="Arial" w:hAnsi="Arial"/>
                <w:sz w:val="18"/>
                <w:szCs w:val="18"/>
                <w:color w:val="auto"/>
              </w:rPr>
              <w:t>F-7</w:t>
            </w:r>
          </w:p>
        </w:tc>
      </w:tr>
      <w:tr>
        <w:trPr>
          <w:trHeight w:val="655"/>
        </w:trPr>
        <w:tc>
          <w:tcPr>
            <w:tcW w:w="16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6200" w:type="dxa"/>
            <w:vAlign w:val="bottom"/>
            <w:tcBorders>
              <w:top w:val="single" w:sz="8" w:color="CCEEFF"/>
              <w:bottom w:val="single" w:sz="8" w:color="auto"/>
            </w:tcBorders>
          </w:tcPr>
          <w:p>
            <w:pPr>
              <w:ind w:left="46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240"/>
          </w:cols>
          <w:pgMar w:left="320" w:top="877" w:right="339" w:bottom="1440" w:gutter="0" w:footer="0" w:header="0"/>
        </w:sectPr>
      </w:pPr>
    </w:p>
    <w:bookmarkStart w:id="27" w:name="page28"/>
    <w:bookmarkEnd w:id="27"/>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Ventoux CCM Acquisition Corp. (the “Company”) as of December 31, 2021 and 2020, the related consolidated statements of operations, changes in stockholders’ deficit and cash flows for the years ended December 31, 2021 and 2020,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ended December 31, 2021 and 2020,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financial statements, if the Company is unable to raise additional funds to alleviate liquidity needs and complete a business combination by March 30, 2022,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PCAOB ID Number 100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ind w:left="400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741"/>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313,158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1,071,253</w:t>
            </w:r>
          </w:p>
        </w:tc>
        <w:tc>
          <w:tcPr>
            <w:tcW w:w="0" w:type="dxa"/>
            <w:vAlign w:val="bottom"/>
          </w:tcPr>
          <w:p>
            <w:pPr>
              <w:spacing w:after="0"/>
              <w:rPr>
                <w:sz w:val="1"/>
                <w:szCs w:val="1"/>
                <w:color w:val="auto"/>
              </w:rPr>
            </w:pPr>
          </w:p>
        </w:tc>
      </w:tr>
      <w:tr>
        <w:trPr>
          <w:trHeight w:val="237"/>
        </w:trPr>
        <w:tc>
          <w:tcPr>
            <w:tcW w:w="868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103,996</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417,154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174,266,206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151,500,000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93"/>
              </w:rPr>
              <w:t>174,683,360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w w:val="93"/>
              </w:rPr>
              <w:t>152,600,453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325,691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to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60"/>
              <w:spacing w:after="0"/>
              <w:rPr>
                <w:sz w:val="20"/>
                <w:szCs w:val="20"/>
                <w:color w:val="auto"/>
              </w:rPr>
            </w:pPr>
            <w:r>
              <w:rPr>
                <w:rFonts w:ascii="Arial" w:cs="Arial" w:eastAsia="Arial" w:hAnsi="Arial"/>
                <w:sz w:val="18"/>
                <w:szCs w:val="18"/>
                <w:color w:val="auto"/>
              </w:rPr>
              <w:t>Advance from related party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120,005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445,691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3,204,000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7,320,000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3,649,691</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7,458,128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subject to possible redemption 17,250,000 and 15,000,000 shares at $10.10 per share redemption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as of December 31, 2021 and 2020,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174,225,000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151,500,000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$0.0001 par value; 50,000,000 shares authorized; 4,312,500 shares issued and outstanding as of</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2021 and 2020,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(3,191,762)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(6,358,106)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Deficit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(3,191,331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(6,357,675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3"/>
              </w:rPr>
              <w:t>174,683,360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93"/>
              </w:rPr>
              <w:t>152,600,453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990,862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18,208</w:t>
            </w:r>
          </w:p>
        </w:tc>
      </w:tr>
      <w:tr>
        <w:trPr>
          <w:trHeight w:val="210"/>
        </w:trPr>
        <w:tc>
          <w:tcPr>
            <w:tcW w:w="868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b w:val="1"/>
                <w:bCs w:val="1"/>
                <w:color w:val="auto"/>
              </w:rPr>
              <w:t>Loss from operations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(990,862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(18,208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Arial" w:cs="Arial" w:eastAsia="Arial" w:hAnsi="Arial"/>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Change in fair value of warrant liabilities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Loss on initial issuance of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Transaction costs allocable to warrant liabilities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earned on marketable securities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other income (expense), net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left="400"/>
        <w:spacing w:after="0"/>
        <w:tabs>
          <w:tab w:leader="none" w:pos="1780" w:val="left"/>
        </w:tabs>
        <w:rPr>
          <w:sz w:val="20"/>
          <w:szCs w:val="20"/>
          <w:color w:val="auto"/>
        </w:rPr>
      </w:pPr>
      <w:r>
        <w:rPr>
          <w:rFonts w:ascii="Arial" w:cs="Arial" w:eastAsia="Arial" w:hAnsi="Arial"/>
          <w:sz w:val="18"/>
          <w:szCs w:val="18"/>
          <w:color w:val="auto"/>
        </w:rPr>
        <w:t>4,953,000</w:t>
      </w:r>
      <w:r>
        <w:rPr>
          <w:sz w:val="20"/>
          <w:szCs w:val="20"/>
          <w:color w:val="auto"/>
        </w:rPr>
        <w:tab/>
      </w:r>
      <w:r>
        <w:rPr>
          <w:rFonts w:ascii="Arial" w:cs="Arial" w:eastAsia="Arial" w:hAnsi="Arial"/>
          <w:sz w:val="18"/>
          <w:szCs w:val="18"/>
          <w:color w:val="auto"/>
        </w:rPr>
        <w:t>(180,000)</w:t>
      </w:r>
    </w:p>
    <w:p>
      <w:pPr>
        <w:spacing w:after="0" w:line="23" w:lineRule="exact"/>
        <w:rPr>
          <w:sz w:val="20"/>
          <w:szCs w:val="20"/>
          <w:color w:val="auto"/>
        </w:rPr>
      </w:pPr>
    </w:p>
    <w:p>
      <w:pPr>
        <w:jc w:val="both"/>
        <w:ind w:left="480"/>
        <w:spacing w:after="0"/>
        <w:tabs>
          <w:tab w:leader="none" w:pos="1660" w:val="left"/>
        </w:tabs>
        <w:rPr>
          <w:sz w:val="20"/>
          <w:szCs w:val="20"/>
          <w:color w:val="auto"/>
        </w:rPr>
      </w:pPr>
      <w:r>
        <w:rPr>
          <w:rFonts w:ascii="Arial" w:cs="Arial" w:eastAsia="Arial" w:hAnsi="Arial"/>
          <w:sz w:val="18"/>
          <w:szCs w:val="18"/>
          <w:color w:val="auto"/>
        </w:rPr>
        <w:t>(162,000)</w:t>
      </w:r>
      <w:r>
        <w:rPr>
          <w:sz w:val="20"/>
          <w:szCs w:val="20"/>
          <w:color w:val="auto"/>
        </w:rPr>
        <w:tab/>
      </w:r>
      <w:r>
        <w:rPr>
          <w:rFonts w:ascii="Arial" w:cs="Arial" w:eastAsia="Arial" w:hAnsi="Arial"/>
          <w:sz w:val="18"/>
          <w:szCs w:val="18"/>
          <w:color w:val="auto"/>
        </w:rPr>
        <w:t>(1,140,000)</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(24,853)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41,206—</w:t>
      </w:r>
    </w:p>
    <w:p>
      <w:pPr>
        <w:spacing w:after="0" w:line="35" w:lineRule="exact"/>
        <w:rPr>
          <w:sz w:val="20"/>
          <w:szCs w:val="20"/>
          <w:color w:val="auto"/>
        </w:rPr>
      </w:pPr>
    </w:p>
    <w:p>
      <w:pPr>
        <w:jc w:val="both"/>
        <w:ind w:left="400"/>
        <w:spacing w:after="0"/>
        <w:tabs>
          <w:tab w:leader="none" w:pos="1660" w:val="left"/>
        </w:tabs>
        <w:rPr>
          <w:sz w:val="20"/>
          <w:szCs w:val="20"/>
          <w:color w:val="auto"/>
        </w:rPr>
      </w:pPr>
      <w:r>
        <w:rPr>
          <w:rFonts w:ascii="Arial" w:cs="Arial" w:eastAsia="Arial" w:hAnsi="Arial"/>
          <w:sz w:val="18"/>
          <w:szCs w:val="18"/>
          <w:color w:val="auto"/>
        </w:rPr>
        <w:t>4,832,206</w:t>
      </w:r>
      <w:r>
        <w:rPr>
          <w:sz w:val="20"/>
          <w:szCs w:val="20"/>
          <w:color w:val="auto"/>
        </w:rPr>
        <w:tab/>
      </w:r>
      <w:r>
        <w:rPr>
          <w:rFonts w:ascii="Arial" w:cs="Arial" w:eastAsia="Arial" w:hAnsi="Arial"/>
          <w:sz w:val="18"/>
          <w:szCs w:val="18"/>
          <w:color w:val="auto"/>
        </w:rPr>
        <w:t>(1,344,853)</w:t>
      </w:r>
    </w:p>
    <w:p>
      <w:pPr>
        <w:spacing w:after="0" w:line="203" w:lineRule="exact"/>
        <w:rPr>
          <w:sz w:val="20"/>
          <w:szCs w:val="20"/>
          <w:color w:val="auto"/>
        </w:rPr>
      </w:pPr>
    </w:p>
    <w:p>
      <w:pPr>
        <w:spacing w:after="0"/>
        <w:tabs>
          <w:tab w:leader="none" w:pos="380" w:val="left"/>
          <w:tab w:leader="none" w:pos="1320" w:val="left"/>
          <w:tab w:leader="none" w:pos="166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8"/>
          <w:szCs w:val="18"/>
          <w:b w:val="1"/>
          <w:bCs w:val="1"/>
          <w:u w:val="single" w:color="auto"/>
          <w:color w:val="auto"/>
        </w:rPr>
        <w:t>3,841,344</w:t>
      </w:r>
      <w:r>
        <w:rPr>
          <w:sz w:val="20"/>
          <w:szCs w:val="20"/>
          <w:color w:val="auto"/>
        </w:rPr>
        <w:tab/>
      </w: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6"/>
          <w:szCs w:val="16"/>
          <w:b w:val="1"/>
          <w:bCs w:val="1"/>
          <w:u w:val="single" w:color="auto"/>
          <w:color w:val="auto"/>
        </w:rPr>
        <w:t>(1,363,061</w:t>
      </w:r>
      <w:r>
        <w:rPr>
          <w:rFonts w:ascii="Arial" w:cs="Arial" w:eastAsia="Arial" w:hAnsi="Arial"/>
          <w:sz w:val="30"/>
          <w:szCs w:val="30"/>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15601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of common stock</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21,537,775</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4,119,863</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(loss) per common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b w:val="1"/>
                <w:bCs w:val="1"/>
                <w:color w:val="auto"/>
              </w:rPr>
              <w:t>(0.33</w:t>
            </w:r>
            <w:r>
              <w:rPr>
                <w:rFonts w:ascii="Arial" w:cs="Arial" w:eastAsia="Arial" w:hAnsi="Arial"/>
                <w:sz w:val="29"/>
                <w:szCs w:val="29"/>
                <w:b w:val="1"/>
                <w:bCs w:val="1"/>
                <w:color w:val="auto"/>
                <w:vertAlign w:val="superscript"/>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of common stock</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21,562,500</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4,119,863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(loss) per common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0.18</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b w:val="1"/>
                <w:bCs w:val="1"/>
                <w:color w:val="auto"/>
              </w:rPr>
              <w:t>(0.33</w:t>
            </w:r>
            <w:r>
              <w:rPr>
                <w:rFonts w:ascii="Arial" w:cs="Arial" w:eastAsia="Arial" w:hAnsi="Arial"/>
                <w:sz w:val="29"/>
                <w:szCs w:val="29"/>
                <w:b w:val="1"/>
                <w:bCs w:val="1"/>
                <w:color w:val="auto"/>
                <w:vertAlign w:val="superscript"/>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DEFICIT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9"/>
          </w:tcPr>
          <w:p>
            <w:pPr>
              <w:ind w:left="3260"/>
              <w:spacing w:after="0"/>
              <w:rPr>
                <w:sz w:val="20"/>
                <w:szCs w:val="20"/>
                <w:color w:val="auto"/>
              </w:rPr>
            </w:pPr>
            <w:r>
              <w:rPr>
                <w:rFonts w:ascii="Arial" w:cs="Arial" w:eastAsia="Arial" w:hAnsi="Arial"/>
                <w:sz w:val="18"/>
                <w:szCs w:val="18"/>
                <w:b w:val="1"/>
                <w:bCs w:val="1"/>
                <w:color w:val="auto"/>
              </w:rPr>
              <w:t>FOR THE YEARS ENDED DECEMBER 31, 2020 AND 2021</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24,569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Initial Public Offering to public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8,925,000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8,925,000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Initial Public Offering to public rights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6,375,000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6,375,000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Accretion for common stock to redemption amount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(15,324,569)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(4,993,595)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(20,318,164)</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(1,363,061)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(1,363,061)</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(6,358,106)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(6,357,675)</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Initial Public Offering to public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Initial Public Offering to public rights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956,250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956,250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Accretion for common stock to redemption amount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(2,306,250)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(2,981,250)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3,841,344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3,841,344</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b w:val="1"/>
                <w:bCs w:val="1"/>
                <w:color w:val="auto"/>
              </w:rPr>
              <w:t>(3,191,762</w:t>
            </w:r>
            <w:r>
              <w:rPr>
                <w:rFonts w:ascii="Arial" w:cs="Arial" w:eastAsia="Arial" w:hAnsi="Arial"/>
                <w:sz w:val="29"/>
                <w:szCs w:val="29"/>
                <w:b w:val="1"/>
                <w:bCs w:val="1"/>
                <w:color w:val="auto"/>
                <w:vertAlign w:val="superscript"/>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b w:val="1"/>
                <w:bCs w:val="1"/>
                <w:color w:val="auto"/>
              </w:rPr>
              <w:t>(3,191,331</w:t>
            </w:r>
            <w:r>
              <w:rPr>
                <w:rFonts w:ascii="Arial" w:cs="Arial" w:eastAsia="Arial" w:hAnsi="Arial"/>
                <w:sz w:val="29"/>
                <w:szCs w:val="29"/>
                <w:b w:val="1"/>
                <w:bCs w:val="1"/>
                <w:color w:val="auto"/>
                <w:vertAlign w:val="superscript"/>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01"/>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3,841,344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(1,363,061)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(4,953,000)</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Loss on initial issuance of private warrants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162,000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 costs allocable to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24,853</w:t>
            </w: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Interest earned on marketable securities held in Trust Account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(41,206)</w:t>
            </w: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(74,796)</w:t>
            </w: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307,568</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Arial" w:cs="Arial" w:eastAsia="Arial" w:hAnsi="Arial"/>
                <w:sz w:val="18"/>
                <w:szCs w:val="18"/>
                <w:color w:val="auto"/>
              </w:rPr>
              <w:t>Due to related party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(638,090)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(30,735)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Investment of cash in Trust Account</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(22,725,000)</w:t>
            </w:r>
          </w:p>
        </w:tc>
        <w:tc>
          <w:tcPr>
            <w:tcW w:w="12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w w:val="92"/>
              </w:rPr>
              <w:t>(151,500,000)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(22,725,000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(151,500,000</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22,050,000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147,000,000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Warrants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675,000</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Advances from related parties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2,520,005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advances from related parties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(2,400,000)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(151,812)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(645,005)</w:t>
            </w:r>
          </w:p>
        </w:tc>
        <w:tc>
          <w:tcPr>
            <w:tcW w:w="12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(536,205)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22,604,995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152,576,988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(758,095)</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1,046,253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 Beginning of year</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1,071,253</w:t>
            </w:r>
          </w:p>
        </w:tc>
        <w:tc>
          <w:tcPr>
            <w:tcW w:w="12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 End of year</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313,158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1,071,253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Offering costs paid through promissory note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Initial accretion for common stock subject to possible redemption</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(20,318,164</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Change in accretion for common stock subject to possible redemption</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(2,981,250</w:t>
            </w:r>
          </w:p>
        </w:tc>
        <w:tc>
          <w:tcPr>
            <w:tcW w:w="22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Ventoux CCM Acquisition Corp. (formerly known as Chardan Global Acquisition Corp.) (the “Company”) is a blank check company incorporated in Delaware on July 10, 2019. The Company was formed for the purpose of entering into a merger, share exchange, asset acquisition, stock purchase, recapitalization, reorganization or other similar business transaction with one or more businesses or entities (a “Business Combination”).</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has two wholly owned subsidiaries, Ventoux Merger Sub I Inc. (“Ventoux Merger Sub”), and Ventoux Merger Sub II, LLC (“Ventoux Merger Sub II”), which were incorporated in the State of Delaware on November 3, 2021.</w:t>
      </w:r>
    </w:p>
    <w:p>
      <w:pPr>
        <w:spacing w:after="0" w:line="170"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As of December 31, 2021 the Company had not commenced any operations. All of the Company’s activity through December 31, 2021 relate to the Company’s formation, the initial public offering (“Initial Public Offering”), which is described below, and subsequent to the Initial Public Offering, identifying a target company for a Business Combination and activities in connection with a proposed acquisition of E La Carte, Inc., d/b/a Presto, Inc., a Delaware corporation (“Presto”) (as more fully described in Note 6). The Company will not generate any operating revenues until after the completion of a Business Combination, at the earliest. The Company generates non-operating income in the form of interest income on marketable securities held in the Trust Account (as defined below).</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December 23, 2020. On December 30, 2020, the Company consummated the Initial Public Offering of 15,000,000 Units (the “Units” and, with respect to the shares of common stock included in the Units sold, the “Public Shares”), at $10.00 per Unit, generating gross proceeds of $150,000,000, which is described in Note 3.</w:t>
      </w:r>
    </w:p>
    <w:p>
      <w:pPr>
        <w:spacing w:after="0" w:line="184"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6,000,000 warrants (the “Private Warrants”) at a price of $1.00 per Private Warrant in a private placement to Ventoux Acquisition Holdings LLC (“Ventoux Acquisition”), the co-sponsor and an affiliate of certain of the Company’s officers and directors, and Chardan International Investments, LLC (“Chardan Investments”), the co-sponsor and an affiliate of certain of the Company’s directors and Chardan Capital Markets, LLC, generating gross proceeds of $6,000,000, which is described in Note 4.</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closing of the Initial Public Offering on December 30, 2020, an amount of $151,500,000 ($10.10 per Unit) from the net proceeds of the sale of the Units in the Initial Public Offering and the sale of the Private Warrants was placed in a trust account (the “Trust Account”), to be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92"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On January 5, 2021, the underwriters fully exercised their over-allotment option. In connection with the underwriters’ exercise of their over-allotment option, the Company also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As a result of the underwriters’ election to exercise their over-allotment option in full, 562,500 Founder Shares (as defined in Note 5) are no longer subject to forfeiture.</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Transaction costs amounted to $3,993,017 consisting of $3,450,000 of underwriting fees, of which $450,000 are associated with the exercise of the overallotment, and $543,017 of other offering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$10.10 per share, plus any pro rata interest earned on the funds held in the Trust Account and not previously released to the Company to pay its tax obligations). There will be no redemption rights upon the completion of a Business Combination with respect to the Company’s rights or warrants.</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Initial Public Offering (collectively, the “Initial Stockholders”) have agreed to (a) vote their Founder Shares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have until March 30, 2022 to consummate a Business Combination. However, if the Company anticipates that it may not be able to consummate a Business Combination by March 30, 2022, the Company may extend the period of time to consummate a Business Combination one time by an additional three months (until June 30, 2022) to complete a Business Combination (the “Combination Period”). In order to extend the time available for the Company to consummate a Business Combination, the Initial Stockholders or their affiliates or designees must deposit into the Trust Account $1,725,000 (due to the exercise in full of the underwriters’ over-allotment option) ($0.10 per Public Share), on or prior to the date of the applicable deadline.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Initial Stockholders have agreed to (i) waive their redemption rights with respect to Founder Shares and any Public Shares they may acquire during or after the Initial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order to protect the amounts held in the Trust Account, certain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Liquidity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2021, the Company had $313,158 in its operating bank accounts, $174,266,206 in investments held in the Trust Account to be used for a Business Combination or to repurchase or redeem its common stock in connection therewith and a working capital deficit of $12,669, which excludes $41,206 of franchise taxes payable. As of December 31, 2021, approximately $41,206 of the amount on deposit in the Trust Account represented interest income, which is available to pay the Company’s tax obligations.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of the above, in connection with the Company’s assessment of going concern considerations in accordance with Financial Accounting Standard Board’s (“FASB”)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accompanying consolidated financial statements are presented in accordance with accounting principles generally accepted in the United States of America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reported amounts of assets and liabilities and disclosure of contingent assets and liabilities and disclosure of contingent assets and liabilities at the date of the consolidated financial statements and the reported amounts of revenues and expenses during the reporting periods.</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One of the more significant accounting estimates included in these consolidated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December 31, 2021 and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Certain of the Company’s common stock features certain redemption rights that are considered to be outside of the Company’s control and subject to occurrence of uncertain future events. Accordingly, shares of common stock subject to possible redemption are presented as temporary equity, outside of the stockholders’ deficit section of the Company’s consolidated balance sheets.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w:t>
      </w:r>
    </w:p>
    <w:p>
      <w:pPr>
        <w:sectPr>
          <w:pgSz w:w="11900" w:h="16838" w:orient="portrait"/>
          <w:cols w:equalWidth="0" w:num="1">
            <w:col w:w="11240"/>
          </w:cols>
          <w:pgMar w:left="320" w:top="877" w:right="339" w:bottom="1440" w:gutter="0" w:footer="0" w:header="0"/>
        </w:sectPr>
      </w:pP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2021, the common stock reflected in the consolidated balance sheets is reconciled in the following table: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Proceeds allocated to Public Warrants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Proceeds Allocated to Public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Common stock issuance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Accretion of carrying value to redemption value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  172,500,000</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(10,275,000)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(7,331,250)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(3,968,164)</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23,299,414</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174,225,000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029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9300" w:space="720"/>
            <w:col w:w="1220"/>
          </w:cols>
          <w:pgMar w:left="320" w:top="877" w:right="339" w:bottom="1440" w:gutter="0" w:footer="0" w:header="0"/>
          <w:type w:val="continuous"/>
        </w:sectPr>
      </w:pPr>
    </w:p>
    <w:p>
      <w:pPr>
        <w:spacing w:after="0" w:line="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warrants to purchase shares of common stock, to determine if such instruments are derivatives or contain features that qualify as embedded derivatives, pursuant to ASC 480 and FASB ASC Topic 815, “Derivatives and Hedging” (“ASC 815”). The Company accounts for the Public Warrants and Private Warrants in accordance with the guidance contained in ASC 815-40, “Derivatives and Hedging — Contracts in Entity’s Own Equity,” under which the Private Warrants do not meet the criteria for equity treatment and must be recorded as liabilities. Accordingly, the Company classifies the Private Warrants as liabilities at their fair value and adjusts the Private Warrants to fair value at each reporting period. This liability is subject to re-measurement at each balance sheet date until exercised, and any change in fair value is recognized in our statements of operations. The Private Warrants were initially and subsequently valued using a Modified Black-Scholes model, which is considered to be a Level 3 fair value measurement.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The Company is currently not aware of any issues under review that could result in significant payments, accruals or material deviation from its position.</w:t>
      </w:r>
    </w:p>
    <w:p>
      <w:pPr>
        <w:spacing w:after="0" w:line="16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common share is computed by dividing net income (loss) by the weighted average number of shares of common stock outstanding for the period.</w:t>
      </w:r>
    </w:p>
    <w:p>
      <w:pPr>
        <w:spacing w:after="0" w:line="146" w:lineRule="exact"/>
        <w:rPr>
          <w:sz w:val="20"/>
          <w:szCs w:val="20"/>
          <w:color w:val="auto"/>
        </w:rPr>
      </w:pPr>
    </w:p>
    <w:p>
      <w:pPr>
        <w:jc w:val="both"/>
        <w:ind w:firstLine="262"/>
        <w:spacing w:after="0" w:line="272" w:lineRule="auto"/>
        <w:rPr>
          <w:sz w:val="20"/>
          <w:szCs w:val="20"/>
          <w:color w:val="auto"/>
        </w:rPr>
      </w:pPr>
      <w:r>
        <w:rPr>
          <w:rFonts w:ascii="Arial" w:cs="Arial" w:eastAsia="Arial" w:hAnsi="Arial"/>
          <w:sz w:val="17"/>
          <w:szCs w:val="17"/>
          <w:color w:val="auto"/>
        </w:rPr>
        <w:t>The Company has not considered the effect of (1) warrants sold in the Initial Public Offering to purchase 15,300,000 shares of common stock, and (2) rights sold in the Initial Public Offering that convert into 862,500 shares of common stock, in the calculation of diluted income (loss) per common share, since the exercise of warrants and the conversion of the rights into shares of common stock are contingent upon the occurrence of future events. Accretion associated with the redeemable common stock is excluded from earnings per share as the redemption value approximates fair value. As of December 31, 2021 and 2020, the Company did not have any other dilutive securities or other contracts that could, potentially, be exercised or converted into shares of common stock and then share in the earnings of the Company. As a result, diluted net income (loss) per common share is the same as basic net income (loss) per common share for the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Corporation coverage limit of $250,000. As of December 31, 2021 and 2020, the Company has not experienced losses on these accounts and management believes the Company is not exposed to significant risks on such account.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 the carrying amounts represented in the accompanying consolidated balance sheets, primarily due to their short-term nature, except for the Private Warrants (see Note 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187" w:lineRule="exact"/>
        <w:rPr>
          <w:sz w:val="20"/>
          <w:szCs w:val="20"/>
          <w:color w:val="auto"/>
        </w:rPr>
      </w:pPr>
    </w:p>
    <w:p>
      <w:pPr>
        <w:ind w:left="5460" w:right="2260" w:hanging="5128"/>
        <w:spacing w:after="0" w:line="778" w:lineRule="auto"/>
        <w:tabs>
          <w:tab w:leader="none" w:pos="6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In connection with the Initial Public Offering, the Company sold 17,250,000 Units, inclusive of 2,250,000 Units sold to the underwriters on January 5, 2021 upon the underwriters’ election to fully exercise their over-allotment option at a purchase price of $10.00 per Unit. Each Unit consists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right="20" w:firstLine="324"/>
        <w:spacing w:after="0" w:line="290" w:lineRule="auto"/>
        <w:rPr>
          <w:sz w:val="20"/>
          <w:szCs w:val="20"/>
          <w:color w:val="auto"/>
        </w:rPr>
      </w:pPr>
      <w:r>
        <w:rPr>
          <w:rFonts w:ascii="Arial" w:cs="Arial" w:eastAsia="Arial" w:hAnsi="Arial"/>
          <w:sz w:val="16"/>
          <w:szCs w:val="16"/>
          <w:color w:val="auto"/>
        </w:rPr>
        <w:t>Simultaneously with the closing of the Initial Public Offering, Ventoux Acquisition purchased an aggregate of 4,000,000 Private Warrants and Chardan Investments purchased an aggregate of 2,000,000 Private Warrants, at $1.00 per Private Warrant resulting in combined aggregate purchase price of $6,000,000 in a private placement. On January 5, 2021, in connection with the underwriters’ election to fully exercise their over-allotment option, the Company sold an additional 450,000 and 225,000 Private Warrants to Ventoux Acquisition and Chardan Investments, respectively, at a price of $1.00 per Private Warrant, generating gross proceeds of $675,000.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As of the date hereof, Ventoux Acquisition holds 2,728,875 Founder Shares.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4,312,500 Founder Shares included an aggregate of up to 562,500 shares subject to forfeiture by the Initial Stockholders to the extent that the underwriters’ over-allotment was not exercised in full or in part, so that the Initial Stockholders would collectively own approximately 20% of the Company’s issued and outstanding shares after the Initial Public Offering (assuming the Initial Stockholders do not purchase any Public Shares in the Initial Public Offering). As a result of the underwriters’ election to fully exercise their over-allotment option on January 5, 2021, the Founder Shares are no longer subject to forfeiture.</w:t>
      </w:r>
    </w:p>
    <w:p>
      <w:pPr>
        <w:spacing w:after="0" w:line="188" w:lineRule="exact"/>
        <w:rPr>
          <w:sz w:val="20"/>
          <w:szCs w:val="20"/>
          <w:color w:val="auto"/>
        </w:rPr>
      </w:pPr>
    </w:p>
    <w:p>
      <w:pPr>
        <w:jc w:val="both"/>
        <w:ind w:right="20" w:firstLine="389"/>
        <w:spacing w:after="0" w:line="254"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Company entered into an agreement, commencing on December 23, 2020 through the earlier of the Company’s consummation of a Business Combination or its liquidation, to pay Chardan Capital Markets, LLC a total of $10,000 per month for office space, utilities and secretarial support. For the years ended December 31, 2021 and 2020, the Company incurred $120,000in fees for these services, of which $120,000 and $0 is included in due to related party in the accompanying consolidated balance sheets as of December 31, 2021 and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 As of December 31, 2021 and 2020, no Working Capital Loans were outstanding.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Extension Loans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discussed in Note 1, the Company may extend the period of time to consummate a Business Combination one time, for an additional three months (until June 30, 2022) to complete a Business Combination. In order to extend the time available for the Company to consummate a Business Combination, the Initial Stockholders or their affiliates or designees must deposit into the Trust Account $1,725,000 (due to the exercise in full of the underwriters’ over-allotment option),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Parties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Related parties advanced the Company approximately $2,520,000 to pay for certain offering costs in connection with the Initial Public Offering. At December 31, 2020, there was $120,005 owed to some of these related parties. At June 30, 2021, the full balance of advances was repaid.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These consolidated financial statement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ind w:firstLine="389"/>
        <w:spacing w:after="0" w:line="254" w:lineRule="auto"/>
        <w:rPr>
          <w:sz w:val="20"/>
          <w:szCs w:val="20"/>
          <w:color w:val="auto"/>
        </w:rPr>
      </w:pPr>
      <w:r>
        <w:rPr>
          <w:rFonts w:ascii="Arial" w:cs="Arial" w:eastAsia="Arial" w:hAnsi="Arial"/>
          <w:sz w:val="18"/>
          <w:szCs w:val="18"/>
          <w:color w:val="auto"/>
        </w:rPr>
        <w:t>Pursuant to a registration rights agreement entered into on December 23, 2020, the holders of the Founder Shares and the Private Warrants and securities that may be issued upon conversion of Working Capital Loans will be entitled to registration and stockholder rights pursuant to an agreement. The holders of a majority of these securities are entitled to make up to three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(i) the date that the Company consummates a Business Combination with respect to the Private Warrants or (ii) three months prior to the Release Date with respect to all other Registrable Securities, but prior to the five-year anniversary of the effective date of the Company’s Form S-1 Registration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7"/>
          <w:szCs w:val="17"/>
          <w:color w:val="auto"/>
        </w:rPr>
        <w:t>The Company granted the underwriters a 45-day option from the date of the Initial Public Offering to purchase up to 2,250,000 additional Units to cover over-allotments, if any, at the Initial Public Offering price less the underwriting discounts and commissions. On January 5, 2021, the underwriters elected to fully exercise the over-allotment option to purchase an additional 2,250,000 Units at a price of $10.00 per Unit.</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underwriters were paid cash underwriting discount of $0.20 per Unit, or $3,450,000 in the aggregate, upon the closing of the Initial Public Offering and the over-allotment 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company consummates its Business Combination.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November 10, 2021, the Company entered into an agreement and plan of merger by and among the Company, Ventoux Merger Sub, Ventoux Merger Sub II, and Presto” (as amended and/or restated from time to time, the “Merger Agreement”). The Merger Agreement has been approved by the Company’s and Presto’s board of directors. Subject to the satisfaction or waiver of certain closing conditions set forth in the Merger Agreement, including the approval of the Merger Agreement and the transactions contemplated thereby by Presto and the Company’s stockholders, (a) Ventoux Merger Sub will merge with and into Presto (the “First Merger”), with Presto being the surviving entity in the First Merger and continuing (immediately following the First Merger) as a wholly-owned subsidiary of the Company (the “Surviving Corporation”), and (b) immediately following the First Merger and as part of the same overall transaction as the First Merger, the Surviving Corporation will merge with and into Ventoux Merger Sub II (the “Second Merger”), with Ventoux Merger Sub II being the surviving entity in the Second Merger and continuing (immediately following the Second Merger) as a wholly-owned subsidiary of the Company (the “Mergers” and the other agreements and transactions contemplated by the Merger Agreement, the “Proposed Business Combination”). In addition, in connection with the consummation of the Proposed Business Combination, the Company will be renamed Presto Technologies, Inc. and is referred to herein as “New Presto” as of the time of such change of name.</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Merger Agreement, subject to the satisfaction or waiver of certain closing conditions set forth therein, at the closing of the Proposed Business Combination (the “Closing”), the Company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the Aggregate Base Consideration, Presto stockholders may be entitled to receive, as additional consideration, and without any action on behalf of the Company, Ventoux Merger Sub, Ventoux Merger Sub II or the Company’s stockholders,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Merger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Merger Agreement, at the time the First Merger becomes effective (the “Effective Time”), each option exercisable for Presto equity that is outstanding and unexercised immediately prior to the Effective Time will be assumed and converted into a newly issued option exercisable for common stock of New Presto. At the Effective Time, each warrant of Presto that is outstanding and unexercised immediately prior to the Effective Time shall, in accordance with its terms, either be (i) cancelled and converted into the right to receive common stock of New Presto, or (ii) assumed and converted into a newly issued warrant exercisable for common stock of New Presto. Immediately prior to the Effective Time, each convertible promissory note convertible for Presto equity that is issued and outstanding shall be cancelled and converted into the right to receive common stock of New Presto in accordance with the terms therein.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entered into equity subscription agreements (the “Equity Subscription Agreements”) each dated as of November 10, 2021, with certain accredited investors, pursuant to which, among other things, the Company agreed to issue and sell, in private placements to close immediately prior to or substantially concurrently with the Closing, an aggregate of 1,500,000 shares of common stock for $10.00 per share. The Equity Subscription Agreements provide that the Company must file a registration statement to register the resale of the subscribed common stock no later than 30 days after the closing date of the Proposed Business Combination (the “Closing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also entered into a convertible note subscription agreement (the “Convertible Note Subscription Agreement” and, together with the Equity Subscription Agreements, the “Subscription Agreements”), each dated as of November 10, 2021, with an institutional accredited investor (collectively, the “Note Investor”), pursuant to which, among other things, the Company agreed to issue and sell, in a private placement to close immediately prior to the Closing, an aggregate of $55,000,000 in aggregate principal amount of convertible notes (the “Notes”) and an aggregate of 1,000,000 warrants (the “Note Financing Warrants”).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any time prior to the close of business on the second trading day immediately preceding the maturity date of the Notes, the Notes will be convertible, at each holder’s option, into shares of common stock of New Presto at an initial conversion price equal to the lesser of (i) $13.00 and (ii) a 30% premium to the lowest per share price at which any equity of the Company is issued within 15 days prior to the Closing Date (the “Conversion Rate”). In the event of a conversion in connection with a Fundamental Change (as defined below) or a Company Redemption (as defined below), the Conversion Rate will be increased by a number of additional shares set forth in a usual and customary “make-whole table” to be included in the indenture governing the Notes (the “Indenture”).</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any time on or after the first anniversary of the issuance of the Notes until the second business day prior to maturity, the Notes will be convertible, in whole but not in part, at the Company’s option (a “Mandatory Conversion”) if the closing price of common stock is greater than or equal to 130% of the conversion price of the Notes for 20 trading days during any 30-consecutive-trading-day period ending on day before the notice of the Mandatory Conversion is given. The Conversion Rate in connection with a Mandatory Conversion will be increased by a number of additional shares pursuant to the make-whole table described above.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Company may redeem the Notes at any time prior to the 21st trading day before maturity by paying, in cash, the principal, accrued interest, and a premium equal to, (1) through third anniversary, the present value of all remaining scheduled interest payments, computed using a discount rate equal to the Treasury Rate (to be defined in the Indenture) plus 0.50%, and warrants to purchase a number of shares equal to 50% of the number of shares into which the Notes redeemed were convertible, or (2) between third anniversary and maturity, of all remaining scheduled interest payments, computed using a discount rate equal to the Treasury Rate.</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Each holder of a Note will have the right to cause the Company to repurchase for cash all or a portion of the Notes held by such holder at any time upon the occurrence of a “fundamental change,” a customary definition of which will be agreed in the Indenture (a “Fundamental Change”), at a repurchase price equal to 100% of the principal amount of such Notes plus accrued and unpaid interest thereon to, but excluding, the repurchase date.</w:t>
      </w:r>
    </w:p>
    <w:p>
      <w:pPr>
        <w:spacing w:after="0" w:line="1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will pay interest on the principal amount of the Notes in cash or in kind, at the Company’s election. If the Company elects to pay interest in cash (“Cash Interest”), the interest on the Notes will accrue at a rate of 9.0% per annum and be payable in cash. If the Company elects to pay interest in kind (“PIK Interest”), the interest on the Notes will be increased to a rate of 11.0% per annum. PIK Interest will be payable either (x) by increasing the principal amount of the outstanding Notes by an amount equal to the amount of PIK Interest for the applicable interest period (rounded up to the nearest $1.00) or (y) if the Notes are no longer held as global notes, by issuing additional Notes in certificated form in an aggregate principal amount equal to the amount of PIK Interest for the period (rounded up to the nearest $1.00). Following an increase in the principal amount of the outstanding Notes as a result of a PIK Interest payment, the Notes will bear interest on such increased principal amount.</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Note Financing Warrants have the same terms and conditions as the Company’s outstanding publicly held warrants, except that each Note Financing Warrant is exercisable into one whole share of common stock at an exercise price of $11.50 per share. The Note Financing Warrants, like the publicly held warrants, may be redeemed if, among other conditions, the reported last sale price of the Company common stock equals or exceeds $16.50 per share, for any 20 trading days within a 30-day trading period ending on the third business day prior to the date of the notice of redemption to warrant holders.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the execution of the Merger Agreement, the Sponsors, Presto’s directors and officers and certain affiliates of the Sponsors (together, the “Sponsor Parties”) entered into a Sponsor Support Agreement (the “Sponsor Agreement”) with the Company and Presto, pursuant to which the Sponsor Parties agreed, among other things, to vote all shares of the Company common stock beneficially owned by them in favor of each of the proposals at the Company Special Meeting and against any proposal that would impede the Proposed Business Combination. The Sponsor Agreement also provides that the Sponsor Parties will not redeem any shares of the Company common stock.</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Sponsor Parties agreed to subject the founder shares they acquired prior to the Company initial public offering to lock-up restrictions. During the period beginning on the Closing Date until the period beginning on the Closing Date to six months after the Closing Date, the Sponsor Parties may not transfer any of its, his or her founder shares, and during the period beginning on the date that is six months after the Closing Date to 12 twelve months after the Closing Date, the Sponsor Parties may only transfer up to 50% of its, his or her founder shares, in each case except for certain limited permitted transfers. In addition, the Sponsor Parties agreed that they will not transfer any privately placed warrants, acquired prior to the Company initial public offering, during the period from the Closing Date to 12 months after the Closing Date.</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Sponsors also agreed to subject their founder shares to vesting and forfeiture provisions as set forth in the Sponsor Agreement based on the number of public shares redeemed at the closing of the Proposed Business Combination (such shares, the “Sponsors’ Earnout Shares”). Pursuant to the Sponsor Agreement, at the Closing, (i) in the case of redemptions of public shares of 90% or more, 15% of the Sponsors’ founder shares that are owned immediately after the Closing will be subject to vesting, (ii) in the case of redemptions of public shares of between 80% and 90%, 10% of the Sponsors’ founder shares that are owned immediately after the Closing will be subject to vesting, (iii) in the case of redemptions of public shares of between 70% and 80%, 5% of the Sponsors’ founder shares that are owned immediately after the Closing will be subject to vesting and (iv) in the case of redemptions of public shares of less than 70%, none of the Sponsors’ founder shares will be subject to vesting. The Sponsors’ Earnout Shares will vest if, during the period from and after the Closing until the fifth anniversary of the Closing, the VWAP of New Presto common stock is greater than or equal to $12.50 for any 40 trading days within a period of 60 consecutive trading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Presto Stockholder Support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execution of the Merger Agreement, certain stockholders of Presto (collectively, the “Presto Supporting Stockholders”) entered into support agreements (collectively, the “Stockholder Support Agreements”), pursuant to which each Presto Supporting Stockholder agreed to, among other things, vote in favor of the Merger Agreement and the transactions contemplated thereby (including the Proposed Business Combination), not to transfer his, her or its Presto shares prior to the Closing Date, and to execute the Amended and Restated Registration Rights Agreement (as defined below) at the Closing Date.</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Presto Stockholder Support Agreements provide that during the period beginning on the Closing Date and ending on the date that is six months after the Closing Date, the Presto Supporting Stockholders may not transfer any of their shares of New Presto common stock, and during the period beginning on the date that is six months after the Closing Date and ending on the date that is 12 months after the Closing Date, the Presto Supporting Stockholders may only transfer up to 50% of their New Presto common stock, in each case, except for certain limited permitted transfers.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Proposed Business Combination is expected to be consummated after receipt of the required approvals by the stockholders of the Company and Presto and the satisfaction or waiver of certain other customary conditions. For full details and the filed agreements, refer to our Current Report on 8-K announcing the Merger Agreement filed on November 10, 2021.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DEFICIT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Per the Company’s Amended and Restated Certificate of Incorporation, the Company is authorized to issue up to 1,000,000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preferred stock. As of December 31, 2021 and 2020, there were no shares of preferred stock issued or outstanding.</w:t>
      </w:r>
    </w:p>
    <w:p>
      <w:pPr>
        <w:spacing w:after="0" w:line="17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50,000,000 shares of common stock with a par value of $0.0001 per share. Holders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are entitled to one vote for each share. At December 31, 2021 and 2020, there were 4,312,500 shares of common stock issued and outstanding, excluding 17,250,000 and 15,000,000 shares of common stock, respectively, subject to possible redemption and presented as temporary equity.</w:t>
      </w:r>
    </w:p>
    <w:p>
      <w:pPr>
        <w:spacing w:after="0" w:line="149"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 each holder of a right will automatically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68"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The Company will not issue fractional shares in connection with an exchange of rights, so holders must hold rights in denominations of 20 in order to receive a share of the Company’s common stock at the closing of the initial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There are 8,625,000 and 7,500,000 Public Warrants outstanding as of December 31, 2021 and 2020, respectively. The Public Warrants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become exercisable at any time commencing on the later of one year after the closing of the Initial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80" w:hanging="33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70" w:lineRule="exact"/>
        <w:rPr>
          <w:rFonts w:ascii="Arial" w:cs="Arial" w:eastAsia="Arial" w:hAnsi="Arial"/>
          <w:sz w:val="18"/>
          <w:szCs w:val="18"/>
          <w:color w:val="auto"/>
        </w:rPr>
      </w:pPr>
    </w:p>
    <w:p>
      <w:pPr>
        <w:ind w:left="680" w:right="20" w:hanging="335"/>
        <w:spacing w:after="0" w:line="342"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jc w:val="both"/>
        <w:ind w:firstLine="383"/>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78" w:lineRule="exact"/>
        <w:rPr>
          <w:sz w:val="20"/>
          <w:szCs w:val="20"/>
          <w:color w:val="auto"/>
        </w:rPr>
      </w:pPr>
    </w:p>
    <w:p>
      <w:pPr>
        <w:jc w:val="both"/>
        <w:ind w:firstLine="383"/>
        <w:spacing w:after="0" w:line="291"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Public Warrants are accounted for as equity in the consolidated balance sheets.</w:t>
      </w:r>
    </w:p>
    <w:p>
      <w:pPr>
        <w:spacing w:after="0" w:line="225" w:lineRule="exact"/>
        <w:rPr>
          <w:sz w:val="20"/>
          <w:szCs w:val="20"/>
          <w:color w:val="auto"/>
        </w:rPr>
      </w:pPr>
    </w:p>
    <w:p>
      <w:pPr>
        <w:jc w:val="both"/>
        <w:ind w:firstLine="383"/>
        <w:spacing w:after="0" w:line="275" w:lineRule="auto"/>
        <w:rPr>
          <w:sz w:val="20"/>
          <w:szCs w:val="20"/>
          <w:color w:val="auto"/>
        </w:rPr>
      </w:pPr>
      <w:r>
        <w:rPr>
          <w:rFonts w:ascii="Arial" w:cs="Arial" w:eastAsia="Arial" w:hAnsi="Arial"/>
          <w:sz w:val="17"/>
          <w:szCs w:val="17"/>
          <w:color w:val="auto"/>
        </w:rPr>
        <w:t>The Private Warrants are identical to the Public Warrants underlying the Units sold in the Initial Public Offering except that each Private Warrant is exercisable for one share of common stock at an exercise price of $11.50 per share,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 As of December 31, 2021 and 2020, there are 6,675,000 and 6,000,000 Private Warrants outstanding, respectively.</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Private Warrants are accounted for as liabilities in the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NOTE 9. INCOME TAX</w:t>
            </w: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40" w:type="dxa"/>
            <w:vAlign w:val="bottom"/>
          </w:tcPr>
          <w:p>
            <w:pPr>
              <w:ind w:left="340"/>
              <w:spacing w:after="0"/>
              <w:rPr>
                <w:sz w:val="20"/>
                <w:szCs w:val="20"/>
                <w:color w:val="auto"/>
              </w:rPr>
            </w:pPr>
            <w:r>
              <w:rPr>
                <w:rFonts w:ascii="Arial" w:cs="Arial" w:eastAsia="Arial" w:hAnsi="Arial"/>
                <w:sz w:val="18"/>
                <w:szCs w:val="18"/>
                <w:color w:val="auto"/>
              </w:rPr>
              <w:t>The Company’s net deferred tax assets are as follows:</w:t>
            </w: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8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Deferred tax asset</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w:t>
            </w:r>
          </w:p>
        </w:tc>
        <w:tc>
          <w:tcPr>
            <w:tcW w:w="4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6"/>
        </w:trPr>
        <w:tc>
          <w:tcPr>
            <w:tcW w:w="4840" w:type="dxa"/>
            <w:vAlign w:val="bottom"/>
          </w:tcPr>
          <w:p>
            <w:pPr>
              <w:ind w:left="180"/>
              <w:spacing w:after="0"/>
              <w:rPr>
                <w:sz w:val="20"/>
                <w:szCs w:val="20"/>
                <w:color w:val="auto"/>
              </w:rPr>
            </w:pPr>
            <w:r>
              <w:rPr>
                <w:rFonts w:ascii="Arial" w:cs="Arial" w:eastAsia="Arial" w:hAnsi="Arial"/>
                <w:sz w:val="18"/>
                <w:szCs w:val="18"/>
                <w:color w:val="auto"/>
              </w:rPr>
              <w:t>Organizational costs/Startup expenses</w:t>
            </w: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173,809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3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Valuation allowance</w:t>
            </w:r>
          </w:p>
        </w:tc>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(203,251)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7"/>
        </w:trPr>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38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vMerge w:val="continue"/>
            <w:shd w:val="clear" w:color="auto" w:fill="CCEEFF"/>
          </w:tcPr>
          <w:p>
            <w:pPr>
              <w:spacing w:after="0"/>
              <w:rPr>
                <w:sz w:val="21"/>
                <w:szCs w:val="21"/>
                <w:color w:val="auto"/>
              </w:rPr>
            </w:pPr>
          </w:p>
        </w:tc>
        <w:tc>
          <w:tcPr>
            <w:tcW w:w="4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840" w:type="dxa"/>
            <w:vAlign w:val="bottom"/>
            <w:vMerge w:val="continue"/>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8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Federal</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4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Deferred</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(199,427)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State</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Deferred</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199,427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Income tax provision</w:t>
            </w: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vMerge w:val="continue"/>
          </w:tcPr>
          <w:p>
            <w:pPr>
              <w:spacing w:after="0"/>
              <w:rPr>
                <w:sz w:val="20"/>
                <w:szCs w:val="20"/>
                <w:color w:val="auto"/>
              </w:rPr>
            </w:pPr>
          </w:p>
        </w:tc>
        <w:tc>
          <w:tcPr>
            <w:tcW w:w="4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right"/>
              <w:ind w:right="3040"/>
              <w:spacing w:after="0"/>
              <w:rPr>
                <w:sz w:val="20"/>
                <w:szCs w:val="20"/>
                <w:color w:val="auto"/>
              </w:rPr>
            </w:pPr>
            <w:r>
              <w:rPr>
                <w:rFonts w:ascii="Arial" w:cs="Arial" w:eastAsia="Arial" w:hAnsi="Arial"/>
                <w:sz w:val="18"/>
                <w:szCs w:val="18"/>
                <w:color w:val="auto"/>
              </w:rPr>
              <w:t>F-20</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2021, the Company had a U.S. federal net operating loss carryover of approximately $203,000 available to offset future taxable income.</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years ended December 31, 2021 and 2020, the change in the valuation allowance was $199,427 and $3,824, respectively.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39"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As of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8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8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7"/>
              </w:rPr>
              <w:t>21.0%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State taxes, net of federal tax benefit</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(26.1)%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Transaction costs allocable to warrant liabilities</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0.00%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(0.4)%</w:t>
            </w:r>
          </w:p>
        </w:tc>
      </w:tr>
      <w:tr>
        <w:trPr>
          <w:trHeight w:val="24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8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7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2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0"/>
        </w:trPr>
        <w:tc>
          <w:tcPr>
            <w:tcW w:w="8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consolidated balance sheets and adjusted for the amortization or accretion of premiums or discounts.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presents its investment in money market funds on the consolidated balance sheets at fair value at the end of each reporting period. Gains and losses resulting from the change in fair value of these securities is included in interest income in the accompanying consolidated statements of operations. The estimated fair values of investments held in the Trust Account are determined using available market information.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2021, assets held in the Trust Account was comprised of $174,266,206 in money market funds which are invested primarily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During the year ended December 31, 2021, the Company did not withdraw any interest income from the Trust Account.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assets held in the Trust Account were comprised of $151,500,000 in cash.</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2021 and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174,266,206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the Company’s liabilities that are measured at fair value on a recurring basis at December 31, 2021 and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24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 – Private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3,204,000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7,320,000</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Private Warrants were accounted for as liabilities in accordance with ASC 815-40 and are presented within warrant liabilities in the consolidated balance sheets. The warrant liabilities are measured at fair value at inception and on a recurring basis, with changes in fair value presented in the consolidated statements of operations.</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Warrants were valued using a Modified Black-Scholes model, which is considered to be a Level 3 fair value measurement. The Modified Black-Scholes model’s primary unobservable input utilized in determining the fair value of the Private Warrants is the expected volatility of the common stock. The expected volatility was initially derived from observable public warrant pricing on comparable ‘blank-check’ companies without an identified target. The expected volatility as of subsequent valuation dates was implied from the Company’s own Public Warrant pricing. Inherent in a Black-Scholes model are assumptions related to expected stock-price volatility, expected life, risk-free interest rate and dividend yield. However, inherent uncertainties are involved. If factors or assumptions change, the estimated fair values could be materially different.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quantitative information regarding Level 3 fair value measurements of the warrant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3260" w:type="dxa"/>
            <w:vAlign w:val="bottom"/>
            <w:tcBorders>
              <w:bottom w:val="single" w:sz="8" w:color="CCEEFF"/>
            </w:tcBorders>
          </w:tcPr>
          <w:p>
            <w:pPr>
              <w:spacing w:after="0"/>
              <w:rPr>
                <w:sz w:val="20"/>
                <w:szCs w:val="20"/>
                <w:color w:val="auto"/>
              </w:rPr>
            </w:pPr>
          </w:p>
        </w:tc>
        <w:tc>
          <w:tcPr>
            <w:tcW w:w="5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5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Stock price</w:t>
            </w:r>
          </w:p>
        </w:tc>
        <w:tc>
          <w:tcPr>
            <w:tcW w:w="556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19.15%</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Term</w:t>
            </w: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5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Dividend yield</w:t>
            </w:r>
          </w:p>
        </w:tc>
        <w:tc>
          <w:tcPr>
            <w:tcW w:w="5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641"/>
        </w:trPr>
        <w:tc>
          <w:tcPr>
            <w:tcW w:w="32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2"/>
          </w:tcPr>
          <w:p>
            <w:pPr>
              <w:jc w:val="right"/>
              <w:ind w:right="2938"/>
              <w:spacing w:after="0"/>
              <w:rPr>
                <w:sz w:val="20"/>
                <w:szCs w:val="20"/>
                <w:color w:val="auto"/>
              </w:rPr>
            </w:pPr>
            <w:r>
              <w:rPr>
                <w:rFonts w:ascii="Arial" w:cs="Arial" w:eastAsia="Arial" w:hAnsi="Arial"/>
                <w:sz w:val="18"/>
                <w:szCs w:val="18"/>
                <w:color w:val="auto"/>
              </w:rPr>
              <w:t>F-22</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340"/>
              <w:spacing w:after="0"/>
              <w:rPr>
                <w:sz w:val="20"/>
                <w:szCs w:val="20"/>
                <w:color w:val="auto"/>
              </w:rPr>
            </w:pPr>
            <w:r>
              <w:rPr>
                <w:rFonts w:ascii="Arial" w:cs="Arial" w:eastAsia="Arial" w:hAnsi="Arial"/>
                <w:sz w:val="18"/>
                <w:szCs w:val="18"/>
                <w:color w:val="auto"/>
              </w:rPr>
              <w:t>The following table presents the changes in the fair value of Level 3 warrant liabilities: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Initial measurement on December 30, 2020 (Initial Public Offering)</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7,140,000</w:t>
            </w:r>
          </w:p>
        </w:tc>
      </w:tr>
      <w:tr>
        <w:trPr>
          <w:trHeight w:val="250"/>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Fair value as of December 31, 2020</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7,320,000</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measurement on January 5, 2021 (Over-allotment)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837,000</w:t>
            </w: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(4,953,000)</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Transfers to/from levels 1, 2, and 3 are recognized at the beginning of the reporting period. There were no transfers in or out of Level 3 from other levels in the fair value hierarchy during the years ended December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consolidated financial statements were issued. Based upon this review, the Company did not identify any subsequent events that would have required adjustment or disclosure in the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Scheetz,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(Paragraph omitted pursuant to SEC Release Nos. and 33-8392/34-49313); and</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MacDonald,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Ventoux CCM Acquisition Corp.</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80" w:right="20" w:hanging="335"/>
        <w:spacing w:after="0" w:line="263"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 and</w:t>
      </w:r>
    </w:p>
    <w:p>
      <w:pPr>
        <w:spacing w:after="0" w:line="225" w:lineRule="exact"/>
        <w:rPr>
          <w:rFonts w:ascii="Arial" w:cs="Arial" w:eastAsia="Arial" w:hAnsi="Arial"/>
          <w:sz w:val="18"/>
          <w:szCs w:val="18"/>
          <w:color w:val="auto"/>
        </w:rPr>
      </w:pPr>
    </w:p>
    <w:p>
      <w:pPr>
        <w:ind w:left="680" w:right="20" w:hanging="335"/>
        <w:spacing w:after="0" w:line="308" w:lineRule="auto"/>
        <w:tabs>
          <w:tab w:leader="none" w:pos="6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right="20" w:hanging="335"/>
        <w:spacing w:after="0" w:line="263"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 w:hanging="335"/>
        <w:spacing w:after="0" w:line="277"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Ventoux CCM Acquisition Corp. (the “Company”) on Form 10-K for the year ended December 31, 2021 as filed with the Securities and Exchange Commission on the date hereof (the “Report”), each of the undersigned, in the capacities and on the dates indicated below, hereby certifies pursuant to 18 U.S.C. Section 1350, as adopted pursuant to Section 906 of the Sarbanes-Oxley Act of 2002, that:</w:t>
      </w:r>
    </w:p>
    <w:p>
      <w:pPr>
        <w:spacing w:after="0" w:line="165" w:lineRule="exact"/>
        <w:rPr>
          <w:sz w:val="20"/>
          <w:szCs w:val="20"/>
          <w:color w:val="auto"/>
        </w:rPr>
      </w:pPr>
    </w:p>
    <w:p>
      <w:pPr>
        <w:ind w:left="680" w:hanging="335"/>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4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6"/>
          <w:szCs w:val="16"/>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6"/>
          <w:szCs w:val="16"/>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1"/>
    </w:lvl>
    <w:lvl w:ilvl="1">
      <w:lvlJc w:val="left"/>
      <w:lvlText w:val="(%2)"/>
      <w:numFmt w:val="lowerLetter"/>
      <w:start w:val="1"/>
    </w:lvl>
  </w:abstractNum>
  <w:abstractNum w:abstractNumId="5">
    <w:nsid w:val="DED7263"/>
    <w:multiLevelType w:val="hybridMultilevel"/>
    <w:lvl w:ilvl="0">
      <w:lvlJc w:val="left"/>
      <w:lvlText w:val="(%1)"/>
      <w:numFmt w:val="upperLetter"/>
      <w:start w:val="3"/>
    </w:lvl>
    <w:lvl w:ilvl="1">
      <w:lvlJc w:val="left"/>
      <w:lvlText w:val="(%2)"/>
      <w:numFmt w:val="lowerLetter"/>
      <w:start w:val="3"/>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lvl w:ilvl="1">
      <w:lvlJc w:val="left"/>
      <w:lvlText w:val="(%2)"/>
      <w:numFmt w:val="decimal"/>
      <w:start w:val="1"/>
    </w:lvl>
  </w:abstractNum>
  <w:abstractNum w:abstractNumId="11">
    <w:nsid w:val="25E45D32"/>
    <w:multiLevelType w:val="hybridMultilevel"/>
    <w:lvl w:ilvl="0">
      <w:lvlJc w:val="left"/>
      <w:lvlText w:val="%1"/>
      <w:numFmt w:val="decimal"/>
      <w:start w:val="104"/>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emdash "/>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emdash "/>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60" Type="http://schemas.openxmlformats.org/officeDocument/2006/relationships/image" Target="media/image27.png"/><Relationship Id="rId61" Type="http://schemas.openxmlformats.org/officeDocument/2006/relationships/image" Target="media/image28.png"/><Relationship Id="rId62" Type="http://schemas.openxmlformats.org/officeDocument/2006/relationships/image" Target="media/image29.png"/><Relationship Id="rId63" Type="http://schemas.openxmlformats.org/officeDocument/2006/relationships/image" Target="media/image30.png"/><Relationship Id="rId64" Type="http://schemas.openxmlformats.org/officeDocument/2006/relationships/image" Target="media/image31.png"/><Relationship Id="rId65" Type="http://schemas.openxmlformats.org/officeDocument/2006/relationships/image" Target="media/image32.png"/><Relationship Id="rId66" Type="http://schemas.openxmlformats.org/officeDocument/2006/relationships/image" Target="media/image33.png"/><Relationship Id="rId67" Type="http://schemas.openxmlformats.org/officeDocument/2006/relationships/image" Target="media/image34.png"/><Relationship Id="rId68"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34" Type="http://schemas.openxmlformats.org/officeDocument/2006/relationships/hyperlink" Target="http://www.sec.gov/Archives/edgar/data/1822145/000121390021058217/ea150262ex2-1_ventouxccm.htm" TargetMode="External"/><Relationship Id="rId35" Type="http://schemas.openxmlformats.org/officeDocument/2006/relationships/hyperlink" Target="http://www.sec.gov/Archives/edgar/data/1822145/000121390020045520/ea132405ex3-1_ventouxccm.htm" TargetMode="External"/><Relationship Id="rId36" Type="http://schemas.openxmlformats.org/officeDocument/2006/relationships/hyperlink" Target="http://www.sec.gov/Archives/edgar/data/1822145/000121390020040143/fs12020ex3-5_ventoux.htm" TargetMode="External"/><Relationship Id="rId37" Type="http://schemas.openxmlformats.org/officeDocument/2006/relationships/hyperlink" Target="http://www.sec.gov/Archives/edgar/data/1822145/000121390020042648/fs12020a1ex4-1_ventouxccm.htm" TargetMode="External"/><Relationship Id="rId38" Type="http://schemas.openxmlformats.org/officeDocument/2006/relationships/hyperlink" Target="http://www.sec.gov/Archives/edgar/data/1822145/000121390020042648/fs12020a1ex4-2_ventouxccm.htm" TargetMode="External"/><Relationship Id="rId39" Type="http://schemas.openxmlformats.org/officeDocument/2006/relationships/hyperlink" Target="http://www.sec.gov/Archives/edgar/data/1822145/000121390020042648/fs12020a1ex4-3_ventouxccm.htm" TargetMode="External"/><Relationship Id="rId40" Type="http://schemas.openxmlformats.org/officeDocument/2006/relationships/hyperlink" Target="http://www.sec.gov/Archives/edgar/data/1822145/000121390020045520/ea132405ex4-1_ventouxccm.htm" TargetMode="External"/><Relationship Id="rId41" Type="http://schemas.openxmlformats.org/officeDocument/2006/relationships/hyperlink" Target="http://www.sec.gov/Archives/edgar/data/1822145/000121390020045520/ea132405ex4-2_ventouxccm.htm" TargetMode="External"/><Relationship Id="rId42" Type="http://schemas.openxmlformats.org/officeDocument/2006/relationships/hyperlink" Target="http://www.sec.gov/Archives/edgar/data/1822145/000121390021018748/f10k2020ex4-6_ventoux.htm" TargetMode="External"/><Relationship Id="rId43" Type="http://schemas.openxmlformats.org/officeDocument/2006/relationships/hyperlink" Target="http://www.sec.gov/Archives/edgar/data/1822145/000121390021058217/ea150262ex4-1_ventouxccm.htm" TargetMode="External"/><Relationship Id="rId44" Type="http://schemas.openxmlformats.org/officeDocument/2006/relationships/hyperlink" Target="http://www.sec.gov/Archives/edgar/data/1822145/000121390020045520/ea132405ex10-1_ventouxccm.htm" TargetMode="External"/><Relationship Id="rId45" Type="http://schemas.openxmlformats.org/officeDocument/2006/relationships/hyperlink" Target="http://www.sec.gov/Archives/edgar/data/1822145/000121390020045520/ea132405ex10-2_ventouxccm.htm" TargetMode="External"/><Relationship Id="rId46" Type="http://schemas.openxmlformats.org/officeDocument/2006/relationships/hyperlink" Target="http://www.sec.gov/Archives/edgar/data/1822145/000121390020045520/ea132405ex10-3_ventouxccm.htm" TargetMode="External"/><Relationship Id="rId47" Type="http://schemas.openxmlformats.org/officeDocument/2006/relationships/hyperlink" Target="http://www.sec.gov/Archives/edgar/data/1822145/000121390020045520/ea132405ex10-4_ventouxccm.htm" TargetMode="External"/><Relationship Id="rId48" Type="http://schemas.openxmlformats.org/officeDocument/2006/relationships/hyperlink" Target="http://www.sec.gov/Archives/edgar/data/1822145/000121390020045520/ea132405ex10-5_ventouxccm.htm" TargetMode="External"/><Relationship Id="rId49" Type="http://schemas.openxmlformats.org/officeDocument/2006/relationships/hyperlink" Target="http://www.sec.gov/Archives/edgar/data/1822145/000121390020045520/ea132405ex10-6_ventouxccm.htm" TargetMode="External"/><Relationship Id="rId50" Type="http://schemas.openxmlformats.org/officeDocument/2006/relationships/hyperlink" Target="http://www.sec.gov/Archives/edgar/data/1822145/000121390020045520/ea132405ex10-7_ventouxccm.htm" TargetMode="External"/><Relationship Id="rId51" Type="http://schemas.openxmlformats.org/officeDocument/2006/relationships/hyperlink" Target="http://www.sec.gov/Archives/edgar/data/1822145/000121390020045520/ea132405ex10-8_ventouxccm.htm" TargetMode="External"/><Relationship Id="rId52" Type="http://schemas.openxmlformats.org/officeDocument/2006/relationships/hyperlink" Target="http://www.sec.gov/Archives/edgar/data/1822145/000121390020045520/ea132405ex10-9_ventouxccm.htm" TargetMode="External"/><Relationship Id="rId53" Type="http://schemas.openxmlformats.org/officeDocument/2006/relationships/hyperlink" Target="http://www.sec.gov/Archives/edgar/data/1822145/000121390021058217/ea150262ex10-1_ventouxccm.htm" TargetMode="External"/><Relationship Id="rId54" Type="http://schemas.openxmlformats.org/officeDocument/2006/relationships/hyperlink" Target="http://www.sec.gov/Archives/edgar/data/1822145/000121390021058217/ea150262ex10-2_ventouxccm.htm" TargetMode="External"/><Relationship Id="rId55" Type="http://schemas.openxmlformats.org/officeDocument/2006/relationships/hyperlink" Target="http://www.sec.gov/Archives/edgar/data/1822145/000121390021058217/ea150262ex10-3_ventouxccm.htm" TargetMode="External"/><Relationship Id="rId56" Type="http://schemas.openxmlformats.org/officeDocument/2006/relationships/hyperlink" Target="http://www.sec.gov/Archives/edgar/data/1822145/000121390021058217/ea150262ex10-4_ventouxccm.htm" TargetMode="External"/><Relationship Id="rId57" Type="http://schemas.openxmlformats.org/officeDocument/2006/relationships/hyperlink" Target="http://www.sec.gov/Archives/edgar/data/1822145/000121390021058217/ea150262ex10-5_ventouxccm.htm" TargetMode="External"/><Relationship Id="rId58" Type="http://schemas.openxmlformats.org/officeDocument/2006/relationships/hyperlink" Target="http://www.sec.gov/Archives/edgar/data/1822145/000121390021058217/ea150262ex10-6_ventouxccm.htm" TargetMode="External"/><Relationship Id="rId59" Type="http://schemas.openxmlformats.org/officeDocument/2006/relationships/hyperlink" Target="http://www.sec.gov/Archives/edgar/data/1822145/000121390021058217/ea150262ex10-7_ventouxcc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2022-02-23T16:15:45Z</dcterms:created>
  <dcterms:modified xsi:type="dcterms:W3CDTF">2022-02-23T16:15:45Z</dcterms:modified>
</cp:coreProperties>
</file>