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6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-238760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-619760</wp:posOffset>
            </wp:positionV>
            <wp:extent cx="57785" cy="6330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7047230" cy="52933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29336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Golubovich Ilya</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985 INDUSTRIAL ROAD, SUITE 205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Presto Automation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PRST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02/17/2023</w:t>
      </w:r>
    </w:p>
    <w:p>
      <w:pPr>
        <w:spacing w:after="0" w:line="20" w:lineRule="exact"/>
        <w:rPr>
          <w:sz w:val="24"/>
          <w:szCs w:val="24"/>
          <w:color w:val="auto"/>
        </w:rPr>
      </w:pPr>
      <w:r>
        <w:rPr>
          <w:sz w:val="24"/>
          <w:szCs w:val="24"/>
          <w:color w:val="auto"/>
        </w:rPr>
        <w:br w:type="column"/>
      </w: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4"/>
        <w:spacing w:after="0"/>
        <w:tabs>
          <w:tab w:leader="none" w:pos="503" w:val="left"/>
          <w:tab w:leader="none" w:pos="2063"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8"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87" w:lineRule="exact"/>
        <w:rPr>
          <w:sz w:val="24"/>
          <w:szCs w:val="24"/>
          <w:color w:val="auto"/>
        </w:rPr>
      </w:pPr>
    </w:p>
    <w:p>
      <w:pPr>
        <w:sectPr>
          <w:pgSz w:w="11900" w:h="16838" w:orient="portrait"/>
          <w:cols w:equalWidth="0" w:num="3">
            <w:col w:w="3180" w:space="720"/>
            <w:col w:w="3116" w:space="720"/>
            <w:col w:w="3344"/>
          </w:cols>
          <w:pgMar w:left="460" w:top="216" w:right="359" w:bottom="1440" w:gutter="0" w:footer="0" w:header="0"/>
          <w:type w:val="continuous"/>
        </w:sectPr>
      </w:pPr>
    </w:p>
    <w:p>
      <w:pPr>
        <w:spacing w:after="0" w:line="230"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CARLOS</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94070</w:t>
            </w:r>
          </w:p>
        </w:tc>
      </w:tr>
      <w:tr>
        <w:trPr>
          <w:trHeight w:val="147"/>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ind w:left="4040"/>
        <w:spacing w:after="0" w:line="226" w:lineRule="auto"/>
        <w:tabs>
          <w:tab w:leader="none" w:pos="436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Person</w:t>
      </w:r>
    </w:p>
    <w:p>
      <w:pPr>
        <w:spacing w:after="0" w:line="374"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8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20" w:type="dxa"/>
            <w:vAlign w:val="bottom"/>
          </w:tcPr>
          <w:p>
            <w:pPr>
              <w:spacing w:after="0"/>
              <w:rPr>
                <w:sz w:val="13"/>
                <w:szCs w:val="13"/>
                <w:color w:val="auto"/>
              </w:rPr>
            </w:pPr>
          </w:p>
        </w:tc>
        <w:tc>
          <w:tcPr>
            <w:tcW w:w="1840" w:type="dxa"/>
            <w:vAlign w:val="bottom"/>
            <w:gridSpan w:val="4"/>
          </w:tcPr>
          <w:p>
            <w:pPr>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5. Amount of</w:t>
            </w:r>
          </w:p>
        </w:tc>
        <w:tc>
          <w:tcPr>
            <w:tcW w:w="1300" w:type="dxa"/>
            <w:vAlign w:val="bottom"/>
            <w:gridSpan w:val="2"/>
          </w:tcPr>
          <w:p>
            <w:pPr>
              <w:ind w:left="420"/>
              <w:spacing w:after="0"/>
              <w:rPr>
                <w:sz w:val="20"/>
                <w:szCs w:val="20"/>
                <w:color w:val="auto"/>
              </w:rPr>
            </w:pPr>
            <w:r>
              <w:rPr>
                <w:rFonts w:ascii="Arial" w:cs="Arial" w:eastAsia="Arial" w:hAnsi="Arial"/>
                <w:sz w:val="11"/>
                <w:szCs w:val="11"/>
                <w:b w:val="1"/>
                <w:bCs w:val="1"/>
                <w:color w:val="auto"/>
              </w:rPr>
              <w:t>6. Ownership</w:t>
            </w:r>
          </w:p>
        </w:tc>
        <w:tc>
          <w:tcPr>
            <w:tcW w:w="1040" w:type="dxa"/>
            <w:vAlign w:val="bottom"/>
            <w:gridSpan w:val="4"/>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68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11"/>
                <w:szCs w:val="11"/>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840" w:type="dxa"/>
            <w:vAlign w:val="bottom"/>
            <w:gridSpan w:val="4"/>
          </w:tcPr>
          <w:p>
            <w:pPr>
              <w:spacing w:after="0"/>
              <w:rPr>
                <w:sz w:val="20"/>
                <w:szCs w:val="20"/>
                <w:color w:val="auto"/>
              </w:rPr>
            </w:pPr>
            <w:r>
              <w:rPr>
                <w:rFonts w:ascii="Arial" w:cs="Arial" w:eastAsia="Arial" w:hAnsi="Arial"/>
                <w:sz w:val="11"/>
                <w:szCs w:val="11"/>
                <w:b w:val="1"/>
                <w:bCs w:val="1"/>
                <w:color w:val="auto"/>
              </w:rPr>
              <w:t>Disposed Of (D) (Instr. 3, 4 and</w:t>
            </w:r>
          </w:p>
        </w:tc>
        <w:tc>
          <w:tcPr>
            <w:tcW w:w="40" w:type="dxa"/>
            <w:vAlign w:val="bottom"/>
          </w:tcPr>
          <w:p>
            <w:pPr>
              <w:spacing w:after="0"/>
              <w:rPr>
                <w:sz w:val="11"/>
                <w:szCs w:val="11"/>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1300" w:type="dxa"/>
            <w:vAlign w:val="bottom"/>
            <w:gridSpan w:val="2"/>
          </w:tcPr>
          <w:p>
            <w:pPr>
              <w:ind w:left="420"/>
              <w:spacing w:after="0"/>
              <w:rPr>
                <w:sz w:val="20"/>
                <w:szCs w:val="20"/>
                <w:color w:val="auto"/>
              </w:rPr>
            </w:pPr>
            <w:r>
              <w:rPr>
                <w:rFonts w:ascii="Arial" w:cs="Arial" w:eastAsia="Arial" w:hAnsi="Arial"/>
                <w:sz w:val="11"/>
                <w:szCs w:val="11"/>
                <w:b w:val="1"/>
                <w:bCs w:val="1"/>
                <w:color w:val="auto"/>
              </w:rPr>
              <w:t>Form: Direct</w:t>
            </w:r>
          </w:p>
        </w:tc>
        <w:tc>
          <w:tcPr>
            <w:tcW w:w="1040" w:type="dxa"/>
            <w:vAlign w:val="bottom"/>
            <w:gridSpan w:val="4"/>
          </w:tcPr>
          <w:p>
            <w:pPr>
              <w:ind w:left="6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00" w:type="dxa"/>
            <w:vAlign w:val="bottom"/>
            <w:gridSpan w:val="2"/>
          </w:tcPr>
          <w:p>
            <w:pPr>
              <w:ind w:left="680"/>
              <w:spacing w:after="0"/>
              <w:rPr>
                <w:sz w:val="20"/>
                <w:szCs w:val="20"/>
                <w:color w:val="auto"/>
              </w:rPr>
            </w:pPr>
            <w:r>
              <w:rPr>
                <w:rFonts w:ascii="Arial" w:cs="Arial" w:eastAsia="Arial" w:hAnsi="Arial"/>
                <w:sz w:val="11"/>
                <w:szCs w:val="11"/>
                <w:b w:val="1"/>
                <w:bCs w:val="1"/>
                <w:color w:val="auto"/>
              </w:rPr>
              <w:t>(Month/Day/Year)</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20"/>
                <w:szCs w:val="20"/>
                <w:color w:val="auto"/>
              </w:rPr>
            </w:pPr>
            <w:r>
              <w:rPr>
                <w:rFonts w:ascii="Arial" w:cs="Arial" w:eastAsia="Arial" w:hAnsi="Arial"/>
                <w:sz w:val="11"/>
                <w:szCs w:val="11"/>
                <w:b w:val="1"/>
                <w:bCs w:val="1"/>
                <w:color w:val="auto"/>
              </w:rPr>
              <w:t>5)</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Beneficially</w:t>
            </w:r>
          </w:p>
        </w:tc>
        <w:tc>
          <w:tcPr>
            <w:tcW w:w="1300" w:type="dxa"/>
            <w:vAlign w:val="bottom"/>
            <w:gridSpan w:val="2"/>
          </w:tcPr>
          <w:p>
            <w:pPr>
              <w:ind w:left="420"/>
              <w:spacing w:after="0"/>
              <w:rPr>
                <w:sz w:val="20"/>
                <w:szCs w:val="20"/>
                <w:color w:val="auto"/>
              </w:rPr>
            </w:pPr>
            <w:r>
              <w:rPr>
                <w:rFonts w:ascii="Arial" w:cs="Arial" w:eastAsia="Arial" w:hAnsi="Arial"/>
                <w:sz w:val="11"/>
                <w:szCs w:val="11"/>
                <w:b w:val="1"/>
                <w:bCs w:val="1"/>
                <w:color w:val="auto"/>
              </w:rPr>
              <w:t>(D) or Indirect</w:t>
            </w:r>
          </w:p>
        </w:tc>
        <w:tc>
          <w:tcPr>
            <w:tcW w:w="1040" w:type="dxa"/>
            <w:vAlign w:val="bottom"/>
            <w:gridSpan w:val="4"/>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Owned Following   (I) (Instr. 4)</w:t>
            </w:r>
          </w:p>
        </w:tc>
        <w:tc>
          <w:tcPr>
            <w:tcW w:w="104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vMerge w:val="restart"/>
          </w:tcPr>
          <w:p>
            <w:pPr>
              <w:spacing w:after="0"/>
              <w:rPr>
                <w:sz w:val="6"/>
                <w:szCs w:val="6"/>
                <w:color w:val="auto"/>
              </w:rPr>
            </w:pPr>
          </w:p>
        </w:tc>
        <w:tc>
          <w:tcPr>
            <w:tcW w:w="7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Reported</w:t>
            </w: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1"/>
                <w:szCs w:val="11"/>
                <w:color w:val="auto"/>
              </w:rPr>
            </w:pPr>
          </w:p>
        </w:tc>
        <w:tc>
          <w:tcPr>
            <w:tcW w:w="5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7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48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7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(Instr. 3 and 4)</w:t>
            </w: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02/17/2023</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w w:val="88"/>
              </w:rPr>
              <w:t>34,916</w:t>
            </w:r>
            <w:r>
              <w:rPr>
                <w:rFonts w:ascii="Times New Roman" w:cs="Times New Roman" w:eastAsia="Times New Roman" w:hAnsi="Times New Roman"/>
                <w:sz w:val="21"/>
                <w:szCs w:val="21"/>
                <w:color w:val="008000"/>
                <w:w w:val="88"/>
                <w:vertAlign w:val="superscript"/>
              </w:rPr>
              <w:t>(1)</w:t>
            </w:r>
          </w:p>
        </w:tc>
        <w:tc>
          <w:tcPr>
            <w:tcW w:w="5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520" w:type="dxa"/>
            <w:vAlign w:val="bottom"/>
            <w:tcBorders>
              <w:bottom w:val="single" w:sz="8" w:color="2C2C2C"/>
            </w:tcBorders>
            <w:gridSpan w:val="3"/>
          </w:tcPr>
          <w:p>
            <w:pPr>
              <w:jc w:val="right"/>
              <w:ind w:right="662"/>
              <w:spacing w:after="0"/>
              <w:rPr>
                <w:sz w:val="20"/>
                <w:szCs w:val="20"/>
                <w:color w:val="auto"/>
              </w:rPr>
            </w:pPr>
            <w:r>
              <w:rPr>
                <w:rFonts w:ascii="Times New Roman" w:cs="Times New Roman" w:eastAsia="Times New Roman" w:hAnsi="Times New Roman"/>
                <w:sz w:val="17"/>
                <w:szCs w:val="17"/>
                <w:color w:val="0000FF"/>
              </w:rPr>
              <w:t>34,916</w:t>
            </w:r>
          </w:p>
        </w:tc>
        <w:tc>
          <w:tcPr>
            <w:tcW w:w="56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I2BF</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20" w:type="dxa"/>
            <w:vAlign w:val="bottom"/>
            <w:gridSpan w:val="3"/>
            <w:vMerge w:val="restart"/>
          </w:tcPr>
          <w:p>
            <w:pPr>
              <w:jc w:val="right"/>
              <w:ind w:right="562"/>
              <w:spacing w:after="0"/>
              <w:rPr>
                <w:sz w:val="20"/>
                <w:szCs w:val="20"/>
                <w:color w:val="auto"/>
              </w:rPr>
            </w:pPr>
            <w:r>
              <w:rPr>
                <w:rFonts w:ascii="Times New Roman" w:cs="Times New Roman" w:eastAsia="Times New Roman" w:hAnsi="Times New Roman"/>
                <w:sz w:val="17"/>
                <w:szCs w:val="17"/>
                <w:color w:val="0000FF"/>
              </w:rPr>
              <w:t>4,429,505</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Global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520" w:type="dxa"/>
            <w:vAlign w:val="bottom"/>
            <w:gridSpan w:val="3"/>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13"/>
        </w:trPr>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LTD</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40" w:type="dxa"/>
            <w:vAlign w:val="bottom"/>
            <w:gridSpan w:val="11"/>
          </w:tcPr>
          <w:p>
            <w:pPr>
              <w:ind w:left="74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3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4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1"/>
                <w:szCs w:val="11"/>
                <w:b w:val="1"/>
                <w:bCs w:val="1"/>
                <w:color w:val="auto"/>
              </w:rPr>
              <w:t>10.</w:t>
            </w:r>
          </w:p>
        </w:tc>
        <w:tc>
          <w:tcPr>
            <w:tcW w:w="30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1"/>
                <w:szCs w:val="11"/>
                <w:color w:val="auto"/>
              </w:rPr>
            </w:pPr>
          </w:p>
        </w:tc>
        <w:tc>
          <w:tcPr>
            <w:tcW w:w="136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200"/>
              <w:spacing w:after="0"/>
              <w:rPr>
                <w:sz w:val="20"/>
                <w:szCs w:val="20"/>
                <w:color w:val="auto"/>
              </w:rPr>
            </w:pPr>
            <w:r>
              <w:rPr>
                <w:rFonts w:ascii="Arial" w:cs="Arial" w:eastAsia="Arial" w:hAnsi="Arial"/>
                <w:sz w:val="11"/>
                <w:szCs w:val="11"/>
                <w:b w:val="1"/>
                <w:bCs w:val="1"/>
                <w:color w:val="auto"/>
              </w:rPr>
              <w:t>Ownership</w:t>
            </w: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1"/>
                <w:szCs w:val="11"/>
                <w:color w:val="auto"/>
              </w:rPr>
            </w:pPr>
          </w:p>
        </w:tc>
        <w:tc>
          <w:tcPr>
            <w:tcW w:w="136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ind w:left="200"/>
              <w:spacing w:after="0"/>
              <w:rPr>
                <w:sz w:val="20"/>
                <w:szCs w:val="20"/>
                <w:color w:val="auto"/>
              </w:rPr>
            </w:pPr>
            <w:r>
              <w:rPr>
                <w:rFonts w:ascii="Arial" w:cs="Arial" w:eastAsia="Arial" w:hAnsi="Arial"/>
                <w:sz w:val="11"/>
                <w:szCs w:val="11"/>
                <w:b w:val="1"/>
                <w:bCs w:val="1"/>
                <w:color w:val="auto"/>
              </w:rPr>
              <w:t>Form:</w:t>
            </w:r>
          </w:p>
        </w:tc>
        <w:tc>
          <w:tcPr>
            <w:tcW w:w="300" w:type="dxa"/>
            <w:vAlign w:val="bottom"/>
          </w:tcPr>
          <w:p>
            <w:pPr>
              <w:spacing w:after="0"/>
              <w:rPr>
                <w:sz w:val="11"/>
                <w:szCs w:val="11"/>
                <w:color w:val="auto"/>
              </w:rPr>
            </w:pP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6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Beneficially</w:t>
            </w:r>
          </w:p>
        </w:tc>
        <w:tc>
          <w:tcPr>
            <w:tcW w:w="860" w:type="dxa"/>
            <w:vAlign w:val="bottom"/>
            <w:gridSpan w:val="2"/>
          </w:tcPr>
          <w:p>
            <w:pPr>
              <w:ind w:left="200"/>
              <w:spacing w:after="0"/>
              <w:rPr>
                <w:sz w:val="20"/>
                <w:szCs w:val="20"/>
                <w:color w:val="auto"/>
              </w:rPr>
            </w:pPr>
            <w:r>
              <w:rPr>
                <w:rFonts w:ascii="Arial" w:cs="Arial" w:eastAsia="Arial" w:hAnsi="Arial"/>
                <w:sz w:val="11"/>
                <w:szCs w:val="11"/>
                <w:b w:val="1"/>
                <w:bCs w:val="1"/>
                <w:color w:val="auto"/>
              </w:rPr>
              <w:t>Direct (D)</w:t>
            </w: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860" w:type="dxa"/>
            <w:vAlign w:val="bottom"/>
            <w:gridSpan w:val="2"/>
          </w:tcPr>
          <w:p>
            <w:pPr>
              <w:ind w:left="200"/>
              <w:spacing w:after="0"/>
              <w:rPr>
                <w:sz w:val="20"/>
                <w:szCs w:val="20"/>
                <w:color w:val="auto"/>
              </w:rPr>
            </w:pPr>
            <w:r>
              <w:rPr>
                <w:rFonts w:ascii="Arial" w:cs="Arial" w:eastAsia="Arial" w:hAnsi="Arial"/>
                <w:sz w:val="11"/>
                <w:szCs w:val="11"/>
                <w:b w:val="1"/>
                <w:bCs w:val="1"/>
                <w:color w:val="auto"/>
              </w:rPr>
              <w:t>or Indirect</w:t>
            </w: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860" w:type="dxa"/>
            <w:vAlign w:val="bottom"/>
            <w:gridSpan w:val="2"/>
          </w:tcPr>
          <w:p>
            <w:pPr>
              <w:ind w:left="20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(Instr. 3,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I2BF</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Earn-Out</w:t>
            </w:r>
          </w:p>
        </w:tc>
        <w:tc>
          <w:tcPr>
            <w:tcW w:w="76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(3)(4)</w:t>
            </w: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008000"/>
              </w:rPr>
              <w:t>(3)(4)</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09/21/2027</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00" w:type="dxa"/>
            <w:vAlign w:val="bottom"/>
          </w:tcPr>
          <w:p>
            <w:pPr>
              <w:ind w:left="20"/>
              <w:spacing w:after="0"/>
              <w:rPr>
                <w:sz w:val="20"/>
                <w:szCs w:val="20"/>
                <w:color w:val="auto"/>
              </w:rPr>
            </w:pPr>
            <w:r>
              <w:rPr>
                <w:rFonts w:ascii="Times New Roman" w:cs="Times New Roman" w:eastAsia="Times New Roman" w:hAnsi="Times New Roman"/>
                <w:sz w:val="17"/>
                <w:szCs w:val="17"/>
                <w:color w:val="0000FF"/>
                <w:w w:val="96"/>
              </w:rPr>
              <w:t>1,252,717</w:t>
            </w: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1,252,717</w:t>
            </w:r>
          </w:p>
        </w:tc>
        <w:tc>
          <w:tcPr>
            <w:tcW w:w="560" w:type="dxa"/>
            <w:vAlign w:val="bottom"/>
          </w:tcPr>
          <w:p>
            <w:pPr>
              <w:ind w:left="480"/>
              <w:spacing w:after="0"/>
              <w:rPr>
                <w:sz w:val="20"/>
                <w:szCs w:val="20"/>
                <w:color w:val="auto"/>
              </w:rPr>
            </w:pPr>
            <w:r>
              <w:rPr>
                <w:rFonts w:ascii="Times New Roman" w:cs="Times New Roman" w:eastAsia="Times New Roman" w:hAnsi="Times New Roman"/>
                <w:sz w:val="13"/>
                <w:szCs w:val="13"/>
                <w:color w:val="0000FF"/>
              </w:rPr>
              <w:t>I</w:t>
            </w:r>
          </w:p>
        </w:tc>
        <w:tc>
          <w:tcPr>
            <w:tcW w:w="300" w:type="dxa"/>
            <w:vAlign w:val="bottom"/>
          </w:tcPr>
          <w:p>
            <w:pPr>
              <w:spacing w:after="0"/>
              <w:rPr>
                <w:sz w:val="17"/>
                <w:szCs w:val="17"/>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Global</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Shares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gridSpan w:val="3"/>
          </w:tcPr>
          <w:p>
            <w:pPr>
              <w:ind w:left="60"/>
              <w:spacing w:after="0" w:line="91" w:lineRule="exact"/>
              <w:rPr>
                <w:sz w:val="20"/>
                <w:szCs w:val="20"/>
                <w:color w:val="auto"/>
              </w:rPr>
            </w:pPr>
            <w:r>
              <w:rPr>
                <w:rFonts w:ascii="Times New Roman" w:cs="Times New Roman" w:eastAsia="Times New Roman" w:hAnsi="Times New Roman"/>
                <w:sz w:val="10"/>
                <w:szCs w:val="10"/>
                <w:color w:val="0000FF"/>
              </w:rPr>
              <w:t>Investment</w:t>
            </w:r>
          </w:p>
        </w:tc>
        <w:tc>
          <w:tcPr>
            <w:tcW w:w="0" w:type="dxa"/>
            <w:vAlign w:val="bottom"/>
          </w:tcPr>
          <w:p>
            <w:pPr>
              <w:spacing w:after="0"/>
              <w:rPr>
                <w:sz w:val="1"/>
                <w:szCs w:val="1"/>
                <w:color w:val="auto"/>
              </w:rPr>
            </w:pPr>
          </w:p>
        </w:tc>
      </w:tr>
    </w:tbl>
    <w:p>
      <w:pPr>
        <w:ind w:left="10400"/>
        <w:spacing w:after="0"/>
        <w:rPr>
          <w:sz w:val="20"/>
          <w:szCs w:val="20"/>
          <w:color w:val="auto"/>
        </w:rPr>
      </w:pPr>
      <w:r>
        <w:rPr>
          <w:rFonts w:ascii="Times New Roman" w:cs="Times New Roman" w:eastAsia="Times New Roman" w:hAnsi="Times New Roman"/>
          <w:sz w:val="13"/>
          <w:szCs w:val="13"/>
          <w:color w:val="0000FF"/>
        </w:rPr>
        <w:t>LTD.</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w:t>
      </w:r>
    </w:p>
    <w:p>
      <w:pPr>
        <w:spacing w:after="0" w:line="41" w:lineRule="exact"/>
        <w:rPr>
          <w:rFonts w:ascii="Times New Roman" w:cs="Times New Roman" w:eastAsia="Times New Roman" w:hAnsi="Times New Roman"/>
          <w:sz w:val="13"/>
          <w:szCs w:val="13"/>
          <w:color w:val="008000"/>
        </w:rPr>
      </w:pPr>
    </w:p>
    <w:p>
      <w:pPr>
        <w:ind w:left="40" w:right="46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I2BF Global Investment Ltd. ("I2BF Global") directly owns the 4,429,505 shares reported. The Reporting Person is the sole director of I2BF Global, and may be deemed to beneficially own the shares held directly by I2BF Global.</w:t>
      </w:r>
    </w:p>
    <w:p>
      <w:pPr>
        <w:spacing w:after="0" w:line="19" w:lineRule="exact"/>
        <w:rPr>
          <w:rFonts w:ascii="Times New Roman" w:cs="Times New Roman" w:eastAsia="Times New Roman" w:hAnsi="Times New Roman"/>
          <w:sz w:val="13"/>
          <w:szCs w:val="13"/>
          <w:color w:val="008000"/>
        </w:rPr>
      </w:pPr>
    </w:p>
    <w:p>
      <w:pPr>
        <w:ind w:left="40" w:right="220"/>
        <w:spacing w:after="0" w:line="23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right to receive shares of the Issuer's common stock pursuant to the Business Combination Agreement, as defined below. The Reporting Person is entitled to receive the Earn-Out Shares as follows: one-half of the Earn-Out Shares will be issued to the Reporting Person if the volume weighted average price ("VWAP") of the Issuer common stock equals or exceeds $12.50 over 20 trading days within any 30 trading day period on or before the third anniversary of the Closing Date (as defined below), and one-half will be issued to the Reporting Person if the VWAP of the Issuer common stock equals or exceeds $15.00 over 20 trading days within any 30 trading day period on or before the fifth anniversary of the Closing Date. Pursuant to the Agreement and Plan of Merger, dated as of November 10, 2021, as amended (the "Merger Agreement"), (Continued in footnote 4)</w:t>
      </w:r>
    </w:p>
    <w:p>
      <w:pPr>
        <w:spacing w:after="0" w:line="27" w:lineRule="exact"/>
        <w:rPr>
          <w:rFonts w:ascii="Times New Roman" w:cs="Times New Roman" w:eastAsia="Times New Roman" w:hAnsi="Times New Roman"/>
          <w:sz w:val="13"/>
          <w:szCs w:val="13"/>
          <w:color w:val="008000"/>
        </w:rPr>
      </w:pPr>
    </w:p>
    <w:p>
      <w:pPr>
        <w:ind w:left="40" w:right="180"/>
        <w:spacing w:after="0" w:line="23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3) entered into by and among Ventoux CCM Acquisition Corp. (which subsequently changed its name to "Presto Automation Inc.", the "Issuer"), Ventoux Merger Sub I Inc. and Ventoux Merger Sub II LLC, each a wholly owned subsidiary of Ventoux CCM Acquisition Corp., and E La Carte, Inc. ("Old Presto"), the Issuer acquired Old Presto (the "Business Combination"). Pursuant to the terms of the Merger Agreement, each share of Old Presto common stock, option or restricted stock unit, as applicable, outstanding immediately prior to the closing of the Business Combination was entitled to receive 0.8099 shares of Issuer common stock, option, or restricted stock unit, respectively, and certain earnout shares ("Earn-Out Shares"). The Business Combination closed on September 21, 2022 (the "Closing Date").</w:t>
      </w:r>
    </w:p>
    <w:p>
      <w:pPr>
        <w:spacing w:after="0" w:line="3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Ilya Golubovich</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03/10/2023</w:t>
            </w:r>
          </w:p>
        </w:tc>
      </w:tr>
      <w:tr>
        <w:trPr>
          <w:trHeight w:val="20"/>
        </w:trPr>
        <w:tc>
          <w:tcPr>
            <w:tcW w:w="12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07104" TargetMode="External"/><Relationship Id="rId13" Type="http://schemas.openxmlformats.org/officeDocument/2006/relationships/hyperlink" Target="http://www.sec.gov/cgi-bin/browse-edgar?action=getcompany&amp;CIK=00018221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2023-03-10T18:56:22Z</dcterms:created>
  <dcterms:modified xsi:type="dcterms:W3CDTF">2023-03-10T18:56:22Z</dcterms:modified>
</cp:coreProperties>
</file>