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FORM 8-K</w:t>
      </w:r>
    </w:p>
    <w:p>
      <w:pPr>
        <w:spacing w:after="0" w:line="117"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SECURITIES EXCHANGE ACT OF 1934</w:t>
      </w:r>
    </w:p>
    <w:p>
      <w:pPr>
        <w:spacing w:after="0" w:line="103"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Date of Report (Date of earliest event reported): May 18, 2023</w:t>
      </w:r>
    </w:p>
    <w:p>
      <w:pPr>
        <w:spacing w:after="0" w:line="113"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12"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gridSpan w:val="2"/>
          </w:tcPr>
          <w:p>
            <w:pPr>
              <w:jc w:val="right"/>
              <w:ind w:right="930"/>
              <w:spacing w:after="0"/>
              <w:rPr>
                <w:sz w:val="20"/>
                <w:szCs w:val="20"/>
                <w:color w:val="auto"/>
              </w:rPr>
            </w:pPr>
            <w:r>
              <w:rPr>
                <w:rFonts w:ascii="Arial" w:cs="Arial" w:eastAsia="Arial" w:hAnsi="Arial"/>
                <w:sz w:val="18"/>
                <w:szCs w:val="18"/>
                <w:b w:val="1"/>
                <w:bCs w:val="1"/>
                <w:color w:val="auto"/>
              </w:rPr>
              <w:t>001-39830</w:t>
            </w:r>
          </w:p>
        </w:tc>
        <w:tc>
          <w:tcPr>
            <w:tcW w:w="30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1"/>
              </w:rPr>
              <w:t>84-2968594</w:t>
            </w:r>
          </w:p>
        </w:tc>
      </w:tr>
      <w:tr>
        <w:trPr>
          <w:trHeight w:val="195"/>
        </w:trPr>
        <w:tc>
          <w:tcPr>
            <w:tcW w:w="2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w:t>
            </w:r>
          </w:p>
        </w:tc>
        <w:tc>
          <w:tcPr>
            <w:tcW w:w="20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2840" w:type="dxa"/>
            <w:vAlign w:val="bottom"/>
          </w:tcPr>
          <w:p>
            <w:pPr>
              <w:jc w:val="center"/>
              <w:spacing w:after="0"/>
              <w:rPr>
                <w:sz w:val="20"/>
                <w:szCs w:val="20"/>
                <w:color w:val="auto"/>
              </w:rPr>
            </w:pPr>
            <w:r>
              <w:rPr>
                <w:rFonts w:ascii="Arial" w:cs="Arial" w:eastAsia="Arial" w:hAnsi="Arial"/>
                <w:sz w:val="18"/>
                <w:szCs w:val="18"/>
                <w:color w:val="auto"/>
                <w:w w:val="93"/>
              </w:rPr>
              <w:t>of incorporation)</w:t>
            </w:r>
          </w:p>
        </w:tc>
        <w:tc>
          <w:tcPr>
            <w:tcW w:w="2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985 Industrial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Carlos, CA 94070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9" w:lineRule="exact"/>
        <w:rPr>
          <w:sz w:val="24"/>
          <w:szCs w:val="24"/>
          <w:color w:val="auto"/>
        </w:rPr>
      </w:pPr>
    </w:p>
    <w:p>
      <w:pPr>
        <w:ind w:left="2040"/>
        <w:spacing w:after="0"/>
        <w:rPr>
          <w:sz w:val="20"/>
          <w:szCs w:val="20"/>
          <w:color w:val="auto"/>
        </w:rPr>
      </w:pPr>
      <w:r>
        <w:rPr>
          <w:rFonts w:ascii="Arial" w:cs="Arial" w:eastAsia="Arial" w:hAnsi="Arial"/>
          <w:sz w:val="18"/>
          <w:szCs w:val="18"/>
          <w:color w:val="auto"/>
        </w:rPr>
        <w:t>Registrant’s telephone number, including area code</w:t>
      </w:r>
      <w:r>
        <w:rPr>
          <w:rFonts w:ascii="Arial" w:cs="Arial" w:eastAsia="Arial" w:hAnsi="Arial"/>
          <w:sz w:val="18"/>
          <w:szCs w:val="18"/>
          <w:b w:val="1"/>
          <w:bCs w:val="1"/>
          <w:color w:val="auto"/>
        </w:rPr>
        <w:t>: (650) 817-9012</w:t>
      </w:r>
    </w:p>
    <w:p>
      <w:pPr>
        <w:spacing w:after="0" w:line="117"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3"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8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0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3140" w:type="dxa"/>
            <w:vAlign w:val="bottom"/>
          </w:tcPr>
          <w:p>
            <w:pPr>
              <w:jc w:val="center"/>
              <w:spacing w:after="0" w:line="195" w:lineRule="exact"/>
              <w:rPr>
                <w:sz w:val="20"/>
                <w:szCs w:val="20"/>
                <w:color w:val="auto"/>
              </w:rPr>
            </w:pPr>
            <w:r>
              <w:rPr>
                <w:rFonts w:ascii="Arial" w:cs="Arial" w:eastAsia="Arial" w:hAnsi="Arial"/>
                <w:sz w:val="18"/>
                <w:szCs w:val="18"/>
                <w:color w:val="auto"/>
                <w:w w:val="90"/>
              </w:rPr>
              <w:t>Common stock, par value $0.0001 per</w:t>
            </w:r>
          </w:p>
        </w:tc>
        <w:tc>
          <w:tcPr>
            <w:tcW w:w="180" w:type="dxa"/>
            <w:vAlign w:val="bottom"/>
          </w:tcPr>
          <w:p>
            <w:pPr>
              <w:spacing w:after="0"/>
              <w:rPr>
                <w:sz w:val="16"/>
                <w:szCs w:val="16"/>
                <w:color w:val="auto"/>
              </w:rPr>
            </w:pPr>
          </w:p>
        </w:tc>
        <w:tc>
          <w:tcPr>
            <w:tcW w:w="2700" w:type="dxa"/>
            <w:vAlign w:val="bottom"/>
          </w:tcPr>
          <w:p>
            <w:pPr>
              <w:jc w:val="center"/>
              <w:spacing w:after="0" w:line="195" w:lineRule="exact"/>
              <w:rPr>
                <w:sz w:val="20"/>
                <w:szCs w:val="20"/>
                <w:color w:val="auto"/>
              </w:rPr>
            </w:pPr>
            <w:r>
              <w:rPr>
                <w:rFonts w:ascii="Arial" w:cs="Arial" w:eastAsia="Arial" w:hAnsi="Arial"/>
                <w:sz w:val="18"/>
                <w:szCs w:val="18"/>
                <w:color w:val="auto"/>
                <w:w w:val="91"/>
              </w:rPr>
              <w:t>PRST</w:t>
            </w:r>
          </w:p>
        </w:tc>
        <w:tc>
          <w:tcPr>
            <w:tcW w:w="200" w:type="dxa"/>
            <w:vAlign w:val="bottom"/>
          </w:tcPr>
          <w:p>
            <w:pPr>
              <w:spacing w:after="0"/>
              <w:rPr>
                <w:sz w:val="16"/>
                <w:szCs w:val="16"/>
                <w:color w:val="auto"/>
              </w:rPr>
            </w:pPr>
          </w:p>
        </w:tc>
        <w:tc>
          <w:tcPr>
            <w:tcW w:w="2700" w:type="dxa"/>
            <w:vAlign w:val="bottom"/>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140" w:type="dxa"/>
            <w:vAlign w:val="bottom"/>
          </w:tcPr>
          <w:p>
            <w:pPr>
              <w:jc w:val="center"/>
              <w:spacing w:after="0"/>
              <w:rPr>
                <w:sz w:val="20"/>
                <w:szCs w:val="20"/>
                <w:color w:val="auto"/>
              </w:rPr>
            </w:pPr>
            <w:r>
              <w:rPr>
                <w:rFonts w:ascii="Arial" w:cs="Arial" w:eastAsia="Arial" w:hAnsi="Arial"/>
                <w:sz w:val="18"/>
                <w:szCs w:val="18"/>
                <w:color w:val="auto"/>
                <w:w w:val="84"/>
              </w:rPr>
              <w:t>share</w:t>
            </w:r>
          </w:p>
        </w:tc>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3140" w:type="dxa"/>
            <w:vAlign w:val="bottom"/>
          </w:tcPr>
          <w:p>
            <w:pPr>
              <w:jc w:val="center"/>
              <w:spacing w:after="0"/>
              <w:rPr>
                <w:sz w:val="20"/>
                <w:szCs w:val="20"/>
                <w:color w:val="auto"/>
              </w:rPr>
            </w:pPr>
            <w:r>
              <w:rPr>
                <w:rFonts w:ascii="Arial" w:cs="Arial" w:eastAsia="Arial" w:hAnsi="Arial"/>
                <w:sz w:val="18"/>
                <w:szCs w:val="18"/>
                <w:color w:val="auto"/>
                <w:w w:val="89"/>
              </w:rPr>
              <w:t>Warrants, each whole warrant exercisable</w:t>
            </w:r>
          </w:p>
        </w:tc>
        <w:tc>
          <w:tcPr>
            <w:tcW w:w="1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2"/>
              </w:rPr>
              <w:t>PRSTW</w:t>
            </w:r>
          </w:p>
        </w:tc>
        <w:tc>
          <w:tcPr>
            <w:tcW w:w="2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140" w:type="dxa"/>
            <w:vAlign w:val="bottom"/>
          </w:tcPr>
          <w:p>
            <w:pPr>
              <w:jc w:val="center"/>
              <w:spacing w:after="0"/>
              <w:rPr>
                <w:sz w:val="20"/>
                <w:szCs w:val="20"/>
                <w:color w:val="auto"/>
              </w:rPr>
            </w:pPr>
            <w:r>
              <w:rPr>
                <w:rFonts w:ascii="Arial" w:cs="Arial" w:eastAsia="Arial" w:hAnsi="Arial"/>
                <w:sz w:val="18"/>
                <w:szCs w:val="18"/>
                <w:color w:val="auto"/>
                <w:w w:val="90"/>
              </w:rPr>
              <w:t>for one share of common stock</w:t>
            </w: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r>
    </w:tbl>
    <w:p>
      <w:pPr>
        <w:spacing w:after="0" w:line="107" w:lineRule="exact"/>
        <w:rPr>
          <w:sz w:val="24"/>
          <w:szCs w:val="24"/>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3" w:lineRule="exact"/>
        <w:rPr>
          <w:sz w:val="24"/>
          <w:szCs w:val="24"/>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55" w:lineRule="exact"/>
        <w:rPr>
          <w:rFonts w:ascii="MS PGothic" w:cs="MS PGothic" w:eastAsia="MS PGothic" w:hAnsi="MS PGothic"/>
          <w:sz w:val="17"/>
          <w:szCs w:val="17"/>
          <w:color w:val="auto"/>
        </w:rPr>
      </w:pPr>
    </w:p>
    <w:p>
      <w:pPr>
        <w:ind w:left="380" w:hanging="325"/>
        <w:spacing w:after="0"/>
        <w:tabs>
          <w:tab w:leader="none" w:pos="3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37" w:lineRule="exact"/>
        <w:rPr>
          <w:sz w:val="24"/>
          <w:szCs w:val="24"/>
          <w:color w:val="auto"/>
        </w:rPr>
      </w:pPr>
    </w:p>
    <w:p>
      <w:pPr>
        <w:jc w:val="both"/>
        <w:ind w:left="60" w:right="59"/>
        <w:spacing w:after="0" w:line="32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jc w:val="both"/>
        <w:ind w:left="60" w:right="59" w:firstLine="324"/>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480695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60960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103505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8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On May 18, 2023, Presto Automation Inc. (the “Company”) issued a press release announcing the Company’s financial results for the quarter ended March 31, 2023.</w:t>
      </w:r>
    </w:p>
    <w:p>
      <w:pPr>
        <w:spacing w:after="0" w:line="143"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 copy of the Company’s press release is attached hereto as Exhibit 99.1 and is hereby incorporated by reference in this Item 2.02. The information and exhibit contained in this Item 2.02 is being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3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 Exhibits.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8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80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ind w:left="20"/>
              <w:spacing w:after="0" w:line="169" w:lineRule="exact"/>
              <w:rPr>
                <w:sz w:val="20"/>
                <w:szCs w:val="20"/>
                <w:color w:val="auto"/>
              </w:rPr>
            </w:pPr>
            <w:r>
              <w:rPr>
                <w:rFonts w:ascii="Arial" w:cs="Arial" w:eastAsia="Arial" w:hAnsi="Arial"/>
                <w:sz w:val="18"/>
                <w:szCs w:val="18"/>
                <w:color w:val="auto"/>
              </w:rPr>
              <w:t>99.1</w:t>
            </w:r>
          </w:p>
        </w:tc>
        <w:tc>
          <w:tcPr>
            <w:tcW w:w="140" w:type="dxa"/>
            <w:vAlign w:val="bottom"/>
          </w:tcPr>
          <w:p>
            <w:pPr>
              <w:spacing w:after="0"/>
              <w:rPr>
                <w:sz w:val="14"/>
                <w:szCs w:val="14"/>
                <w:color w:val="auto"/>
              </w:rPr>
            </w:pPr>
          </w:p>
        </w:tc>
        <w:tc>
          <w:tcPr>
            <w:tcW w:w="8000" w:type="dxa"/>
            <w:vAlign w:val="bottom"/>
            <w:gridSpan w:val="2"/>
          </w:tcPr>
          <w:p>
            <w:pPr>
              <w:spacing w:after="0" w:line="169" w:lineRule="exact"/>
              <w:rPr>
                <w:sz w:val="20"/>
                <w:szCs w:val="20"/>
                <w:color w:val="auto"/>
              </w:rPr>
            </w:pPr>
            <w:r>
              <w:rPr>
                <w:rFonts w:ascii="Arial" w:cs="Arial" w:eastAsia="Arial" w:hAnsi="Arial"/>
                <w:sz w:val="18"/>
                <w:szCs w:val="18"/>
                <w:color w:val="0000EE"/>
              </w:rPr>
              <w:t>Press Release, dated May 18, 2023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 the Inline XBRL document)</w:t>
            </w:r>
          </w:p>
        </w:tc>
        <w:tc>
          <w:tcPr>
            <w:tcW w:w="0" w:type="dxa"/>
            <w:vAlign w:val="bottom"/>
          </w:tcPr>
          <w:p>
            <w:pPr>
              <w:spacing w:after="0"/>
              <w:rPr>
                <w:sz w:val="1"/>
                <w:szCs w:val="1"/>
                <w:color w:val="auto"/>
              </w:rPr>
            </w:pPr>
          </w:p>
        </w:tc>
      </w:tr>
      <w:tr>
        <w:trPr>
          <w:trHeight w:val="1829"/>
        </w:trPr>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5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Ashish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263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Ashish Gupta</w:t>
      </w:r>
    </w:p>
    <w:p>
      <w:pPr>
        <w:spacing w:after="0" w:line="23" w:lineRule="exact"/>
        <w:rPr>
          <w:sz w:val="20"/>
          <w:szCs w:val="20"/>
          <w:color w:val="auto"/>
        </w:rPr>
      </w:pPr>
    </w:p>
    <w:p>
      <w:pPr>
        <w:ind w:left="4820"/>
        <w:spacing w:after="0"/>
        <w:tabs>
          <w:tab w:leader="none" w:pos="5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Principal Financial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May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648970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ind w:left="7760"/>
        <w:spacing w:after="0"/>
        <w:rPr>
          <w:sz w:val="20"/>
          <w:szCs w:val="20"/>
          <w:color w:val="auto"/>
        </w:rPr>
      </w:pPr>
      <w:r>
        <w:rPr>
          <w:rFonts w:ascii="Arial" w:cs="Arial" w:eastAsia="Arial" w:hAnsi="Arial"/>
          <w:sz w:val="21"/>
          <w:szCs w:val="21"/>
          <w:b w:val="1"/>
          <w:bCs w:val="1"/>
          <w:color w:val="auto"/>
        </w:rPr>
        <w:t>Exhibit 99.1</w:t>
      </w:r>
    </w:p>
    <w:p>
      <w:pPr>
        <w:spacing w:after="0" w:line="326" w:lineRule="exact"/>
        <w:rPr>
          <w:sz w:val="20"/>
          <w:szCs w:val="20"/>
          <w:color w:val="auto"/>
        </w:rPr>
      </w:pPr>
    </w:p>
    <w:p>
      <w:pPr>
        <w:jc w:val="center"/>
        <w:ind w:left="60" w:right="79"/>
        <w:spacing w:after="0" w:line="245" w:lineRule="auto"/>
        <w:rPr>
          <w:sz w:val="20"/>
          <w:szCs w:val="20"/>
          <w:color w:val="auto"/>
        </w:rPr>
      </w:pPr>
      <w:r>
        <w:rPr>
          <w:rFonts w:ascii="Arial" w:cs="Arial" w:eastAsia="Arial" w:hAnsi="Arial"/>
          <w:sz w:val="22"/>
          <w:szCs w:val="22"/>
          <w:b w:val="1"/>
          <w:bCs w:val="1"/>
          <w:color w:val="auto"/>
        </w:rPr>
        <w:t xml:space="preserve">Presto Announces Fiscal Third Quarter 2023 Financial Results </w:t>
      </w:r>
      <w:r>
        <w:rPr>
          <w:rFonts w:ascii="Arial" w:cs="Arial" w:eastAsia="Arial" w:hAnsi="Arial"/>
          <w:sz w:val="22"/>
          <w:szCs w:val="22"/>
          <w:i w:val="1"/>
          <w:iCs w:val="1"/>
          <w:color w:val="auto"/>
        </w:rPr>
        <w:t>Continues Momentum of Drive-Thru Voice AI Automation by Adding Hardees and Carl’s Jr. as Customers</w:t>
      </w:r>
    </w:p>
    <w:p>
      <w:pPr>
        <w:spacing w:after="0" w:line="197"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22"/>
          <w:szCs w:val="22"/>
          <w:b w:val="1"/>
          <w:bCs w:val="1"/>
          <w:color w:val="auto"/>
        </w:rPr>
        <w:t xml:space="preserve">SAN CARLOS, CA - May 18, 2023 - </w:t>
      </w:r>
      <w:r>
        <w:rPr>
          <w:rFonts w:ascii="Arial" w:cs="Arial" w:eastAsia="Arial" w:hAnsi="Arial"/>
          <w:sz w:val="22"/>
          <w:szCs w:val="22"/>
          <w:u w:val="single" w:color="auto"/>
          <w:color w:val="1155CC"/>
        </w:rPr>
        <w:t>Presto Automation Inc.</w:t>
      </w:r>
      <w:r>
        <w:rPr>
          <w:rFonts w:ascii="Arial" w:cs="Arial" w:eastAsia="Arial" w:hAnsi="Arial"/>
          <w:sz w:val="22"/>
          <w:szCs w:val="22"/>
          <w:b w:val="1"/>
          <w:bCs w:val="1"/>
          <w:color w:val="auto"/>
        </w:rPr>
        <w:t xml:space="preserve"> </w:t>
      </w:r>
      <w:r>
        <w:rPr>
          <w:rFonts w:ascii="Arial" w:cs="Arial" w:eastAsia="Arial" w:hAnsi="Arial"/>
          <w:sz w:val="22"/>
          <w:szCs w:val="22"/>
          <w:color w:val="1D1C1D"/>
        </w:rPr>
        <w:t>(NASDAQ:</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1155CC"/>
        </w:rPr>
        <w:t>PRST</w:t>
      </w:r>
      <w:r>
        <w:rPr>
          <w:rFonts w:ascii="Arial" w:cs="Arial" w:eastAsia="Arial" w:hAnsi="Arial"/>
          <w:sz w:val="22"/>
          <w:szCs w:val="22"/>
          <w:color w:val="1D1C1D"/>
        </w:rPr>
        <w:t>), one of the</w:t>
      </w:r>
      <w:r>
        <w:rPr>
          <w:rFonts w:ascii="Arial" w:cs="Arial" w:eastAsia="Arial" w:hAnsi="Arial"/>
          <w:sz w:val="22"/>
          <w:szCs w:val="22"/>
          <w:b w:val="1"/>
          <w:bCs w:val="1"/>
          <w:color w:val="auto"/>
        </w:rPr>
        <w:t xml:space="preserve"> </w:t>
      </w:r>
      <w:r>
        <w:rPr>
          <w:rFonts w:ascii="Arial" w:cs="Arial" w:eastAsia="Arial" w:hAnsi="Arial"/>
          <w:sz w:val="22"/>
          <w:szCs w:val="22"/>
          <w:color w:val="1D1C1D"/>
        </w:rPr>
        <w:t xml:space="preserve">largest drive-thru automation technology providers in the hospitality industry, today announced </w:t>
      </w:r>
      <w:r>
        <w:rPr>
          <w:rFonts w:ascii="Arial" w:cs="Arial" w:eastAsia="Arial" w:hAnsi="Arial"/>
          <w:sz w:val="22"/>
          <w:szCs w:val="22"/>
          <w:color w:val="000000"/>
        </w:rPr>
        <w:t>financial results for the fiscal third quarter ended March 31, 2023.</w:t>
      </w:r>
    </w:p>
    <w:p>
      <w:pPr>
        <w:spacing w:after="0" w:line="180"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22"/>
          <w:szCs w:val="22"/>
          <w:color w:val="auto"/>
        </w:rPr>
        <w:t>“We believe this is an inflection point for the drive-thru automation market and we continue to increasingly focus our attention on the Voice segment of our business, including the announcement of our partnership with CKE Restaurants for participating drive-thrus nationwide to use our Presto Voice product,” said Krishna Gupta, interim CEO at Presto. “Our customers are learning about the revenue and efficiency benefits that Presto Voice can provide and that Voice AI in the drive-thru is not a futuristic application of AI, it is immediately actionable. We are the market leader in this segment and are investing meaningfully behind it.”</w:t>
      </w:r>
    </w:p>
    <w:p>
      <w:pPr>
        <w:spacing w:after="0" w:line="18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22"/>
          <w:szCs w:val="22"/>
          <w:color w:val="auto"/>
        </w:rPr>
        <w:t>“The Voice segment builds on our existing focus on labor automation and driving more revenue to our customers using Presto Touch, which is centered around our new Flex product that several of our enterprise partners are in the process of testing,” continued Gupta. “Our revenue decline in the quarter is due to the amortization of legacy contracts, but we are looking to upgrade our customers to our new product and expect to see the financial benefits from our new partnership in the future</w:t>
      </w:r>
      <w:r>
        <w:rPr>
          <w:rFonts w:ascii="Arial" w:cs="Arial" w:eastAsia="Arial" w:hAnsi="Arial"/>
          <w:sz w:val="14"/>
          <w:szCs w:val="14"/>
          <w:color w:val="auto"/>
        </w:rPr>
        <w: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Fiscal Third Quarter 2023 Financial Highlights</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22"/>
          <w:szCs w:val="22"/>
          <w:color w:val="auto"/>
        </w:rPr>
        <w:t>For the fiscal third quarter of 2023, compared to the fiscal third quarter of 2022:</w:t>
      </w:r>
    </w:p>
    <w:p>
      <w:pPr>
        <w:spacing w:after="0" w:line="23" w:lineRule="exact"/>
        <w:rPr>
          <w:sz w:val="20"/>
          <w:szCs w:val="20"/>
          <w:color w:val="auto"/>
        </w:rPr>
      </w:pPr>
    </w:p>
    <w:p>
      <w:pPr>
        <w:ind w:left="700" w:hanging="326"/>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Total revenue </w:t>
      </w:r>
      <w:r>
        <w:rPr>
          <w:rFonts w:ascii="Arial" w:cs="Arial" w:eastAsia="Arial" w:hAnsi="Arial"/>
          <w:sz w:val="22"/>
          <w:szCs w:val="22"/>
          <w:color w:val="auto"/>
        </w:rPr>
        <w:t>was $6.6 million down 12.0% compared to $7.5 million for 2022.</w:t>
      </w:r>
    </w:p>
    <w:p>
      <w:pPr>
        <w:spacing w:after="0" w:line="33" w:lineRule="exact"/>
        <w:rPr>
          <w:rFonts w:ascii="Arial" w:cs="Arial" w:eastAsia="Arial" w:hAnsi="Arial"/>
          <w:sz w:val="22"/>
          <w:szCs w:val="22"/>
          <w:color w:val="auto"/>
        </w:rPr>
      </w:pPr>
    </w:p>
    <w:p>
      <w:pPr>
        <w:ind w:left="700" w:hanging="326"/>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Total ARR </w:t>
      </w:r>
      <w:r>
        <w:rPr>
          <w:rFonts w:ascii="Arial" w:cs="Arial" w:eastAsia="Arial" w:hAnsi="Arial"/>
          <w:sz w:val="22"/>
          <w:szCs w:val="22"/>
          <w:color w:val="auto"/>
        </w:rPr>
        <w:t>was $26.4 million, a decrease of 12.0% year-over-year.</w:t>
      </w:r>
    </w:p>
    <w:p>
      <w:pPr>
        <w:spacing w:after="0" w:line="44" w:lineRule="exact"/>
        <w:rPr>
          <w:rFonts w:ascii="Arial" w:cs="Arial" w:eastAsia="Arial" w:hAnsi="Arial"/>
          <w:sz w:val="22"/>
          <w:szCs w:val="22"/>
          <w:color w:val="auto"/>
        </w:rPr>
      </w:pPr>
    </w:p>
    <w:p>
      <w:pPr>
        <w:jc w:val="both"/>
        <w:ind w:left="700" w:right="59" w:hanging="326"/>
        <w:spacing w:after="0" w:line="280" w:lineRule="auto"/>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Net loss </w:t>
      </w:r>
      <w:r>
        <w:rPr>
          <w:rFonts w:ascii="Arial" w:cs="Arial" w:eastAsia="Arial" w:hAnsi="Arial"/>
          <w:sz w:val="22"/>
          <w:szCs w:val="22"/>
          <w:color w:val="auto"/>
        </w:rPr>
        <w:t>was $(15.7) million, compared to net income $9.0 million for 2022. Of the</w:t>
      </w:r>
      <w:r>
        <w:rPr>
          <w:rFonts w:ascii="Arial" w:cs="Arial" w:eastAsia="Arial" w:hAnsi="Arial"/>
          <w:sz w:val="22"/>
          <w:szCs w:val="22"/>
          <w:b w:val="1"/>
          <w:bCs w:val="1"/>
          <w:color w:val="auto"/>
        </w:rPr>
        <w:t xml:space="preserve"> </w:t>
      </w:r>
      <w:r>
        <w:rPr>
          <w:rFonts w:ascii="Arial" w:cs="Arial" w:eastAsia="Arial" w:hAnsi="Arial"/>
          <w:sz w:val="22"/>
          <w:szCs w:val="22"/>
          <w:color w:val="auto"/>
        </w:rPr>
        <w:t>$25 million change, $21 million was due to a change in the fair value of warrant liabilities and convertible promissory notes and non-cash stock compensation.</w:t>
      </w:r>
    </w:p>
    <w:p>
      <w:pPr>
        <w:spacing w:after="0" w:line="1" w:lineRule="exact"/>
        <w:rPr>
          <w:rFonts w:ascii="Arial" w:cs="Arial" w:eastAsia="Arial" w:hAnsi="Arial"/>
          <w:sz w:val="22"/>
          <w:szCs w:val="22"/>
          <w:color w:val="auto"/>
        </w:rPr>
      </w:pPr>
    </w:p>
    <w:p>
      <w:pPr>
        <w:ind w:left="700" w:right="59" w:hanging="326"/>
        <w:spacing w:after="0" w:line="299" w:lineRule="auto"/>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Adjusted EBITDA* </w:t>
      </w:r>
      <w:r>
        <w:rPr>
          <w:rFonts w:ascii="Arial" w:cs="Arial" w:eastAsia="Arial" w:hAnsi="Arial"/>
          <w:sz w:val="22"/>
          <w:szCs w:val="22"/>
          <w:color w:val="auto"/>
        </w:rPr>
        <w:t>was a loss of $(9.3) million for 2023, compared to a loss of $(7.1)</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for 2022.</w:t>
      </w:r>
    </w:p>
    <w:p>
      <w:pPr>
        <w:spacing w:after="0" w:line="180" w:lineRule="exact"/>
        <w:rPr>
          <w:sz w:val="20"/>
          <w:szCs w:val="20"/>
          <w:color w:val="auto"/>
        </w:rPr>
      </w:pPr>
    </w:p>
    <w:p>
      <w:pPr>
        <w:ind w:left="60" w:right="59"/>
        <w:spacing w:after="0" w:line="267" w:lineRule="auto"/>
        <w:rPr>
          <w:sz w:val="20"/>
          <w:szCs w:val="20"/>
          <w:color w:val="auto"/>
        </w:rPr>
      </w:pPr>
      <w:r>
        <w:rPr>
          <w:rFonts w:ascii="Arial" w:cs="Arial" w:eastAsia="Arial" w:hAnsi="Arial"/>
          <w:sz w:val="18"/>
          <w:szCs w:val="18"/>
          <w:i w:val="1"/>
          <w:iCs w:val="1"/>
          <w:color w:val="auto"/>
        </w:rPr>
        <w:t>*Adjusted EBITDA is a non-GAAP financial measure defined under “Non-GAAP Financial Measures,” and is reconciled to net income, the closest comparable GAAP measure, at the end of this release.</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Business Highlights</w:t>
      </w:r>
    </w:p>
    <w:p>
      <w:pPr>
        <w:spacing w:after="0" w:line="270" w:lineRule="exact"/>
        <w:rPr>
          <w:sz w:val="20"/>
          <w:szCs w:val="20"/>
          <w:color w:val="auto"/>
        </w:rPr>
      </w:pPr>
    </w:p>
    <w:p>
      <w:pPr>
        <w:jc w:val="both"/>
        <w:ind w:left="700" w:right="59" w:hanging="326"/>
        <w:spacing w:after="0" w:line="288" w:lineRule="auto"/>
        <w:tabs>
          <w:tab w:leader="none" w:pos="700" w:val="left"/>
        </w:tabs>
        <w:numPr>
          <w:ilvl w:val="0"/>
          <w:numId w:val="3"/>
        </w:numPr>
        <w:rPr>
          <w:rFonts w:ascii="Arial" w:cs="Arial" w:eastAsia="Arial" w:hAnsi="Arial"/>
          <w:sz w:val="22"/>
          <w:szCs w:val="22"/>
          <w:color w:val="1D1C1D"/>
        </w:rPr>
      </w:pPr>
      <w:r>
        <w:rPr>
          <w:rFonts w:ascii="Arial" w:cs="Arial" w:eastAsia="Arial" w:hAnsi="Arial"/>
          <w:sz w:val="22"/>
          <w:szCs w:val="22"/>
          <w:color w:val="1D1C1D"/>
        </w:rPr>
        <w:t>Expanded partnership with CKE Restaurants Holdings, Inc., the parent company of the iconic Carl's Jr. and Hardee's brands. Presto will be rolling out its AI powered solution, Presto Voice™, to automate voice ordering at participating CKE drive-thrus nationwide.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323215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4" w:name="page5"/>
    <w:bookmarkEnd w:id="4"/>
    <w:p>
      <w:pPr>
        <w:ind w:left="700" w:right="59" w:hanging="326"/>
        <w:spacing w:after="0" w:line="303" w:lineRule="auto"/>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1D1C1D"/>
        </w:rPr>
        <w:t>Announced a collaboration with OpenAI, an AI research and deployment company, to drive greater innovation around Presto’s drive-thru AI voice assistant.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Financial Outlook Update</w:t>
      </w:r>
    </w:p>
    <w:p>
      <w:pPr>
        <w:spacing w:after="0" w:line="244" w:lineRule="exact"/>
        <w:rPr>
          <w:sz w:val="20"/>
          <w:szCs w:val="20"/>
          <w:color w:val="auto"/>
        </w:rPr>
      </w:pPr>
    </w:p>
    <w:p>
      <w:pPr>
        <w:jc w:val="both"/>
        <w:ind w:left="60" w:right="59"/>
        <w:spacing w:after="0"/>
        <w:rPr>
          <w:sz w:val="20"/>
          <w:szCs w:val="20"/>
          <w:color w:val="auto"/>
        </w:rPr>
      </w:pPr>
      <w:r>
        <w:rPr>
          <w:rFonts w:ascii="Arial" w:cs="Arial" w:eastAsia="Arial" w:hAnsi="Arial"/>
          <w:sz w:val="22"/>
          <w:szCs w:val="22"/>
          <w:color w:val="161922"/>
        </w:rPr>
        <w:t>Presto expects total revenue for the fiscal year 2023 to be in the range of $26 million to $28 million. The revision is due to updated assumptions impacting the accounting treatment of a single customer contract. This non-cash change is not material to commercial operations.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161922"/>
        </w:rPr>
        <w:t>Presto Automation, Inc Fiscal Third Quarter 2023 Conference Call Details</w:t>
      </w:r>
    </w:p>
    <w:p>
      <w:pPr>
        <w:sectPr>
          <w:pgSz w:w="11900" w:h="16838" w:orient="portrait"/>
          <w:cols w:equalWidth="0" w:num="1">
            <w:col w:w="9019"/>
          </w:cols>
          <w:pgMar w:left="1440" w:top="144" w:right="1440" w:bottom="1440" w:gutter="0" w:footer="0" w:header="0"/>
        </w:sectPr>
      </w:pPr>
    </w:p>
    <w:p>
      <w:pPr>
        <w:spacing w:after="0" w:line="243" w:lineRule="exact"/>
        <w:rPr>
          <w:sz w:val="20"/>
          <w:szCs w:val="20"/>
          <w:color w:val="auto"/>
        </w:rPr>
      </w:pPr>
    </w:p>
    <w:p>
      <w:pPr>
        <w:ind w:left="60"/>
        <w:spacing w:after="0"/>
        <w:rPr>
          <w:sz w:val="20"/>
          <w:szCs w:val="20"/>
          <w:color w:val="auto"/>
        </w:rPr>
      </w:pPr>
      <w:r>
        <w:rPr>
          <w:rFonts w:ascii="Arial" w:cs="Arial" w:eastAsia="Arial" w:hAnsi="Arial"/>
          <w:sz w:val="22"/>
          <w:szCs w:val="22"/>
          <w:color w:val="161922"/>
        </w:rPr>
        <w:t>Date:</w:t>
      </w:r>
    </w:p>
    <w:p>
      <w:pPr>
        <w:ind w:left="60"/>
        <w:spacing w:after="0" w:line="236" w:lineRule="auto"/>
        <w:rPr>
          <w:sz w:val="20"/>
          <w:szCs w:val="20"/>
          <w:color w:val="auto"/>
        </w:rPr>
      </w:pPr>
      <w:r>
        <w:rPr>
          <w:rFonts w:ascii="Arial" w:cs="Arial" w:eastAsia="Arial" w:hAnsi="Arial"/>
          <w:sz w:val="22"/>
          <w:szCs w:val="22"/>
          <w:color w:val="161922"/>
        </w:rPr>
        <w:t>Time:</w:t>
      </w:r>
    </w:p>
    <w:p>
      <w:pPr>
        <w:ind w:left="60"/>
        <w:spacing w:after="0"/>
        <w:rPr>
          <w:sz w:val="20"/>
          <w:szCs w:val="20"/>
          <w:color w:val="auto"/>
        </w:rPr>
      </w:pPr>
      <w:r>
        <w:rPr>
          <w:rFonts w:ascii="Arial" w:cs="Arial" w:eastAsia="Arial" w:hAnsi="Arial"/>
          <w:sz w:val="21"/>
          <w:szCs w:val="21"/>
          <w:color w:val="161922"/>
        </w:rPr>
        <w:t>Telco Registration: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161922"/>
        </w:rPr>
        <w:t>Thursday, May 18, 2023</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161922"/>
        </w:rPr>
        <w:t>5:00 p.m. Eastern Time (2:00 p.m. Pacific Time)</w:t>
      </w:r>
    </w:p>
    <w:p>
      <w:pPr>
        <w:spacing w:after="0" w:line="231" w:lineRule="auto"/>
        <w:rPr>
          <w:sz w:val="20"/>
          <w:szCs w:val="20"/>
          <w:color w:val="auto"/>
        </w:rPr>
      </w:pPr>
      <w:r>
        <w:rPr>
          <w:rFonts w:ascii="Arial" w:cs="Arial" w:eastAsia="Arial" w:hAnsi="Arial"/>
          <w:sz w:val="22"/>
          <w:szCs w:val="22"/>
          <w:color w:val="161922"/>
        </w:rPr>
        <w:t>You can register for the conference call at</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1155CC"/>
        </w:rPr>
        <w:t>https://investor.presto.com/news-events/events</w:t>
      </w:r>
    </w:p>
    <w:p>
      <w:pPr>
        <w:spacing w:after="0" w:line="188" w:lineRule="exact"/>
        <w:rPr>
          <w:sz w:val="20"/>
          <w:szCs w:val="20"/>
          <w:color w:val="auto"/>
        </w:rPr>
      </w:pPr>
    </w:p>
    <w:p>
      <w:pPr>
        <w:sectPr>
          <w:pgSz w:w="11900" w:h="16838" w:orient="portrait"/>
          <w:cols w:equalWidth="0" w:num="2">
            <w:col w:w="1980" w:space="720"/>
            <w:col w:w="6319"/>
          </w:cols>
          <w:pgMar w:left="1440" w:top="144" w:right="1440" w:bottom="1440" w:gutter="0" w:footer="0" w:header="0"/>
          <w:type w:val="continuous"/>
        </w:sectPr>
      </w:pPr>
    </w:p>
    <w:p>
      <w:pPr>
        <w:jc w:val="both"/>
        <w:ind w:left="60" w:right="259"/>
        <w:spacing w:after="0" w:line="241" w:lineRule="auto"/>
        <w:rPr>
          <w:sz w:val="20"/>
          <w:szCs w:val="20"/>
          <w:color w:val="auto"/>
        </w:rPr>
      </w:pPr>
      <w:r>
        <w:rPr>
          <w:rFonts w:ascii="Arial" w:cs="Arial" w:eastAsia="Arial" w:hAnsi="Arial"/>
          <w:sz w:val="22"/>
          <w:szCs w:val="22"/>
          <w:color w:val="161922"/>
        </w:rPr>
        <w:t xml:space="preserve">A live audio webcast of the event will be available on the Presto Investor Relations website, </w:t>
      </w:r>
      <w:r>
        <w:rPr>
          <w:rFonts w:ascii="Arial" w:cs="Arial" w:eastAsia="Arial" w:hAnsi="Arial"/>
          <w:sz w:val="22"/>
          <w:szCs w:val="22"/>
          <w:color w:val="1155CC"/>
        </w:rPr>
        <w:t>https://investor.presto.com/</w:t>
      </w:r>
      <w:r>
        <w:rPr>
          <w:rFonts w:ascii="Arial" w:cs="Arial" w:eastAsia="Arial" w:hAnsi="Arial"/>
          <w:sz w:val="22"/>
          <w:szCs w:val="22"/>
          <w:color w:val="161922"/>
        </w:rPr>
        <w:t>. An archived replay of the webcast also will be available shortly</w:t>
      </w:r>
      <w:r>
        <w:rPr>
          <w:rFonts w:ascii="Arial" w:cs="Arial" w:eastAsia="Arial" w:hAnsi="Arial"/>
          <w:sz w:val="22"/>
          <w:szCs w:val="22"/>
          <w:color w:val="1155CC"/>
        </w:rPr>
        <w:t xml:space="preserve"> </w:t>
      </w:r>
      <w:r>
        <w:rPr>
          <w:rFonts w:ascii="Arial" w:cs="Arial" w:eastAsia="Arial" w:hAnsi="Arial"/>
          <w:sz w:val="22"/>
          <w:szCs w:val="22"/>
          <w:color w:val="161922"/>
        </w:rPr>
        <w:t>after the live event on the Presto Investor Relations website.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161922"/>
        </w:rPr>
        <w:t>About Presto Automation Inc.</w:t>
      </w:r>
    </w:p>
    <w:p>
      <w:pPr>
        <w:spacing w:after="0" w:line="211"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22"/>
          <w:szCs w:val="22"/>
          <w:color w:val="auto"/>
        </w:rPr>
        <w:t>Presto (NASDAQ: PRST) provides enterprise-grade AI solutions for the nation’s largest hospitality brands. Our industry-leading automation and voice AI technology improves order accuracy, reduces labor costs, and increases revenue for superior drive-thru and dine-in experiences. With over $18 billion in payments processed, Presto is one of the largest labor automation technology providers in the industry. Presto is headquartered in Silicon Valley in San Carlos, California and counts among its customers some of the top 20 restaurant chains in the United States.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Non-GAAP Financial Measures and Performance Measures</w:t>
      </w:r>
    </w:p>
    <w:p>
      <w:pPr>
        <w:spacing w:after="0" w:line="243"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21"/>
          <w:szCs w:val="21"/>
          <w:color w:val="auto"/>
        </w:rPr>
        <w:t>This press release includes Adjusted EBITDA, which is a financial measure that is not calculated in accordance with Generally Accepted Accounting Principles (“GAAP”) in the United States. We believe Adjusted EBITDA is useful for comparing our financial performance to other companies and from period to period by excluding the impact of certain items that do not reflect our core operating performance, thereby providing consistency and direct comparability with our past financial performance and between fiscal periods. Adjusted EBITDA is defined as net loss, adjusted to exclude interest, other income (expense), net loss on debt extinguishment, income taxes, depreciation and amortization expense, stock-based compensation expense, fair value adjustments on warrant liabilities and convertible promissory notes, merger related ancillary costs, and hardware repair expenses related to COVID and COVID-related expenses due to damage from liquid ingress and contra-revenue associated with warrants issued in a sales transaction. We include this non-GAAP measure because it used by management to evaluate our core operating performance and trends and to make strategic decisions regarding the allocation of capital and new investments. A reconciliation of Adjusted EBITDA to its most comparable GAAP financial measure is included below under “Reconciliation from GAAP to Non-GAAP Results” at the end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341630</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 w:right="1440" w:bottom="1440" w:gutter="0" w:footer="0" w:header="0"/>
          <w:type w:val="continuous"/>
        </w:sectPr>
      </w:pPr>
    </w:p>
    <w:bookmarkStart w:id="5" w:name="page6"/>
    <w:bookmarkEnd w:id="5"/>
    <w:p>
      <w:pPr>
        <w:jc w:val="both"/>
        <w:ind w:left="60" w:right="59"/>
        <w:spacing w:after="0" w:line="235" w:lineRule="auto"/>
        <w:rPr>
          <w:sz w:val="20"/>
          <w:szCs w:val="20"/>
          <w:color w:val="auto"/>
        </w:rPr>
      </w:pPr>
      <w:r>
        <w:rPr>
          <w:rFonts w:ascii="Arial" w:cs="Arial" w:eastAsia="Arial" w:hAnsi="Arial"/>
          <w:sz w:val="22"/>
          <w:szCs w:val="22"/>
          <w:color w:val="auto"/>
        </w:rPr>
        <w:t>release.In addition, we use Annual Revenue Run-Rate, or ARR, as a key business metric to evaluate our business, identify trends, formulate business plans and make strategic decisions. We calculate ARR by annualizing quarterly revenue at the end of the fiscal quarter. Our calculation of ARR may differ from similarly titled metrics presented by other companies, and the amount of revenue we recognize over any 12-month period may differ significantly from the ARR at the beginning of that period.</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Forward Looking Statements</w:t>
      </w:r>
    </w:p>
    <w:p>
      <w:pPr>
        <w:spacing w:after="0" w:line="243"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22"/>
          <w:szCs w:val="22"/>
          <w:color w:val="auto"/>
        </w:rPr>
        <w:t>This press release contains forward-looking statements within the meaning of Section 27A of the Securities Act of 1933, as amended (the “Securities Act”), and Section 21E of the Securities Exchange Act of 1934, as amended (the “Exchange Act”). Statements that refer to projections ,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spacing w:after="0" w:line="22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21"/>
          <w:szCs w:val="21"/>
          <w:color w:val="auto"/>
        </w:rPr>
        <w:t>The forward-looking statements are based on management’s current expectations and assumptions about future events and are based on currently available information as to the outcome and timing of future events. The forward-looking statements speak only as of the date of this press release or as of the date they are made. Except as otherwise required by applicable law, Presto disclaims any duty to update any forward-looking statements, all of which are expressly qualified by the statements in this section, to reflect events or circumstances after the date of this press release. Presto cautions you that these forward-looking statements are subject to numerous risks and uncertainties, most of which are difficult to predict and many of which are beyond the control of Presto. In addition, Presto cautions you that the forward-looking statements contained in this press release are subject to the following risks and uncertainties: our ability to manage our growth effectively, to sustain our recent revenue growth or attract new customers; the limited operating history with our new Vision and Voice products in a new and developing market; our ability to achieve revenue growth while our expenses increase; continued adverse impacts from COVID-19 (including as a result of global supply chain shortages); the loss of any of our three largest customers or a reduction in their business with us; our ability to improve and enhance the functionality, performance, reliability, design, security, or scalability of our platform to respond to customers’ evolving needs; our ability to protect the security of our customers’’ information; changing privacy laws, regulations and standards, and our ability to comply with contractual obligations and laws related to data privacy and security; unfavorable conditions in the restaurant industry or the global economy, including with respect to food, labor, and occupancy costs; the availability of capital or financing on acceptable terms, if at all; financial covenants and other restrictions on our actions contained in our financing agreements that may limit our operational flexibility; the length and unpredictability of our sales cycles and the amount of investments required in sales efforts; material weaknesses in our internal control over financial reporting and, our ability to remediate these deficiencies; our ability to continue as a going concern; our ability to receive additional financing in a timely manner; shortages, price increases, changes, delays or discontinuations of hardware; our ability to maintain relationships with our payment processors; our relies on computer hardware, licensed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 w:name="page7"/>
    <w:bookmarkEnd w:id="6"/>
    <w:p>
      <w:pPr>
        <w:jc w:val="both"/>
        <w:ind w:left="60" w:right="59"/>
        <w:spacing w:after="0" w:line="233" w:lineRule="auto"/>
        <w:rPr>
          <w:sz w:val="20"/>
          <w:szCs w:val="20"/>
          <w:color w:val="auto"/>
        </w:rPr>
      </w:pPr>
      <w:r>
        <w:rPr>
          <w:rFonts w:ascii="Arial" w:cs="Arial" w:eastAsia="Arial" w:hAnsi="Arial"/>
          <w:sz w:val="22"/>
          <w:szCs w:val="22"/>
          <w:color w:val="auto"/>
        </w:rPr>
        <w:t xml:space="preserve">software and services rendered by third parties; U.S. laws and regulations (including with respect to payment transaction processing), many of which are unsettled and still developing, and our or our customers’ ability to comply with such laws and regulations; significant changes in U.S. and international trade policies that restrict imports or increase tariffs; any requirements to collect additional sales taxes or be subject to other tax liabilities that may increase the costs to our customers; our ability to adequately protect our intellectual property rights; claims by third parties of intellectual property infringement; our use of open-source software in our platform; and other economic, business, competitive and/or regulatory factors affecting Presto’s </w:t>
      </w:r>
      <w:r>
        <w:rPr>
          <w:rFonts w:ascii="Arial" w:cs="Arial" w:eastAsia="Arial" w:hAnsi="Arial"/>
          <w:sz w:val="22"/>
          <w:szCs w:val="22"/>
          <w:color w:val="auto"/>
          <w:highlight w:val="white"/>
        </w:rPr>
        <w:t>business generally as set forth in our filings with the Securities and</w:t>
      </w:r>
      <w:r>
        <w:rPr>
          <w:rFonts w:ascii="Arial" w:cs="Arial" w:eastAsia="Arial" w:hAnsi="Arial"/>
          <w:sz w:val="22"/>
          <w:szCs w:val="22"/>
          <w:color w:val="auto"/>
        </w:rPr>
        <w:t xml:space="preserve"> </w:t>
      </w:r>
      <w:r>
        <w:rPr>
          <w:rFonts w:ascii="Arial" w:cs="Arial" w:eastAsia="Arial" w:hAnsi="Arial"/>
          <w:sz w:val="22"/>
          <w:szCs w:val="22"/>
          <w:color w:val="auto"/>
          <w:highlight w:val="white"/>
        </w:rPr>
        <w:t>Exchange Commission.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Contact</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22"/>
          <w:szCs w:val="22"/>
          <w:color w:val="auto"/>
        </w:rPr>
        <w:t>Investors:</w:t>
      </w:r>
    </w:p>
    <w:p>
      <w:pPr>
        <w:ind w:left="60"/>
        <w:spacing w:after="0" w:line="236" w:lineRule="auto"/>
        <w:rPr>
          <w:sz w:val="20"/>
          <w:szCs w:val="20"/>
          <w:color w:val="auto"/>
        </w:rPr>
      </w:pPr>
      <w:r>
        <w:rPr>
          <w:rFonts w:ascii="Arial" w:cs="Arial" w:eastAsia="Arial" w:hAnsi="Arial"/>
          <w:sz w:val="22"/>
          <w:szCs w:val="22"/>
          <w:color w:val="auto"/>
        </w:rPr>
        <w:t>Adam Rogers</w:t>
      </w:r>
    </w:p>
    <w:p>
      <w:pPr>
        <w:ind w:left="60"/>
        <w:spacing w:after="0" w:line="230" w:lineRule="auto"/>
        <w:rPr>
          <w:sz w:val="20"/>
          <w:szCs w:val="20"/>
          <w:color w:val="auto"/>
        </w:rPr>
      </w:pPr>
      <w:r>
        <w:rPr>
          <w:rFonts w:ascii="Arial" w:cs="Arial" w:eastAsia="Arial" w:hAnsi="Arial"/>
          <w:sz w:val="22"/>
          <w:szCs w:val="22"/>
          <w:color w:val="auto"/>
        </w:rPr>
        <w:t>VP Investor Relations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investor@presto.com</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Media:</w:t>
      </w:r>
    </w:p>
    <w:p>
      <w:pPr>
        <w:ind w:left="60"/>
        <w:spacing w:after="0" w:line="236" w:lineRule="auto"/>
        <w:rPr>
          <w:sz w:val="20"/>
          <w:szCs w:val="20"/>
          <w:color w:val="auto"/>
        </w:rPr>
      </w:pPr>
      <w:r>
        <w:rPr>
          <w:rFonts w:ascii="Arial" w:cs="Arial" w:eastAsia="Arial" w:hAnsi="Arial"/>
          <w:sz w:val="22"/>
          <w:szCs w:val="22"/>
          <w:color w:val="auto"/>
        </w:rPr>
        <w:t>Justin Foster &amp; Brian Ruby</w:t>
      </w:r>
    </w:p>
    <w:p>
      <w:pPr>
        <w:ind w:left="60"/>
        <w:spacing w:after="0"/>
        <w:rPr>
          <w:sz w:val="20"/>
          <w:szCs w:val="20"/>
          <w:color w:val="auto"/>
        </w:rPr>
      </w:pPr>
      <w:r>
        <w:rPr>
          <w:rFonts w:ascii="Arial" w:cs="Arial" w:eastAsia="Arial" w:hAnsi="Arial"/>
          <w:sz w:val="22"/>
          <w:szCs w:val="22"/>
          <w:color w:val="auto"/>
        </w:rPr>
        <w:t>media@presto.com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478155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OPERATIONS AND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9"/>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jc w:val="right"/>
              <w:ind w:right="378"/>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ind w:right="678"/>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4500" w:type="dxa"/>
            <w:vAlign w:val="bottom"/>
          </w:tcPr>
          <w:p>
            <w:pPr>
              <w:spacing w:after="0"/>
              <w:rPr>
                <w:sz w:val="12"/>
                <w:szCs w:val="12"/>
                <w:color w:val="auto"/>
              </w:rPr>
            </w:pPr>
          </w:p>
        </w:tc>
        <w:tc>
          <w:tcPr>
            <w:tcW w:w="960" w:type="dxa"/>
            <w:vAlign w:val="bottom"/>
            <w:tcBorders>
              <w:bottom w:val="single" w:sz="8" w:color="auto"/>
            </w:tcBorders>
            <w:gridSpan w:val="3"/>
          </w:tcPr>
          <w:p>
            <w:pPr>
              <w:jc w:val="right"/>
              <w:ind w:right="239"/>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2022</w:t>
            </w:r>
          </w:p>
        </w:tc>
      </w:tr>
      <w:tr>
        <w:trPr>
          <w:trHeight w:val="19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4500" w:type="dxa"/>
            <w:vAlign w:val="bottom"/>
          </w:tcPr>
          <w:p>
            <w:pPr>
              <w:ind w:left="20"/>
              <w:spacing w:after="0"/>
              <w:rPr>
                <w:sz w:val="20"/>
                <w:szCs w:val="20"/>
                <w:color w:val="auto"/>
              </w:rPr>
            </w:pPr>
            <w:r>
              <w:rPr>
                <w:rFonts w:ascii="Arial" w:cs="Arial" w:eastAsia="Arial" w:hAnsi="Arial"/>
                <w:sz w:val="16"/>
                <w:szCs w:val="16"/>
                <w:color w:val="auto"/>
              </w:rPr>
              <w:t>Platform</w:t>
            </w:r>
          </w:p>
        </w:tc>
        <w:tc>
          <w:tcPr>
            <w:tcW w:w="300" w:type="dxa"/>
            <w:vAlign w:val="bottom"/>
          </w:tcPr>
          <w:p>
            <w:pPr>
              <w:jc w:val="right"/>
              <w:ind w:right="140"/>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3,088</w:t>
            </w:r>
          </w:p>
        </w:tc>
        <w:tc>
          <w:tcPr>
            <w:tcW w:w="3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5,083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11,617</w:t>
            </w:r>
          </w:p>
        </w:tc>
        <w:tc>
          <w:tcPr>
            <w:tcW w:w="80" w:type="dxa"/>
            <w:vAlign w:val="bottom"/>
          </w:tcPr>
          <w:p>
            <w:pPr>
              <w:spacing w:after="0"/>
              <w:rPr>
                <w:sz w:val="17"/>
                <w:szCs w:val="17"/>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14,754</w:t>
            </w:r>
          </w:p>
        </w:tc>
      </w:tr>
      <w:tr>
        <w:trPr>
          <w:trHeight w:val="203"/>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Transaction</w:t>
            </w:r>
          </w:p>
        </w:tc>
        <w:tc>
          <w:tcPr>
            <w:tcW w:w="3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3,519</w:t>
            </w:r>
          </w:p>
        </w:tc>
        <w:tc>
          <w:tcPr>
            <w:tcW w:w="2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2,451</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7,705</w:t>
            </w:r>
          </w:p>
        </w:tc>
      </w:tr>
      <w:tr>
        <w:trPr>
          <w:trHeight w:val="196"/>
        </w:trPr>
        <w:tc>
          <w:tcPr>
            <w:tcW w:w="45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6,607</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7,534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21,316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22,459</w:t>
            </w:r>
          </w:p>
        </w:tc>
      </w:tr>
      <w:tr>
        <w:trPr>
          <w:trHeight w:val="216"/>
        </w:trPr>
        <w:tc>
          <w:tcPr>
            <w:tcW w:w="4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03"/>
        </w:trPr>
        <w:tc>
          <w:tcPr>
            <w:tcW w:w="45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Platform</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2,743</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11,872</w:t>
            </w:r>
          </w:p>
        </w:tc>
      </w:tr>
      <w:tr>
        <w:trPr>
          <w:trHeight w:val="203"/>
        </w:trPr>
        <w:tc>
          <w:tcPr>
            <w:tcW w:w="4500" w:type="dxa"/>
            <w:vAlign w:val="bottom"/>
          </w:tcPr>
          <w:p>
            <w:pPr>
              <w:ind w:left="20"/>
              <w:spacing w:after="0"/>
              <w:rPr>
                <w:sz w:val="20"/>
                <w:szCs w:val="20"/>
                <w:color w:val="auto"/>
              </w:rPr>
            </w:pPr>
            <w:r>
              <w:rPr>
                <w:rFonts w:ascii="Arial" w:cs="Arial" w:eastAsia="Arial" w:hAnsi="Arial"/>
                <w:sz w:val="16"/>
                <w:szCs w:val="16"/>
                <w:color w:val="auto"/>
              </w:rPr>
              <w:t>Transaction</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3,084</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2,185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8,561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6,749</w:t>
            </w:r>
          </w:p>
        </w:tc>
      </w:tr>
      <w:tr>
        <w:trPr>
          <w:trHeight w:val="203"/>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impairment</w:t>
            </w:r>
          </w:p>
        </w:tc>
        <w:tc>
          <w:tcPr>
            <w:tcW w:w="3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20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1,206</w:t>
            </w:r>
          </w:p>
        </w:tc>
      </w:tr>
      <w:tr>
        <w:trPr>
          <w:trHeight w:val="196"/>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cost of revenue</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6,118</w:t>
            </w:r>
          </w:p>
        </w:tc>
        <w:tc>
          <w:tcPr>
            <w:tcW w:w="2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6,521</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20,385</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19,827</w:t>
            </w:r>
          </w:p>
        </w:tc>
      </w:tr>
      <w:tr>
        <w:trPr>
          <w:trHeight w:val="19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2,632</w:t>
            </w:r>
          </w:p>
        </w:tc>
      </w:tr>
      <w:tr>
        <w:trPr>
          <w:trHeight w:val="203"/>
        </w:trPr>
        <w:tc>
          <w:tcPr>
            <w:tcW w:w="4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45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5,496</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3,927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16,877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11,733</w:t>
            </w:r>
          </w:p>
        </w:tc>
      </w:tr>
      <w:tr>
        <w:trPr>
          <w:trHeight w:val="203"/>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4,791</w:t>
            </w:r>
          </w:p>
        </w:tc>
      </w:tr>
      <w:tr>
        <w:trPr>
          <w:trHeight w:val="203"/>
        </w:trPr>
        <w:tc>
          <w:tcPr>
            <w:tcW w:w="45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7,408</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2,978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19,608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7,110</w:t>
            </w:r>
          </w:p>
        </w:tc>
      </w:tr>
      <w:tr>
        <w:trPr>
          <w:trHeight w:val="203"/>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infrequent product repairs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r>
      <w:tr>
        <w:trPr>
          <w:trHeight w:val="196"/>
        </w:trPr>
        <w:tc>
          <w:tcPr>
            <w:tcW w:w="45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15,031</w:t>
            </w: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8,990</w:t>
            </w: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43,238</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24,216</w:t>
            </w:r>
          </w:p>
        </w:tc>
      </w:tr>
      <w:tr>
        <w:trPr>
          <w:trHeight w:val="19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(14,542)</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(7,977)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(42,307)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(21,584)</w:t>
            </w:r>
          </w:p>
        </w:tc>
      </w:tr>
      <w:tr>
        <w:trPr>
          <w:trHeight w:val="203"/>
        </w:trPr>
        <w:tc>
          <w:tcPr>
            <w:tcW w:w="4500" w:type="dxa"/>
            <w:vAlign w:val="bottom"/>
          </w:tcPr>
          <w:p>
            <w:pPr>
              <w:ind w:left="20"/>
              <w:spacing w:after="0"/>
              <w:rPr>
                <w:sz w:val="20"/>
                <w:szCs w:val="20"/>
                <w:color w:val="auto"/>
              </w:rPr>
            </w:pPr>
            <w:r>
              <w:rPr>
                <w:rFonts w:ascii="Arial" w:cs="Arial" w:eastAsia="Arial" w:hAnsi="Arial"/>
                <w:sz w:val="16"/>
                <w:szCs w:val="16"/>
                <w:color w:val="auto"/>
                <w:w w:val="95"/>
              </w:rPr>
              <w:t>Change in fair value of warrants and convertible promissory notes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1,599</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18,102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61,043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(11,668)</w:t>
            </w: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(1,162)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(3,418)</w:t>
            </w:r>
          </w:p>
        </w:tc>
      </w:tr>
      <w:tr>
        <w:trPr>
          <w:trHeight w:val="203"/>
        </w:trPr>
        <w:tc>
          <w:tcPr>
            <w:tcW w:w="4500" w:type="dxa"/>
            <w:vAlign w:val="bottom"/>
          </w:tcPr>
          <w:p>
            <w:pPr>
              <w:ind w:left="20"/>
              <w:spacing w:after="0"/>
              <w:rPr>
                <w:sz w:val="20"/>
                <w:szCs w:val="20"/>
                <w:color w:val="auto"/>
              </w:rPr>
            </w:pPr>
            <w:r>
              <w:rPr>
                <w:rFonts w:ascii="Arial" w:cs="Arial" w:eastAsia="Arial" w:hAnsi="Arial"/>
                <w:sz w:val="16"/>
                <w:szCs w:val="16"/>
                <w:color w:val="auto"/>
              </w:rPr>
              <w:t>Loss on extinguishment of debt and financing obligations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(8,095)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and financial instrument expenses, net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50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257</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2,629</w:t>
            </w:r>
          </w:p>
        </w:tc>
      </w:tr>
      <w:tr>
        <w:trPr>
          <w:trHeight w:val="196"/>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income (expense), net</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16,928</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44,395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(12,457)</w:t>
            </w:r>
          </w:p>
        </w:tc>
      </w:tr>
      <w:tr>
        <w:trPr>
          <w:trHeight w:val="196"/>
        </w:trPr>
        <w:tc>
          <w:tcPr>
            <w:tcW w:w="4500" w:type="dxa"/>
            <w:vAlign w:val="bottom"/>
          </w:tcPr>
          <w:p>
            <w:pPr>
              <w:ind w:left="20"/>
              <w:spacing w:after="0"/>
              <w:rPr>
                <w:sz w:val="20"/>
                <w:szCs w:val="20"/>
                <w:color w:val="auto"/>
              </w:rPr>
            </w:pPr>
            <w:r>
              <w:rPr>
                <w:rFonts w:ascii="Arial" w:cs="Arial" w:eastAsia="Arial" w:hAnsi="Arial"/>
                <w:sz w:val="16"/>
                <w:szCs w:val="16"/>
                <w:color w:val="auto"/>
              </w:rPr>
              <w:t>Income (loss) before provision for income taxes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0"/>
              </w:rPr>
              <w:t>(15,677)</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8,951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2,088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(34,041)</w:t>
            </w:r>
          </w:p>
        </w:tc>
      </w:tr>
      <w:tr>
        <w:trPr>
          <w:trHeight w:val="203"/>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(benefit) for income taxes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196"/>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 and comprehensive income (loss)</w:t>
            </w:r>
          </w:p>
        </w:tc>
        <w:tc>
          <w:tcPr>
            <w:tcW w:w="30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(15,680)</w:t>
            </w: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8,954</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(34,062)</w:t>
            </w:r>
          </w:p>
        </w:tc>
      </w:tr>
      <w:tr>
        <w:trPr>
          <w:trHeight w:val="19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 adjustments for diluted earnings per share: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4500" w:type="dxa"/>
            <w:vAlign w:val="bottom"/>
          </w:tcPr>
          <w:p>
            <w:pPr>
              <w:ind w:left="20"/>
              <w:spacing w:after="0"/>
              <w:rPr>
                <w:sz w:val="20"/>
                <w:szCs w:val="20"/>
                <w:color w:val="auto"/>
              </w:rPr>
            </w:pPr>
            <w:r>
              <w:rPr>
                <w:rFonts w:ascii="Arial" w:cs="Arial" w:eastAsia="Arial" w:hAnsi="Arial"/>
                <w:sz w:val="16"/>
                <w:szCs w:val="16"/>
                <w:color w:val="auto"/>
              </w:rPr>
              <w:t>Less: Change in fair value of convertible notes</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(16,307)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stockholders, diluted</w:t>
            </w:r>
          </w:p>
        </w:tc>
        <w:tc>
          <w:tcPr>
            <w:tcW w:w="300" w:type="dxa"/>
            <w:vAlign w:val="bottom"/>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(15,680)</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(7,353)</w:t>
            </w:r>
          </w:p>
        </w:tc>
        <w:tc>
          <w:tcPr>
            <w:tcW w:w="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w:t>
            </w:r>
          </w:p>
        </w:tc>
        <w:tc>
          <w:tcPr>
            <w:tcW w:w="8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(34,062)</w:t>
            </w:r>
          </w:p>
        </w:tc>
      </w:tr>
      <w:tr>
        <w:trPr>
          <w:trHeight w:val="186"/>
        </w:trPr>
        <w:tc>
          <w:tcPr>
            <w:tcW w:w="45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w w:val="96"/>
              </w:rPr>
              <w:t>Net income (loss) per share attributable to common stockholders,</w:t>
            </w: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9"/>
        </w:trPr>
        <w:tc>
          <w:tcPr>
            <w:tcW w:w="4500" w:type="dxa"/>
            <w:vAlign w:val="bottom"/>
          </w:tcPr>
          <w:p>
            <w:pPr>
              <w:ind w:left="2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40"/>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(0.30)</w:t>
            </w:r>
          </w:p>
        </w:tc>
        <w:tc>
          <w:tcPr>
            <w:tcW w:w="3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0.33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0.05</w:t>
            </w:r>
          </w:p>
        </w:tc>
        <w:tc>
          <w:tcPr>
            <w:tcW w:w="80" w:type="dxa"/>
            <w:vAlign w:val="bottom"/>
          </w:tcPr>
          <w:p>
            <w:pPr>
              <w:spacing w:after="0"/>
              <w:rPr>
                <w:sz w:val="18"/>
                <w:szCs w:val="18"/>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19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Net income (loss) per share attributable to common stockholders,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2"/>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(0.23)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193"/>
        </w:trPr>
        <w:tc>
          <w:tcPr>
            <w:tcW w:w="4500" w:type="dxa"/>
            <w:vAlign w:val="bottom"/>
          </w:tcPr>
          <w:p>
            <w:pPr>
              <w:ind w:left="20"/>
              <w:spacing w:after="0"/>
              <w:rPr>
                <w:sz w:val="20"/>
                <w:szCs w:val="20"/>
                <w:color w:val="auto"/>
              </w:rPr>
            </w:pPr>
            <w:r>
              <w:rPr>
                <w:rFonts w:ascii="Arial" w:cs="Arial" w:eastAsia="Arial" w:hAnsi="Arial"/>
                <w:sz w:val="16"/>
                <w:szCs w:val="16"/>
                <w:color w:val="auto"/>
                <w:w w:val="94"/>
              </w:rPr>
              <w:t>Weighted-average shares used in computing net income (loss) per</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9"/>
        </w:trPr>
        <w:tc>
          <w:tcPr>
            <w:tcW w:w="4500" w:type="dxa"/>
            <w:vAlign w:val="bottom"/>
          </w:tcPr>
          <w:p>
            <w:pPr>
              <w:ind w:left="20"/>
              <w:spacing w:after="0"/>
              <w:rPr>
                <w:sz w:val="20"/>
                <w:szCs w:val="20"/>
                <w:color w:val="auto"/>
              </w:rPr>
            </w:pPr>
            <w:r>
              <w:rPr>
                <w:rFonts w:ascii="Arial" w:cs="Arial" w:eastAsia="Arial" w:hAnsi="Arial"/>
                <w:sz w:val="16"/>
                <w:szCs w:val="16"/>
                <w:color w:val="auto"/>
              </w:rPr>
              <w:t>share attributable to common stockholders, basic</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51,453,368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w w:val="94"/>
              </w:rPr>
              <w:t>27,316,602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w w:val="92"/>
              </w:rPr>
              <w:t>44,173,570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89"/>
              </w:rPr>
              <w:t>27,213,403</w:t>
            </w:r>
          </w:p>
        </w:tc>
      </w:tr>
      <w:tr>
        <w:trPr>
          <w:trHeight w:val="19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Weighted-average shares used in computing net income (loss) per</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2"/>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attributable to common stockholders, diluted</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51,453,368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4"/>
              </w:rPr>
              <w:t>31,838,707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2"/>
              </w:rPr>
              <w:t>54,539,795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27,213,403</w:t>
            </w:r>
          </w:p>
        </w:tc>
      </w:tr>
      <w:tr>
        <w:trPr>
          <w:trHeight w:val="419"/>
        </w:trPr>
        <w:tc>
          <w:tcPr>
            <w:tcW w:w="5780" w:type="dxa"/>
            <w:vAlign w:val="bottom"/>
            <w:gridSpan w:val="7"/>
          </w:tcPr>
          <w:p>
            <w:pPr>
              <w:ind w:left="20"/>
              <w:spacing w:after="0"/>
              <w:rPr>
                <w:sz w:val="20"/>
                <w:szCs w:val="20"/>
                <w:color w:val="auto"/>
              </w:rPr>
            </w:pPr>
            <w:r>
              <w:rPr>
                <w:rFonts w:ascii="Arial" w:cs="Arial" w:eastAsia="Arial" w:hAnsi="Arial"/>
                <w:sz w:val="18"/>
                <w:szCs w:val="18"/>
                <w:b w:val="1"/>
                <w:bCs w:val="1"/>
                <w:color w:val="auto"/>
                <w:w w:val="90"/>
              </w:rPr>
              <w:t>(1) Includes stock-based compensation expense as follows (in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2"/>
        </w:trPr>
        <w:tc>
          <w:tcPr>
            <w:tcW w:w="4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6"/>
          </w:tcPr>
          <w:p>
            <w:pPr>
              <w:jc w:val="right"/>
              <w:ind w:right="278"/>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gridSpan w:val="8"/>
          </w:tcPr>
          <w:p>
            <w:pPr>
              <w:jc w:val="center"/>
              <w:ind w:right="68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jc w:val="right"/>
              <w:ind w:right="598"/>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4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1,886</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16"/>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6,805</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10"/>
        </w:trPr>
        <w:tc>
          <w:tcPr>
            <w:tcW w:w="4500" w:type="dxa"/>
            <w:vAlign w:val="bottom"/>
          </w:tcPr>
          <w:p>
            <w:pPr>
              <w:ind w:left="20"/>
              <w:spacing w:after="0"/>
              <w:rPr>
                <w:sz w:val="20"/>
                <w:szCs w:val="20"/>
                <w:color w:val="auto"/>
              </w:rPr>
            </w:pPr>
            <w:r>
              <w:rPr>
                <w:rFonts w:ascii="Arial" w:cs="Arial" w:eastAsia="Arial" w:hAnsi="Arial"/>
                <w:sz w:val="18"/>
                <w:szCs w:val="18"/>
                <w:color w:val="auto"/>
              </w:rPr>
              <w:t>Total*</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4,396</w:t>
            </w:r>
          </w:p>
        </w:tc>
        <w:tc>
          <w:tcPr>
            <w:tcW w:w="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430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9,272</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1,378</w:t>
            </w:r>
          </w:p>
        </w:tc>
      </w:tr>
      <w:tr>
        <w:trPr>
          <w:trHeight w:val="20"/>
        </w:trPr>
        <w:tc>
          <w:tcPr>
            <w:tcW w:w="4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80" w:right="199" w:hanging="330"/>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three and nine months ended March 31, 2023, such amount reflects $1,604 and $3,478, respectively, of stock-based compensation expense related to earn out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323215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6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June 30</w:t>
            </w:r>
          </w:p>
        </w:tc>
      </w:tr>
      <w:tr>
        <w:trPr>
          <w:trHeight w:val="185"/>
        </w:trPr>
        <w:tc>
          <w:tcPr>
            <w:tcW w:w="65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2022</w:t>
            </w:r>
          </w:p>
        </w:tc>
      </w:tr>
      <w:tr>
        <w:trPr>
          <w:trHeight w:val="142"/>
        </w:trPr>
        <w:tc>
          <w:tcPr>
            <w:tcW w:w="65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8"/>
        </w:trPr>
        <w:tc>
          <w:tcPr>
            <w:tcW w:w="6580" w:type="dxa"/>
            <w:vAlign w:val="bottom"/>
          </w:tcPr>
          <w:p>
            <w:pPr>
              <w:ind w:left="20"/>
              <w:spacing w:after="0" w:line="149" w:lineRule="exact"/>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8"/>
        </w:trPr>
        <w:tc>
          <w:tcPr>
            <w:tcW w:w="6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26,978</w:t>
            </w:r>
          </w:p>
        </w:tc>
        <w:tc>
          <w:tcPr>
            <w:tcW w:w="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3,017</w:t>
            </w:r>
          </w:p>
        </w:tc>
      </w:tr>
      <w:tr>
        <w:trPr>
          <w:trHeight w:val="148"/>
        </w:trPr>
        <w:tc>
          <w:tcPr>
            <w:tcW w:w="6580" w:type="dxa"/>
            <w:vAlign w:val="bottom"/>
          </w:tcPr>
          <w:p>
            <w:pPr>
              <w:ind w:left="120"/>
              <w:spacing w:after="0" w:line="149" w:lineRule="exact"/>
              <w:rPr>
                <w:sz w:val="20"/>
                <w:szCs w:val="20"/>
                <w:color w:val="auto"/>
              </w:rPr>
            </w:pPr>
            <w:r>
              <w:rPr>
                <w:rFonts w:ascii="Arial" w:cs="Arial" w:eastAsia="Arial" w:hAnsi="Arial"/>
                <w:sz w:val="14"/>
                <w:szCs w:val="14"/>
                <w:color w:val="auto"/>
              </w:rPr>
              <w:t>Accounts receivable, net of allowance for doubtful accounts of $135 and $353, respectively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2,207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1,518</w:t>
            </w:r>
          </w:p>
        </w:tc>
      </w:tr>
      <w:tr>
        <w:trPr>
          <w:trHeight w:val="148"/>
        </w:trPr>
        <w:tc>
          <w:tcPr>
            <w:tcW w:w="6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Inventories</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w:t>
            </w:r>
          </w:p>
        </w:tc>
      </w:tr>
      <w:tr>
        <w:trPr>
          <w:trHeight w:val="149"/>
        </w:trPr>
        <w:tc>
          <w:tcPr>
            <w:tcW w:w="6580" w:type="dxa"/>
            <w:vAlign w:val="bottom"/>
          </w:tcPr>
          <w:p>
            <w:pPr>
              <w:ind w:left="120"/>
              <w:spacing w:after="0" w:line="149" w:lineRule="exact"/>
              <w:rPr>
                <w:sz w:val="20"/>
                <w:szCs w:val="20"/>
                <w:color w:val="auto"/>
              </w:rPr>
            </w:pPr>
            <w:r>
              <w:rPr>
                <w:rFonts w:ascii="Arial" w:cs="Arial" w:eastAsia="Arial" w:hAnsi="Arial"/>
                <w:sz w:val="14"/>
                <w:szCs w:val="14"/>
                <w:color w:val="auto"/>
              </w:rPr>
              <w:t>Deferred costs, current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3,772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8,443</w:t>
            </w:r>
          </w:p>
        </w:tc>
      </w:tr>
      <w:tr>
        <w:trPr>
          <w:trHeight w:val="148"/>
        </w:trPr>
        <w:tc>
          <w:tcPr>
            <w:tcW w:w="6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1,851</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r>
      <w:tr>
        <w:trPr>
          <w:trHeight w:val="142"/>
        </w:trPr>
        <w:tc>
          <w:tcPr>
            <w:tcW w:w="6580" w:type="dxa"/>
            <w:vAlign w:val="bottom"/>
          </w:tcPr>
          <w:p>
            <w:pPr>
              <w:ind w:left="220"/>
              <w:spacing w:after="0" w:line="142" w:lineRule="exact"/>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35,203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14,554</w:t>
            </w:r>
          </w:p>
        </w:tc>
      </w:tr>
      <w:tr>
        <w:trPr>
          <w:trHeight w:val="148"/>
        </w:trPr>
        <w:tc>
          <w:tcPr>
            <w:tcW w:w="6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Deferred costs, net of current portion</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2,842</w:t>
            </w:r>
          </w:p>
        </w:tc>
      </w:tr>
      <w:tr>
        <w:trPr>
          <w:trHeight w:val="149"/>
        </w:trPr>
        <w:tc>
          <w:tcPr>
            <w:tcW w:w="6580" w:type="dxa"/>
            <w:vAlign w:val="bottom"/>
          </w:tcPr>
          <w:p>
            <w:pPr>
              <w:ind w:left="20"/>
              <w:spacing w:after="0" w:line="149" w:lineRule="exact"/>
              <w:rPr>
                <w:sz w:val="20"/>
                <w:szCs w:val="20"/>
                <w:color w:val="auto"/>
              </w:rPr>
            </w:pPr>
            <w:r>
              <w:rPr>
                <w:rFonts w:ascii="Arial" w:cs="Arial" w:eastAsia="Arial" w:hAnsi="Arial"/>
                <w:sz w:val="14"/>
                <w:szCs w:val="14"/>
                <w:color w:val="auto"/>
              </w:rPr>
              <w:t>Investment in non-affiliate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Deferred transaction costs</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5,765</w:t>
            </w:r>
          </w:p>
        </w:tc>
      </w:tr>
      <w:tr>
        <w:trPr>
          <w:trHeight w:val="148"/>
        </w:trPr>
        <w:tc>
          <w:tcPr>
            <w:tcW w:w="6580" w:type="dxa"/>
            <w:vAlign w:val="bottom"/>
          </w:tcPr>
          <w:p>
            <w:pPr>
              <w:ind w:left="20"/>
              <w:spacing w:after="0" w:line="149" w:lineRule="exact"/>
              <w:rPr>
                <w:sz w:val="20"/>
                <w:szCs w:val="20"/>
                <w:color w:val="auto"/>
              </w:rPr>
            </w:pPr>
            <w:r>
              <w:rPr>
                <w:rFonts w:ascii="Arial" w:cs="Arial" w:eastAsia="Arial" w:hAnsi="Arial"/>
                <w:sz w:val="14"/>
                <w:szCs w:val="14"/>
                <w:color w:val="auto"/>
              </w:rPr>
              <w:t>Property and equipment, net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1,215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1,975</w:t>
            </w:r>
          </w:p>
        </w:tc>
      </w:tr>
      <w:tr>
        <w:trPr>
          <w:trHeight w:val="148"/>
        </w:trPr>
        <w:tc>
          <w:tcPr>
            <w:tcW w:w="6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Intangible assets, net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8,436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4,226</w:t>
            </w:r>
          </w:p>
        </w:tc>
      </w:tr>
      <w:tr>
        <w:trPr>
          <w:trHeight w:val="148"/>
        </w:trPr>
        <w:tc>
          <w:tcPr>
            <w:tcW w:w="6580" w:type="dxa"/>
            <w:vAlign w:val="bottom"/>
          </w:tcPr>
          <w:p>
            <w:pPr>
              <w:ind w:left="20"/>
              <w:spacing w:after="0" w:line="149" w:lineRule="exact"/>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1,156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1,156</w:t>
            </w:r>
          </w:p>
        </w:tc>
      </w:tr>
      <w:tr>
        <w:trPr>
          <w:trHeight w:val="148"/>
        </w:trPr>
        <w:tc>
          <w:tcPr>
            <w:tcW w:w="658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Other long-term assets</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578</w:t>
            </w:r>
          </w:p>
        </w:tc>
        <w:tc>
          <w:tcPr>
            <w:tcW w:w="2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r>
      <w:tr>
        <w:trPr>
          <w:trHeight w:val="156"/>
        </w:trPr>
        <w:tc>
          <w:tcPr>
            <w:tcW w:w="6580" w:type="dxa"/>
            <w:vAlign w:val="bottom"/>
          </w:tcPr>
          <w:p>
            <w:pPr>
              <w:ind w:left="220"/>
              <w:spacing w:after="0" w:line="155" w:lineRule="exact"/>
              <w:rPr>
                <w:sz w:val="20"/>
                <w:szCs w:val="20"/>
                <w:color w:val="auto"/>
              </w:rPr>
            </w:pPr>
            <w:r>
              <w:rPr>
                <w:rFonts w:ascii="Arial" w:cs="Arial" w:eastAsia="Arial" w:hAnsi="Arial"/>
                <w:sz w:val="14"/>
                <w:szCs w:val="14"/>
                <w:color w:val="auto"/>
              </w:rPr>
              <w:t>Total assets</w:t>
            </w:r>
          </w:p>
        </w:tc>
        <w:tc>
          <w:tcPr>
            <w:tcW w:w="2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48,610</w:t>
            </w:r>
          </w:p>
        </w:tc>
        <w:tc>
          <w:tcPr>
            <w:tcW w:w="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30,536</w:t>
            </w:r>
          </w:p>
        </w:tc>
      </w:tr>
      <w:tr>
        <w:trPr>
          <w:trHeight w:val="142"/>
        </w:trPr>
        <w:tc>
          <w:tcPr>
            <w:tcW w:w="65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r>
      <w:tr>
        <w:trPr>
          <w:trHeight w:val="149"/>
        </w:trPr>
        <w:tc>
          <w:tcPr>
            <w:tcW w:w="65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Liabilities and Stockholders’ Deficit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8"/>
        </w:trPr>
        <w:tc>
          <w:tcPr>
            <w:tcW w:w="6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8"/>
        </w:trPr>
        <w:tc>
          <w:tcPr>
            <w:tcW w:w="6580" w:type="dxa"/>
            <w:vAlign w:val="bottom"/>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3,267</w:t>
            </w:r>
          </w:p>
        </w:tc>
        <w:tc>
          <w:tcPr>
            <w:tcW w:w="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5,916</w:t>
            </w:r>
          </w:p>
        </w:tc>
      </w:tr>
      <w:tr>
        <w:trPr>
          <w:trHeight w:val="148"/>
        </w:trPr>
        <w:tc>
          <w:tcPr>
            <w:tcW w:w="6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liabilities</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6,215</w:t>
            </w:r>
          </w:p>
        </w:tc>
      </w:tr>
      <w:tr>
        <w:trPr>
          <w:trHeight w:val="148"/>
        </w:trPr>
        <w:tc>
          <w:tcPr>
            <w:tcW w:w="6580" w:type="dxa"/>
            <w:vAlign w:val="bottom"/>
          </w:tcPr>
          <w:p>
            <w:pPr>
              <w:ind w:left="120"/>
              <w:spacing w:after="0" w:line="149" w:lineRule="exact"/>
              <w:rPr>
                <w:sz w:val="20"/>
                <w:szCs w:val="20"/>
                <w:color w:val="auto"/>
              </w:rPr>
            </w:pPr>
            <w:r>
              <w:rPr>
                <w:rFonts w:ascii="Arial" w:cs="Arial" w:eastAsia="Arial" w:hAnsi="Arial"/>
                <w:sz w:val="14"/>
                <w:szCs w:val="14"/>
                <w:color w:val="auto"/>
              </w:rPr>
              <w:t>Financing obligations, current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3,720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8,840</w:t>
            </w:r>
          </w:p>
        </w:tc>
      </w:tr>
      <w:tr>
        <w:trPr>
          <w:trHeight w:val="149"/>
        </w:trPr>
        <w:tc>
          <w:tcPr>
            <w:tcW w:w="6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loans, current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53,979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25,443</w:t>
            </w:r>
          </w:p>
        </w:tc>
      </w:tr>
      <w:tr>
        <w:trPr>
          <w:trHeight w:val="148"/>
        </w:trPr>
        <w:tc>
          <w:tcPr>
            <w:tcW w:w="6580" w:type="dxa"/>
            <w:vAlign w:val="bottom"/>
          </w:tcPr>
          <w:p>
            <w:pPr>
              <w:ind w:left="120"/>
              <w:spacing w:after="0" w:line="149" w:lineRule="exact"/>
              <w:rPr>
                <w:sz w:val="20"/>
                <w:szCs w:val="20"/>
                <w:color w:val="auto"/>
              </w:rPr>
            </w:pPr>
            <w:r>
              <w:rPr>
                <w:rFonts w:ascii="Arial" w:cs="Arial" w:eastAsia="Arial" w:hAnsi="Arial"/>
                <w:sz w:val="14"/>
                <w:szCs w:val="14"/>
                <w:color w:val="auto"/>
              </w:rPr>
              <w:t>Convertible promissory notes and embedded warrants, current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89,663</w:t>
            </w:r>
          </w:p>
        </w:tc>
      </w:tr>
      <w:tr>
        <w:trPr>
          <w:trHeight w:val="148"/>
        </w:trPr>
        <w:tc>
          <w:tcPr>
            <w:tcW w:w="658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revenue, current</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1,551</w:t>
            </w:r>
          </w:p>
        </w:tc>
        <w:tc>
          <w:tcPr>
            <w:tcW w:w="2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10,532</w:t>
            </w:r>
          </w:p>
        </w:tc>
      </w:tr>
      <w:tr>
        <w:trPr>
          <w:trHeight w:val="142"/>
        </w:trPr>
        <w:tc>
          <w:tcPr>
            <w:tcW w:w="6580" w:type="dxa"/>
            <w:vAlign w:val="bottom"/>
          </w:tcPr>
          <w:p>
            <w:pPr>
              <w:ind w:left="220"/>
              <w:spacing w:after="0" w:line="142" w:lineRule="exact"/>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66,669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146,609</w:t>
            </w:r>
          </w:p>
        </w:tc>
      </w:tr>
      <w:tr>
        <w:trPr>
          <w:trHeight w:val="149"/>
        </w:trPr>
        <w:tc>
          <w:tcPr>
            <w:tcW w:w="6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Financing obligations, net of current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580" w:type="dxa"/>
            <w:vAlign w:val="bottom"/>
          </w:tcPr>
          <w:p>
            <w:pPr>
              <w:ind w:left="20"/>
              <w:spacing w:after="0" w:line="149" w:lineRule="exact"/>
              <w:rPr>
                <w:sz w:val="20"/>
                <w:szCs w:val="20"/>
                <w:color w:val="auto"/>
              </w:rPr>
            </w:pPr>
            <w:r>
              <w:rPr>
                <w:rFonts w:ascii="Arial" w:cs="Arial" w:eastAsia="Arial" w:hAnsi="Arial"/>
                <w:sz w:val="14"/>
                <w:szCs w:val="14"/>
                <w:color w:val="auto"/>
              </w:rPr>
              <w:t>PPP loans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r>
      <w:tr>
        <w:trPr>
          <w:trHeight w:val="148"/>
        </w:trPr>
        <w:tc>
          <w:tcPr>
            <w:tcW w:w="6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Warrant liabilities</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4,149</w:t>
            </w:r>
          </w:p>
        </w:tc>
      </w:tr>
      <w:tr>
        <w:trPr>
          <w:trHeight w:val="148"/>
        </w:trPr>
        <w:tc>
          <w:tcPr>
            <w:tcW w:w="6580" w:type="dxa"/>
            <w:vAlign w:val="bottom"/>
          </w:tcPr>
          <w:p>
            <w:pPr>
              <w:ind w:left="20"/>
              <w:spacing w:after="0" w:line="149" w:lineRule="exact"/>
              <w:rPr>
                <w:sz w:val="20"/>
                <w:szCs w:val="20"/>
                <w:color w:val="auto"/>
              </w:rPr>
            </w:pPr>
            <w:r>
              <w:rPr>
                <w:rFonts w:ascii="Arial" w:cs="Arial" w:eastAsia="Arial" w:hAnsi="Arial"/>
                <w:sz w:val="14"/>
                <w:szCs w:val="14"/>
                <w:color w:val="auto"/>
              </w:rPr>
              <w:t>Deferred revenue, net of current portion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264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237</w:t>
            </w:r>
          </w:p>
        </w:tc>
      </w:tr>
      <w:tr>
        <w:trPr>
          <w:trHeight w:val="148"/>
        </w:trPr>
        <w:tc>
          <w:tcPr>
            <w:tcW w:w="658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Other long-term liabilities</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426</w:t>
            </w:r>
          </w:p>
        </w:tc>
        <w:tc>
          <w:tcPr>
            <w:tcW w:w="2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56"/>
        </w:trPr>
        <w:tc>
          <w:tcPr>
            <w:tcW w:w="658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liabilities</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70,842</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152,995</w:t>
            </w:r>
          </w:p>
        </w:tc>
      </w:tr>
      <w:tr>
        <w:trPr>
          <w:trHeight w:val="142"/>
        </w:trPr>
        <w:tc>
          <w:tcPr>
            <w:tcW w:w="6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9"/>
        </w:trPr>
        <w:tc>
          <w:tcPr>
            <w:tcW w:w="6580" w:type="dxa"/>
            <w:vAlign w:val="bottom"/>
          </w:tcPr>
          <w:p>
            <w:pPr>
              <w:ind w:left="20"/>
              <w:spacing w:after="0" w:line="149" w:lineRule="exact"/>
              <w:rPr>
                <w:sz w:val="20"/>
                <w:szCs w:val="20"/>
                <w:color w:val="auto"/>
              </w:rPr>
            </w:pPr>
            <w:r>
              <w:rPr>
                <w:rFonts w:ascii="Arial" w:cs="Arial" w:eastAsia="Arial" w:hAnsi="Arial"/>
                <w:sz w:val="14"/>
                <w:szCs w:val="14"/>
                <w:color w:val="auto"/>
              </w:rPr>
              <w:t>Commitments and Contingencies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6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Stockholders’ deficit: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30"/>
        </w:trPr>
        <w:tc>
          <w:tcPr>
            <w:tcW w:w="6580" w:type="dxa"/>
            <w:vAlign w:val="bottom"/>
          </w:tcPr>
          <w:p>
            <w:pPr>
              <w:ind w:left="20"/>
              <w:spacing w:after="0" w:line="130" w:lineRule="exact"/>
              <w:rPr>
                <w:sz w:val="20"/>
                <w:szCs w:val="20"/>
                <w:color w:val="auto"/>
              </w:rPr>
            </w:pPr>
            <w:r>
              <w:rPr>
                <w:rFonts w:ascii="Arial" w:cs="Arial" w:eastAsia="Arial" w:hAnsi="Arial"/>
                <w:sz w:val="14"/>
                <w:szCs w:val="14"/>
                <w:color w:val="auto"/>
                <w:w w:val="99"/>
              </w:rPr>
              <w:t>Preferred stock, $0.0001 par value–1,500,000 shares authorized as of March 31, 2023 and June 30, 2022,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6580" w:type="dxa"/>
            <w:vAlign w:val="bottom"/>
          </w:tcPr>
          <w:p>
            <w:pPr>
              <w:ind w:left="20"/>
              <w:spacing w:after="0"/>
              <w:rPr>
                <w:sz w:val="20"/>
                <w:szCs w:val="20"/>
                <w:color w:val="auto"/>
              </w:rPr>
            </w:pPr>
            <w:r>
              <w:rPr>
                <w:rFonts w:ascii="Arial" w:cs="Arial" w:eastAsia="Arial" w:hAnsi="Arial"/>
                <w:sz w:val="14"/>
                <w:szCs w:val="14"/>
                <w:color w:val="auto"/>
              </w:rPr>
              <w:t>respectively; no shares issued and outstanding as of March 31, 2023 and June 30, 2022 respectively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658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3"/>
              </w:rPr>
              <w:t>Common stock, $0.0001 par value–180,000,000 shares authorized as of March 31, 2023 and June 30, 2022, and</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51,921,941 and 27,974,439 shares issued and outstanding as of March 31, 2023 and June 30, 2022, respectively</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49"/>
        </w:trPr>
        <w:tc>
          <w:tcPr>
            <w:tcW w:w="6580" w:type="dxa"/>
            <w:vAlign w:val="bottom"/>
          </w:tcPr>
          <w:p>
            <w:pPr>
              <w:ind w:left="20"/>
              <w:spacing w:after="0" w:line="149" w:lineRule="exact"/>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176,466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78,321</w:t>
            </w:r>
          </w:p>
        </w:tc>
      </w:tr>
      <w:tr>
        <w:trPr>
          <w:trHeight w:val="148"/>
        </w:trPr>
        <w:tc>
          <w:tcPr>
            <w:tcW w:w="6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Accumulated deficit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(198,703)</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(200,783)</w:t>
            </w:r>
          </w:p>
        </w:tc>
      </w:tr>
      <w:tr>
        <w:trPr>
          <w:trHeight w:val="142"/>
        </w:trPr>
        <w:tc>
          <w:tcPr>
            <w:tcW w:w="6580" w:type="dxa"/>
            <w:vAlign w:val="bottom"/>
          </w:tcPr>
          <w:p>
            <w:pPr>
              <w:ind w:left="220"/>
              <w:spacing w:after="0" w:line="142" w:lineRule="exact"/>
              <w:rPr>
                <w:sz w:val="20"/>
                <w:szCs w:val="20"/>
                <w:color w:val="auto"/>
              </w:rPr>
            </w:pPr>
            <w:r>
              <w:rPr>
                <w:rFonts w:ascii="Arial" w:cs="Arial" w:eastAsia="Arial" w:hAnsi="Arial"/>
                <w:sz w:val="14"/>
                <w:szCs w:val="14"/>
                <w:color w:val="auto"/>
              </w:rPr>
              <w:t>Total stockholders’ deficit</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(22,232)</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(122,459)</w:t>
            </w:r>
          </w:p>
        </w:tc>
      </w:tr>
      <w:tr>
        <w:trPr>
          <w:trHeight w:val="142"/>
        </w:trPr>
        <w:tc>
          <w:tcPr>
            <w:tcW w:w="65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Total liabilities and stockholders’ deficit</w:t>
            </w:r>
          </w:p>
        </w:tc>
        <w:tc>
          <w:tcPr>
            <w:tcW w:w="2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48,610</w:t>
            </w:r>
          </w:p>
        </w:tc>
        <w:tc>
          <w:tcPr>
            <w:tcW w:w="3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30,536</w:t>
            </w:r>
          </w:p>
        </w:tc>
      </w:tr>
      <w:tr>
        <w:trPr>
          <w:trHeight w:val="959"/>
        </w:trPr>
        <w:tc>
          <w:tcPr>
            <w:tcW w:w="65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spacing w:after="0" w:line="206" w:lineRule="exact"/>
        <w:rPr>
          <w:sz w:val="20"/>
          <w:szCs w:val="20"/>
          <w:color w:val="auto"/>
        </w:rPr>
      </w:pPr>
    </w:p>
    <w:p>
      <w:pPr>
        <w:ind w:left="7320"/>
        <w:spacing w:after="0"/>
        <w:rPr>
          <w:sz w:val="20"/>
          <w:szCs w:val="20"/>
          <w:color w:val="auto"/>
        </w:rPr>
      </w:pPr>
      <w:r>
        <w:rPr>
          <w:rFonts w:ascii="Arial" w:cs="Arial" w:eastAsia="Arial" w:hAnsi="Arial"/>
          <w:sz w:val="13"/>
          <w:szCs w:val="13"/>
          <w:b w:val="1"/>
          <w:bCs w:val="1"/>
          <w:color w:val="auto"/>
        </w:rPr>
        <w:t>Nine months ended</w:t>
      </w:r>
    </w:p>
    <w:p>
      <w:pPr>
        <w:ind w:left="7540"/>
        <w:spacing w:after="0" w:line="223" w:lineRule="auto"/>
        <w:rPr>
          <w:sz w:val="20"/>
          <w:szCs w:val="20"/>
          <w:color w:val="auto"/>
        </w:rPr>
      </w:pPr>
      <w:r>
        <w:rPr>
          <w:rFonts w:ascii="Arial" w:cs="Arial" w:eastAsia="Arial" w:hAnsi="Arial"/>
          <w:sz w:val="13"/>
          <w:szCs w:val="13"/>
          <w:b w:val="1"/>
          <w:bCs w:val="1"/>
          <w:color w:val="auto"/>
        </w:rPr>
        <w:t>March 31,</w:t>
      </w:r>
    </w:p>
    <w:tbl>
      <w:tblPr>
        <w:tblLayout w:type="fixed"/>
        <w:tblInd w:w="40" w:type="dxa"/>
        <w:tblCellMar>
          <w:top w:w="0" w:type="dxa"/>
          <w:left w:w="0" w:type="dxa"/>
          <w:bottom w:w="0" w:type="dxa"/>
          <w:right w:w="0" w:type="dxa"/>
        </w:tblCellMar>
      </w:tblPr>
      <w:tr>
        <w:trPr>
          <w:trHeight w:val="142"/>
        </w:trPr>
        <w:tc>
          <w:tcPr>
            <w:tcW w:w="58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8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Arial" w:cs="Arial" w:eastAsia="Arial" w:hAnsi="Arial"/>
                <w:sz w:val="13"/>
                <w:szCs w:val="13"/>
                <w:b w:val="1"/>
                <w:bCs w:val="1"/>
                <w:color w:val="auto"/>
              </w:rPr>
              <w:t>2023</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28"/>
        </w:trPr>
        <w:tc>
          <w:tcPr>
            <w:tcW w:w="580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 (loss)</w:t>
            </w:r>
          </w:p>
        </w:tc>
        <w:tc>
          <w:tcPr>
            <w:tcW w:w="1100" w:type="dxa"/>
            <w:vAlign w:val="bottom"/>
            <w:gridSpan w:val="2"/>
            <w:shd w:val="clear" w:color="auto" w:fill="CCEEFF"/>
          </w:tcPr>
          <w:p>
            <w:pPr>
              <w:jc w:val="right"/>
              <w:ind w:right="108"/>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2,080</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(34,062)</w:t>
            </w:r>
          </w:p>
        </w:tc>
        <w:tc>
          <w:tcPr>
            <w:tcW w:w="0" w:type="dxa"/>
            <w:vAlign w:val="bottom"/>
          </w:tcPr>
          <w:p>
            <w:pPr>
              <w:spacing w:after="0"/>
              <w:rPr>
                <w:sz w:val="1"/>
                <w:szCs w:val="1"/>
                <w:color w:val="auto"/>
              </w:rPr>
            </w:pPr>
          </w:p>
        </w:tc>
      </w:tr>
      <w:tr>
        <w:trPr>
          <w:trHeight w:val="135"/>
        </w:trPr>
        <w:tc>
          <w:tcPr>
            <w:tcW w:w="5800" w:type="dxa"/>
            <w:vAlign w:val="bottom"/>
          </w:tcPr>
          <w:p>
            <w:pPr>
              <w:ind w:left="20"/>
              <w:spacing w:after="0" w:line="135" w:lineRule="exact"/>
              <w:rPr>
                <w:sz w:val="20"/>
                <w:szCs w:val="20"/>
                <w:color w:val="auto"/>
              </w:rPr>
            </w:pPr>
            <w:r>
              <w:rPr>
                <w:rFonts w:ascii="Arial" w:cs="Arial" w:eastAsia="Arial" w:hAnsi="Arial"/>
                <w:sz w:val="13"/>
                <w:szCs w:val="13"/>
                <w:color w:val="auto"/>
              </w:rPr>
              <w:t>Adjustments to reconcile net income (loss) to net cash used in operating activities:</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amortization and impairment</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1,262</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1,524</w:t>
            </w:r>
          </w:p>
        </w:tc>
        <w:tc>
          <w:tcPr>
            <w:tcW w:w="0" w:type="dxa"/>
            <w:vAlign w:val="bottom"/>
          </w:tcPr>
          <w:p>
            <w:pPr>
              <w:spacing w:after="0"/>
              <w:rPr>
                <w:sz w:val="1"/>
                <w:szCs w:val="1"/>
                <w:color w:val="auto"/>
              </w:rPr>
            </w:pPr>
          </w:p>
        </w:tc>
      </w:tr>
      <w:tr>
        <w:trPr>
          <w:trHeight w:val="135"/>
        </w:trPr>
        <w:tc>
          <w:tcPr>
            <w:tcW w:w="5800" w:type="dxa"/>
            <w:vAlign w:val="bottom"/>
          </w:tcPr>
          <w:p>
            <w:pPr>
              <w:ind w:left="120"/>
              <w:spacing w:after="0" w:line="135" w:lineRule="exact"/>
              <w:rPr>
                <w:sz w:val="20"/>
                <w:szCs w:val="20"/>
                <w:color w:val="auto"/>
              </w:rPr>
            </w:pPr>
            <w:r>
              <w:rPr>
                <w:rFonts w:ascii="Arial" w:cs="Arial" w:eastAsia="Arial" w:hAnsi="Arial"/>
                <w:sz w:val="13"/>
                <w:szCs w:val="13"/>
                <w:color w:val="auto"/>
              </w:rPr>
              <w:t>Stock-based compensation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5,794</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1,384</w:t>
            </w:r>
          </w:p>
        </w:tc>
        <w:tc>
          <w:tcPr>
            <w:tcW w:w="0" w:type="dxa"/>
            <w:vAlign w:val="bottom"/>
          </w:tcPr>
          <w:p>
            <w:pPr>
              <w:spacing w:after="0"/>
              <w:rPr>
                <w:sz w:val="1"/>
                <w:szCs w:val="1"/>
                <w:color w:val="auto"/>
              </w:rPr>
            </w:pPr>
          </w:p>
        </w:tc>
      </w:tr>
      <w:tr>
        <w:trPr>
          <w:trHeight w:val="135"/>
        </w:trPr>
        <w:tc>
          <w:tcPr>
            <w:tcW w:w="58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Earnout share stock-based compensation</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3,479</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800" w:type="dxa"/>
            <w:vAlign w:val="bottom"/>
          </w:tcPr>
          <w:p>
            <w:pPr>
              <w:ind w:left="120"/>
              <w:spacing w:after="0" w:line="135" w:lineRule="exact"/>
              <w:rPr>
                <w:sz w:val="20"/>
                <w:szCs w:val="20"/>
                <w:color w:val="auto"/>
              </w:rPr>
            </w:pPr>
            <w:r>
              <w:rPr>
                <w:rFonts w:ascii="Arial" w:cs="Arial" w:eastAsia="Arial" w:hAnsi="Arial"/>
                <w:sz w:val="13"/>
                <w:szCs w:val="13"/>
                <w:color w:val="auto"/>
              </w:rPr>
              <w:t>Contra-revenue associated with warrant agreement (Refer to Note 2)</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1,073</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8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Noncash expense attributable to fair value liabilities assumed in Merger</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800" w:type="dxa"/>
            <w:vAlign w:val="bottom"/>
          </w:tcPr>
          <w:p>
            <w:pPr>
              <w:ind w:left="120"/>
              <w:spacing w:after="0" w:line="135" w:lineRule="exact"/>
              <w:rPr>
                <w:sz w:val="20"/>
                <w:szCs w:val="20"/>
                <w:color w:val="auto"/>
              </w:rPr>
            </w:pPr>
            <w:r>
              <w:rPr>
                <w:rFonts w:ascii="Arial" w:cs="Arial" w:eastAsia="Arial" w:hAnsi="Arial"/>
                <w:sz w:val="13"/>
                <w:szCs w:val="13"/>
                <w:color w:val="auto"/>
              </w:rPr>
              <w:t>Change in fair value of liability classified warrants</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(12,555)</w:t>
            </w: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1,066</w:t>
            </w:r>
          </w:p>
        </w:tc>
        <w:tc>
          <w:tcPr>
            <w:tcW w:w="0" w:type="dxa"/>
            <w:vAlign w:val="bottom"/>
          </w:tcPr>
          <w:p>
            <w:pPr>
              <w:spacing w:after="0"/>
              <w:rPr>
                <w:sz w:val="1"/>
                <w:szCs w:val="1"/>
                <w:color w:val="auto"/>
              </w:rPr>
            </w:pPr>
          </w:p>
        </w:tc>
      </w:tr>
      <w:tr>
        <w:trPr>
          <w:trHeight w:val="135"/>
        </w:trPr>
        <w:tc>
          <w:tcPr>
            <w:tcW w:w="58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Change in fair value of warrants and convertible promissory notes</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(48,271)</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10,602</w:t>
            </w:r>
          </w:p>
        </w:tc>
        <w:tc>
          <w:tcPr>
            <w:tcW w:w="0" w:type="dxa"/>
            <w:vAlign w:val="bottom"/>
          </w:tcPr>
          <w:p>
            <w:pPr>
              <w:spacing w:after="0"/>
              <w:rPr>
                <w:sz w:val="1"/>
                <w:szCs w:val="1"/>
                <w:color w:val="auto"/>
              </w:rPr>
            </w:pPr>
          </w:p>
        </w:tc>
      </w:tr>
      <w:tr>
        <w:trPr>
          <w:trHeight w:val="135"/>
        </w:trPr>
        <w:tc>
          <w:tcPr>
            <w:tcW w:w="5800" w:type="dxa"/>
            <w:vAlign w:val="bottom"/>
          </w:tcPr>
          <w:p>
            <w:pPr>
              <w:ind w:left="120"/>
              <w:spacing w:after="0" w:line="135" w:lineRule="exact"/>
              <w:rPr>
                <w:sz w:val="20"/>
                <w:szCs w:val="20"/>
                <w:color w:val="auto"/>
              </w:rPr>
            </w:pPr>
            <w:r>
              <w:rPr>
                <w:rFonts w:ascii="Arial" w:cs="Arial" w:eastAsia="Arial" w:hAnsi="Arial"/>
                <w:sz w:val="13"/>
                <w:szCs w:val="13"/>
                <w:color w:val="auto"/>
              </w:rPr>
              <w:t>Amortization of debt discount and debt issuance costs</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2,433</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405</w:t>
            </w:r>
          </w:p>
        </w:tc>
        <w:tc>
          <w:tcPr>
            <w:tcW w:w="0" w:type="dxa"/>
            <w:vAlign w:val="bottom"/>
          </w:tcPr>
          <w:p>
            <w:pPr>
              <w:spacing w:after="0"/>
              <w:rPr>
                <w:sz w:val="1"/>
                <w:szCs w:val="1"/>
                <w:color w:val="auto"/>
              </w:rPr>
            </w:pPr>
          </w:p>
        </w:tc>
      </w:tr>
      <w:tr>
        <w:trPr>
          <w:trHeight w:val="135"/>
        </w:trPr>
        <w:tc>
          <w:tcPr>
            <w:tcW w:w="58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Loss on extinguishment of debt and financing obligations</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8,095</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800" w:type="dxa"/>
            <w:vAlign w:val="bottom"/>
          </w:tcPr>
          <w:p>
            <w:pPr>
              <w:ind w:left="120"/>
              <w:spacing w:after="0" w:line="135" w:lineRule="exact"/>
              <w:rPr>
                <w:sz w:val="20"/>
                <w:szCs w:val="20"/>
                <w:color w:val="auto"/>
              </w:rPr>
            </w:pPr>
            <w:r>
              <w:rPr>
                <w:rFonts w:ascii="Arial" w:cs="Arial" w:eastAsia="Arial" w:hAnsi="Arial"/>
                <w:sz w:val="13"/>
                <w:szCs w:val="13"/>
                <w:color w:val="auto"/>
              </w:rPr>
              <w:t>Paid-in-kind interest expense</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4,604</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35"/>
        </w:trPr>
        <w:tc>
          <w:tcPr>
            <w:tcW w:w="58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Share and warrant cost on termination of convertible note agreement</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2,412</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800" w:type="dxa"/>
            <w:vAlign w:val="bottom"/>
          </w:tcPr>
          <w:p>
            <w:pPr>
              <w:ind w:left="120"/>
              <w:spacing w:after="0" w:line="135" w:lineRule="exact"/>
              <w:rPr>
                <w:sz w:val="20"/>
                <w:szCs w:val="20"/>
                <w:color w:val="auto"/>
              </w:rPr>
            </w:pPr>
            <w:r>
              <w:rPr>
                <w:rFonts w:ascii="Arial" w:cs="Arial" w:eastAsia="Arial" w:hAnsi="Arial"/>
                <w:sz w:val="13"/>
                <w:szCs w:val="13"/>
                <w:color w:val="auto"/>
              </w:rPr>
              <w:t>Forgiveness of PPP Loan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(2,000)</w:t>
            </w: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(2,599)</w:t>
            </w: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Change in fair value of unvested founder shares liability</w:t>
            </w: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(1,392)</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800" w:type="dxa"/>
            <w:vAlign w:val="bottom"/>
          </w:tcPr>
          <w:p>
            <w:pPr>
              <w:ind w:left="120"/>
              <w:spacing w:after="0" w:line="135" w:lineRule="exact"/>
              <w:rPr>
                <w:sz w:val="20"/>
                <w:szCs w:val="20"/>
                <w:color w:val="auto"/>
              </w:rPr>
            </w:pPr>
            <w:r>
              <w:rPr>
                <w:rFonts w:ascii="Arial" w:cs="Arial" w:eastAsia="Arial" w:hAnsi="Arial"/>
                <w:sz w:val="13"/>
                <w:szCs w:val="13"/>
                <w:color w:val="auto"/>
              </w:rPr>
              <w:t>Noncash lease expense</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264</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8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Loss on disposal off property and equipment</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800" w:type="dxa"/>
            <w:vAlign w:val="bottom"/>
          </w:tcPr>
          <w:p>
            <w:pPr>
              <w:ind w:left="120"/>
              <w:spacing w:after="0" w:line="135" w:lineRule="exact"/>
              <w:rPr>
                <w:sz w:val="20"/>
                <w:szCs w:val="20"/>
                <w:color w:val="auto"/>
              </w:rPr>
            </w:pPr>
            <w:r>
              <w:rPr>
                <w:rFonts w:ascii="Arial" w:cs="Arial" w:eastAsia="Arial" w:hAnsi="Arial"/>
                <w:sz w:val="13"/>
                <w:szCs w:val="13"/>
                <w:color w:val="auto"/>
              </w:rPr>
              <w:t>Changes in operating assets and liabilities:</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8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Accounts receivable, net</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(689)</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(524)</w:t>
            </w:r>
          </w:p>
        </w:tc>
        <w:tc>
          <w:tcPr>
            <w:tcW w:w="0" w:type="dxa"/>
            <w:vAlign w:val="bottom"/>
          </w:tcPr>
          <w:p>
            <w:pPr>
              <w:spacing w:after="0"/>
              <w:rPr>
                <w:sz w:val="1"/>
                <w:szCs w:val="1"/>
                <w:color w:val="auto"/>
              </w:rPr>
            </w:pPr>
          </w:p>
        </w:tc>
      </w:tr>
      <w:tr>
        <w:trPr>
          <w:trHeight w:val="135"/>
        </w:trPr>
        <w:tc>
          <w:tcPr>
            <w:tcW w:w="5800" w:type="dxa"/>
            <w:vAlign w:val="bottom"/>
          </w:tcPr>
          <w:p>
            <w:pPr>
              <w:ind w:left="220"/>
              <w:spacing w:after="0" w:line="135" w:lineRule="exact"/>
              <w:rPr>
                <w:sz w:val="20"/>
                <w:szCs w:val="20"/>
                <w:color w:val="auto"/>
              </w:rPr>
            </w:pPr>
            <w:r>
              <w:rPr>
                <w:rFonts w:ascii="Arial" w:cs="Arial" w:eastAsia="Arial" w:hAnsi="Arial"/>
                <w:sz w:val="13"/>
                <w:szCs w:val="13"/>
                <w:color w:val="auto"/>
              </w:rPr>
              <w:t>Inventories</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474</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(905)</w:t>
            </w:r>
          </w:p>
        </w:tc>
        <w:tc>
          <w:tcPr>
            <w:tcW w:w="0" w:type="dxa"/>
            <w:vAlign w:val="bottom"/>
          </w:tcPr>
          <w:p>
            <w:pPr>
              <w:spacing w:after="0"/>
              <w:rPr>
                <w:sz w:val="1"/>
                <w:szCs w:val="1"/>
                <w:color w:val="auto"/>
              </w:rPr>
            </w:pPr>
          </w:p>
        </w:tc>
      </w:tr>
      <w:tr>
        <w:trPr>
          <w:trHeight w:val="135"/>
        </w:trPr>
        <w:tc>
          <w:tcPr>
            <w:tcW w:w="58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Deferred costs</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7,769</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8,978</w:t>
            </w:r>
          </w:p>
        </w:tc>
        <w:tc>
          <w:tcPr>
            <w:tcW w:w="0" w:type="dxa"/>
            <w:vAlign w:val="bottom"/>
          </w:tcPr>
          <w:p>
            <w:pPr>
              <w:spacing w:after="0"/>
              <w:rPr>
                <w:sz w:val="1"/>
                <w:szCs w:val="1"/>
                <w:color w:val="auto"/>
              </w:rPr>
            </w:pPr>
          </w:p>
        </w:tc>
      </w:tr>
      <w:tr>
        <w:trPr>
          <w:trHeight w:val="135"/>
        </w:trPr>
        <w:tc>
          <w:tcPr>
            <w:tcW w:w="5800" w:type="dxa"/>
            <w:vAlign w:val="bottom"/>
          </w:tcPr>
          <w:p>
            <w:pPr>
              <w:ind w:left="22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(742)</w:t>
            </w: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538</w:t>
            </w:r>
          </w:p>
        </w:tc>
        <w:tc>
          <w:tcPr>
            <w:tcW w:w="0" w:type="dxa"/>
            <w:vAlign w:val="bottom"/>
          </w:tcPr>
          <w:p>
            <w:pPr>
              <w:spacing w:after="0"/>
              <w:rPr>
                <w:sz w:val="1"/>
                <w:szCs w:val="1"/>
                <w:color w:val="auto"/>
              </w:rPr>
            </w:pPr>
          </w:p>
        </w:tc>
      </w:tr>
      <w:tr>
        <w:trPr>
          <w:trHeight w:val="135"/>
        </w:trPr>
        <w:tc>
          <w:tcPr>
            <w:tcW w:w="58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Other long-term assets</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35"/>
        </w:trPr>
        <w:tc>
          <w:tcPr>
            <w:tcW w:w="5800" w:type="dxa"/>
            <w:vAlign w:val="bottom"/>
          </w:tcPr>
          <w:p>
            <w:pPr>
              <w:ind w:left="220"/>
              <w:spacing w:after="0" w:line="135" w:lineRule="exact"/>
              <w:rPr>
                <w:sz w:val="20"/>
                <w:szCs w:val="20"/>
                <w:color w:val="auto"/>
              </w:rPr>
            </w:pPr>
            <w:r>
              <w:rPr>
                <w:rFonts w:ascii="Arial" w:cs="Arial" w:eastAsia="Arial" w:hAnsi="Arial"/>
                <w:sz w:val="13"/>
                <w:szCs w:val="13"/>
                <w:color w:val="auto"/>
              </w:rPr>
              <w:t>Accounts payable</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1,480</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(4,297)</w:t>
            </w:r>
          </w:p>
        </w:tc>
        <w:tc>
          <w:tcPr>
            <w:tcW w:w="0" w:type="dxa"/>
            <w:vAlign w:val="bottom"/>
          </w:tcPr>
          <w:p>
            <w:pPr>
              <w:spacing w:after="0"/>
              <w:rPr>
                <w:sz w:val="1"/>
                <w:szCs w:val="1"/>
                <w:color w:val="auto"/>
              </w:rPr>
            </w:pPr>
          </w:p>
        </w:tc>
      </w:tr>
      <w:tr>
        <w:trPr>
          <w:trHeight w:val="135"/>
        </w:trPr>
        <w:tc>
          <w:tcPr>
            <w:tcW w:w="58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Vendor financing facility</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(6,792)</w:t>
            </w:r>
          </w:p>
        </w:tc>
        <w:tc>
          <w:tcPr>
            <w:tcW w:w="0" w:type="dxa"/>
            <w:vAlign w:val="bottom"/>
          </w:tcPr>
          <w:p>
            <w:pPr>
              <w:spacing w:after="0"/>
              <w:rPr>
                <w:sz w:val="1"/>
                <w:szCs w:val="1"/>
                <w:color w:val="auto"/>
              </w:rPr>
            </w:pPr>
          </w:p>
        </w:tc>
      </w:tr>
      <w:tr>
        <w:trPr>
          <w:trHeight w:val="135"/>
        </w:trPr>
        <w:tc>
          <w:tcPr>
            <w:tcW w:w="5800" w:type="dxa"/>
            <w:vAlign w:val="bottom"/>
          </w:tcPr>
          <w:p>
            <w:pPr>
              <w:ind w:left="220"/>
              <w:spacing w:after="0" w:line="135" w:lineRule="exact"/>
              <w:rPr>
                <w:sz w:val="20"/>
                <w:szCs w:val="20"/>
                <w:color w:val="auto"/>
              </w:rPr>
            </w:pPr>
            <w:r>
              <w:rPr>
                <w:rFonts w:ascii="Arial" w:cs="Arial" w:eastAsia="Arial" w:hAnsi="Arial"/>
                <w:sz w:val="13"/>
                <w:szCs w:val="13"/>
                <w:color w:val="auto"/>
              </w:rPr>
              <w:t>Accrued liabilities</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(2,138)</w:t>
            </w: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(2,551)</w:t>
            </w:r>
          </w:p>
        </w:tc>
        <w:tc>
          <w:tcPr>
            <w:tcW w:w="0" w:type="dxa"/>
            <w:vAlign w:val="bottom"/>
          </w:tcPr>
          <w:p>
            <w:pPr>
              <w:spacing w:after="0"/>
              <w:rPr>
                <w:sz w:val="1"/>
                <w:szCs w:val="1"/>
                <w:color w:val="auto"/>
              </w:rPr>
            </w:pPr>
          </w:p>
        </w:tc>
      </w:tr>
      <w:tr>
        <w:trPr>
          <w:trHeight w:val="135"/>
        </w:trPr>
        <w:tc>
          <w:tcPr>
            <w:tcW w:w="58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Deferred revenue</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(8,954)</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(10,917)</w:t>
            </w:r>
          </w:p>
        </w:tc>
        <w:tc>
          <w:tcPr>
            <w:tcW w:w="0" w:type="dxa"/>
            <w:vAlign w:val="bottom"/>
          </w:tcPr>
          <w:p>
            <w:pPr>
              <w:spacing w:after="0"/>
              <w:rPr>
                <w:sz w:val="1"/>
                <w:szCs w:val="1"/>
                <w:color w:val="auto"/>
              </w:rPr>
            </w:pPr>
          </w:p>
        </w:tc>
      </w:tr>
      <w:tr>
        <w:trPr>
          <w:trHeight w:val="135"/>
        </w:trPr>
        <w:tc>
          <w:tcPr>
            <w:tcW w:w="5800" w:type="dxa"/>
            <w:vAlign w:val="bottom"/>
          </w:tcPr>
          <w:p>
            <w:pPr>
              <w:ind w:left="220"/>
              <w:spacing w:after="0" w:line="135" w:lineRule="exact"/>
              <w:rPr>
                <w:sz w:val="20"/>
                <w:szCs w:val="20"/>
                <w:color w:val="auto"/>
              </w:rPr>
            </w:pPr>
            <w:r>
              <w:rPr>
                <w:rFonts w:ascii="Arial" w:cs="Arial" w:eastAsia="Arial" w:hAnsi="Arial"/>
                <w:sz w:val="13"/>
                <w:szCs w:val="13"/>
                <w:color w:val="auto"/>
              </w:rPr>
              <w:t>Other long-term liabilities</w:t>
            </w:r>
          </w:p>
        </w:tc>
        <w:tc>
          <w:tcPr>
            <w:tcW w:w="8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(247)</w:t>
            </w:r>
          </w:p>
        </w:tc>
        <w:tc>
          <w:tcPr>
            <w:tcW w:w="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28"/>
        </w:trPr>
        <w:tc>
          <w:tcPr>
            <w:tcW w:w="5800" w:type="dxa"/>
            <w:vAlign w:val="bottom"/>
            <w:shd w:val="clear" w:color="auto" w:fill="CCEEFF"/>
          </w:tcPr>
          <w:p>
            <w:pPr>
              <w:ind w:left="340"/>
              <w:spacing w:after="0" w:line="129" w:lineRule="exact"/>
              <w:rPr>
                <w:sz w:val="20"/>
                <w:szCs w:val="20"/>
                <w:color w:val="auto"/>
              </w:rPr>
            </w:pPr>
            <w:r>
              <w:rPr>
                <w:rFonts w:ascii="Arial" w:cs="Arial" w:eastAsia="Arial" w:hAnsi="Arial"/>
                <w:sz w:val="13"/>
                <w:szCs w:val="13"/>
                <w:b w:val="1"/>
                <w:bCs w:val="1"/>
                <w:color w:val="auto"/>
              </w:rPr>
              <w:t>Net cash used in operating activities</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3"/>
                <w:szCs w:val="13"/>
                <w:color w:val="auto"/>
              </w:rPr>
              <w:t>(35,719)</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(38,415)</w:t>
            </w:r>
          </w:p>
        </w:tc>
        <w:tc>
          <w:tcPr>
            <w:tcW w:w="0" w:type="dxa"/>
            <w:vAlign w:val="bottom"/>
          </w:tcPr>
          <w:p>
            <w:pPr>
              <w:spacing w:after="0"/>
              <w:rPr>
                <w:sz w:val="1"/>
                <w:szCs w:val="1"/>
                <w:color w:val="auto"/>
              </w:rPr>
            </w:pPr>
          </w:p>
        </w:tc>
      </w:tr>
      <w:tr>
        <w:trPr>
          <w:trHeight w:val="128"/>
        </w:trPr>
        <w:tc>
          <w:tcPr>
            <w:tcW w:w="5800" w:type="dxa"/>
            <w:vAlign w:val="bottom"/>
            <w:tcBorders>
              <w:top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Cash Flows from Investing Activities</w:t>
            </w:r>
          </w:p>
        </w:tc>
        <w:tc>
          <w:tcPr>
            <w:tcW w:w="88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Purchase of property and equipment</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(229)</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(214)</w:t>
            </w:r>
          </w:p>
        </w:tc>
        <w:tc>
          <w:tcPr>
            <w:tcW w:w="0" w:type="dxa"/>
            <w:vAlign w:val="bottom"/>
          </w:tcPr>
          <w:p>
            <w:pPr>
              <w:spacing w:after="0"/>
              <w:rPr>
                <w:sz w:val="1"/>
                <w:szCs w:val="1"/>
                <w:color w:val="auto"/>
              </w:rPr>
            </w:pPr>
          </w:p>
        </w:tc>
      </w:tr>
      <w:tr>
        <w:trPr>
          <w:trHeight w:val="135"/>
        </w:trPr>
        <w:tc>
          <w:tcPr>
            <w:tcW w:w="5800" w:type="dxa"/>
            <w:vAlign w:val="bottom"/>
          </w:tcPr>
          <w:p>
            <w:pPr>
              <w:ind w:left="120"/>
              <w:spacing w:after="0" w:line="135" w:lineRule="exact"/>
              <w:rPr>
                <w:sz w:val="20"/>
                <w:szCs w:val="20"/>
                <w:color w:val="auto"/>
              </w:rPr>
            </w:pPr>
            <w:r>
              <w:rPr>
                <w:rFonts w:ascii="Arial" w:cs="Arial" w:eastAsia="Arial" w:hAnsi="Arial"/>
                <w:sz w:val="13"/>
                <w:szCs w:val="13"/>
                <w:color w:val="auto"/>
              </w:rPr>
              <w:t>Payments relating to capitalized software</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(3,584)</w:t>
            </w: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(1,249)</w:t>
            </w:r>
          </w:p>
        </w:tc>
        <w:tc>
          <w:tcPr>
            <w:tcW w:w="0" w:type="dxa"/>
            <w:vAlign w:val="bottom"/>
          </w:tcPr>
          <w:p>
            <w:pPr>
              <w:spacing w:after="0"/>
              <w:rPr>
                <w:sz w:val="1"/>
                <w:szCs w:val="1"/>
                <w:color w:val="auto"/>
              </w:rPr>
            </w:pPr>
          </w:p>
        </w:tc>
      </w:tr>
      <w:tr>
        <w:trPr>
          <w:trHeight w:val="135"/>
        </w:trPr>
        <w:tc>
          <w:tcPr>
            <w:tcW w:w="5800" w:type="dxa"/>
            <w:vAlign w:val="bottom"/>
            <w:tcBorders>
              <w:bottom w:val="single" w:sz="8" w:color="CCEEFF"/>
            </w:tcBorders>
            <w:shd w:val="clear" w:color="auto" w:fill="CCEEFF"/>
          </w:tcPr>
          <w:p>
            <w:pPr>
              <w:ind w:left="120"/>
              <w:spacing w:after="0" w:line="135" w:lineRule="exact"/>
              <w:rPr>
                <w:sz w:val="20"/>
                <w:szCs w:val="20"/>
                <w:color w:val="auto"/>
              </w:rPr>
            </w:pPr>
            <w:r>
              <w:rPr>
                <w:rFonts w:ascii="Arial" w:cs="Arial" w:eastAsia="Arial" w:hAnsi="Arial"/>
                <w:sz w:val="13"/>
                <w:szCs w:val="13"/>
                <w:color w:val="auto"/>
              </w:rPr>
              <w:t>Investment in non-affiliate</w:t>
            </w:r>
          </w:p>
        </w:tc>
        <w:tc>
          <w:tcPr>
            <w:tcW w:w="8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(2,000)</w:t>
            </w:r>
          </w:p>
        </w:tc>
        <w:tc>
          <w:tcPr>
            <w:tcW w:w="2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5800" w:type="dxa"/>
            <w:vAlign w:val="bottom"/>
          </w:tcPr>
          <w:p>
            <w:pPr>
              <w:ind w:left="340"/>
              <w:spacing w:after="0" w:line="129" w:lineRule="exact"/>
              <w:rPr>
                <w:sz w:val="20"/>
                <w:szCs w:val="20"/>
                <w:color w:val="auto"/>
              </w:rPr>
            </w:pPr>
            <w:r>
              <w:rPr>
                <w:rFonts w:ascii="Arial" w:cs="Arial" w:eastAsia="Arial" w:hAnsi="Arial"/>
                <w:sz w:val="13"/>
                <w:szCs w:val="13"/>
                <w:b w:val="1"/>
                <w:bCs w:val="1"/>
                <w:color w:val="auto"/>
              </w:rPr>
              <w:t>Net cash used in investing activities</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(5,813)</w:t>
            </w:r>
          </w:p>
        </w:tc>
        <w:tc>
          <w:tcPr>
            <w:tcW w:w="22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(1,463)</w:t>
            </w:r>
          </w:p>
        </w:tc>
        <w:tc>
          <w:tcPr>
            <w:tcW w:w="0" w:type="dxa"/>
            <w:vAlign w:val="bottom"/>
          </w:tcPr>
          <w:p>
            <w:pPr>
              <w:spacing w:after="0"/>
              <w:rPr>
                <w:sz w:val="1"/>
                <w:szCs w:val="1"/>
                <w:color w:val="auto"/>
              </w:rPr>
            </w:pPr>
          </w:p>
        </w:tc>
      </w:tr>
      <w:tr>
        <w:trPr>
          <w:trHeight w:val="128"/>
        </w:trPr>
        <w:tc>
          <w:tcPr>
            <w:tcW w:w="58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Cash Flows from Financing Activities</w:t>
            </w:r>
          </w:p>
        </w:tc>
        <w:tc>
          <w:tcPr>
            <w:tcW w:w="88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00" w:type="dxa"/>
            <w:vAlign w:val="bottom"/>
          </w:tcPr>
          <w:p>
            <w:pPr>
              <w:ind w:left="120"/>
              <w:spacing w:after="0" w:line="135" w:lineRule="exact"/>
              <w:rPr>
                <w:sz w:val="20"/>
                <w:szCs w:val="20"/>
                <w:color w:val="auto"/>
              </w:rPr>
            </w:pPr>
            <w:r>
              <w:rPr>
                <w:rFonts w:ascii="Arial" w:cs="Arial" w:eastAsia="Arial" w:hAnsi="Arial"/>
                <w:sz w:val="13"/>
                <w:szCs w:val="13"/>
                <w:color w:val="auto"/>
              </w:rPr>
              <w:t>Proceeds from the exercise of common stock options</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280</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35"/>
        </w:trPr>
        <w:tc>
          <w:tcPr>
            <w:tcW w:w="58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Proceeds from the issuance of term loans</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60,250</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12,600</w:t>
            </w:r>
          </w:p>
        </w:tc>
        <w:tc>
          <w:tcPr>
            <w:tcW w:w="0" w:type="dxa"/>
            <w:vAlign w:val="bottom"/>
          </w:tcPr>
          <w:p>
            <w:pPr>
              <w:spacing w:after="0"/>
              <w:rPr>
                <w:sz w:val="1"/>
                <w:szCs w:val="1"/>
                <w:color w:val="auto"/>
              </w:rPr>
            </w:pPr>
          </w:p>
        </w:tc>
      </w:tr>
      <w:tr>
        <w:trPr>
          <w:trHeight w:val="135"/>
        </w:trPr>
        <w:tc>
          <w:tcPr>
            <w:tcW w:w="5800" w:type="dxa"/>
            <w:vAlign w:val="bottom"/>
          </w:tcPr>
          <w:p>
            <w:pPr>
              <w:ind w:left="120"/>
              <w:spacing w:after="0" w:line="135" w:lineRule="exact"/>
              <w:rPr>
                <w:sz w:val="20"/>
                <w:szCs w:val="20"/>
                <w:color w:val="auto"/>
              </w:rPr>
            </w:pPr>
            <w:r>
              <w:rPr>
                <w:rFonts w:ascii="Arial" w:cs="Arial" w:eastAsia="Arial" w:hAnsi="Arial"/>
                <w:sz w:val="13"/>
                <w:szCs w:val="13"/>
                <w:color w:val="auto"/>
              </w:rPr>
              <w:t>Payment of debt issuance costs</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(1,294)</w:t>
            </w: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(1,287)</w:t>
            </w:r>
          </w:p>
        </w:tc>
        <w:tc>
          <w:tcPr>
            <w:tcW w:w="0" w:type="dxa"/>
            <w:vAlign w:val="bottom"/>
          </w:tcPr>
          <w:p>
            <w:pPr>
              <w:spacing w:after="0"/>
              <w:rPr>
                <w:sz w:val="1"/>
                <w:szCs w:val="1"/>
                <w:color w:val="auto"/>
              </w:rPr>
            </w:pPr>
          </w:p>
        </w:tc>
      </w:tr>
      <w:tr>
        <w:trPr>
          <w:trHeight w:val="135"/>
        </w:trPr>
        <w:tc>
          <w:tcPr>
            <w:tcW w:w="58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Repayment of term loans</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(32,980)</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800" w:type="dxa"/>
            <w:vAlign w:val="bottom"/>
          </w:tcPr>
          <w:p>
            <w:pPr>
              <w:ind w:left="120"/>
              <w:spacing w:after="0" w:line="135" w:lineRule="exact"/>
              <w:rPr>
                <w:sz w:val="20"/>
                <w:szCs w:val="20"/>
                <w:color w:val="auto"/>
              </w:rPr>
            </w:pPr>
            <w:r>
              <w:rPr>
                <w:rFonts w:ascii="Arial" w:cs="Arial" w:eastAsia="Arial" w:hAnsi="Arial"/>
                <w:sz w:val="13"/>
                <w:szCs w:val="13"/>
                <w:color w:val="auto"/>
              </w:rPr>
              <w:t>Payment of penalties and other costs on extinguishment of debt</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(6,144)</w:t>
            </w: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8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Proceeds from issuance of convertible promissory notes and embedded warrants</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5,500</w:t>
            </w:r>
          </w:p>
        </w:tc>
        <w:tc>
          <w:tcPr>
            <w:tcW w:w="0" w:type="dxa"/>
            <w:vAlign w:val="bottom"/>
          </w:tcPr>
          <w:p>
            <w:pPr>
              <w:spacing w:after="0"/>
              <w:rPr>
                <w:sz w:val="1"/>
                <w:szCs w:val="1"/>
                <w:color w:val="auto"/>
              </w:rPr>
            </w:pPr>
          </w:p>
        </w:tc>
      </w:tr>
      <w:tr>
        <w:trPr>
          <w:trHeight w:val="135"/>
        </w:trPr>
        <w:tc>
          <w:tcPr>
            <w:tcW w:w="5800" w:type="dxa"/>
            <w:vAlign w:val="bottom"/>
          </w:tcPr>
          <w:p>
            <w:pPr>
              <w:ind w:left="120"/>
              <w:spacing w:after="0" w:line="135" w:lineRule="exact"/>
              <w:rPr>
                <w:sz w:val="20"/>
                <w:szCs w:val="20"/>
                <w:color w:val="auto"/>
              </w:rPr>
            </w:pPr>
            <w:r>
              <w:rPr>
                <w:rFonts w:ascii="Arial" w:cs="Arial" w:eastAsia="Arial" w:hAnsi="Arial"/>
                <w:sz w:val="13"/>
                <w:szCs w:val="13"/>
                <w:color w:val="auto"/>
              </w:rPr>
              <w:t>Proceeds from issuance of financing obligations</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8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Principal payments of financing obligations</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(3,669)</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(2,009)</w:t>
            </w:r>
          </w:p>
        </w:tc>
        <w:tc>
          <w:tcPr>
            <w:tcW w:w="0" w:type="dxa"/>
            <w:vAlign w:val="bottom"/>
          </w:tcPr>
          <w:p>
            <w:pPr>
              <w:spacing w:after="0"/>
              <w:rPr>
                <w:sz w:val="1"/>
                <w:szCs w:val="1"/>
                <w:color w:val="auto"/>
              </w:rPr>
            </w:pPr>
          </w:p>
        </w:tc>
      </w:tr>
      <w:tr>
        <w:trPr>
          <w:trHeight w:val="135"/>
        </w:trPr>
        <w:tc>
          <w:tcPr>
            <w:tcW w:w="5800" w:type="dxa"/>
            <w:vAlign w:val="bottom"/>
          </w:tcPr>
          <w:p>
            <w:pPr>
              <w:ind w:left="120"/>
              <w:spacing w:after="0" w:line="135" w:lineRule="exact"/>
              <w:rPr>
                <w:sz w:val="20"/>
                <w:szCs w:val="20"/>
                <w:color w:val="auto"/>
              </w:rPr>
            </w:pPr>
            <w:r>
              <w:rPr>
                <w:rFonts w:ascii="Arial" w:cs="Arial" w:eastAsia="Arial" w:hAnsi="Arial"/>
                <w:sz w:val="13"/>
                <w:szCs w:val="13"/>
                <w:color w:val="auto"/>
              </w:rPr>
              <w:t>Proceeds from the issuance of common stock</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1,100</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8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Contributions from Merger and PIPE financing, net of transaction costs and other payments</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49,840</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800" w:type="dxa"/>
            <w:vAlign w:val="bottom"/>
          </w:tcPr>
          <w:p>
            <w:pPr>
              <w:ind w:left="120"/>
              <w:spacing w:after="0" w:line="135" w:lineRule="exact"/>
              <w:rPr>
                <w:sz w:val="20"/>
                <w:szCs w:val="20"/>
                <w:color w:val="auto"/>
              </w:rPr>
            </w:pPr>
            <w:r>
              <w:rPr>
                <w:rFonts w:ascii="Arial" w:cs="Arial" w:eastAsia="Arial" w:hAnsi="Arial"/>
                <w:sz w:val="13"/>
                <w:szCs w:val="13"/>
                <w:color w:val="auto"/>
              </w:rPr>
              <w:t>Payments of deferred transaction costs</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(1,890)</w:t>
            </w: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(1,541)</w:t>
            </w:r>
          </w:p>
        </w:tc>
        <w:tc>
          <w:tcPr>
            <w:tcW w:w="0" w:type="dxa"/>
            <w:vAlign w:val="bottom"/>
          </w:tcPr>
          <w:p>
            <w:pPr>
              <w:spacing w:after="0"/>
              <w:rPr>
                <w:sz w:val="1"/>
                <w:szCs w:val="1"/>
                <w:color w:val="auto"/>
              </w:rPr>
            </w:pPr>
          </w:p>
        </w:tc>
      </w:tr>
      <w:tr>
        <w:trPr>
          <w:trHeight w:val="142"/>
        </w:trPr>
        <w:tc>
          <w:tcPr>
            <w:tcW w:w="5800" w:type="dxa"/>
            <w:vAlign w:val="bottom"/>
            <w:shd w:val="clear" w:color="auto" w:fill="CCEEFF"/>
          </w:tcPr>
          <w:p>
            <w:pPr>
              <w:ind w:left="340"/>
              <w:spacing w:after="0" w:line="142" w:lineRule="exact"/>
              <w:rPr>
                <w:sz w:val="20"/>
                <w:szCs w:val="20"/>
                <w:color w:val="auto"/>
              </w:rPr>
            </w:pPr>
            <w:r>
              <w:rPr>
                <w:rFonts w:ascii="Arial" w:cs="Arial" w:eastAsia="Arial" w:hAnsi="Arial"/>
                <w:sz w:val="13"/>
                <w:szCs w:val="13"/>
                <w:b w:val="1"/>
                <w:bCs w:val="1"/>
                <w:color w:val="auto"/>
              </w:rPr>
              <w:t>Net cash provided by financing activities</w:t>
            </w:r>
          </w:p>
        </w:tc>
        <w:tc>
          <w:tcPr>
            <w:tcW w:w="880" w:type="dxa"/>
            <w:vAlign w:val="bottom"/>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65,493</w:t>
            </w:r>
          </w:p>
        </w:tc>
        <w:tc>
          <w:tcPr>
            <w:tcW w:w="200" w:type="dxa"/>
            <w:vAlign w:val="bottom"/>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13,367</w:t>
            </w:r>
          </w:p>
        </w:tc>
        <w:tc>
          <w:tcPr>
            <w:tcW w:w="0" w:type="dxa"/>
            <w:vAlign w:val="bottom"/>
          </w:tcPr>
          <w:p>
            <w:pPr>
              <w:spacing w:after="0"/>
              <w:rPr>
                <w:sz w:val="1"/>
                <w:szCs w:val="1"/>
                <w:color w:val="auto"/>
              </w:rPr>
            </w:pPr>
          </w:p>
        </w:tc>
      </w:tr>
      <w:tr>
        <w:trPr>
          <w:trHeight w:val="129"/>
        </w:trPr>
        <w:tc>
          <w:tcPr>
            <w:tcW w:w="5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increase (decrease) in cash and cash equivalents</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23,961</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(26,511)</w:t>
            </w:r>
          </w:p>
        </w:tc>
        <w:tc>
          <w:tcPr>
            <w:tcW w:w="0" w:type="dxa"/>
            <w:vAlign w:val="bottom"/>
          </w:tcPr>
          <w:p>
            <w:pPr>
              <w:spacing w:after="0"/>
              <w:rPr>
                <w:sz w:val="1"/>
                <w:szCs w:val="1"/>
                <w:color w:val="auto"/>
              </w:rPr>
            </w:pPr>
          </w:p>
        </w:tc>
      </w:tr>
      <w:tr>
        <w:trPr>
          <w:trHeight w:val="135"/>
        </w:trPr>
        <w:tc>
          <w:tcPr>
            <w:tcW w:w="580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color w:val="auto"/>
              </w:rPr>
              <w:t>Cash and cash equivalents at beginning of period</w:t>
            </w:r>
          </w:p>
        </w:tc>
        <w:tc>
          <w:tcPr>
            <w:tcW w:w="8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3,017</w:t>
            </w:r>
          </w:p>
        </w:tc>
        <w:tc>
          <w:tcPr>
            <w:tcW w:w="2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36,909</w:t>
            </w:r>
          </w:p>
        </w:tc>
        <w:tc>
          <w:tcPr>
            <w:tcW w:w="0" w:type="dxa"/>
            <w:vAlign w:val="bottom"/>
          </w:tcPr>
          <w:p>
            <w:pPr>
              <w:spacing w:after="0"/>
              <w:rPr>
                <w:sz w:val="1"/>
                <w:szCs w:val="1"/>
                <w:color w:val="auto"/>
              </w:rPr>
            </w:pPr>
          </w:p>
        </w:tc>
      </w:tr>
      <w:tr>
        <w:trPr>
          <w:trHeight w:val="128"/>
        </w:trPr>
        <w:tc>
          <w:tcPr>
            <w:tcW w:w="58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Cash and cash equivalents at end of period</w:t>
            </w:r>
          </w:p>
        </w:tc>
        <w:tc>
          <w:tcPr>
            <w:tcW w:w="8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26,978</w:t>
            </w:r>
          </w:p>
        </w:tc>
        <w:tc>
          <w:tcPr>
            <w:tcW w:w="2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10,398</w:t>
            </w:r>
          </w:p>
        </w:tc>
        <w:tc>
          <w:tcPr>
            <w:tcW w:w="0" w:type="dxa"/>
            <w:vAlign w:val="bottom"/>
          </w:tcPr>
          <w:p>
            <w:pPr>
              <w:spacing w:after="0"/>
              <w:rPr>
                <w:sz w:val="1"/>
                <w:szCs w:val="1"/>
                <w:color w:val="auto"/>
              </w:rPr>
            </w:pPr>
          </w:p>
        </w:tc>
      </w:tr>
      <w:tr>
        <w:trPr>
          <w:trHeight w:val="115"/>
        </w:trPr>
        <w:tc>
          <w:tcPr>
            <w:tcW w:w="5800" w:type="dxa"/>
            <w:vAlign w:val="bottom"/>
          </w:tcPr>
          <w:p>
            <w:pPr>
              <w:ind w:left="20"/>
              <w:spacing w:after="0" w:line="115" w:lineRule="exact"/>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8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Capitalization of stock-based compensation expense to capitalized software</w:t>
            </w:r>
          </w:p>
        </w:tc>
        <w:tc>
          <w:tcPr>
            <w:tcW w:w="1100" w:type="dxa"/>
            <w:vAlign w:val="bottom"/>
            <w:gridSpan w:val="2"/>
            <w:shd w:val="clear" w:color="auto" w:fill="CCEEFF"/>
          </w:tcPr>
          <w:p>
            <w:pPr>
              <w:jc w:val="right"/>
              <w:ind w:right="108"/>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915</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35"/>
        </w:trPr>
        <w:tc>
          <w:tcPr>
            <w:tcW w:w="5800" w:type="dxa"/>
            <w:vAlign w:val="bottom"/>
          </w:tcPr>
          <w:p>
            <w:pPr>
              <w:ind w:left="20"/>
              <w:spacing w:after="0" w:line="135" w:lineRule="exact"/>
              <w:rPr>
                <w:sz w:val="20"/>
                <w:szCs w:val="20"/>
                <w:color w:val="auto"/>
              </w:rPr>
            </w:pPr>
            <w:r>
              <w:rPr>
                <w:rFonts w:ascii="Arial" w:cs="Arial" w:eastAsia="Arial" w:hAnsi="Arial"/>
                <w:sz w:val="13"/>
                <w:szCs w:val="13"/>
                <w:color w:val="auto"/>
              </w:rPr>
              <w:t>Issuance of warrants (Refer to Note 2)</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1,352</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1,466</w:t>
            </w:r>
          </w:p>
        </w:tc>
        <w:tc>
          <w:tcPr>
            <w:tcW w:w="0" w:type="dxa"/>
            <w:vAlign w:val="bottom"/>
          </w:tcPr>
          <w:p>
            <w:pPr>
              <w:spacing w:after="0"/>
              <w:rPr>
                <w:sz w:val="1"/>
                <w:szCs w:val="1"/>
                <w:color w:val="auto"/>
              </w:rPr>
            </w:pPr>
          </w:p>
        </w:tc>
      </w:tr>
      <w:tr>
        <w:trPr>
          <w:trHeight w:val="148"/>
        </w:trPr>
        <w:tc>
          <w:tcPr>
            <w:tcW w:w="5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 contribution from shareholder in conjunction with Credit Agreement</w:t>
            </w: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2,779</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800" w:type="dxa"/>
            <w:vAlign w:val="bottom"/>
          </w:tcPr>
          <w:p>
            <w:pPr>
              <w:ind w:left="20"/>
              <w:spacing w:after="0" w:line="135" w:lineRule="exact"/>
              <w:rPr>
                <w:sz w:val="20"/>
                <w:szCs w:val="20"/>
                <w:color w:val="auto"/>
              </w:rPr>
            </w:pPr>
            <w:r>
              <w:rPr>
                <w:rFonts w:ascii="Arial" w:cs="Arial" w:eastAsia="Arial" w:hAnsi="Arial"/>
                <w:sz w:val="13"/>
                <w:szCs w:val="13"/>
                <w:color w:val="auto"/>
              </w:rPr>
              <w:t>Issuance of warrants in conjunction with Credit Agreement</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2,705</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8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warrants in conjunction with Lago Term Loan</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843</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800" w:type="dxa"/>
            <w:vAlign w:val="bottom"/>
          </w:tcPr>
          <w:p>
            <w:pPr>
              <w:ind w:left="20"/>
              <w:spacing w:after="0" w:line="135" w:lineRule="exact"/>
              <w:rPr>
                <w:sz w:val="20"/>
                <w:szCs w:val="20"/>
                <w:color w:val="auto"/>
              </w:rPr>
            </w:pPr>
            <w:r>
              <w:rPr>
                <w:rFonts w:ascii="Arial" w:cs="Arial" w:eastAsia="Arial" w:hAnsi="Arial"/>
                <w:sz w:val="13"/>
                <w:szCs w:val="13"/>
                <w:color w:val="auto"/>
              </w:rPr>
              <w:t>Convertible note conversion to common stock</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41,392</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8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Reclassification of warrants from liabilities to equity</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830</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800" w:type="dxa"/>
            <w:vAlign w:val="bottom"/>
          </w:tcPr>
          <w:p>
            <w:pPr>
              <w:ind w:left="20"/>
              <w:spacing w:after="0" w:line="135" w:lineRule="exact"/>
              <w:rPr>
                <w:sz w:val="20"/>
                <w:szCs w:val="20"/>
                <w:color w:val="auto"/>
              </w:rPr>
            </w:pPr>
            <w:r>
              <w:rPr>
                <w:rFonts w:ascii="Arial" w:cs="Arial" w:eastAsia="Arial" w:hAnsi="Arial"/>
                <w:sz w:val="13"/>
                <w:szCs w:val="13"/>
                <w:color w:val="auto"/>
              </w:rPr>
              <w:t>Recognition of liability classified warrants upon Merger</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9,388</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8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Recognition of Unvested Founder Shares liability</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1,588</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5800" w:type="dxa"/>
            <w:vAlign w:val="bottom"/>
          </w:tcPr>
          <w:p>
            <w:pPr>
              <w:ind w:left="20"/>
              <w:spacing w:after="0" w:line="135" w:lineRule="exact"/>
              <w:rPr>
                <w:sz w:val="20"/>
                <w:szCs w:val="20"/>
                <w:color w:val="auto"/>
              </w:rPr>
            </w:pPr>
            <w:r>
              <w:rPr>
                <w:rFonts w:ascii="Arial" w:cs="Arial" w:eastAsia="Arial" w:hAnsi="Arial"/>
                <w:sz w:val="13"/>
                <w:szCs w:val="13"/>
                <w:color w:val="auto"/>
              </w:rPr>
              <w:t>Forgiveness of PPP Loan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2,000</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2,599</w:t>
            </w:r>
          </w:p>
        </w:tc>
        <w:tc>
          <w:tcPr>
            <w:tcW w:w="0" w:type="dxa"/>
            <w:vAlign w:val="bottom"/>
          </w:tcPr>
          <w:p>
            <w:pPr>
              <w:spacing w:after="0"/>
              <w:rPr>
                <w:sz w:val="1"/>
                <w:szCs w:val="1"/>
                <w:color w:val="auto"/>
              </w:rPr>
            </w:pPr>
          </w:p>
        </w:tc>
      </w:tr>
      <w:tr>
        <w:trPr>
          <w:trHeight w:val="135"/>
        </w:trPr>
        <w:tc>
          <w:tcPr>
            <w:tcW w:w="58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Transaction costs recorded in accounts payable and accrued liabilities</w:t>
            </w: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5,584</w:t>
            </w:r>
          </w:p>
        </w:tc>
        <w:tc>
          <w:tcPr>
            <w:tcW w:w="0" w:type="dxa"/>
            <w:vAlign w:val="bottom"/>
          </w:tcPr>
          <w:p>
            <w:pPr>
              <w:spacing w:after="0"/>
              <w:rPr>
                <w:sz w:val="1"/>
                <w:szCs w:val="1"/>
                <w:color w:val="auto"/>
              </w:rPr>
            </w:pPr>
          </w:p>
        </w:tc>
      </w:tr>
      <w:tr>
        <w:trPr>
          <w:trHeight w:val="135"/>
        </w:trPr>
        <w:tc>
          <w:tcPr>
            <w:tcW w:w="5800" w:type="dxa"/>
            <w:vAlign w:val="bottom"/>
          </w:tcPr>
          <w:p>
            <w:pPr>
              <w:ind w:left="20"/>
              <w:spacing w:after="0" w:line="135" w:lineRule="exact"/>
              <w:rPr>
                <w:sz w:val="20"/>
                <w:szCs w:val="20"/>
                <w:color w:val="auto"/>
              </w:rPr>
            </w:pPr>
            <w:r>
              <w:rPr>
                <w:rFonts w:ascii="Arial" w:cs="Arial" w:eastAsia="Arial" w:hAnsi="Arial"/>
                <w:sz w:val="13"/>
                <w:szCs w:val="13"/>
                <w:color w:val="auto"/>
              </w:rPr>
              <w:t>Right of use asset in exchange for operating lease liability</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308</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Cancellation of June 2021 Note and related accrued interest, with issuance of February 2022 Note</w:t>
            </w: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20,663</w:t>
            </w:r>
          </w:p>
        </w:tc>
        <w:tc>
          <w:tcPr>
            <w:tcW w:w="0" w:type="dxa"/>
            <w:vAlign w:val="bottom"/>
          </w:tcPr>
          <w:p>
            <w:pPr>
              <w:spacing w:after="0"/>
              <w:rPr>
                <w:sz w:val="1"/>
                <w:szCs w:val="1"/>
                <w:color w:val="auto"/>
              </w:rPr>
            </w:pPr>
          </w:p>
        </w:tc>
      </w:tr>
      <w:tr>
        <w:trPr>
          <w:trHeight w:val="965"/>
        </w:trPr>
        <w:tc>
          <w:tcPr>
            <w:tcW w:w="5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FROM GAAP TO NON-GAAP RESULTS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vMerge w:val="restart"/>
          </w:tcPr>
          <w:p>
            <w:pPr>
              <w:spacing w:after="0"/>
              <w:rPr>
                <w:sz w:val="14"/>
                <w:szCs w:val="14"/>
                <w:color w:val="auto"/>
              </w:rPr>
            </w:pPr>
          </w:p>
        </w:tc>
        <w:tc>
          <w:tcPr>
            <w:tcW w:w="2120" w:type="dxa"/>
            <w:vAlign w:val="bottom"/>
            <w:tcBorders>
              <w:bottom w:val="single" w:sz="8" w:color="auto"/>
            </w:tcBorders>
            <w:gridSpan w:val="5"/>
          </w:tcPr>
          <w:p>
            <w:pPr>
              <w:jc w:val="right"/>
              <w:ind w:right="31"/>
              <w:spacing w:after="0"/>
              <w:rPr>
                <w:sz w:val="20"/>
                <w:szCs w:val="20"/>
                <w:color w:val="auto"/>
              </w:rPr>
            </w:pPr>
            <w:r>
              <w:rPr>
                <w:rFonts w:ascii="Arial" w:cs="Arial" w:eastAsia="Arial" w:hAnsi="Arial"/>
                <w:sz w:val="14"/>
                <w:szCs w:val="14"/>
                <w:b w:val="1"/>
                <w:bCs w:val="1"/>
                <w:color w:val="auto"/>
                <w:w w:val="96"/>
              </w:rPr>
              <w:t>Three months ended March 31,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4"/>
                <w:szCs w:val="14"/>
                <w:b w:val="1"/>
                <w:bCs w:val="1"/>
                <w:color w:val="auto"/>
                <w:w w:val="91"/>
              </w:rPr>
              <w:t>Nine months ended March 31,</w:t>
            </w:r>
          </w:p>
        </w:tc>
        <w:tc>
          <w:tcPr>
            <w:tcW w:w="0" w:type="dxa"/>
            <w:vAlign w:val="bottom"/>
          </w:tcPr>
          <w:p>
            <w:pPr>
              <w:spacing w:after="0"/>
              <w:rPr>
                <w:sz w:val="1"/>
                <w:szCs w:val="1"/>
                <w:color w:val="auto"/>
              </w:rPr>
            </w:pPr>
          </w:p>
        </w:tc>
      </w:tr>
      <w:tr>
        <w:trPr>
          <w:trHeight w:val="142"/>
        </w:trPr>
        <w:tc>
          <w:tcPr>
            <w:tcW w:w="432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(15,680)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(34,062)</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5,794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Earnout stock-based compensation expense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Change in fair value of warrants and convertible</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promissory notes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(18,102)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(61,043)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11,668</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Loss on extinguishment of debt and financial obligations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Other financing and financial instrument (costs) income,</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2"/>
              </w:rPr>
              <w:t>Deferred compensation and bonuses earned upon closing of</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 Merger</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Public relations fee due upon closing of the Merger</w:t>
            </w:r>
          </w:p>
        </w:tc>
        <w:tc>
          <w:tcPr>
            <w:tcW w:w="2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Loss on infrequent product repairs</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Contra-revenue associated with warrant agreement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CEEFF"/>
            </w:tcBorders>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Hardware repair expense related to COVID</w:t>
            </w:r>
            <w:r>
              <w:rPr>
                <w:rFonts w:ascii="Arial" w:cs="Arial" w:eastAsia="Arial" w:hAnsi="Arial"/>
                <w:sz w:val="25"/>
                <w:szCs w:val="25"/>
                <w:color w:val="auto"/>
                <w:vertAlign w:val="superscript"/>
              </w:rPr>
              <w:t>(1)</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0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(9,270)</w:t>
            </w:r>
          </w:p>
        </w:tc>
        <w:tc>
          <w:tcPr>
            <w:tcW w:w="20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(7,090)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(28,218)</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(17,117)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30"/>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June 2022, the Company received a favorable arbitrator ruling related to a matter with its third-party subcontractor</w:t>
      </w:r>
    </w:p>
    <w:p>
      <w:pPr>
        <w:spacing w:after="0" w:line="72" w:lineRule="exact"/>
        <w:rPr>
          <w:rFonts w:ascii="Arial" w:cs="Arial" w:eastAsia="Arial" w:hAnsi="Arial"/>
          <w:sz w:val="16"/>
          <w:szCs w:val="16"/>
          <w:color w:val="auto"/>
        </w:rPr>
      </w:pPr>
    </w:p>
    <w:p>
      <w:pPr>
        <w:ind w:left="380" w:right="139"/>
        <w:spacing w:after="0" w:line="321" w:lineRule="auto"/>
        <w:rPr>
          <w:rFonts w:ascii="Arial" w:cs="Arial" w:eastAsia="Arial" w:hAnsi="Arial"/>
          <w:sz w:val="16"/>
          <w:szCs w:val="16"/>
          <w:color w:val="auto"/>
        </w:rPr>
      </w:pPr>
      <w:r>
        <w:rPr>
          <w:rFonts w:ascii="Arial" w:cs="Arial" w:eastAsia="Arial" w:hAnsi="Arial"/>
          <w:sz w:val="16"/>
          <w:szCs w:val="16"/>
          <w:color w:val="auto"/>
        </w:rPr>
        <w:t>and was awarded approximately $11.3 million in damages related to the Company’s loss on infrequent product repairs and to cover its legal expenses. This arbitration ruling was affirmed by the appellate court in the country of the arbitration ruling on March 6, 2023. On May 2, 2023, the vendor appealed the ruling to the highest court there. The award has not met the criteria to be considered realizable as of March 31, 2023. As a result, the Company has not</w:t>
      </w:r>
    </w:p>
    <w:p>
      <w:pPr>
        <w:spacing w:after="0" w:line="1" w:lineRule="exact"/>
        <w:rPr>
          <w:rFonts w:ascii="Arial" w:cs="Arial" w:eastAsia="Arial" w:hAnsi="Arial"/>
          <w:sz w:val="16"/>
          <w:szCs w:val="16"/>
          <w:color w:val="auto"/>
        </w:rPr>
      </w:pPr>
    </w:p>
    <w:p>
      <w:pPr>
        <w:ind w:left="380" w:right="59"/>
        <w:spacing w:after="0" w:line="308" w:lineRule="auto"/>
        <w:rPr>
          <w:rFonts w:ascii="Arial" w:cs="Arial" w:eastAsia="Arial" w:hAnsi="Arial"/>
          <w:sz w:val="16"/>
          <w:szCs w:val="16"/>
          <w:color w:val="auto"/>
        </w:rPr>
      </w:pPr>
      <w:r>
        <w:rPr>
          <w:rFonts w:ascii="Arial" w:cs="Arial" w:eastAsia="Arial" w:hAnsi="Arial"/>
          <w:sz w:val="18"/>
          <w:szCs w:val="18"/>
          <w:color w:val="auto"/>
        </w:rPr>
        <w:t>recognized any gain related to this settlement in its condensed consolidated statement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314960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2023-05-18T15:28:25Z</dcterms:created>
  <dcterms:modified xsi:type="dcterms:W3CDTF">2023-05-18T15:28:25Z</dcterms:modified>
</cp:coreProperties>
</file>