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880" w:right="940" w:hanging="2932"/>
        <w:spacing w:after="0" w:line="476" w:lineRule="auto"/>
        <w:tabs>
          <w:tab w:leader="none" w:pos="115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001-39830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auto"/>
            </w:tcBorders>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4180" w:type="dxa"/>
            <w:vAlign w:val="bottom"/>
            <w:gridSpan w:val="3"/>
          </w:tcPr>
          <w:p>
            <w:pPr>
              <w:jc w:val="center"/>
              <w:ind w:left="125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6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Greenwich, CT</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(Registrant’s telephone number)</w:t>
            </w:r>
          </w:p>
        </w:tc>
        <w:tc>
          <w:tcPr>
            <w:tcW w:w="3600" w:type="dxa"/>
            <w:vAlign w:val="bottom"/>
          </w:tcPr>
          <w:p>
            <w:pPr>
              <w:spacing w:after="0"/>
              <w:rPr>
                <w:sz w:val="20"/>
                <w:szCs w:val="20"/>
                <w:color w:val="auto"/>
              </w:rPr>
            </w:pPr>
          </w:p>
        </w:tc>
      </w:tr>
      <w:tr>
        <w:trPr>
          <w:trHeight w:val="432"/>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60" w:type="dxa"/>
            <w:vAlign w:val="bottom"/>
            <w:tcBorders>
              <w:top w:val="single" w:sz="8" w:color="auto"/>
            </w:tcBorders>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5"/>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Warrants</w:t>
            </w:r>
          </w:p>
        </w:tc>
        <w:tc>
          <w:tcPr>
            <w:tcW w:w="34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5"/>
              </w:rPr>
              <w:t>VTAQW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180" w:type="dxa"/>
            <w:vAlign w:val="bottom"/>
            <w:gridSpan w:val="3"/>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7"/>
              </w:rPr>
              <w:t>Rights</w:t>
            </w:r>
          </w:p>
        </w:tc>
        <w:tc>
          <w:tcPr>
            <w:tcW w:w="3460" w:type="dxa"/>
            <w:vAlign w:val="bottom"/>
            <w:gridSpan w:val="4"/>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Units</w:t>
            </w:r>
          </w:p>
        </w:tc>
        <w:tc>
          <w:tcPr>
            <w:tcW w:w="34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5"/>
              </w:rPr>
              <w:t>VTAQU</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15, 2022, there were 5,567,518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VENTOUX CCM ACQUISITION CORP.</w:t>
            </w:r>
          </w:p>
        </w:tc>
        <w:tc>
          <w:tcPr>
            <w:tcW w:w="7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0" w:type="dxa"/>
            <w:vAlign w:val="bottom"/>
            <w:gridSpan w:val="9"/>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JUNE 30, 2022</w:t>
            </w:r>
          </w:p>
        </w:tc>
        <w:tc>
          <w:tcPr>
            <w:tcW w:w="7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9"/>
        </w:trPr>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0460" w:type="dxa"/>
            <w:vAlign w:val="bottom"/>
            <w:gridSpan w:val="2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Part I. Financial Information</w:t>
            </w:r>
          </w:p>
        </w:tc>
        <w:tc>
          <w:tcPr>
            <w:tcW w:w="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r>
        <w:trPr>
          <w:trHeight w:val="176"/>
        </w:trPr>
        <w:tc>
          <w:tcPr>
            <w:tcW w:w="1046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 Interim Financial Statements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2022 (Unaudited) and December 31, 2021</w:t>
            </w:r>
          </w:p>
        </w:tc>
        <w:tc>
          <w:tcPr>
            <w:tcW w:w="30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80" w:type="dxa"/>
            <w:vAlign w:val="bottom"/>
          </w:tcPr>
          <w:p>
            <w:pPr>
              <w:spacing w:after="0"/>
              <w:rPr>
                <w:sz w:val="15"/>
                <w:szCs w:val="15"/>
                <w:color w:val="auto"/>
              </w:rPr>
            </w:pPr>
          </w:p>
        </w:tc>
        <w:tc>
          <w:tcPr>
            <w:tcW w:w="10280" w:type="dxa"/>
            <w:vAlign w:val="bottom"/>
            <w:gridSpan w:val="21"/>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six months ended June 30, 2022 and 2021</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Deficit for the three and six months ended June 30, 2022 and</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86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0280" w:type="dxa"/>
            <w:vAlign w:val="bottom"/>
            <w:gridSpan w:val="21"/>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2022 and 2021</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20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5"/>
        </w:trPr>
        <w:tc>
          <w:tcPr>
            <w:tcW w:w="1046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36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1046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04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1046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380" w:type="dxa"/>
            <w:vAlign w:val="bottom"/>
            <w:tcBorders>
              <w:top w:val="single" w:sz="8" w:color="CCEEFF"/>
            </w:tcBorders>
            <w:gridSpan w:val="8"/>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18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7960" w:type="dxa"/>
            <w:vAlign w:val="bottom"/>
            <w:tcBorders>
              <w:top w:val="single" w:sz="8" w:color="CCEEFF"/>
            </w:tcBorders>
            <w:gridSpan w:val="11"/>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60" w:type="dxa"/>
            <w:vAlign w:val="bottom"/>
            <w:gridSpan w:val="2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04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 Signatures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Interim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VENTOUX CCM ACQUISITION CORP.</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406,335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313,158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69,750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12,831,895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174,266,206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13,307,980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174,683,360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1,721,379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extension loan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4,569,254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3,649,691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07" w:lineRule="exact"/>
        <w:rPr>
          <w:sz w:val="20"/>
          <w:szCs w:val="20"/>
          <w:color w:val="auto"/>
        </w:rPr>
      </w:pPr>
    </w:p>
    <w:p>
      <w:pPr>
        <w:ind w:left="160" w:right="40" w:hanging="145"/>
        <w:spacing w:after="0" w:line="282" w:lineRule="auto"/>
        <w:rPr>
          <w:sz w:val="20"/>
          <w:szCs w:val="20"/>
          <w:color w:val="auto"/>
        </w:rPr>
      </w:pPr>
      <w:r>
        <w:rPr>
          <w:rFonts w:ascii="Times New Roman" w:cs="Times New Roman" w:eastAsia="Times New Roman" w:hAnsi="Times New Roman"/>
          <w:sz w:val="18"/>
          <w:szCs w:val="18"/>
          <w:color w:val="auto"/>
        </w:rPr>
        <w:t>Common stock subject to possible redemption 1,255,018 and 17,250,000 shares at approximately $10.21 and $10.10 per share redemption value as of June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p>
      <w:pPr>
        <w:spacing w:after="0" w:line="9" w:lineRule="exact"/>
        <w:rPr>
          <w:sz w:val="20"/>
          <w:szCs w:val="20"/>
          <w:color w:val="auto"/>
        </w:rPr>
      </w:pPr>
    </w:p>
    <w:p>
      <w:pPr>
        <w:ind w:left="160" w:hanging="145"/>
        <w:spacing w:after="0" w:line="250" w:lineRule="auto"/>
        <w:rPr>
          <w:sz w:val="20"/>
          <w:szCs w:val="20"/>
          <w:color w:val="auto"/>
        </w:rPr>
      </w:pPr>
      <w:r>
        <w:rPr>
          <w:rFonts w:ascii="Times New Roman" w:cs="Times New Roman" w:eastAsia="Times New Roman" w:hAnsi="Times New Roman"/>
          <w:sz w:val="18"/>
          <w:szCs w:val="18"/>
          <w:color w:val="auto"/>
        </w:rPr>
        <w:t>Common stock, $0.0001 par value; 50,000,000 shares authorized; 4,312,500 shares issued and outstanding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60" w:right="1180" w:hanging="145"/>
        <w:spacing w:after="0" w:line="286" w:lineRule="auto"/>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8"/>
          <w:szCs w:val="18"/>
          <w:color w:val="auto"/>
        </w:rPr>
        <w:t>12,808,442</w:t>
      </w:r>
      <w:r>
        <w:rPr>
          <w:sz w:val="20"/>
          <w:szCs w:val="20"/>
          <w:color w:val="auto"/>
        </w:rPr>
        <w:tab/>
      </w:r>
      <w:r>
        <w:rPr>
          <w:rFonts w:ascii="Times New Roman" w:cs="Times New Roman" w:eastAsia="Times New Roman" w:hAnsi="Times New Roman"/>
          <w:sz w:val="18"/>
          <w:szCs w:val="18"/>
          <w:color w:val="auto"/>
        </w:rPr>
        <w:t>174,225,000</w:t>
      </w:r>
    </w:p>
    <w:p>
      <w:pPr>
        <w:spacing w:after="0" w:line="200" w:lineRule="exact"/>
        <w:rPr>
          <w:sz w:val="20"/>
          <w:szCs w:val="20"/>
          <w:color w:val="auto"/>
        </w:rPr>
      </w:pPr>
    </w:p>
    <w:p>
      <w:pPr>
        <w:spacing w:after="0" w:line="241" w:lineRule="exact"/>
        <w:rPr>
          <w:sz w:val="20"/>
          <w:szCs w:val="20"/>
          <w:color w:val="auto"/>
        </w:rPr>
      </w:pPr>
    </w:p>
    <w:p>
      <w:pPr>
        <w:ind w:left="940"/>
        <w:spacing w:after="0"/>
        <w:tabs>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180" w:hanging="1321"/>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(4,070,147)</w:t>
      </w:r>
      <w:r>
        <w:rPr>
          <w:sz w:val="20"/>
          <w:szCs w:val="20"/>
          <w:color w:val="auto"/>
        </w:rPr>
        <w:tab/>
      </w:r>
      <w:r>
        <w:rPr>
          <w:rFonts w:ascii="Times New Roman" w:cs="Times New Roman" w:eastAsia="Times New Roman" w:hAnsi="Times New Roman"/>
          <w:sz w:val="18"/>
          <w:szCs w:val="18"/>
          <w:color w:val="auto"/>
        </w:rPr>
        <w:t>(3,191,762)</w:t>
      </w:r>
    </w:p>
    <w:p>
      <w:pPr>
        <w:spacing w:after="0" w:line="23"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(4,069,716)</w:t>
      </w:r>
      <w:r>
        <w:rPr>
          <w:sz w:val="20"/>
          <w:szCs w:val="20"/>
          <w:color w:val="auto"/>
        </w:rPr>
        <w:tab/>
      </w:r>
      <w:r>
        <w:rPr>
          <w:rFonts w:ascii="Times New Roman" w:cs="Times New Roman" w:eastAsia="Times New Roman" w:hAnsi="Times New Roman"/>
          <w:sz w:val="18"/>
          <w:szCs w:val="18"/>
          <w:b w:val="1"/>
          <w:bCs w:val="1"/>
          <w:color w:val="auto"/>
        </w:rPr>
        <w:t>(3,191,331)</w:t>
      </w:r>
    </w:p>
    <w:p>
      <w:pPr>
        <w:spacing w:after="0" w:line="284" w:lineRule="exact"/>
        <w:rPr>
          <w:sz w:val="20"/>
          <w:szCs w:val="20"/>
          <w:color w:val="auto"/>
        </w:rPr>
      </w:pPr>
    </w:p>
    <w:p>
      <w:pPr>
        <w:spacing w:after="0"/>
        <w:tabs>
          <w:tab w:leader="none" w:pos="300" w:val="left"/>
          <w:tab w:leader="none" w:pos="1320" w:val="left"/>
        </w:tabs>
        <w:rPr>
          <w:sz w:val="20"/>
          <w:szCs w:val="20"/>
          <w:color w:val="auto"/>
        </w:rPr>
      </w:pPr>
      <w:r>
        <w:rPr>
          <w:rFonts w:ascii="Times New Roman" w:cs="Times New Roman" w:eastAsia="Times New Roman" w:hAnsi="Times New Roman"/>
          <w:sz w:val="18"/>
          <w:szCs w:val="18"/>
          <w:b w:val="1"/>
          <w:bCs w:val="1"/>
          <w:u w:val="single" w:color="auto"/>
          <w:color w:val="auto"/>
        </w:rPr>
        <w:t>$</w:t>
        <w:tab/>
        <w:t>13,307,980</w:t>
        <w:tab/>
        <w:t>$ 174,683,360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8440" w:space="240"/>
            <w:col w:w="2560"/>
          </w:cols>
          <w:pgMar w:left="320" w:top="873" w:right="339" w:bottom="1440" w:gutter="0" w:footer="0" w:header="0"/>
          <w:type w:val="continuous"/>
        </w:sectPr>
      </w:pP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1,066,140</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1,797,969</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(1,066,140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(233,725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(1,797,969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(450,701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801,000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1,668,750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2,469,750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initial issuance of private warrants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(162,000)</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167,398</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8,731</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185,717</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968,398</w:t>
            </w:r>
          </w:p>
        </w:tc>
        <w:tc>
          <w:tcPr>
            <w:tcW w:w="2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1,677,481</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2,655,467</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5,359,906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(97,742)</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1,443,756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857,498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4,909,205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(3,625)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(3,625)</w:t>
            </w:r>
          </w:p>
        </w:tc>
        <w:tc>
          <w:tcPr>
            <w:tcW w:w="2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(101,367</w:t>
            </w:r>
          </w:p>
        </w:tc>
        <w:tc>
          <w:tcPr>
            <w:tcW w:w="260" w:type="dxa"/>
            <w:vAlign w:val="bottom"/>
            <w:vMerge w:val="continue"/>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1,443,756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853,873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4,904,863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common stock</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19,101,734</w:t>
            </w:r>
          </w:p>
        </w:tc>
        <w:tc>
          <w:tcPr>
            <w:tcW w:w="260" w:type="dxa"/>
            <w:vAlign w:val="bottom"/>
          </w:tcPr>
          <w:p>
            <w:pPr>
              <w:spacing w:after="0"/>
              <w:rPr>
                <w:sz w:val="24"/>
                <w:szCs w:val="24"/>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21,562,500</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20,318,446</w:t>
            </w: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21,537,775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common stock</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b w:val="1"/>
                <w:bCs w:val="1"/>
                <w:color w:val="auto"/>
              </w:rPr>
              <w:t>(0.01</w:t>
            </w:r>
            <w:r>
              <w:rPr>
                <w:rFonts w:ascii="Times New Roman" w:cs="Times New Roman" w:eastAsia="Times New Roman" w:hAnsi="Times New Roman"/>
                <w:sz w:val="29"/>
                <w:szCs w:val="29"/>
                <w:b w:val="1"/>
                <w:bCs w:val="1"/>
                <w:color w:val="auto"/>
                <w:vertAlign w:val="superscript"/>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0.07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0.04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9"/>
          </w:tcPr>
          <w:p>
            <w:pPr>
              <w:ind w:left="356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(3,191,762)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(3,191,331)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common stock to redemption amount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955,240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955,240</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(3,961,522)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(3,961,091)</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common stock to redemption amount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(7,258)</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(101,367)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(101,367)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b w:val="1"/>
                <w:bCs w:val="1"/>
                <w:color w:val="auto"/>
              </w:rPr>
              <w:t>(4,070,147</w:t>
            </w:r>
            <w:r>
              <w:rPr>
                <w:rFonts w:ascii="Times New Roman" w:cs="Times New Roman" w:eastAsia="Times New Roman" w:hAnsi="Times New Roman"/>
                <w:sz w:val="29"/>
                <w:szCs w:val="29"/>
                <w:b w:val="1"/>
                <w:bCs w:val="1"/>
                <w:color w:val="auto"/>
                <w:vertAlign w:val="superscript"/>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(4,069,716</w:t>
            </w:r>
            <w:r>
              <w:rPr>
                <w:rFonts w:ascii="Times New Roman" w:cs="Times New Roman" w:eastAsia="Times New Roman" w:hAnsi="Times New Roman"/>
                <w:sz w:val="29"/>
                <w:szCs w:val="29"/>
                <w:b w:val="1"/>
                <w:bCs w:val="1"/>
                <w:color w:val="auto"/>
                <w:vertAlign w:val="superscript"/>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8700" w:type="dxa"/>
            <w:vAlign w:val="bottom"/>
            <w:gridSpan w:val="9"/>
          </w:tcPr>
          <w:p>
            <w:pPr>
              <w:ind w:left="356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(6,358,106)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(6,357,675)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Overallotment Option to public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Overallotment Option to public rights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956,250</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common stock to redemption amount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(2,306,250)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(2,981,250)</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3,461,107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3,461,107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(3,571,999)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(3,571,568)</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1,443,756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1,443,756</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b w:val="1"/>
                <w:bCs w:val="1"/>
                <w:color w:val="auto"/>
              </w:rPr>
              <w:t>(2,128,243</w:t>
            </w:r>
            <w:r>
              <w:rPr>
                <w:rFonts w:ascii="Times New Roman" w:cs="Times New Roman" w:eastAsia="Times New Roman" w:hAnsi="Times New Roman"/>
                <w:sz w:val="29"/>
                <w:szCs w:val="29"/>
                <w:b w:val="1"/>
                <w:bCs w:val="1"/>
                <w:color w:val="auto"/>
                <w:vertAlign w:val="superscript"/>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(2,127,812</w:t>
            </w:r>
            <w:r>
              <w:rPr>
                <w:rFonts w:ascii="Times New Roman" w:cs="Times New Roman" w:eastAsia="Times New Roman" w:hAnsi="Times New Roman"/>
                <w:sz w:val="29"/>
                <w:szCs w:val="29"/>
                <w:b w:val="1"/>
                <w:bCs w:val="1"/>
                <w:color w:val="auto"/>
                <w:vertAlign w:val="superscript"/>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853,873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(2,469,750)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(5,487,000)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initial issuance of private warrants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(185,717)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(34,906)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34,246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(144,116)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1,400,688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3,625</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(303,035)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(415,254)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(1,725,000)</w:t>
            </w:r>
          </w:p>
        </w:tc>
        <w:tc>
          <w:tcPr>
            <w:tcW w:w="16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withdrawn from Trust Account to pay franchise and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196,212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163,148,816</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161,620,028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(22,725,000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Units, net of underwriting discounts paid</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advances from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(645,005)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related party extension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1,725,000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(163,148,816)</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(161,223,816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22,604,995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93,177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(535,259)</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313,158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406,335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535,994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Initial classification of common stock subject to possible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Ventoux CCM Acquisition Corp. (the “Company”) is a blank check company incorporated in Delaware on July 10, 2019. The Company was formed for the purpose of entering into a merger, share exchange, asset acquisition, stock purchase, recapitalization, reorganization or other similar business transaction with one or more businesses or entities (a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two wholly owned subsidiaries, Ventoux Merger Sub I Inc. (“Ventoux Merger Sub”) and Ventoux Merger Sub II LLC (“Ventoux Merger Sub II”), which were formed in the state of Delaware on November 3, 2021.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not commenced any operations. All of the Company’s activity through June 30, 2022 relates to the Company’s formation, the initial public offering (“Initial Public Offering”), which is described below, and subsequent to the Initial Public Offering, identifying a target company for a Business Combination and activities in connection with a proposed acquisition of E La Carte, Inc., d/b/a Presto, Inc., a Delaware corporation (“Presto”), as more fully described in Note 6.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5) are no longer subject to forfeiture. On June 16, 2022, the Company’s stockholders redeemed 15,994,982 shares of common stock subject to possible redemption. As a result of the redemption, the Company paid the redeeming stockholders approximately $10.20 per share, or $163,148,816 in the aggregate. Following the redemption, the Company will have 5,567,518 shares of common stock outstanding, which consists of 1,255,018 shares sold in the Company’s IPO and 4,312,500 privately placed founder shares.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amounted to $3,993,017 consisting of $3,450,000 of underwriting fees, of which $450,000 is associated with the exercise of the overallotment option, and $543,017 of other offering costs.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have until September 30, 2022 to consummate a Business Combination (the “Combination Period”). On March 29, 2022, the Company issued unsecured promissory notes in the amount of $1,150,000 and $575,000, to Ventoux Acquisition Holdings LLC and Chardan International Investments, LLC, respectively. The proceeds of $1,725,000 ($0.10 per Public Share) from the promissory notes were deposited into the Trust Account in order to extend the period of time the Company has to complete its Business Combination from March 30, 2022 to June 30, 2022. On June 16, 2022, the Company amended its Investment Trust Agreement to (i) extend the date on which the Trustee must liquidate the trust account established in connection with the Company’s Initial Public Offering if the Company has not completed its initial business combination from June 30, 2022 to September 30, 2022, and (ii) allow the Company, without another stockholder vote, to elect to extend such date by an additional three months, from September 30, 2022 to December 30,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and additional $0.10 per share from proceeds from related party extension loan). There will be no redemption rights upon the completion of a Business Combination with respect to the Company’s rights or warrants.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 w:lineRule="exact"/>
        <w:rPr>
          <w:sz w:val="20"/>
          <w:szCs w:val="20"/>
          <w:color w:val="auto"/>
        </w:rPr>
      </w:pPr>
    </w:p>
    <w:p>
      <w:pPr>
        <w:jc w:val="both"/>
        <w:ind w:firstLine="8"/>
        <w:spacing w:after="0" w:line="253"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$10.20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had $406,335 in its operating bank accounts, $12,831,895 in investments held in the Trust Account to be used for a Business Combination or to repurchase or redeem its common stock in connection therewith and a working capital deficit of $1,410,465, which excludes $23,454 of franchise taxes payable. As of June 30, 2022, approximately $31,000 of the amount on deposit in the Trust Account represented interest income, which is available to pay the Company’s tax obligations.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above, in connection with the Company’s assessment of going concern considerations in accordance with Financial Accounting Standards Board (“FASB”)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September 30, 2022, the scheduled liquidation date of the Company if it does not complete a Business Combination prior to such date. These condensed consolidated financial statements do not include any adjustments relating to the recovery of the recorded assets or the classification of the liabilities that might be necessary should the Company be unable to continue as a going concern.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Company’s Annual Report on Form 10-K for the year ended December 31, 2021 as filed with the SEC on February 23, 2022. The interim results for the three and six months ended June 30, 2022 are not necessarily indicative of the results to be expected for the year ending December 31, 2022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the historical financial statements to conform to the current year’s presentation. The reclassification relates to a reclass of $60,000 from accounts payable and accrued expenses to due to related party represented on the condensed consolidated statement of cash flows for the six months ended June 30, 2021 to conform with the current year’s presentation. Such reclassifications have no effect on net income (loss) as previously reported.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of assets and liabilities and disclosure of contingent assets and liabilities and disclosure of contingent assets and liabilities at the date of the condensed consolidated financial statements and the reported amounts of revenues and expenses during the reporting periods.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no cash equivalents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an aggregate of 1,255,018 and 17,250,000 shares of common stock subject to possible redemption are presented as temporary equity, outside of the stockholders’ deficit section of the Company’s condensed consolidated balance sheets as of June 30, 2022 and December 31, 2021, respectively.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 On June 16, 2022, the Company’s stockholders redeemed 15,994,982 shares of common stock subject to possible redemption. As a result of the redemption, the Company paid the redeeming stockholders approximately $10.20 per share, or $163,148,816 in the aggregate.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2022 and December 31, 2021, the common stock subject to possible redemption reflected in the condensed consolidated balance sheets is reconciled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(10,275,000)</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Rights</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(7,331,250)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(3,968,164)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4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23,299,414</w:t>
            </w: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December 31, 2021</w:t>
            </w:r>
          </w:p>
        </w:tc>
        <w:tc>
          <w:tcPr>
            <w:tcW w:w="4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174,225,000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(163,148,816)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 deposit</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1,725,000</w:t>
            </w:r>
          </w:p>
        </w:tc>
        <w:tc>
          <w:tcPr>
            <w:tcW w:w="0" w:type="dxa"/>
            <w:vAlign w:val="bottom"/>
          </w:tcPr>
          <w:p>
            <w:pPr>
              <w:spacing w:after="0"/>
              <w:rPr>
                <w:sz w:val="1"/>
                <w:szCs w:val="1"/>
                <w:color w:val="auto"/>
              </w:rPr>
            </w:pPr>
          </w:p>
        </w:tc>
      </w:tr>
      <w:tr>
        <w:trPr>
          <w:trHeight w:val="249"/>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June 30, 2022</w:t>
            </w:r>
          </w:p>
        </w:tc>
        <w:tc>
          <w:tcPr>
            <w:tcW w:w="4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12,808,442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700" w:type="dxa"/>
            <w:vAlign w:val="bottom"/>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warrants to purchase shares of common stock, to determine if such instruments are derivatives or contain features that qualify as embedded derivatives, pursuant to ASC 480 and FASB ASC Topic 815, “Derivatives and Hedging” (“ASC 815”). The Company accounts for the Public Warrants and Private Warrants in accordance with the guidance contained in ASC 815-40, “Derivatives and Hedging — Contracts in Entity’s Own Equity,” under which the Private Warrants do not meet the criteria for equity treatment and must be recorded as liabilities. Accordingly,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the Company’s condensed consolidated statements of operations. The Private Warrants are valued using a Modified Black-Scholes model, which is considered to be a Level 3 fair value measurement.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unaudited condensed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June 30, 2022 and December 31, 2021, the Company’s deferred tax asset had a full valuation allowance recorded against it. The Company’s effective tax rate was 3.71% and 0.00% for the three months ended June 30, 2022 and 2021, respectively, and 0.42% and 0.09% for the six months ended June 30, 2022 and 2021, respectively. The effective tax rate differs from the statutory tax rate of 21% for the three and six months ended June 30, 2022 and 2021, due to changes in fair value in warrant liability and the valuation allowance on the deferred tax assets.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(loss) per common stock is computed by dividing net income by the weighted average number of shares of common stock outstanding for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not considered the effect of (1) warrants sold in the Initial Public Offering and private placement to purchase 15,300,000 shares of common stock, and (2) rights sold in the Initial Public Offering that convert into 862,500 shares of common stock, in the calculation of diluted income per common stock, since the exercise of warrants and the conversion of the rights into shares of common stock are contingent upon the occurrence of future events. Accretion associated with the redeemable common stock is excluded from earnings per share as the redemption value approximates fair value. As of June 30, 2022 and 2021, the Company did not have any other dilutive securities or other contracts that could, potentially, be exercised or converted into shares of common stock and then share in the earnings of the Company. As a result, diluted net income per common stock is the same as basic net income per common stock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Basic and diluted net (loss) income per common stock</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 as adjusted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(101,367)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853,873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4,904,863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19,101,734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21,562,500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20,318,446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21,537,775</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 of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As of June 30, 2022 and December 31, 2021, the Company has not experienced losses on these accounts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Private Warrants (see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4,312,500 Founder Shares included an aggregate of up to 562,500 shares subject to forfeiture by the Initial Stockholders to the extent that the underwriters’ over-allotment option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three and six months ended June 30, 2022, the Company incurred $30,000 and $60,000, respectively, in fees for these services. For the three and six months ended June 30, 2021, the Company incurred $30,000 and $60,000, respectively, in fees for these services. There are $185,000 and $120,000 in fees for these services included in due to related party as of June 30, 2022 and December 31,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2022, the Company issued unsecured promissory notes of up to $375,000 with $250,000 to Ventoux Acquisition Holdings LLC and $125,000 to Chardan International Investments, LLC, respectively, in connection with providing the Company with additional working capital. The promissory notes are not convertible and bear no interest and are due and payable upon the date on which the Company consummates its initial Business Combination. As of June 30, 2022, the Company had borrowed a total of $133,333 and $66,667 from Ventoux Acquisition Holdings LLC and Chardan International Investments, LLC,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Extension Loans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1, the Company extended the period of time to consummate a Business Combination for an additional three months (until June 30, 2022) to complete a Business Combination. On March 29, 2022, the Company issued unsecured promissory notes in the amount of $1,150,000 and $575,000 to Ventoux Acquisition Holdings LLC and Chardan International Investments, LLC, respectively. The proceeds from the promissory notes were deposited into the Trust Account in order to extend the period of time the Company has to complete its Business Combination from March 30, 2022 to June 30, 2022. The promissory note bears no interest and is due and payable upon the date on which the Company consummates its initial Business Combination. If the Company completes a Business Combination, the Company would repay such loaned amounts out of the proceeds of the Trust Account released to the Company. If the Company does not complete a Business Combination, the Company will not repay such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condensed consolidated financial statements. The condensed consolidated financial statements do not include any adjustments that might result from the outcome of this uncertainty.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is not determinable as of the date of these unaudited condensed consolidated financial statements and the specific impact on the Company’s financial condition, results of operations, and cash flows is also not determinable as of the date of these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three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(i) the date that the Company consummates a Business Combination with respect to the Private Warrants or (ii) three months prior to the release from escrow with respect to all other Registrable Securities, but prior to the five-year anniversary of the effective date of the Company’s Form S-1 Registration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underwriters were paid cash underwriting discount of $0.20 per Unit, or $3,450,000 in the aggregate, upon the closing of the Initial Public Offering and the over-allotment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Company consummates its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10, 2021, the Company entered into an agreement and plan of merger by and among the Company, Ventoux Merger Sub, Ventoux Merger Sub II, and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 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 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the parties amended the Merger Agreement to lower from $85 million to $65 million the amount of cash required to be available to the Company at the closing of the Business Combination (the “Closing”), consisting of cash held in its Trust Account and the aggregate amount of cash actually invested in (or contributed to) the Company pursuant to subscription agreements, after giving effect to redemptions of public shares, if any, but before giving effect to the consummation of the Closing and the payment of Presto’s and certain of the Company’s outstanding transaction expenses (including before giving effect to all audit and pre-audit consulting expenses incurred by Presto) as contemplated by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also amends the Merger Agreement to extend the Termination Date (as defined therein) of the Merger Agreement to August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2022, the Company entered into a second amendment to the Merger Agreement. See Note 10 – “Subsequent Events.”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8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addition, the Company may redeem the Notes at any time prior to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 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2022, the Company entered into amended and restated subscription agreements and, upon closing of the business combination, will enter into a revised Form of Indenture and Note. See Note 10 – “Subsequent Events.”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Sponsors (as defined in Note 10),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Parties agreed to subject the founder shares they acquired prior to the Company’s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2022, the Company entered into amended and restated Sponsor Support Agreements. See Note 10 – “Subsequent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Presto Stockholder Support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the Company’s Current Report on 8-K announcing the Merger Agreement filed on November 10, 2021 and the amendment to the Merger Agreement filed on April 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25, 2022 the Company entered into amended and restated Stockholder Support Agreements. See Note 10 – “Subsequent Events.”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the Company’s Amended and Restated Certificate of Incorporation, the Company is authorized to issue up to 1,000,000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As of June 30, 2022 and December 31, 2021, there were no shares of preferred stock issued or outstanding.</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50,000,000 shares of common stock with a par value of $0.0001 per share. Holders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are entitled to one vote for each share. As of June 30, 2022 and December 31, 2021, there were 4,312,500 shares of common stock issued and outstanding, excluding 1,255,018 and 17,250,000 shares of common stock subject to possible redemption and presented as temporary equity, respectively.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w:t>
      </w:r>
      <w:r>
        <w:rPr>
          <w:rFonts w:ascii="Times New Roman" w:cs="Times New Roman" w:eastAsia="Times New Roman" w:hAnsi="Times New Roman"/>
          <w:sz w:val="18"/>
          <w:szCs w:val="18"/>
          <w:color w:val="auto"/>
        </w:rPr>
        <w:t>— Except in cases where the Company is not the surviving company in a Business Combination, each holder of a right will automatically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There are 17,250,000 Public Warrants outstanding as of June 30, 2022 and December 31, 2021. The Public Warrants will become exercisable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the Company has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are accounted for as equity on the condensed consolidated balance sheets.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 As of June 30, 2022 and December 31, 2021, there are 6,675,000 Private Warrants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Warrants are accounted for as liabilities on the condensed consolidated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condensed consolidated balance sheets and adjusted for the amortization or accretion of premiums or discounts.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its investment in money market funds on the condensed consolidated balance sheets at fair value at the end of each reporting period. Gains and losses resulting from the change in fair value of these securities are included in interest income in the accompanying condensed consolidated statements of operations. The estimated fair values of investments held in the Trust Account are determined using available market information.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2022, assets held in the Trust Account were comprised of $12,831,895 in money market funds which are invested primarily in U.S. Treasury Securities. In connection with Special Meeting on June 16, 2022, the Company paid to redeeming stockholders approximately $10.20 or $163,148,416 in the aggregate from the Trust Account. On June 21, 2022, the Company withdrew $196,212 of interest income from the Trust Account to pay the Company’s tax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2021, assets held in the Trust Account were comprised of $174,266,206 in money market funds which are invested primarily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During the year ended December 31, 2021, the Company did not withdraw any interest income from the Trust Account.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June 30, 2022 and December 31, 2021, and indicates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 – U.S. Treasury Securities Money Market Fund</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12,831,895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174,266,206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indicates the fair value hierarchy of the valuation inputs the Company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3,204,000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Warrants were accounted for as liabilities in accordance with ASC 815-40 and are presented within warrant liabilities on the condensed consolidated balance sheets. The warrant liabilities are measured at fair value at inception and on a recurring basis, with changes in fair value presented in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Private Warrants were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initially derived from observable public warrant pricing on comparable ‘blank-check’ companies without an identified target. The expected volatility as of subsequent valuation dates was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quantitative information regarding Level 3 fair value measurements of the warrant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 for the three and six months ended June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3,204,000</w:t>
            </w:r>
          </w:p>
        </w:tc>
      </w:t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(1,668,750)</w:t>
            </w:r>
          </w:p>
        </w:tc>
      </w:tr>
      <w:tr>
        <w:trPr>
          <w:trHeight w:val="216"/>
        </w:trPr>
        <w:tc>
          <w:tcPr>
            <w:tcW w:w="10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March 31, 2022</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(801,000)</w:t>
            </w:r>
          </w:p>
        </w:tc>
      </w:tr>
      <w:tr>
        <w:trPr>
          <w:trHeight w:val="262"/>
        </w:trPr>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30, 2022</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 for the three and six months ended June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2021</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7,320,000</w:t>
            </w:r>
          </w:p>
        </w:tc>
        <w:tc>
          <w:tcPr>
            <w:tcW w:w="8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 on January 5, 2021 (Over allotment)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837,000</w:t>
            </w:r>
          </w:p>
        </w:tc>
        <w:tc>
          <w:tcPr>
            <w:tcW w:w="80" w:type="dxa"/>
            <w:vAlign w:val="bottom"/>
          </w:tcPr>
          <w:p>
            <w:pPr>
              <w:spacing w:after="0"/>
              <w:rPr>
                <w:sz w:val="18"/>
                <w:szCs w:val="18"/>
                <w:color w:val="auto"/>
              </w:rPr>
            </w:pPr>
          </w:p>
        </w:tc>
      </w:tr>
      <w:tr>
        <w:trPr>
          <w:trHeight w:val="25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(3,818,250)</w:t>
            </w:r>
          </w:p>
        </w:tc>
      </w:tr>
      <w:tr>
        <w:trPr>
          <w:trHeight w:val="203"/>
        </w:trPr>
        <w:tc>
          <w:tcPr>
            <w:tcW w:w="10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Fair value as of March 31, 2021</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4,338,750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(1,668,750)</w:t>
            </w:r>
          </w:p>
        </w:tc>
      </w:tr>
      <w:tr>
        <w:trPr>
          <w:trHeight w:val="223"/>
        </w:trPr>
        <w:tc>
          <w:tcPr>
            <w:tcW w:w="10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June 30, 2021</w:t>
            </w:r>
          </w:p>
        </w:tc>
        <w:tc>
          <w:tcPr>
            <w:tcW w:w="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2,670,000</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34"/>
        </w:trPr>
        <w:tc>
          <w:tcPr>
            <w:tcW w:w="10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There were no transfers in or out of Level 3 from other levels in the fair value hierarchy during the three and six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the Company identified the following subsequent events that would have required adjustment or disclosure in the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Amendment No. 2 to the Merger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25, 2022, the Company, Ventoux Merger Sub I Inc., Ventoux Merger Sub II LLC, and E La Carte, Inc. (“Presto”) entered into a second amendment (“Amendment No. 2”) to that certain Agreement and Plan of Merger dated November 10, 2021 (the “Merger Agreement”), as amended on April 1, 2022 by Amendment No. 1 to the Merger Agreement. Amendment No. 2 amends the Merger Agreement to, among other things: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the equity valuation of Presto from $800 million to $525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treatment of outstanding restricted stock units of Presto at the Effective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dates of expiry in respect of the initial term of each class of directors of the Acquiror Board post-Closing;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termination date of the Merger Agreement from August 31, 2022 to December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Sponsor Support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Amendment No. 2, Ventoux Acquisition Holdings LLC and Chardan International Investments, LLC, (collectively, the “Sponsors”) entered into an amended and restated Sponsor Support Agreement (the “Amended and Restated Sponsor Support Agreement”). The Amended and Restated Sponsor Support Agreement amends the original Sponsor Support Agreement to:</w:t>
      </w:r>
    </w:p>
    <w:p>
      <w:pPr>
        <w:spacing w:after="0" w:line="176"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 total of 444,500 founder shares (the “Sponsors’ Earnout Shares”) held by the Sponsors to vesting over a five-year period, such that four equal portions of the Sponsors’ Earnout Shares will vest when the volume weighted average price (the “VWAP”) of the Company’s common stock (the “Common Stock”) post-business combination is over $12.00, $15.00, $20.00 and $25.00, respectively, for any 40 trading days within any 60 trading day period within five years after the closing of the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vested founder shares (initially an aggregate of 2,689,187 shares) held by Sponsors to an 18-month lockup period;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adjustment of the exercise price of the private placement warrants held by the Sponsors pursuant to Section 4.4.2 of the Company’s warrant agreement, dated as of December 23, 2020 (the “Warrant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Support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Amendment No. 2, certain stockholders of Presto (“Stockholders”) entered into an amended and restated Support Agreement (the “Amended and Restated Support Agreement”) with Presto and Ventoux. The Amended and Restated Support Agreement amends the original Support Agreement to subject any shares of Common Stock held by the Stockholders as of and immediately following the Closing Date to an 18-month lockup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Subscription Agreements and Form of Indenture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Amendment No. 2, the Company entered into certain new and amended and restated equity subscription agreements, each dated as of July 25, 2022 (the “Equity Subscription Agreements”), with certain accredited investors, pursuant to which, among other things, the Company agreed to issue and sell, in private placements to close immediately prior to or substantially concurrently with the closing of the Company’s business combination (the “Closing”), an aggregate of 7,667,437 shares of Common Stock for an aggregate consideration of $60.0 million of 14 Equity Subscription Agreements, 11, representing a total investment of $6.9 million, were entered into by current Presto investors and directors and officers. The remaining Equity Subscription Agreements representing a total investment of $53.1 million were entered into with investors that are unaffiliated with the Company, its Sponsors, Presto or any of their affiliates, which includes a $50 million investment from an entity affiliated with Cleveland Avenue, LLC (“Cleveland Avenue”) at an effective price per share of $7.14. The effective price per share of Cleveland Avenue’s investment takes into account (i) the subscription of 6,593,687 shares of Common Stock for an aggregate purchase price of $50 million and (ii) the transfer of 406,313 Founder Shares by the Sponsors to Cleveland Avenue for nominal consideration. As a result, the exercise price of Ventoux’s public warrants will be reduced from $11.50 per share to $8.21 per share pursuant to the Warrant Agreement. Each of the previously outstanding subscription agreements executed by the Company with certain accredited investors on November 10, 2021 that were not amended and restated were cancelled. The Equity Subscription Agreements provide that the Company (or its successor) must file a registration statement with the SEC to register the resale of the subscribed common stock no later than 30 days after the Closing Date. In connection with the execution and delivery of the Equity Subscription Agreements, the Sponsors agreed to transfer, or cause to be transferred, 1,088,813 Founder Shares to certain of the subscribers. The Company has agreed that these Founder Shares will be included in the registration statement referenced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Amendment No. 2, the Company also entered into an amended and restated convertible note subscription agreement (the “Amended and Restated Convertible Note Subscription Agreement” and, together with the Amended and Restated Equity Subscription Agreements, the “Amended and Restated Subscription Agreements”), dated as of July 25, 2022, with an institutional accredited investor (the “Note Investor”), pursuant to which the Company and the Note Investor agreed to, among other things:</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aggregate principal amount of convertible notes (the “Notes”) from $55 million to $25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warrants issuable to the Note Investor from 1,000,000 warrants to 1,500,000 warrants (the “Note Financing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conversion terms of the Note such that the Notes are initially convertible into Common Stock at a price equal to $11.50;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other closing conditions set forth therein, condition the closing of the transactions contemplated by the Amended and Restated Convertible Note Subscription Agreement to the Company having cash and cash equivalents of $45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interest payable under the Notes to 20.0% per annum, of which 15.0% will be payable in cash and 5.0% will be payable in kind;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founder shares to be transferred from the Sponsors to the Note Investor from 300,000 founder shares to 600,000 founder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will contain certain customary negative covenants, including limitations on indebtedness, restricted payments, liens, asset sales and transactions with affiliates. The Indenture will also require that the Company maintain a minimum cash balance of $30 million and limit cash expenditures on acquisitions and investments to $30 million, in each case, until the Company achieves positive consolidated EBITDA (as calculated in the Indenture) for two consecutive quarters, at which point such covenants will be suspended.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Warrant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Closing, the Company,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900,000 of the Sponsors’ 6,675,000 private placement warrants will be cancelled. Each Note Financing Warrant and each private placement warrant is exercisable for one share of Common Stock at an exercise price of $11.50 per share, and each public warrant is exercisable for one share of Common Stock at an exercise price of $8.21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Closing, the Company, the Sponsors, the Note Investor, certain investors and other holders of Presto capital stock, including Cleveland Avenue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Closing, the Company, Rajat Suri, REMUS Capital, an affiliate of Presto, Cleveland Avenue and certain other parties set forth therein, will enter into a Governance Agreement (the “Governance Agreement”) to provide for certain governance rights and address certain governance matters relating to the Company. The Governance Agreement will provide each of Mr. Suri, Cleveland Avenue and REMUS Capital with the right to nominate one individual to the Company’s board of directors, subject to certain qualifications, requirements and exceptions as set forth therein, including varying equity holding threshold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Ventoux CCM Acquisition Corp. References to our “management” or our “management team” refer to our officers and directors, and references to the “co-sponsors” refer to Ventoux Acquisition Holdings LLC (“Ventoux Acquisition”) and Chardan International Investments, LLC (“Chardan Investments”).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for the purpose of entering into a merger, share exchange, asset acquisition, stock purchase, recapitalization, reorganization or other similar business transaction with one or more businesses or entities (a “Business Combination”. We intend to effectuate our Business Combination using cash from the proceeds of the Initial Public Offering and the private placements of the private warrants, our shares, rights, new debt, or a combination of these. We expect to continue to incur significant costs in the pursuit of our acquisition plans. We cannot assure you that our plans to complete a Business Combination will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10, 2021, the Company entered into the Merger Agreement. Pursuant to the Merger Agreement,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Aggregate Base Consideration, Presto stockholders may be entitled to receive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On July 25, 2022, the Company entered into a second amendment (“Amendment No. 2”) to the Merger Agreement, Amendment No. 2 amends the Merger Agreement to, among other things:</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the equity valuation of Presto from $800 million to $525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treatment of outstanding restricted stock units of Presto at the Effective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dates of expiry in respect of the initial term of each class of directors of the Acquiror Board post-Closing;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termination date of the Merger Agreement from August 31, 2022 to December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Sponsor Support Agreement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Amendment No. 2, Ventoux Acquisition Holdings LLC and Chardan International Investments, LLC, respectively (the “Sponsors”), entered into an amended and restated Sponsor Support Agreement (the “Amended and Restated Sponsor Support Agreement”). The Amended and Restated Sponsor Support Agreement amends the original Sponsor Support Agreement to:</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 total of 444,500 founder shares (the “Sponsors’ Earnout Shares”) held by the Sponsors to vesting over a five-year period, such that four equal portions of the Sponsors’ Earnout Shares will vest when the volume weighted average price (the “VWAP”) of the Company’s common stock (the “Common Stock”) post-business combination is over $12.00, $15.00, $20.00 and $25.00, respectively, for any 40 trading days within any 60 trading day period within five years after the closing of the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vested founder shares (initially an aggregate of 2,689,187 shares) held by Sponsors to an 18-month lockup period;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adjustment of the exercise price of the private placement warrants held by the Sponsors pursuant to Section 4.4.2 of the Company’s warrant agreement, dated as of December 23, 2020 (the “Warrant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Support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Amendment No. 2, certain stockholders of Presto (“Stockholders”) entered into an amended and restated Support Agreement (the “Amended and Restated Support Agreement”) with Presto and Ventoux. The Amended and Restated Support Agreement amends the original Support Agreement to subject any shares of Common Stock held by the Stockholders as of and immediately following the Closing Date to an 18-month lockup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Subscription Agreements and Form of Indenture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Amendment No. 2, the Company entered into certain new and amended and restated equity subscription agreements, each dated as of July 25, 2022 (the “Equity Subscription Agreements”), with certain accredited investors, pursuant to which, among other things, the Company agreed to issue and sell, in private placements to close immediately prior to or substantially concurrently with the closing of the Company’s business combination (the “Closing”), an aggregate of 7,667,437 shares of Common Stock for an aggregate consideration of $60.0 million Of 14 Equity Subscription Agreements, 11, representing a total investment of $6.9 million, were entered into by current Presto investors and directors and officers. The remaining Equity Subscription Agreements representing a total investment of $53.1 million were entered into with investors that are unaffiliated with the Company, its Sponsors, Presto or any of their affiliates, which includes a $50 million investment from an entity affiliated with Cleveland Avenue, LLC (“Cleveland Avenue”) at an effective price per share of $7.14. The effective price per share of Cleveland Avenue’s investment takes into account (i) the subscription of 6,593,687 shares of Common Stock for an aggregate purchase price of $50 million and (ii) the transfer of 406,313 Founder Shares by the Sponsors to Cleveland Avenue for nominal consideration. As a result, the exercise price of Ventoux’s public warrants will be reduced from $11.50 per share to $8.21 per share pursuant to the Warrant Agreement. Each of the previously outstanding subscription agreements executed by the Company with certain accredited investors on November 10, 2021 that were not amended and restated were cancelled. The Equity Subscription Agreements provide that the Company (or its successor) must file a registration statement with the SEC to register the resale of the subscribed common stock no later than 30 days after the Closing Date. In connection with the execution and delivery of the Equity Subscription Agreements, the Sponsors agreed to transfer, or cause to be transferred, 1,088,813 Founder Shares to certain of the subscribers. The Company has agreed that these Founder Shares will be included in the registration statement referenced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Amendment No. 2, the Company also entered into an amended and restated convertible note subscription agreement (the “Amended and Restated Convertible Note Subscription Agreement” and, together with the Amended and Restated Equity Subscription Agreements, the “Amended and Restated Subscription Agreements”), dated as of July 25, 2022, with an institutional accredited investor (the “Note Investor”), pursuant to which the Company and the Note Investor agreed to, among other things:</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aggregate principal amount of convertible notes (the “Notes”) from $55 million to $25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warrants issuable to the Note Investor from 1,000,000 warrants to 1,500,000 warrants (the “Note Financing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conversion terms of the Note such that the Notes are initially convertible into Common Stock at a price equal to $11.50;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other closing conditions set forth therein, condition the closing of the transactions contemplated by the Amended and Restated Convertible Note Subscription Agreement to the Company having cash and cash equivalents of $45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interest payable under the Notes to 20.0% per annum, of which 15.0% will be payable in cash and 5.0% will be payable in kind;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founder shares to be transferred from the Sponsors to the Note Investor from 300,000 founder shares to 600,000 founder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will contain certain customary negative covenants, including limitations on indebtedness, restricted payments, liens, asset sales and transactions with affiliates. The Indenture will also require that the Company maintain a minimum cash balance of $30 million and limit cash expenditures on acquisitions and investments to $30 million, in each case, until the Company achieves positive consolidated EBITDA (as calculated in the Indenture) for two consecutive quarters, at which point such covenants will be suspended.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Warrant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the Company,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900,000 of the Sponsors’ 6,675,000 private placement warrants will be cancelled. Each Note Financing Warrant and each private placement warrant is exercisable for one share of Common Stock at an exercise price of $11.50 per share, and each public warrant is exercisable for one share of Common Stock at an exercise price of $8.21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the Sponsors, the Note Investor, certain investors and other holders of Presto capital stock, including Cleveland Avenue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the Company will be obligated to file a registration statement to register the resale of certain securities of the Company held by the Holders. The Amended and Restated Registration Rights Agreement also provides the Holders with certain “demand” and “piggy-back” registration rights, subject to certain requirements and customary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the Company, Rajat Suri, REMUS Capital, an affiliate of Presto, Cleveland Avenue and certain other parties set forth therein, will enter into a Governance Agreement (the “Governance Agreement”) to provide for certain governance rights and address certain governance matters relating to the Company. The Governance Agreement will provide each of Mr. Suri, Cleveland Avenue and REMUS Capital with the right to nominate one individual to the Company’s board of directors, subject to certain qualifications, requirements and exceptions as set forth therein, including varying equity holding threshold requirements.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June 30, 2022 were organizational activities, those necessary to prepare for the Initial Public Offering, identifying a target company for a Business Combination and activities in connection with the proposed acquisition of Presto.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a net loss of $101,367, which consists of general and administrative expenses of $1,066,140 and provision for income taxes of $3,625, offset by change in fair value of warrant liabilities of $801,000 and interest earned on marketable securities held in our Trust Account of $167,398.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had a net income of $853,873, which consists of change in fair value of warrant liabilities of $2,469,750 and interest earned on marketable securities held in our Trust Account of $185,717, offset by general and administrative expenses of $1,797,969 and a provision for income taxes of $3,625.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2021, we had a net income of $1,443,756, which consists of change in fair value of warrant liabilities of $1,668,750 and interest earned on marketable securities held in our Trust Account of $8,731, offset by general and administrative expenses of $233,725.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we had a net income of $4,904,863, which consists of change in fair value of warrant liabilities of $5,487,000 and interest earned on marketable securities held in our Trust Account of $34,906, offset by general and administrative expenses of $450,701, loss on initial issuance of private warrants of $162,000 and provision for income taxes of $4,342.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2021, in connection with the underwriters’ exercise of their over-allotment option in full, we completed the sale of an additional 2,250,000 Units, at $10.00 per Unit, generating gross proceeds of $22,500,000. Simultaneously with the closing of the over-allotment option, we completed a sale of an additional 675,000 Private Warrants, at $1.00 per Private Warrant, generating total proceeds of $675,000.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Initial Public Offering, the full exercise of the over-allotment option, and the sale of the Private Units, a total of $174,225,000 was placed in the Trust Account. We incurred $3,993,017 in Initial Public Offering related costs, including $3,450,000 of underwriting fees and $543,017 of other costs.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have until September 30, 2022 to consummate a Business Combination (the “Combination Period”). On March 29, 2022, the Company issued unsecured promissory notes in the amount of $1,150,000 and $575,000, to Ventoux Acquisition Holdings LLC and Chardan International Investments, LLC, respectively. The proceeds of $1,725,000 ($0.10 per Public Share) from the promissory notes were deposited into the Trust Account in order to extend the period of time the Company has to complete its Business Combination from March 30, 2022 to June 30, 2022. On June 16, 2022, the Company amended its Investment Trust Agreement to (i) extend the date on which the Trustee must liquidate the trust account established in connection with the Company’s Initial Public Offering if the Company has not completed its initial business combination from June 30, 2022 to September 30, 2022, and (ii) allow the Company, without another stockholder vote, to elect to extend such date by an additional three months, from September 30, 2022 to December 30, 2022.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cash used in operating activities was $303,035. Net income of $853,873 was affected by change in fair value of warrant liabilities of $2,469,750 and interest earned on marketable securities held in our Trust Account of $185,717. Changes in operating assets and liabilities provided $1,498,559 of cash for operating activities.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2021, cash used in operating activities was $415,254. Net income of $4,904,863 was affected by interest earned on marketable securities held in the Trust Account of $34,906, change in fair value of warrant liabilities of $5,487,000 and loss on initial issuance of private warrants of $162,000. Changes in operating assets and liabilities provided $39,789 of cash for operating activities.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we had cash and marketable securities held in the Trust Account of $12,831,895 (including approximately $31,000 of interest income) invested in a money market account that invests in US Treasury Bills. Interest income on the balance in the Trust Account may be used by us to pay taxes. In connection with Special Meeting on June 16, 2022, the Company paid to redeeming stockholders’ approximately $10.20 or $163,148,416 in the aggregate from the Trust Account. On June 21, 2022, the Company withdrew $196,212 of interest income from the Trust Account to pay the Company’s tax obligations.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cash of $406,335. We intend to use the funds held outside the Trust Account primarily to structure, negotiate and complete a Business Combination.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our initial stockholders,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2022, the Company issued unsecured promissory notes of up to $375,000 with $250,000 to Ventoux Acquisition Holdings LLC and $125,000 to Chardan International Investments, LLC, respectively, in connection with providing the Company with additional working capital. The promissory notes are not convertible and bear no interest and are due and payable upon the date on which the Company consummates its initial Business Combination. As of June 30, 2022, the Company had borrowed a total of $133,333 and $66,667 from Ventoux Acquisition Holdings LLC and Chardan International Investments, LLC,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2022, the Company issued unsecured promissory notes in the amount of $1,150,000 and $575,000 to Ventoux Acquisition Holdings LLC and Chardan International Investments, LLC, respectively. The proceeds from the promissory notes were deposited into the Trust Account in order to extend the period of time the Company has to complete its Business Combination from March 30, 2022 to June 30, 2022. The promissory note bears no interest and is due and payable upon the date on which the Company consummates its initial Business Combination.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September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June 30,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Chardan Capital Markets, LLC, we have engaged certain advisors to assist in capital raising efforts in connection with the proposed Business Combination. The fee arrangement with the advisors, including William Blair &amp; Company LLC, Truist Securities Inc. and others are only payable upon the consummation of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warrants to purchase shares of common stock, to determine if such instruments are derivatives or contain features that qualify as embedded derivatives, pursuant to ASC 480 and ASC 815. 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statements of operations. The Private Warrants are valued using a Modified Black Scholes model.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at June 30, 2022 and December 31, 2021, common stock subject to possible redemption is presented as temporary equity, outside of the stockholders’ deficit section of the Company’s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Per Share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income per common stock is computed by dividing net income by the weighted average number of shares of common stock outstanding for the period. Accretion associated with the redeemable shares of common stock is excluded from earnings per share as the redemption value approximates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their evaluation, our Chief Executive Officer and Chief Financial Officer concluded that our disclosure controls and procedures (as defined in Rules 13a-15 (e) and 15d-15 (e) under the Exchange Act)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June 30, 2022 covered by this Quarterly Report on Form 10-Q that has materially affected, or is reasonably likely to materially affect, our internal control over financial reporting. The material weakness discussed below was remediated during the quarter ended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a Material Weakness in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importance of the control environment as it sets the overall tone for the Company and is the foundation for all other components of internal control. Consequently, we designed and implemented remediation measures to address the material weakness previously identified and enhance our internal control over financial reporting. In light of the material weakness, we enhanced our processes to identify and appropriately apply applicable accounting requirements to better evaluate and understand the nuances of the complex accounting standards that apply to our financial statements, including providing enhanced access to accounting literature, research materials and documents and increased communication among our personnel and third-party professionals with whom we consult regarding complex accounting applications. The foregoing actions, which we believe remediated the material weakness in internal control over financial reporting, were completed as of the date of June 30,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as disclosed in the Company’s Current Report on Form 8-K filed with the SEC on July 26, 2022, there have not been any unregistered sales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0000EE"/>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20" w:type="dxa"/>
            <w:vAlign w:val="bottom"/>
            <w:tcBorders>
              <w:top w:val="single" w:sz="8" w:color="0000EE"/>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Scheetz</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Scheetz</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15, 2022</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MacDonald</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MacDonald</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33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Ventoux CCM Acquisition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Scheetz</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Ventoux CCM Acquisition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15,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MacDonald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Ventoux CCM Acquisition Corp. (the “Company”) on Form 10-Q for the quarterly period ended June 30, 2022, as filed with the Securities and Exchange Commission (the “Report”), I, Edward Scheetz, Chief Executive Officer of the Company, certify, pursuant to 18 U.S.C. §1350, as adopted pursuant to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Scheetz</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Ventoux CCM Acquisition Corp. (the “Company”) on Form 10-Q for the quarterly period ended June 30, 2022, as filed with the Securities and Exchange Commission (the “Report”), I, Matthew MacDonald, Chief Financial Officer of the Company, certify, pursuant to 18 U.S.C. §1350, as adopted pursuant to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MacDonald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1"/>
      <w:numFmt w:val="decimal"/>
      <w:start w:val="431"/>
    </w:lvl>
  </w:abstractNum>
  <w:abstractNum w:abstractNumId="2">
    <w:nsid w:val="216231B"/>
    <w:multiLevelType w:val="hybridMultilevel"/>
    <w:lvl w:ilvl="0">
      <w:lvlJc w:val="left"/>
      <w:lvlText w:val="(%1)"/>
      <w:numFmt w:val="lowerRoman"/>
      <w:start w:val="3"/>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2022-08-15T14:07:00Z</dcterms:created>
  <dcterms:modified xsi:type="dcterms:W3CDTF">2022-08-15T14:07:00Z</dcterms:modified>
</cp:coreProperties>
</file>