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832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83261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Gupta Krishna K.</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985 INDUSTRIAL ROAD, SUITE 205</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SAN CARLOS</w:t>
            </w:r>
          </w:p>
        </w:tc>
        <w:tc>
          <w:tcPr>
            <w:tcW w:w="900" w:type="dxa"/>
            <w:vAlign w:val="bottom"/>
          </w:tcPr>
          <w:p>
            <w:pPr>
              <w:ind w:left="8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94070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Presto Automation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PRST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060" w:type="dxa"/>
            <w:vAlign w:val="bottom"/>
            <w:gridSpan w:val="3"/>
          </w:tcPr>
          <w:p>
            <w:pPr>
              <w:ind w:left="80"/>
              <w:spacing w:after="0"/>
              <w:rPr>
                <w:sz w:val="20"/>
                <w:szCs w:val="20"/>
                <w:color w:val="auto"/>
              </w:rPr>
            </w:pPr>
            <w:r>
              <w:rPr>
                <w:rFonts w:ascii="Arial" w:cs="Arial" w:eastAsia="Arial" w:hAnsi="Arial"/>
                <w:sz w:val="17"/>
                <w:szCs w:val="17"/>
                <w:color w:val="0000FF"/>
              </w:rPr>
              <w:t>10/23/2023</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6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34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16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64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4"/>
                <w:szCs w:val="14"/>
                <w:color w:val="auto"/>
              </w:rPr>
            </w:pPr>
          </w:p>
        </w:tc>
        <w:tc>
          <w:tcPr>
            <w:tcW w:w="600" w:type="dxa"/>
            <w:vAlign w:val="bottom"/>
          </w:tcPr>
          <w:p>
            <w:pPr>
              <w:jc w:val="right"/>
              <w:ind w:right="147"/>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36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10/23/2023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3"/>
              </w:rPr>
              <w:t>250,000</w:t>
            </w:r>
            <w:r>
              <w:rPr>
                <w:rFonts w:ascii="Arial" w:cs="Arial" w:eastAsia="Arial" w:hAnsi="Arial"/>
                <w:sz w:val="22"/>
                <w:szCs w:val="22"/>
                <w:color w:val="008000"/>
                <w:w w:val="93"/>
                <w:vertAlign w:val="superscript"/>
              </w:rPr>
              <w:t>(1)</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0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91"/>
              </w:rPr>
              <w:t>284,916</w:t>
            </w:r>
          </w:p>
        </w:tc>
        <w:tc>
          <w:tcPr>
            <w:tcW w:w="980" w:type="dxa"/>
            <w:vAlign w:val="bottom"/>
            <w:tcBorders>
              <w:bottom w:val="single" w:sz="8" w:color="2C2C2C"/>
            </w:tcBorders>
          </w:tcPr>
          <w:p>
            <w:pPr>
              <w:jc w:val="center"/>
              <w:ind w:left="24"/>
              <w:spacing w:after="0"/>
              <w:rPr>
                <w:sz w:val="20"/>
                <w:szCs w:val="20"/>
                <w:color w:val="auto"/>
              </w:rPr>
            </w:pPr>
            <w:r>
              <w:rPr>
                <w:rFonts w:ascii="Arial" w:cs="Arial" w:eastAsia="Arial" w:hAnsi="Arial"/>
                <w:sz w:val="17"/>
                <w:szCs w:val="17"/>
                <w:color w:val="0000FF"/>
                <w:w w:val="97"/>
              </w:rPr>
              <w:t>D</w:t>
            </w:r>
          </w:p>
        </w:tc>
        <w:tc>
          <w:tcPr>
            <w:tcW w:w="1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By KKG</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center"/>
              <w:ind w:left="9"/>
              <w:spacing w:after="0"/>
              <w:rPr>
                <w:sz w:val="20"/>
                <w:szCs w:val="20"/>
                <w:color w:val="auto"/>
              </w:rPr>
            </w:pPr>
            <w:r>
              <w:rPr>
                <w:rFonts w:ascii="Arial" w:cs="Arial" w:eastAsia="Arial" w:hAnsi="Arial"/>
                <w:sz w:val="17"/>
                <w:szCs w:val="17"/>
                <w:color w:val="0000FF"/>
                <w:w w:val="89"/>
              </w:rPr>
              <w:t>1,479,680</w:t>
            </w:r>
          </w:p>
        </w:tc>
        <w:tc>
          <w:tcPr>
            <w:tcW w:w="980" w:type="dxa"/>
            <w:vAlign w:val="bottom"/>
          </w:tcPr>
          <w:p>
            <w:pPr>
              <w:jc w:val="center"/>
              <w:ind w:left="4"/>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258"/>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vMerge w:val="restart"/>
          </w:tcPr>
          <w:p>
            <w:pPr>
              <w:jc w:val="center"/>
              <w:ind w:left="9"/>
              <w:spacing w:after="0"/>
              <w:rPr>
                <w:sz w:val="20"/>
                <w:szCs w:val="20"/>
                <w:color w:val="auto"/>
              </w:rPr>
            </w:pPr>
            <w:r>
              <w:rPr>
                <w:rFonts w:ascii="Arial" w:cs="Arial" w:eastAsia="Arial" w:hAnsi="Arial"/>
                <w:sz w:val="17"/>
                <w:szCs w:val="17"/>
                <w:color w:val="0000FF"/>
                <w:w w:val="91"/>
              </w:rPr>
              <w:t>239,399</w:t>
            </w:r>
          </w:p>
        </w:tc>
        <w:tc>
          <w:tcPr>
            <w:tcW w:w="980" w:type="dxa"/>
            <w:vAlign w:val="bottom"/>
            <w:vMerge w:val="restart"/>
          </w:tcPr>
          <w:p>
            <w:pPr>
              <w:jc w:val="center"/>
              <w:ind w:left="4"/>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By Romulus</w:t>
            </w:r>
          </w:p>
        </w:tc>
        <w:tc>
          <w:tcPr>
            <w:tcW w:w="0" w:type="dxa"/>
            <w:vAlign w:val="bottom"/>
          </w:tcPr>
          <w:p>
            <w:pPr>
              <w:spacing w:after="0"/>
              <w:rPr>
                <w:sz w:val="1"/>
                <w:szCs w:val="1"/>
                <w:color w:val="auto"/>
              </w:rPr>
            </w:pPr>
          </w:p>
        </w:tc>
      </w:tr>
      <w:tr>
        <w:trPr>
          <w:trHeight w:val="208"/>
        </w:trPr>
        <w:tc>
          <w:tcPr>
            <w:tcW w:w="23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w w:val="97"/>
              </w:rPr>
              <w:t>Capital I, L.P.</w:t>
            </w:r>
          </w:p>
        </w:tc>
        <w:tc>
          <w:tcPr>
            <w:tcW w:w="0" w:type="dxa"/>
            <w:vAlign w:val="bottom"/>
          </w:tcPr>
          <w:p>
            <w:pPr>
              <w:spacing w:after="0"/>
              <w:rPr>
                <w:sz w:val="1"/>
                <w:szCs w:val="1"/>
                <w:color w:val="auto"/>
              </w:rPr>
            </w:pPr>
          </w:p>
        </w:tc>
      </w:tr>
      <w:tr>
        <w:trPr>
          <w:trHeight w:val="139"/>
        </w:trPr>
        <w:tc>
          <w:tcPr>
            <w:tcW w:w="2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ind w:left="80"/>
              <w:spacing w:after="0"/>
              <w:rPr>
                <w:sz w:val="20"/>
                <w:szCs w:val="20"/>
                <w:color w:val="auto"/>
              </w:rPr>
            </w:pP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81"/>
        </w:trPr>
        <w:tc>
          <w:tcPr>
            <w:tcW w:w="23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By Romulus</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center"/>
              <w:ind w:left="9"/>
              <w:spacing w:after="0"/>
              <w:rPr>
                <w:sz w:val="20"/>
                <w:szCs w:val="20"/>
                <w:color w:val="auto"/>
              </w:rPr>
            </w:pPr>
            <w:r>
              <w:rPr>
                <w:rFonts w:ascii="Arial" w:cs="Arial" w:eastAsia="Arial" w:hAnsi="Arial"/>
                <w:sz w:val="17"/>
                <w:szCs w:val="17"/>
                <w:color w:val="0000FF"/>
                <w:w w:val="89"/>
              </w:rPr>
              <w:t>3,608,384</w:t>
            </w:r>
          </w:p>
        </w:tc>
        <w:tc>
          <w:tcPr>
            <w:tcW w:w="980" w:type="dxa"/>
            <w:vAlign w:val="bottom"/>
          </w:tcPr>
          <w:p>
            <w:pPr>
              <w:jc w:val="center"/>
              <w:ind w:left="4"/>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Capital II,</w:t>
            </w:r>
          </w:p>
        </w:tc>
        <w:tc>
          <w:tcPr>
            <w:tcW w:w="0" w:type="dxa"/>
            <w:vAlign w:val="bottom"/>
          </w:tcPr>
          <w:p>
            <w:pPr>
              <w:spacing w:after="0"/>
              <w:rPr>
                <w:sz w:val="1"/>
                <w:szCs w:val="1"/>
                <w:color w:val="auto"/>
              </w:rPr>
            </w:pPr>
          </w:p>
        </w:tc>
      </w:tr>
      <w:tr>
        <w:trPr>
          <w:trHeight w:val="282"/>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By Romulus</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center"/>
              <w:ind w:left="9"/>
              <w:spacing w:after="0"/>
              <w:rPr>
                <w:sz w:val="20"/>
                <w:szCs w:val="20"/>
                <w:color w:val="auto"/>
              </w:rPr>
            </w:pPr>
            <w:r>
              <w:rPr>
                <w:rFonts w:ascii="Arial" w:cs="Arial" w:eastAsia="Arial" w:hAnsi="Arial"/>
                <w:sz w:val="17"/>
                <w:szCs w:val="17"/>
                <w:color w:val="0000FF"/>
                <w:w w:val="89"/>
              </w:rPr>
              <w:t>8,225,642</w:t>
            </w:r>
          </w:p>
        </w:tc>
        <w:tc>
          <w:tcPr>
            <w:tcW w:w="980" w:type="dxa"/>
            <w:vAlign w:val="bottom"/>
          </w:tcPr>
          <w:p>
            <w:pPr>
              <w:jc w:val="center"/>
              <w:ind w:left="4"/>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Capital III,</w:t>
            </w:r>
          </w:p>
        </w:tc>
        <w:tc>
          <w:tcPr>
            <w:tcW w:w="0" w:type="dxa"/>
            <w:vAlign w:val="bottom"/>
          </w:tcPr>
          <w:p>
            <w:pPr>
              <w:spacing w:after="0"/>
              <w:rPr>
                <w:sz w:val="1"/>
                <w:szCs w:val="1"/>
                <w:color w:val="auto"/>
              </w:rPr>
            </w:pPr>
          </w:p>
        </w:tc>
      </w:tr>
      <w:tr>
        <w:trPr>
          <w:trHeight w:val="282"/>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By Romulus</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ELC B3</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center"/>
              <w:ind w:left="9"/>
              <w:spacing w:after="0"/>
              <w:rPr>
                <w:sz w:val="20"/>
                <w:szCs w:val="20"/>
                <w:color w:val="auto"/>
              </w:rPr>
            </w:pPr>
            <w:r>
              <w:rPr>
                <w:rFonts w:ascii="Arial" w:cs="Arial" w:eastAsia="Arial" w:hAnsi="Arial"/>
                <w:sz w:val="17"/>
                <w:szCs w:val="17"/>
                <w:color w:val="0000FF"/>
                <w:w w:val="91"/>
              </w:rPr>
              <w:t>159,209</w:t>
            </w:r>
          </w:p>
        </w:tc>
        <w:tc>
          <w:tcPr>
            <w:tcW w:w="980" w:type="dxa"/>
            <w:vAlign w:val="bottom"/>
          </w:tcPr>
          <w:p>
            <w:pPr>
              <w:jc w:val="center"/>
              <w:ind w:left="4"/>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Special</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282"/>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By Zaffran</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vMerge w:val="restart"/>
          </w:tcPr>
          <w:p>
            <w:pPr>
              <w:jc w:val="center"/>
              <w:ind w:left="9"/>
              <w:spacing w:after="0"/>
              <w:rPr>
                <w:sz w:val="20"/>
                <w:szCs w:val="20"/>
                <w:color w:val="auto"/>
              </w:rPr>
            </w:pPr>
            <w:r>
              <w:rPr>
                <w:rFonts w:ascii="Arial" w:cs="Arial" w:eastAsia="Arial" w:hAnsi="Arial"/>
                <w:sz w:val="17"/>
                <w:szCs w:val="17"/>
                <w:color w:val="0000FF"/>
                <w:w w:val="91"/>
              </w:rPr>
              <w:t>638,076</w:t>
            </w:r>
          </w:p>
        </w:tc>
        <w:tc>
          <w:tcPr>
            <w:tcW w:w="980" w:type="dxa"/>
            <w:vAlign w:val="bottom"/>
            <w:vMerge w:val="restart"/>
          </w:tcPr>
          <w:p>
            <w:pPr>
              <w:jc w:val="center"/>
              <w:ind w:left="4"/>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Special</w:t>
            </w:r>
          </w:p>
        </w:tc>
        <w:tc>
          <w:tcPr>
            <w:tcW w:w="0" w:type="dxa"/>
            <w:vAlign w:val="bottom"/>
          </w:tcPr>
          <w:p>
            <w:pPr>
              <w:spacing w:after="0"/>
              <w:rPr>
                <w:sz w:val="1"/>
                <w:szCs w:val="1"/>
                <w:color w:val="auto"/>
              </w:rPr>
            </w:pPr>
          </w:p>
        </w:tc>
      </w:tr>
      <w:tr>
        <w:trPr>
          <w:trHeight w:val="114"/>
        </w:trPr>
        <w:tc>
          <w:tcPr>
            <w:tcW w:w="236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w w:val="98"/>
              </w:rPr>
              <w:t>Opportunities</w:t>
            </w:r>
          </w:p>
        </w:tc>
        <w:tc>
          <w:tcPr>
            <w:tcW w:w="0" w:type="dxa"/>
            <w:vAlign w:val="bottom"/>
          </w:tcPr>
          <w:p>
            <w:pPr>
              <w:spacing w:after="0"/>
              <w:rPr>
                <w:sz w:val="1"/>
                <w:szCs w:val="1"/>
                <w:color w:val="auto"/>
              </w:rPr>
            </w:pPr>
          </w:p>
        </w:tc>
      </w:tr>
      <w:tr>
        <w:trPr>
          <w:trHeight w:val="107"/>
        </w:trPr>
        <w:tc>
          <w:tcPr>
            <w:tcW w:w="2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40"/>
        <w:spacing w:after="0" w:line="185" w:lineRule="auto"/>
        <w:rPr>
          <w:sz w:val="20"/>
          <w:szCs w:val="20"/>
          <w:color w:val="auto"/>
        </w:rPr>
      </w:pPr>
      <w:r>
        <w:rPr>
          <w:rFonts w:ascii="Arial" w:cs="Arial" w:eastAsia="Arial" w:hAnsi="Arial"/>
          <w:sz w:val="24"/>
          <w:szCs w:val="24"/>
          <w:color w:val="0000FF"/>
          <w:vertAlign w:val="subscript"/>
        </w:rPr>
        <w:t>LLC</w:t>
      </w:r>
      <w:r>
        <w:rPr>
          <w:rFonts w:ascii="Arial" w:cs="Arial" w:eastAsia="Arial" w:hAnsi="Arial"/>
          <w:sz w:val="10"/>
          <w:szCs w:val="10"/>
          <w:color w:val="008000"/>
        </w:rPr>
        <w:t>(4)</w:t>
      </w:r>
    </w:p>
    <w:p>
      <w:pPr>
        <w:spacing w:after="0" w:line="14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was granted 250,000 shares of common stock for his service as a director, including while he served as Interim Chief Executive Officer.</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the sole managing member of this entity,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 as amended (the "Exchange Act").</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one of two managing members of the general partner of this entity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the sole general partner of this entity, and disclaims beneficial ownership of the shares reported herein except to the extent of his pecuniary interest therein, if any, and the</w:t>
      </w:r>
    </w:p>
    <w:p>
      <w:pPr>
        <w:sectPr>
          <w:pgSz w:w="11900" w:h="16838" w:orient="portrait"/>
          <w:cols w:equalWidth="0" w:num="1">
            <w:col w:w="11000"/>
          </w:cols>
          <w:pgMar w:left="460" w:top="225" w:right="439" w:bottom="0" w:gutter="0" w:footer="0" w:header="0"/>
          <w:type w:val="continuous"/>
        </w:sectPr>
      </w:pPr>
    </w:p>
    <w:bookmarkStart w:id="1" w:name="page2"/>
    <w:bookmarkEnd w:id="1"/>
    <w:p>
      <w:pPr>
        <w:spacing w:after="0" w:line="266" w:lineRule="auto"/>
        <w:rPr>
          <w:sz w:val="20"/>
          <w:szCs w:val="20"/>
          <w:color w:val="auto"/>
        </w:rPr>
      </w:pPr>
      <w:r>
        <w:rPr>
          <w:rFonts w:ascii="Arial" w:cs="Arial" w:eastAsia="Arial" w:hAnsi="Arial"/>
          <w:sz w:val="13"/>
          <w:szCs w:val="13"/>
          <w:color w:val="008000"/>
        </w:rPr>
        <w:t>inclusion of these shares in this report shall not be deemed an admission that the Reporting Person is a beneficial owner of the securities reported in this filing for purposes of Section 16 of the Exchange Act.</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Krishna Gupta</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10/25/2023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44971"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2023-10-25T20:53:43Z</dcterms:created>
  <dcterms:modified xsi:type="dcterms:W3CDTF">2023-10-25T20:53:43Z</dcterms:modified>
</cp:coreProperties>
</file>