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27, 2022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ind w:right="129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jc w:val="center"/>
              <w:ind w:right="430"/>
              <w:spacing w:after="0" w:line="201" w:lineRule="exact"/>
              <w:rPr>
                <w:sz w:val="20"/>
                <w:szCs w:val="20"/>
                <w:color w:val="auto"/>
              </w:rPr>
            </w:pPr>
            <w:r>
              <w:rPr>
                <w:rFonts w:ascii="Arial" w:cs="Arial" w:eastAsia="Arial" w:hAnsi="Arial"/>
                <w:sz w:val="18"/>
                <w:szCs w:val="18"/>
                <w:color w:val="auto"/>
                <w:w w:val="92"/>
              </w:rPr>
              <w:t>(Commission File Number)</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760"/>
              <w:spacing w:after="0"/>
              <w:rPr>
                <w:sz w:val="20"/>
                <w:szCs w:val="20"/>
                <w:color w:val="auto"/>
              </w:rPr>
            </w:pPr>
            <w:r>
              <w:rPr>
                <w:rFonts w:ascii="Arial" w:cs="Arial" w:eastAsia="Arial" w:hAnsi="Arial"/>
                <w:sz w:val="18"/>
                <w:szCs w:val="18"/>
                <w:color w:val="auto"/>
                <w:w w:val="93"/>
              </w:rPr>
              <w:t>of incorporation)</w:t>
            </w: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2"/>
              </w:rPr>
              <w:t>985 Industrial Road</w:t>
            </w:r>
          </w:p>
        </w:tc>
        <w:tc>
          <w:tcPr>
            <w:tcW w:w="348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0"/>
              </w:rPr>
              <w:t>San Carlos, CA 94070</w:t>
            </w:r>
          </w:p>
        </w:tc>
        <w:tc>
          <w:tcPr>
            <w:tcW w:w="3480" w:type="dxa"/>
            <w:vAlign w:val="bottom"/>
          </w:tcPr>
          <w:p>
            <w:pPr>
              <w:spacing w:after="0"/>
              <w:rPr>
                <w:sz w:val="19"/>
                <w:szCs w:val="19"/>
                <w:color w:val="auto"/>
              </w:rPr>
            </w:pPr>
          </w:p>
        </w:tc>
      </w:tr>
      <w:tr>
        <w:trPr>
          <w:trHeight w:val="230"/>
        </w:trPr>
        <w:tc>
          <w:tcPr>
            <w:tcW w:w="7760" w:type="dxa"/>
            <w:vAlign w:val="bottom"/>
            <w:gridSpan w:val="6"/>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2"/>
              </w:rPr>
              <w:t>Not Applicable</w:t>
            </w:r>
          </w:p>
        </w:tc>
        <w:tc>
          <w:tcPr>
            <w:tcW w:w="3480" w:type="dxa"/>
            <w:vAlign w:val="bottom"/>
          </w:tcPr>
          <w:p>
            <w:pPr>
              <w:spacing w:after="0"/>
              <w:rPr>
                <w:sz w:val="24"/>
                <w:szCs w:val="24"/>
                <w:color w:val="auto"/>
              </w:rPr>
            </w:pPr>
          </w:p>
        </w:tc>
      </w:tr>
      <w:tr>
        <w:trPr>
          <w:trHeight w:val="230"/>
        </w:trPr>
        <w:tc>
          <w:tcPr>
            <w:tcW w:w="11240" w:type="dxa"/>
            <w:vAlign w:val="bottom"/>
            <w:gridSpan w:val="7"/>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9"/>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6"/>
              </w:rPr>
              <w:t>Title of each class</w:t>
            </w: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20" w:type="dxa"/>
            <w:vAlign w:val="bottom"/>
            <w:tcBorders>
              <w:top w:val="single" w:sz="8" w:color="auto"/>
            </w:tcBorders>
            <w:shd w:val="clear" w:color="auto" w:fill="CCEEFF"/>
          </w:tcPr>
          <w:p>
            <w:pPr>
              <w:jc w:val="center"/>
              <w:ind w:right="490"/>
              <w:spacing w:after="0" w:line="201" w:lineRule="exact"/>
              <w:rPr>
                <w:sz w:val="20"/>
                <w:szCs w:val="20"/>
                <w:color w:val="auto"/>
              </w:rPr>
            </w:pPr>
            <w:r>
              <w:rPr>
                <w:rFonts w:ascii="Arial" w:cs="Arial" w:eastAsia="Arial" w:hAnsi="Arial"/>
                <w:sz w:val="18"/>
                <w:szCs w:val="18"/>
                <w:color w:val="auto"/>
                <w:w w:val="91"/>
              </w:rPr>
              <w:t>PRST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420" w:type="dxa"/>
            <w:vAlign w:val="bottom"/>
            <w:gridSpan w:val="3"/>
            <w:shd w:val="clear" w:color="auto" w:fill="CCEEFF"/>
          </w:tcPr>
          <w:p>
            <w:pPr>
              <w:jc w:val="center"/>
              <w:ind w:right="800"/>
              <w:spacing w:after="0"/>
              <w:rPr>
                <w:sz w:val="20"/>
                <w:szCs w:val="20"/>
                <w:color w:val="auto"/>
              </w:rPr>
            </w:pPr>
            <w:r>
              <w:rPr>
                <w:rFonts w:ascii="Arial" w:cs="Arial" w:eastAsia="Arial" w:hAnsi="Arial"/>
                <w:sz w:val="18"/>
                <w:szCs w:val="18"/>
                <w:color w:val="auto"/>
                <w:w w:val="84"/>
              </w:rPr>
              <w:t>share</w:t>
            </w:r>
          </w:p>
        </w:tc>
        <w:tc>
          <w:tcPr>
            <w:tcW w:w="3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r>
      <w:tr>
        <w:trPr>
          <w:trHeight w:val="202"/>
        </w:trPr>
        <w:tc>
          <w:tcPr>
            <w:tcW w:w="4420" w:type="dxa"/>
            <w:vAlign w:val="bottom"/>
            <w:gridSpan w:val="3"/>
          </w:tcPr>
          <w:p>
            <w:pPr>
              <w:jc w:val="center"/>
              <w:ind w:right="80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340" w:type="dxa"/>
            <w:vAlign w:val="bottom"/>
            <w:gridSpan w:val="3"/>
          </w:tcPr>
          <w:p>
            <w:pPr>
              <w:jc w:val="center"/>
              <w:ind w:right="900"/>
              <w:spacing w:after="0" w:line="201" w:lineRule="exact"/>
              <w:rPr>
                <w:sz w:val="20"/>
                <w:szCs w:val="20"/>
                <w:color w:val="auto"/>
              </w:rPr>
            </w:pPr>
            <w:r>
              <w:rPr>
                <w:rFonts w:ascii="Arial" w:cs="Arial" w:eastAsia="Arial" w:hAnsi="Arial"/>
                <w:sz w:val="18"/>
                <w:szCs w:val="18"/>
                <w:color w:val="auto"/>
                <w:w w:val="92"/>
              </w:rPr>
              <w:t>PRSTW</w:t>
            </w:r>
          </w:p>
        </w:tc>
        <w:tc>
          <w:tcPr>
            <w:tcW w:w="34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share of common stock</w:t>
            </w: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Note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on November 10, 2021, Ventoux CCM Acquisition Corp. (“</w:t>
      </w:r>
      <w:r>
        <w:rPr>
          <w:rFonts w:ascii="Arial" w:cs="Arial" w:eastAsia="Arial" w:hAnsi="Arial"/>
          <w:sz w:val="18"/>
          <w:szCs w:val="18"/>
          <w:u w:val="single" w:color="auto"/>
          <w:color w:val="auto"/>
        </w:rPr>
        <w:t>VTAQ</w:t>
      </w:r>
      <w:r>
        <w:rPr>
          <w:rFonts w:ascii="Arial" w:cs="Arial" w:eastAsia="Arial" w:hAnsi="Arial"/>
          <w:sz w:val="18"/>
          <w:szCs w:val="18"/>
          <w:color w:val="auto"/>
        </w:rPr>
        <w:t>”), Ventoux Merger Sub I Inc. (“</w:t>
      </w:r>
      <w:r>
        <w:rPr>
          <w:rFonts w:ascii="Arial" w:cs="Arial" w:eastAsia="Arial" w:hAnsi="Arial"/>
          <w:sz w:val="18"/>
          <w:szCs w:val="18"/>
          <w:u w:val="single" w:color="auto"/>
          <w:color w:val="auto"/>
        </w:rPr>
        <w:t>Ventoux Merger Sub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Ventoux Merger Sub II LLC (“</w:t>
      </w:r>
      <w:r>
        <w:rPr>
          <w:rFonts w:ascii="Arial" w:cs="Arial" w:eastAsia="Arial" w:hAnsi="Arial"/>
          <w:sz w:val="18"/>
          <w:szCs w:val="18"/>
          <w:u w:val="single" w:color="auto"/>
          <w:color w:val="auto"/>
        </w:rPr>
        <w:t>Ventoux Merger Sub II</w:t>
      </w:r>
      <w:r>
        <w:rPr>
          <w:rFonts w:ascii="Arial" w:cs="Arial" w:eastAsia="Arial" w:hAnsi="Arial"/>
          <w:sz w:val="18"/>
          <w:szCs w:val="18"/>
          <w:color w:val="auto"/>
        </w:rPr>
        <w:t>”), and E La Carte, Inc. (“</w:t>
      </w:r>
      <w:r>
        <w:rPr>
          <w:rFonts w:ascii="Arial" w:cs="Arial" w:eastAsia="Arial" w:hAnsi="Arial"/>
          <w:sz w:val="18"/>
          <w:szCs w:val="18"/>
          <w:u w:val="single" w:color="auto"/>
          <w:color w:val="auto"/>
        </w:rPr>
        <w:t>Legacy Presto</w:t>
      </w:r>
      <w:r>
        <w:rPr>
          <w:rFonts w:ascii="Arial" w:cs="Arial" w:eastAsia="Arial" w:hAnsi="Arial"/>
          <w:sz w:val="18"/>
          <w:szCs w:val="18"/>
          <w:color w:val="auto"/>
        </w:rPr>
        <w:t>”) entered into an Agreement and Plan of Merger, as amended on April 1, 2022 and July 25, 2022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transactions, on September 21, 2022 (the “Closing Date”), Ventoux Merger Sub I merged with and into Legacy Presto (the “</w:t>
      </w:r>
      <w:r>
        <w:rPr>
          <w:rFonts w:ascii="Arial" w:cs="Arial" w:eastAsia="Arial" w:hAnsi="Arial"/>
          <w:sz w:val="18"/>
          <w:szCs w:val="18"/>
          <w:u w:val="single" w:color="auto"/>
          <w:color w:val="auto"/>
        </w:rPr>
        <w:t>First Merger</w:t>
      </w:r>
      <w:r>
        <w:rPr>
          <w:rFonts w:ascii="Arial" w:cs="Arial" w:eastAsia="Arial" w:hAnsi="Arial"/>
          <w:sz w:val="18"/>
          <w:szCs w:val="18"/>
          <w:color w:val="auto"/>
        </w:rPr>
        <w:t>”), with Legacy Presto surviving as a wholly-owned subsidiary of VTAQ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immediately following the First Merger and as part of the same overall transaction as the First Merger, the Surviving Corporation merged with and into Ventoux Merger Sub II (the “</w:t>
      </w:r>
      <w:r>
        <w:rPr>
          <w:rFonts w:ascii="Arial" w:cs="Arial" w:eastAsia="Arial" w:hAnsi="Arial"/>
          <w:sz w:val="18"/>
          <w:szCs w:val="18"/>
          <w:u w:val="single" w:color="auto"/>
          <w:color w:val="auto"/>
        </w:rPr>
        <w:t>Second Merger</w:t>
      </w:r>
      <w:r>
        <w:rPr>
          <w:rFonts w:ascii="Arial" w:cs="Arial" w:eastAsia="Arial" w:hAnsi="Arial"/>
          <w:sz w:val="18"/>
          <w:szCs w:val="18"/>
          <w:color w:val="auto"/>
        </w:rPr>
        <w:t>”), with Ventoux Merger Sub II surviving as a wholly-owned subsidiary of VTAQ (the First Merger and Second Merger, together with the other transactions described in the Merger Agreement,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In connection with the closing of the Business Combination, VTAQ changed its name to “Presto Automation Inc.” (referred to herein as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New Presto</w:t>
      </w:r>
      <w:r>
        <w:rPr>
          <w:rFonts w:ascii="Arial" w:cs="Arial" w:eastAsia="Arial" w:hAnsi="Arial"/>
          <w:sz w:val="18"/>
          <w:szCs w:val="18"/>
          <w:color w:val="auto"/>
        </w:rPr>
        <w:t>”).</w:t>
      </w:r>
    </w:p>
    <w:p>
      <w:pPr>
        <w:spacing w:after="0" w:line="19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Dismissal of independent registered public accounting firm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27, 2022, the Audit Committee of the Board of Directors of the Company (the “</w:t>
      </w:r>
      <w:r>
        <w:rPr>
          <w:rFonts w:ascii="Arial" w:cs="Arial" w:eastAsia="Arial" w:hAnsi="Arial"/>
          <w:sz w:val="18"/>
          <w:szCs w:val="18"/>
          <w:u w:val="single" w:color="auto"/>
          <w:color w:val="auto"/>
        </w:rPr>
        <w:t>Audit Committee</w:t>
      </w:r>
      <w:r>
        <w:rPr>
          <w:rFonts w:ascii="Arial" w:cs="Arial" w:eastAsia="Arial" w:hAnsi="Arial"/>
          <w:sz w:val="18"/>
          <w:szCs w:val="18"/>
          <w:color w:val="auto"/>
        </w:rPr>
        <w:t>”) approved the dismissal of Withum Smith+Brown, PC (“</w:t>
      </w:r>
      <w:r>
        <w:rPr>
          <w:rFonts w:ascii="Arial" w:cs="Arial" w:eastAsia="Arial" w:hAnsi="Arial"/>
          <w:sz w:val="18"/>
          <w:szCs w:val="18"/>
          <w:u w:val="single" w:color="auto"/>
          <w:color w:val="auto"/>
        </w:rPr>
        <w:t>Withum</w:t>
      </w:r>
      <w:r>
        <w:rPr>
          <w:rFonts w:ascii="Arial" w:cs="Arial" w:eastAsia="Arial" w:hAnsi="Arial"/>
          <w:sz w:val="18"/>
          <w:szCs w:val="18"/>
          <w:color w:val="auto"/>
        </w:rPr>
        <w:t>”) as the Company’s independent registered public accounting firm.</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Withum’s report of independent registered public accounting firm on VTAQ’s financial statements as of December 31, 2021,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VTAQ’s ability to continue as a going concern.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fiscal years ended December 31, 2021 and 2020, and during the subsequent interim period through October 27, 2022, there were no disagreements with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VTAQ’s financial statements for such period.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years ended December 31, 2021 and 2020, and during the subsequent interim periods through October 27, 2022, there were no “reportable events” (as defined in Item 304(a)(1)(v) of Regulation S-K under the Securities Exchange Act of 1934, as amended) other than the material weakness in internal controls identified by management related to the classification of a portion of VTAQ’s Class A Common Stock in permanent equity rather than temporary equity, which resulted in the restatement of VTAQ’s consolidated financial statements for the year ended December 31, 2021 as set forth in VTAQ’s Form 10-K/A for the year ended December 31, 2020, as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December 3, 2021, and for the quarters ended March 31, 2021 and June 30, 2021, as set forth in VTAQ’s Quarterly Report on Form 10-Q/A for the quarter ended September 30, 2021, as filed with the SEC on December 6, 2021.</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provided Withum with a copy of the foregoing disclosures and requested that Withum furnish the Company with a letter addressed to the SEC stating whether Withum agrees with the statements made by the Company set forth above. A copy of Withum’s letter, dated November 2, 2022, is attached as Exhibit 16.1 to this Current Report on Form 8-K.</w:t>
      </w:r>
    </w:p>
    <w:p>
      <w:pPr>
        <w:spacing w:after="0" w:line="18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Engagement of new independent registered public accounting firm</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27, 2022, the Audit Committee approved the engagement of Moss Adams LLP (“</w:t>
      </w:r>
      <w:r>
        <w:rPr>
          <w:rFonts w:ascii="Arial" w:cs="Arial" w:eastAsia="Arial" w:hAnsi="Arial"/>
          <w:sz w:val="17"/>
          <w:szCs w:val="17"/>
          <w:u w:val="single" w:color="auto"/>
          <w:color w:val="auto"/>
        </w:rPr>
        <w:t>Moss Adams</w:t>
      </w:r>
      <w:r>
        <w:rPr>
          <w:rFonts w:ascii="Arial" w:cs="Arial" w:eastAsia="Arial" w:hAnsi="Arial"/>
          <w:sz w:val="17"/>
          <w:szCs w:val="17"/>
          <w:color w:val="auto"/>
        </w:rPr>
        <w:t>”) as the Company’s independent registered public accounting firm to audit the Company’s consolidated financial statements for the year ending June 30, 2023. Moss Adams previously served as the independent registered public accounting firm of Legacy Presto prior to the Business Combination. During the years ended June 30, 2022 and 2021, and the subsequent interim period through October 27, 2022, neither the Company nor anyone on its behalf consulted Moss Adams with respect to (i) the application of accounting principles to a specified transaction, either completed or proposed, or the type of audit opinion that might be rendered on the Company’s financial statements, and no written report or oral advice was provided to the Company that Moss Adams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u w:val="single" w:color="auto"/>
          <w:color w:val="0000EE"/>
        </w:rPr>
        <w:t>Letter from Withum Smith+Brown, PC</w:t>
      </w:r>
    </w:p>
    <w:p>
      <w:pPr>
        <w:spacing w:after="0" w:line="23" w:lineRule="exact"/>
        <w:rPr>
          <w:sz w:val="20"/>
          <w:szCs w:val="20"/>
          <w:color w:val="auto"/>
        </w:rPr>
      </w:pPr>
    </w:p>
    <w:p>
      <w:pPr>
        <w:ind w:left="5580" w:right="4460" w:hanging="5572"/>
        <w:spacing w:after="0" w:line="761"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51"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read Presto Automation Inc.’s (formerly known as Ventoux CCM Acquisition Corp.’s) statements included under Item 4.01 of its Form 8-K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27, 2022. We agree with the statements concerning our Firm under Item 4.01(a), in which we were informed of our dismissal on October 27,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are not in a position to agree or disagree with other statements contained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2022-11-02T17:15:46Z</dcterms:created>
  <dcterms:modified xsi:type="dcterms:W3CDTF">2022-11-02T17:15:46Z</dcterms:modified>
</cp:coreProperties>
</file>