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East Putnam Avenue, Floor 4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Greenwich, CT 06830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Ventoux CCM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December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CIK: 0001822145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Scheetz: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better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and either submitting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and your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amended draft registration statement or filed registration statement, we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have additional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Cautionary Note Regarding Forward-Looking Statements, page 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reliance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the safe harbor for forward-looking statements contained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Private Securities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Litigation Reform Act of 1995 in connection with the disclosure of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Presto's projections,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forecasts, and any underlying assumptions. Please revise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language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acknowledging the legal uncertainty of the availability of the safe harbor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context of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 business combination.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spacing w:after="0"/>
        <w:tabs>
          <w:tab w:leader="none" w:pos="1140" w:val="left"/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LastNameEdward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Scheetz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21,NameVentoux</w:t>
      </w:r>
    </w:p>
    <w:p>
      <w:pPr>
        <w:ind w:left="1280"/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CCM Acquisition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21, 2022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about the Proposals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vote is required to approve the proposals presented at the Special Meeting?, page 16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the fact that the SPAC Sponsor has agreed to vote its shares of common stock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approve the merger and related proposals, please disclose the percentage of non-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affiliated public shares that would need to approve the merger by majority vote assuming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Ventoux outstanding shares are voted and if only a quorum of Ventoux shares are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Statement/Prospectus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PIPE Investment, page 31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VTAQ entered into the Equity Subscription Agreements and the Convertible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Subscription Agreement with certain accredited investors.</w:t>
      </w:r>
    </w:p>
    <w:p>
      <w:pPr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if the SPAC</w:t>
        <w:tab/>
        <w:t>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sponsors, directors, officers or their affiliates will participate in these private placements.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purpose and effect of the Note Indenture provision that would require VTAQ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repurchase for cash all of the notes at any time upon the</w:t>
      </w:r>
    </w:p>
    <w:p>
      <w:pPr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occurrence of 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fundamental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change." Additionally, disclose here the definition of fundamental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VTAQ's Reasons for Approval of the Business Combination, page 34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charter waived the corporate opportunities doctrine. Please address this potential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conflict of interest and whether it impacted your search for an acquisition target.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Interests of VTAQ's Directors and Officers in the Business Combination, page 37</w:t>
      </w:r>
    </w:p>
    <w:p>
      <w:pPr>
        <w:spacing w:after="0" w:line="22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highlight the material risks to public warrant holders, including those arising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differences between private and public warrants. Clarify whether recent common stock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prices exceed the threshold that would allow the company to redeem public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warrants. Clearly explain the steps, if any, the company will take to notify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shareholders, including beneficial owners, regarding when the warrants become eligible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redemption.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conflicts of interest discussion so that it highlights all material interests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transaction held by the sponsor and the company s officers and directors. This could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fiduciary or contractual obligations to other entities as well as any interest in,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affiliation with, the target company. In addition, please clarify how the board considered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conflicts in negotiating and recommending the business combination.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disclosure indicates that prior to the special meeting the initial stockholders, Presto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its affiliates and the Presto Founders and/or their affiliates may purchase shares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warrants from investors. Explain how such purchases would comply with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39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of Rule 14e-5 under the Exchange Act. Edward Scheetz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LastNameEdward   Scheetz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21,NameVentoux</w:t>
      </w:r>
    </w:p>
    <w:p>
      <w:pPr>
        <w:ind w:left="128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CCM 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21, 2022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VTAQ and the Business Combination, page 42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risk factor disclosure detailing the risks involved with the provisions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proposed charter noted on pages 118-122, including, for instance,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having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classified board, prohibiting shareholders from calling special meetings and requiring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than a majority vote for certain actions. Risk Factors, page 48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material risks to unaffiliated investors presented by taking the company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 through a merger rather than an underwritten offering. These risks could include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absence of due diligence conducted by an underwriter that would be subject to liability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material misstatements or omissions in a registration statement.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Meeting of VTAQ Stockholders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Vote of the Sponsor, Directors and Officers, page 85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certain shareholders agreed to waive their redemption rights. Please describe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consideration provided in exchange for this agreement and why such shareholders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23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were willing to waive their redemption rights. Certain Presto Projected Financial Information, page 102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your disclosure of Non-GAAP Adjusted EBITDA, please present with equal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greater prominence, the most directly comparable financial measure calculated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in accordance with GAAP.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additional discussion of the assumptions underlying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projected gross margin increase from 28% in 2021 to 55% in 2023. Specifically, state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assumptions used to calculate operating efficiencies, economies of scale, and the shift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platform product mix.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with specificity the estimates and assumptions used with respect to general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economic, regulatory, market and financial conditions and other future events.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since the forecasts assume consistent investment in sales and marketing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staffing, R&amp;D, and G&amp;A, quantify the assumed investment in each. If it is not clear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such funds would come from, or if such the Company is depending on cash in trust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business combination, so state.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investor presentation dated January 12, 2022, filed as an exhibit to the Form 8-K,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focuses on the projected financial information. The emphasis on the prospective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information, as opposed to historical results, in investor presentations appears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contradict statements in the registration statement that "Presto does not, as a matter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practice, publicly disclose long-term forecasts or internal projections of its future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LastNameEdward   Scheetz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21,NameVentoux</w:t>
      </w:r>
    </w:p>
    <w:p>
      <w:pPr>
        <w:ind w:left="128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CCM 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21, 2022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performance," and that the Presto forecasts were not prepared with a view toward public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 With a view toward revised disclosure, please tell us if the forecasts were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prepared in part for marketing purposes or to influence investor decisions.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the legal basis for the disclaimer on page 104 of "any responsibility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update or revise...these financial projections to reflect circumstances or events...that may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occurred or that may occur after the preparation of these financial projections, even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event that any or all of the assumptions underlying the financial projections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shown to be in error or change." Refer generally to Item 10(b)(3)(iii) of Regulation S-K.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Stock Issuance Proposal, page 127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you have included the Equity PIPE and Debt Pipe investment share issuance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approvals together with the issuance of the shares contemplated by the merger agreement.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 14a-4(a)(3) of Regulation 14A, as well as Question 201.01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Rule 14a-4(a)(3) Compliance and Disclosure Interpretations.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138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business combination transactions summary, please disclose the ratio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of VTAQ shares for Presto shares under the two redemption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scenarios. Provide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disclosure within the disclosure accompanying the per share data on page 46.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limit your pro forma balance sheet presentation to the latest historic balance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sheet included in the filing.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Consolidated Balance Sheet, page 140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1819" w:hanging="952"/>
        <w:spacing w:after="0" w:line="235" w:lineRule="auto"/>
        <w:tabs>
          <w:tab w:leader="none" w:pos="9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in a separate pro forma adjustment column following the Presto (Historical) balance sheet, adjustments that give effect to: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 w:right="549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Preferred Stock Conversion; the Warrant Exercise;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Convertible Notes Conversion; and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number of shares of common stock of New Presto to be issued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upon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Ratio.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pro forma adjustment column should be followed by a subtotal column to present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Presto on a pro forma basis. You should make similar revisions in your pro forma income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to give effect to these transactions on the Presto historic income statements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impact on loss per share.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Presto, page 168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revenue from your three largest customers accounted for 93% of revenue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2021. Please revise to identify these customers and disclose the material terms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them, including the duration of the agreements and termination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provisions. To provide context for this disclosure, also revise to disclose the total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LastNameEdward   Scheetz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21,NameVentoux</w:t>
      </w:r>
    </w:p>
    <w:p>
      <w:pPr>
        <w:ind w:left="128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CCM 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21, 2022 Page 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customers for each period presented. In addition, include a risk factor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disclosing your dependence on a limited number of customers and discuss your limited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base in your Business section. Refer to Item 101(h)(4)(vi) of Regulation S-K.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"may take advantage of several acquisition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opportunities" and that "currently there are five immediately actionable targets which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strong product fits and can bring in around $50 million of additional ARR." Please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clarify whether you have entered into any negotiations or agreements to acquire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provide a more detailed discussion regarding the status of the negotiations.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what is meant by the phrase "immediately actionable." Management's Discussion and Analysis of Financial Condition and Results of Operations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Presto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176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your significant operating losses and negative cash flows from operating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activities, please discuss in reasonable detail your plans for achieving profitability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positive cash flows from operating activities in the future. Your discussion should address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likelihood and anticipated timing of your plans and assumptions coming to fruition.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178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eliminated the impairment of returned leased tablets and certain product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hardware repair costs, due to infrequency and COVID when calculating Non-GAAP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Gross Profit and Adjusted EBITDA, implying that these costs are not reflective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your normal course of business. Please clarify your disclosure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these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meet the definition of non-recurring, infrequent or unusual as set forth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10(e)(1)(ii)(B) of Regulation S-K. See also Question 102.03 of the Compliance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 on Non-GAAP Financial Measures.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addition, more fully explain to us why you believe adjusting non-GAAP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 for impairment of returned leased tablets and product and hardware repairs,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appear to be normal business costs under your Return Merchandize Authorization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process, is reasonable and appropriate. Refer to Question 100.01 of the Compliance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 on Non-GAAP Financial Measures. Key Factors Affecting Our Performance, page 180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you identify Retention and Expansion within your Existing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Base, Expansion of Locations Per Customer, and Support of your</w:t>
      </w: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Revenue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Growth, among others as key factors affecting performance. We further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your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170 regarding net revenue retention rate and your use of the phrase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"sticky." Please clarify whether the company uses any key performance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metrics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these key factors in evaluating the business, and quantify those metrics for the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 presented. For example, revise to define your net revenue retention rate and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20" w:right="5919" w:firstLine="842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the underlying metrics. Edward Scheetz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LastNameEdward   Scheetz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21,NameVentoux</w:t>
      </w:r>
    </w:p>
    <w:p>
      <w:pPr>
        <w:ind w:left="128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CCM 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 21, 2022 Page 6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184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discussion of your results of operations to describe any known trends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uncertainties that have had or that Presto's management reasonably expects will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material impact on revenues or loss from operations. Particularly, in light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dependence on three customers accounting for 93% of revenues, please discuss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analyze all known trends and uncertainties resulting from your dependence on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for substantially all of your revenues. If applicable, discuss to what extent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intends to rely upon these three customers for future revenue growth.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all periods presented, please revise to separately quantify and further analyze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factor contributing to the change for each of the line items discussed within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 section. In regard to platform revenues, for example,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separately quantify the amount of growth due to new customers and Average Revenue per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Location (ARPL). When discussing associated costs, for instance, please identify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increases due to product costs, shipping/freight costs, installation costs and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costs. Refer to Item 303(a)(3)(iii) of 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disclosures for the change in fair value of warrants and convertible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promissory notes to explain the specific assumptions that changed that resulted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decline in value of these liabilities. Liquidity and Capital Resources, page 186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minimum funding required to remain in business for at least the next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 months, as well as the minimum number of months that you will be able to conduct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5" w:name="page6"/>
    <w:bookmarkEnd w:id="5"/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planned operations using currently available capital resources. Refer to Item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303(a)(1) and (2) of Regulation S-K.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Ownership of Certain Beneficial Owners and Management, page 216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natural person or persons who exercise the voting and/or dispositive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powers with respect to the securities owned by the entities identified in the beneficial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table.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32. Please disclose the sponsor and its affiliates total potential ownership interest 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combined company, assuming exercise and conversion of all securities. Consolidated Financial Statements of E La Carte, Inc. (dba Presto)</w:t>
      </w:r>
    </w:p>
    <w:p>
      <w:pPr>
        <w:ind w:right="4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Business and Significant Accounting Policies Revenue Recognition, page F-59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Presto Smart Dining System contracts may include leasing of hardware,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hardware accessories and other services. Please describe for us, in greater detail,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arrangements are accounted for including any lease contracts. You should address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whether you determined if any lease contracts or components are within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855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scope Edward Scheetz</w:t>
      </w:r>
    </w:p>
    <w:p>
      <w:pPr>
        <w:ind w:right="70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 January 21, 2022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ASC 840, how such contracts are separated from the rest of the arrangement, what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performance obligations are for the components accounted for under ASC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for the timing of revenue recognition for each. Refer to the authoritative guidance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relied upon.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regard to transaction revenue, you state that you are primarily responsible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provided, control access and influence prices, and these factors reflect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is the principal in transactions with diners. Please explain further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that the diner is the customer in your arrangements and how you execute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 with the diner. Please also clarify how you considered all of the factors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ASC 606-10-55-36 through 55-40 in determining that you are the principal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 w:right="1819" w:hanging="42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transaction. Please ensure you include the following in your response: Clarify the specific services contracted for by the customer and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control each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380" w:right="1819" w:firstLine="105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these services prior to being transferred to the customer; and Explain the specific terms of the contract that you enter into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customer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specific terms of the contract that you enter into with the agent as it relates to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responsibility for fulfillment and acceptability of services.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clarify the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timing of entering into these contracts.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Joseph Cascarano,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551-3376 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Littlepage, Accounting Branch Chief, at (202) 551-3361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Derby,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551-3334 or Joshua Shainess, Legal Branch Chief,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551-7951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3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LastNameEdward Scheetz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NameVentoux CCM Acquisition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820" w:space="720"/>
            <w:col w:w="3599"/>
          </w:cols>
          <w:pgMar w:left="320" w:top="142" w:right="1440" w:bottom="139" w:gutter="0" w:footer="0" w:header="0"/>
          <w:type w:val="continuous"/>
        </w:sect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39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January 21, 2022 Page 7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820" w:space="720"/>
        <w:col w:w="3599"/>
      </w:cols>
      <w:pgMar w:left="320" w:top="142" w:right="1440" w:bottom="13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BD062C2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2200854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4DB127F8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216231B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1F16E9E8"/>
    <w:multiLevelType w:val="hybridMultilevel"/>
    <w:lvl w:ilvl="0">
      <w:lvlJc w:val="left"/>
      <w:lvlText w:val="%1."/>
      <w:numFmt w:val="decimal"/>
      <w:start w:val="8"/>
    </w:lvl>
  </w:abstractNum>
  <w:abstractNum w:abstractNumId="5">
    <w:nsid w:val="1190CDE7"/>
    <w:multiLevelType w:val="hybridMultilevel"/>
    <w:lvl w:ilvl="0">
      <w:lvlJc w:val="left"/>
      <w:lvlText w:val="%1."/>
      <w:numFmt w:val="decimal"/>
      <w:start w:val="9"/>
    </w:lvl>
  </w:abstractNum>
  <w:abstractNum w:abstractNumId="6">
    <w:nsid w:val="66EF438D"/>
    <w:multiLevelType w:val="hybridMultilevel"/>
    <w:lvl w:ilvl="0">
      <w:lvlJc w:val="left"/>
      <w:lvlText w:val="%1."/>
      <w:numFmt w:val="decimal"/>
      <w:start w:val="11"/>
    </w:lvl>
  </w:abstractNum>
  <w:abstractNum w:abstractNumId="7">
    <w:nsid w:val="140E0F76"/>
    <w:multiLevelType w:val="hybridMultilevel"/>
    <w:lvl w:ilvl="0">
      <w:lvlJc w:val="left"/>
      <w:lvlText w:val="%1."/>
      <w:numFmt w:val="decimal"/>
      <w:start w:val="16"/>
    </w:lvl>
  </w:abstractNum>
  <w:abstractNum w:abstractNumId="8">
    <w:nsid w:val="3352255A"/>
    <w:multiLevelType w:val="hybridMultilevel"/>
    <w:lvl w:ilvl="0">
      <w:lvlJc w:val="left"/>
      <w:lvlText w:val="%1."/>
      <w:numFmt w:val="decimal"/>
      <w:start w:val="19"/>
    </w:lvl>
  </w:abstractNum>
  <w:abstractNum w:abstractNumId="9">
    <w:nsid w:val="109CF92E"/>
    <w:multiLevelType w:val="hybridMultilevel"/>
    <w:lvl w:ilvl="0">
      <w:lvlJc w:val="left"/>
      <w:lvlText w:val="%1."/>
      <w:numFmt w:val="decimal"/>
      <w:start w:val="21"/>
    </w:lvl>
  </w:abstractNum>
  <w:abstractNum w:abstractNumId="10">
    <w:nsid w:val="DED7263"/>
    <w:multiLevelType w:val="hybridMultilevel"/>
    <w:lvl w:ilvl="0">
      <w:lvlJc w:val="left"/>
      <w:lvlText w:val="%1."/>
      <w:numFmt w:val="decimal"/>
      <w:start w:val="22"/>
    </w:lvl>
  </w:abstractNum>
  <w:abstractNum w:abstractNumId="11">
    <w:nsid w:val="7FDCC233"/>
    <w:multiLevelType w:val="hybridMultilevel"/>
    <w:lvl w:ilvl="0">
      <w:lvlJc w:val="left"/>
      <w:lvlText w:val="%1."/>
      <w:numFmt w:val="decimal"/>
      <w:start w:val="25"/>
    </w:lvl>
  </w:abstractNum>
  <w:abstractNum w:abstractNumId="12">
    <w:nsid w:val="1BEFD79F"/>
    <w:multiLevelType w:val="hybridMultilevel"/>
    <w:lvl w:ilvl="0">
      <w:lvlJc w:val="left"/>
      <w:lvlText w:val="%1."/>
      <w:numFmt w:val="decimal"/>
      <w:start w:val="27"/>
    </w:lvl>
  </w:abstractNum>
  <w:abstractNum w:abstractNumId="13">
    <w:nsid w:val="41A7C4C9"/>
    <w:multiLevelType w:val="hybridMultilevel"/>
    <w:lvl w:ilvl="0">
      <w:lvlJc w:val="left"/>
      <w:lvlText w:val="%1."/>
      <w:numFmt w:val="decimal"/>
      <w:start w:val="31"/>
    </w:lvl>
  </w:abstractNum>
  <w:abstractNum w:abstractNumId="14">
    <w:nsid w:val="6B68079A"/>
    <w:multiLevelType w:val="hybridMultilevel"/>
    <w:lvl w:ilvl="0">
      <w:lvlJc w:val="left"/>
      <w:lvlText w:val="%1."/>
      <w:numFmt w:val="decimal"/>
      <w:start w:val="33"/>
    </w:lvl>
  </w:abstractNum>
  <w:abstractNum w:abstractNumId="15">
    <w:nsid w:val="4E6AFB66"/>
    <w:multiLevelType w:val="hybridMultilevel"/>
    <w:lvl w:ilvl="0">
      <w:lvlJc w:val="left"/>
      <w:lvlText w:val="%1"/>
      <w:numFmt w:val="decimal"/>
      <w:start w:val="606"/>
    </w:lvl>
  </w:abstractNum>
  <w:abstractNum w:abstractNumId="16">
    <w:nsid w:val="25E45D32"/>
    <w:multiLevelType w:val="hybridMultilevel"/>
    <w:lvl w:ilvl="0">
      <w:lvlJc w:val="left"/>
      <w:lvlText w:val="%1."/>
      <w:numFmt w:val="decimal"/>
      <w:start w:val="3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2022-11-07T00:34:24Z</dcterms:created>
  <dcterms:modified xsi:type="dcterms:W3CDTF">2022-11-07T00:34:24Z</dcterms:modified>
</cp:coreProperties>
</file>