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1048385</wp:posOffset>
            </wp:positionH>
            <wp:positionV relativeFrom="page">
              <wp:posOffset>586105</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654685</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7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6, 2023</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8" w:lineRule="exact"/>
        <w:rPr>
          <w:sz w:val="24"/>
          <w:szCs w:val="24"/>
          <w:color w:val="auto"/>
        </w:rPr>
      </w:pPr>
    </w:p>
    <w:tbl>
      <w:tblPr>
        <w:tblLayout w:type="fixed"/>
        <w:tblInd w:w="220" w:type="dxa"/>
        <w:tblCellMar>
          <w:top w:w="0" w:type="dxa"/>
          <w:left w:w="0" w:type="dxa"/>
          <w:bottom w:w="0" w:type="dxa"/>
          <w:right w:w="0" w:type="dxa"/>
        </w:tblCellMar>
      </w:tblPr>
      <w:tr>
        <w:trPr>
          <w:trHeight w:val="212"/>
        </w:trPr>
        <w:tc>
          <w:tcPr>
            <w:tcW w:w="3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40" w:type="dxa"/>
            <w:vAlign w:val="bottom"/>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001-39830</w:t>
            </w:r>
          </w:p>
        </w:tc>
        <w:tc>
          <w:tcPr>
            <w:tcW w:w="3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84-2968594</w:t>
            </w:r>
          </w:p>
        </w:tc>
      </w:tr>
      <w:tr>
        <w:trPr>
          <w:trHeight w:val="197"/>
        </w:trPr>
        <w:tc>
          <w:tcPr>
            <w:tcW w:w="290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300" w:type="dxa"/>
            <w:vAlign w:val="bottom"/>
          </w:tcPr>
          <w:p>
            <w:pPr>
              <w:spacing w:after="0"/>
              <w:rPr>
                <w:sz w:val="17"/>
                <w:szCs w:val="17"/>
                <w:color w:val="auto"/>
              </w:rPr>
            </w:pPr>
          </w:p>
        </w:tc>
        <w:tc>
          <w:tcPr>
            <w:tcW w:w="304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0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7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560" w:hanging="34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34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34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34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6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18"/>
        </w:trPr>
        <w:tc>
          <w:tcPr>
            <w:tcW w:w="4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164"/>
        </w:trPr>
        <w:tc>
          <w:tcPr>
            <w:tcW w:w="46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60" w:type="dxa"/>
            <w:vAlign w:val="bottom"/>
          </w:tcPr>
          <w:p>
            <w:pPr>
              <w:spacing w:after="0"/>
              <w:rPr>
                <w:sz w:val="14"/>
                <w:szCs w:val="14"/>
                <w:color w:val="auto"/>
              </w:rPr>
            </w:pPr>
          </w:p>
        </w:tc>
        <w:tc>
          <w:tcPr>
            <w:tcW w:w="136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PRST</w:t>
            </w:r>
          </w:p>
        </w:tc>
        <w:tc>
          <w:tcPr>
            <w:tcW w:w="180" w:type="dxa"/>
            <w:vAlign w:val="bottom"/>
          </w:tcPr>
          <w:p>
            <w:pPr>
              <w:spacing w:after="0"/>
              <w:rPr>
                <w:sz w:val="14"/>
                <w:szCs w:val="14"/>
                <w:color w:val="auto"/>
              </w:rPr>
            </w:pPr>
          </w:p>
        </w:tc>
        <w:tc>
          <w:tcPr>
            <w:tcW w:w="228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03"/>
        </w:trPr>
        <w:tc>
          <w:tcPr>
            <w:tcW w:w="476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3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PRSTW</w:t>
            </w:r>
          </w:p>
        </w:tc>
        <w:tc>
          <w:tcPr>
            <w:tcW w:w="180" w:type="dxa"/>
            <w:vAlign w:val="bottom"/>
          </w:tcPr>
          <w:p>
            <w:pPr>
              <w:spacing w:after="0"/>
              <w:rPr>
                <w:sz w:val="17"/>
                <w:szCs w:val="17"/>
                <w:color w:val="auto"/>
              </w:rPr>
            </w:pPr>
          </w:p>
        </w:tc>
        <w:tc>
          <w:tcPr>
            <w:tcW w:w="2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90" w:lineRule="exact"/>
        <w:rPr>
          <w:sz w:val="24"/>
          <w:szCs w:val="24"/>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left="200" w:right="21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59690</wp:posOffset>
            </wp:positionV>
            <wp:extent cx="5452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102870</wp:posOffset>
            </wp:positionV>
            <wp:extent cx="5452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3429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 w:name="page2"/>
    <w:bookmarkEnd w:id="1"/>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As indicated below, on December 6, 2023, the stockholders of Presto Automation Inc. (the “Company”) approved approve an amendment and restatement (the “Restatement”) of the Presto Automation Inc. 2022 Incentive Award Plan (the “2022 Plan”). The Company’s board of directors (the “Board”) previously approved the Restatement of the 2022 Plan, subject to stockholder approval. The Restatement (a) increased the shares of common stock of the Company reserved for issuance under the 2022 Plan by an additional 2,000,000 shares, and (b) modified the current evergreen provision such that the number of shares reserved and available for issuance under the 2022 Plan will be cumulatively increased as of July 1, 2024 and every July 1 thereafter (as opposed to January 1 as currently provided in order to align the evergreen with the Company’s fiscal year), ending on and including July 1, 2033, by the lesser of (i) five percent (5%) (as opposed to one percent (1%) as previously provided) of the number of shares issued and outstanding on the immediately preceding June 30 or (ii) such smaller number of shares as determined by the Board or the Compensation Committee of the Board.</w:t>
      </w:r>
    </w:p>
    <w:p>
      <w:pPr>
        <w:spacing w:after="0" w:line="19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The foregoing summary of the Restatement of the 2022 Plan is qualified in its entirety by reference to the 2022 Plan, a copy of which is filed as Exhibit 10.1 to this current report on Form 8-K and is incorporated herein by reference. A more complete description of the terms of the Restatement of the 2022 Plan can be found in “Proposal No. 3: Approval of Amendment and Restatement of the 2022 Plan to Increase the Number of Shares Available and to Amend the Evergreen Provision” on pages 23 to 30 of the Company’s definitive proxy statement filed with the U.S. Securities and Exchange Commission (“SEC”) on October 27, 2023 (the “2023 Proxy Statement”), which description is incorporated by reference herein.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On December 6, 2023, the Company held its 2023 Annual Meeting of Stockholders (the “Annual Meeting”). Set forth below are the voting results of the three proposals considered and voted upon at the Annual Meeting, all of which were described in the 2023 Proxy Statement.</w:t>
      </w:r>
    </w:p>
    <w:p>
      <w:pPr>
        <w:spacing w:after="0" w:line="172" w:lineRule="exact"/>
        <w:rPr>
          <w:sz w:val="20"/>
          <w:szCs w:val="20"/>
          <w:color w:val="auto"/>
        </w:rPr>
      </w:pPr>
    </w:p>
    <w:p>
      <w:pPr>
        <w:jc w:val="both"/>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To elect three Class I director nominees to hold office until the 2026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Krishna K. Gupta</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1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191"/>
        </w:trPr>
        <w:tc>
          <w:tcPr>
            <w:tcW w:w="2140" w:type="dxa"/>
            <w:vAlign w:val="bottom"/>
            <w:vMerge w:val="continue"/>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34,056,108</w:t>
            </w:r>
          </w:p>
        </w:tc>
        <w:tc>
          <w:tcPr>
            <w:tcW w:w="20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776,349</w:t>
            </w:r>
          </w:p>
        </w:tc>
        <w:tc>
          <w:tcPr>
            <w:tcW w:w="200" w:type="dxa"/>
            <w:vAlign w:val="bottom"/>
          </w:tcPr>
          <w:p>
            <w:pPr>
              <w:spacing w:after="0"/>
              <w:rPr>
                <w:sz w:val="16"/>
                <w:szCs w:val="16"/>
                <w:color w:val="auto"/>
              </w:rPr>
            </w:pPr>
          </w:p>
        </w:tc>
        <w:tc>
          <w:tcPr>
            <w:tcW w:w="1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2,776,064</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34,235,797</w:t>
            </w:r>
          </w:p>
        </w:tc>
        <w:tc>
          <w:tcPr>
            <w:tcW w:w="2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596.660</w:t>
            </w:r>
          </w:p>
        </w:tc>
        <w:tc>
          <w:tcPr>
            <w:tcW w:w="2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2,776,064</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33,035,104</w:t>
            </w:r>
          </w:p>
        </w:tc>
        <w:tc>
          <w:tcPr>
            <w:tcW w:w="2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1,797,353</w:t>
            </w:r>
          </w:p>
        </w:tc>
        <w:tc>
          <w:tcPr>
            <w:tcW w:w="2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2,776,064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 To ratify the appointment of Moss Adams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June 30, 2024.</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4"/>
        </w:trPr>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37,550,004</w:t>
            </w:r>
          </w:p>
        </w:tc>
        <w:tc>
          <w:tcPr>
            <w:tcW w:w="200" w:type="dxa"/>
            <w:vAlign w:val="bottom"/>
          </w:tcPr>
          <w:p>
            <w:pPr>
              <w:spacing w:after="0"/>
              <w:rPr>
                <w:sz w:val="20"/>
                <w:szCs w:val="20"/>
                <w:color w:val="auto"/>
              </w:rPr>
            </w:pPr>
          </w:p>
        </w:tc>
        <w:tc>
          <w:tcPr>
            <w:tcW w:w="1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53,945</w:t>
            </w:r>
          </w:p>
        </w:tc>
        <w:tc>
          <w:tcPr>
            <w:tcW w:w="20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4,572</w:t>
            </w: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ind w:left="200" w:right="2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 To approve the Restatement of the 2022 Plan to provide for an increase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available under the 2022 Plan and to amend the evergreen provision.</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245"/>
        </w:trPr>
        <w:tc>
          <w:tcPr>
            <w:tcW w:w="8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4"/>
        </w:trPr>
        <w:tc>
          <w:tcPr>
            <w:tcW w:w="80" w:type="dxa"/>
            <w:vAlign w:val="bottom"/>
          </w:tcPr>
          <w:p>
            <w:pPr>
              <w:spacing w:after="0"/>
              <w:rPr>
                <w:sz w:val="20"/>
                <w:szCs w:val="20"/>
                <w:color w:val="auto"/>
              </w:rPr>
            </w:pPr>
          </w:p>
        </w:tc>
        <w:tc>
          <w:tcPr>
            <w:tcW w:w="19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31,732,760</w:t>
            </w:r>
          </w:p>
        </w:tc>
        <w:tc>
          <w:tcPr>
            <w:tcW w:w="200" w:type="dxa"/>
            <w:vAlign w:val="bottom"/>
          </w:tcPr>
          <w:p>
            <w:pPr>
              <w:spacing w:after="0"/>
              <w:rPr>
                <w:sz w:val="20"/>
                <w:szCs w:val="20"/>
                <w:color w:val="auto"/>
              </w:rPr>
            </w:pPr>
          </w:p>
        </w:tc>
        <w:tc>
          <w:tcPr>
            <w:tcW w:w="19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3,090,112</w:t>
            </w:r>
          </w:p>
        </w:tc>
        <w:tc>
          <w:tcPr>
            <w:tcW w:w="200" w:type="dxa"/>
            <w:vAlign w:val="bottom"/>
          </w:tcPr>
          <w:p>
            <w:pPr>
              <w:spacing w:after="0"/>
              <w:rPr>
                <w:sz w:val="20"/>
                <w:szCs w:val="20"/>
                <w:color w:val="auto"/>
              </w:rPr>
            </w:pPr>
          </w:p>
        </w:tc>
        <w:tc>
          <w:tcPr>
            <w:tcW w:w="19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9,585</w:t>
            </w:r>
          </w:p>
        </w:tc>
        <w:tc>
          <w:tcPr>
            <w:tcW w:w="200" w:type="dxa"/>
            <w:vAlign w:val="bottom"/>
          </w:tcPr>
          <w:p>
            <w:pPr>
              <w:spacing w:after="0"/>
              <w:rPr>
                <w:sz w:val="20"/>
                <w:szCs w:val="20"/>
                <w:color w:val="auto"/>
              </w:rPr>
            </w:pPr>
          </w:p>
        </w:tc>
        <w:tc>
          <w:tcPr>
            <w:tcW w:w="19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2,776,064</w:t>
            </w:r>
          </w:p>
        </w:tc>
        <w:tc>
          <w:tcPr>
            <w:tcW w:w="120" w:type="dxa"/>
            <w:vAlign w:val="bottom"/>
          </w:tcPr>
          <w:p>
            <w:pPr>
              <w:spacing w:after="0"/>
              <w:rPr>
                <w:sz w:val="20"/>
                <w:szCs w:val="20"/>
                <w:color w:val="auto"/>
              </w:rPr>
            </w:pPr>
          </w:p>
        </w:tc>
      </w:tr>
      <w:tr>
        <w:trPr>
          <w:trHeight w:val="1217"/>
        </w:trPr>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0"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54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Amended and Restated Presto Automation Inc. 2022 Incentive Award Plan.</w:t>
            </w:r>
          </w:p>
        </w:tc>
        <w:tc>
          <w:tcPr>
            <w:tcW w:w="20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1262"/>
        </w:trPr>
        <w:tc>
          <w:tcPr>
            <w:tcW w:w="11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Susan Shinoff</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191"/>
        </w:trPr>
        <w:tc>
          <w:tcPr>
            <w:tcW w:w="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2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Susan Shinoff</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Dated: December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925830</wp:posOffset>
            </wp:positionV>
            <wp:extent cx="5452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PRESTO TECHNOLOGIES,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2022 AMENDED AND RESTATED INCENTIVE AWARD PLAN</w:t>
      </w:r>
    </w:p>
    <w:p>
      <w:pPr>
        <w:spacing w:after="0" w:line="337" w:lineRule="exact"/>
        <w:rPr>
          <w:sz w:val="20"/>
          <w:szCs w:val="20"/>
          <w:color w:val="auto"/>
        </w:rPr>
      </w:pPr>
    </w:p>
    <w:p>
      <w:pPr>
        <w:ind w:left="860" w:hanging="651"/>
        <w:spacing w:after="0"/>
        <w:tabs>
          <w:tab w:leader="none" w:pos="8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Establishment of the Plan; Effective Date; Duration.</w:t>
      </w:r>
    </w:p>
    <w:p>
      <w:pPr>
        <w:spacing w:after="0" w:line="165" w:lineRule="exact"/>
        <w:rPr>
          <w:rFonts w:ascii="Times New Roman" w:cs="Times New Roman" w:eastAsia="Times New Roman" w:hAnsi="Times New Roman"/>
          <w:sz w:val="20"/>
          <w:szCs w:val="20"/>
          <w:b w:val="1"/>
          <w:bCs w:val="1"/>
          <w:color w:val="auto"/>
        </w:rPr>
      </w:pPr>
    </w:p>
    <w:p>
      <w:pPr>
        <w:jc w:val="both"/>
        <w:ind w:left="200" w:right="219" w:firstLine="657"/>
        <w:spacing w:after="0" w:line="251" w:lineRule="auto"/>
        <w:tabs>
          <w:tab w:leader="none" w:pos="149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Establishment of the Plan; Effective Date</w:t>
      </w:r>
      <w:r>
        <w:rPr>
          <w:rFonts w:ascii="Times New Roman" w:cs="Times New Roman" w:eastAsia="Times New Roman" w:hAnsi="Times New Roman"/>
          <w:sz w:val="20"/>
          <w:szCs w:val="20"/>
          <w:color w:val="auto"/>
        </w:rPr>
        <w:t>. The 2022 Incentive Award Plan, as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permits the grant of Incentive Stock Options, Nonqualified Stock Options, Stock Appreciation Rights, Restricted Stock, Restricted Stock Units, Other Stock-Based Awards, Other Cash-Based Awards, Dividend Equivalents, and Performance Awards. The Plan shall become effective on the Effective Date. The effectiveness of the Plan shall be subject to approval of the Plan by the stockholders of the Company within twelve months following the date the Plan is first approved by the Board.</w:t>
      </w:r>
    </w:p>
    <w:p>
      <w:pPr>
        <w:spacing w:after="0" w:line="125" w:lineRule="exact"/>
        <w:rPr>
          <w:rFonts w:ascii="Times New Roman" w:cs="Times New Roman" w:eastAsia="Times New Roman" w:hAnsi="Times New Roman"/>
          <w:sz w:val="20"/>
          <w:szCs w:val="20"/>
          <w:color w:val="auto"/>
        </w:rPr>
      </w:pPr>
    </w:p>
    <w:p>
      <w:pPr>
        <w:jc w:val="both"/>
        <w:ind w:left="200" w:right="219" w:firstLine="657"/>
        <w:spacing w:after="0" w:line="253" w:lineRule="auto"/>
        <w:tabs>
          <w:tab w:leader="none" w:pos="149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the Plan</w:t>
      </w:r>
      <w:r>
        <w:rPr>
          <w:rFonts w:ascii="Times New Roman" w:cs="Times New Roman" w:eastAsia="Times New Roman" w:hAnsi="Times New Roman"/>
          <w:sz w:val="20"/>
          <w:szCs w:val="20"/>
          <w:color w:val="auto"/>
        </w:rPr>
        <w:t>. The Plan shall remain in effect, subject to the right of the Board to amend or terminate the Plan at any time pursuant to Section 14, until the tenth anniversary of the Effective Date. In the case of an Award that is an Incentive Stock Option, no Incentive Stock Option shall be granted on or after ten years from the earlier of (i) the date the Plan is approved by the Board and (ii) date the Company’s stockholders approve the Plan.</w:t>
      </w:r>
    </w:p>
    <w:p>
      <w:pPr>
        <w:spacing w:after="0" w:line="295" w:lineRule="exact"/>
        <w:rPr>
          <w:rFonts w:ascii="Times New Roman" w:cs="Times New Roman" w:eastAsia="Times New Roman" w:hAnsi="Times New Roman"/>
          <w:sz w:val="20"/>
          <w:szCs w:val="20"/>
          <w:color w:val="auto"/>
        </w:rPr>
      </w:pPr>
    </w:p>
    <w:p>
      <w:pPr>
        <w:jc w:val="both"/>
        <w:ind w:left="200" w:right="219" w:firstLine="9"/>
        <w:spacing w:after="0" w:line="251" w:lineRule="auto"/>
        <w:tabs>
          <w:tab w:leader="none" w:pos="848"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Purpose. </w:t>
      </w:r>
      <w:r>
        <w:rPr>
          <w:rFonts w:ascii="Times New Roman" w:cs="Times New Roman" w:eastAsia="Times New Roman" w:hAnsi="Times New Roman"/>
          <w:sz w:val="20"/>
          <w:szCs w:val="20"/>
          <w:color w:val="auto"/>
        </w:rPr>
        <w:t>The purpose of the Plan is to provide a means through which the Company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may attract and retain key personnel and to provide a means whereby certain directors, officers, employees, consultants and advisors of the Company and its Affiliates can acquire and maintain an equity interest in the Company, or be paid incentive compensation, which may be measured by reference to the value of Common Stock, thereby strengthening their commitment to the welfare of the Company and its Affiliates and aligning their interests with those of the Company’s stockholders.</w:t>
      </w:r>
    </w:p>
    <w:p>
      <w:pPr>
        <w:spacing w:after="0" w:line="284" w:lineRule="exact"/>
        <w:rPr>
          <w:rFonts w:ascii="Times New Roman" w:cs="Times New Roman" w:eastAsia="Times New Roman" w:hAnsi="Times New Roman"/>
          <w:sz w:val="20"/>
          <w:szCs w:val="20"/>
          <w:b w:val="1"/>
          <w:bCs w:val="1"/>
          <w:color w:val="auto"/>
        </w:rPr>
      </w:pPr>
    </w:p>
    <w:p>
      <w:pPr>
        <w:jc w:val="both"/>
        <w:ind w:left="200" w:right="219" w:firstLine="9"/>
        <w:spacing w:after="0" w:line="263" w:lineRule="auto"/>
        <w:tabs>
          <w:tab w:leader="none" w:pos="848"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Certain terms used herein have the definitions given to them in the first instance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they are used. In addition, for purposes of the Plan, the following terms are defined as set forth below:</w:t>
      </w:r>
    </w:p>
    <w:p>
      <w:pPr>
        <w:spacing w:after="0" w:line="125" w:lineRule="exact"/>
        <w:rPr>
          <w:rFonts w:ascii="Times New Roman" w:cs="Times New Roman" w:eastAsia="Times New Roman" w:hAnsi="Times New Roman"/>
          <w:sz w:val="20"/>
          <w:szCs w:val="20"/>
          <w:b w:val="1"/>
          <w:bCs w:val="1"/>
          <w:color w:val="auto"/>
        </w:rPr>
      </w:pPr>
    </w:p>
    <w:p>
      <w:pPr>
        <w:jc w:val="both"/>
        <w:ind w:left="200" w:right="219" w:firstLine="657"/>
        <w:spacing w:after="0" w:line="249" w:lineRule="auto"/>
        <w:tabs>
          <w:tab w:leader="none" w:pos="149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38" w:lineRule="exact"/>
        <w:rPr>
          <w:rFonts w:ascii="Times New Roman" w:cs="Times New Roman" w:eastAsia="Times New Roman" w:hAnsi="Times New Roman"/>
          <w:sz w:val="20"/>
          <w:szCs w:val="20"/>
          <w:color w:val="auto"/>
        </w:rPr>
      </w:pPr>
    </w:p>
    <w:p>
      <w:pPr>
        <w:jc w:val="both"/>
        <w:ind w:left="200" w:right="219" w:firstLine="657"/>
        <w:spacing w:after="0" w:line="250" w:lineRule="auto"/>
        <w:tabs>
          <w:tab w:leader="none" w:pos="149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Common Stock is listed, quoted or traded.</w:t>
      </w:r>
    </w:p>
    <w:p>
      <w:pPr>
        <w:spacing w:after="0" w:line="138"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individually or collectively, any Incentive Stock Option, Nonqualified Stock Option, Stock Appreciation Right, Restricted Stock, Restricted Stock Unit, Other Stock-Based Awards, Other Cash-Based Awards, Dividend Equivalents, and/or Performance Award granted under the Plan.</w:t>
      </w: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4839-</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4444-</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7683</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200" w:right="219" w:firstLine="657"/>
        <w:spacing w:after="0" w:line="283" w:lineRule="auto"/>
        <w:tabs>
          <w:tab w:leader="none" w:pos="14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means a written agreement between a Participant and the Company which sets out the terms of the grant of an Award.</w:t>
      </w:r>
    </w:p>
    <w:p>
      <w:pPr>
        <w:spacing w:after="0" w:line="92"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175"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employment or other service to the Company or an Affiliate; (C) refusal to perform any lawful, material obligation or fulfill any duty to the Company or its Affiliates (other than due to a disability, as determined by the Committee), which refusal, if curable, is not cured within 15 days after delivery of written notice thereof; (D) material breach of any agreement with or duty owed to the Company or any of its Affiliates, which breach, if curable, is not cured within 15 days after the delivery of written notice thereof; or (E) material violation or breach of the documented code of ethics, code of conduct or similar document of the Company or an Affilliate or fiduciary duties to the Company or an Affiliate.</w:t>
      </w:r>
    </w:p>
    <w:p>
      <w:pPr>
        <w:spacing w:after="0" w:line="134" w:lineRule="exact"/>
        <w:rPr>
          <w:rFonts w:ascii="Times New Roman" w:cs="Times New Roman" w:eastAsia="Times New Roman" w:hAnsi="Times New Roman"/>
          <w:sz w:val="20"/>
          <w:szCs w:val="20"/>
          <w:color w:val="auto"/>
        </w:rPr>
      </w:pPr>
    </w:p>
    <w:p>
      <w:pPr>
        <w:jc w:val="both"/>
        <w:ind w:left="200" w:right="239" w:firstLine="657"/>
        <w:spacing w:after="0" w:line="261" w:lineRule="auto"/>
        <w:tabs>
          <w:tab w:leader="none" w:pos="14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w:t>
      </w:r>
      <w:r>
        <w:rPr>
          <w:rFonts w:ascii="Times New Roman" w:cs="Times New Roman" w:eastAsia="Times New Roman" w:hAnsi="Times New Roman"/>
          <w:sz w:val="20"/>
          <w:szCs w:val="20"/>
          <w:color w:val="auto"/>
        </w:rPr>
        <w:t>l” shall, in the case of a particular Award, unless the applicable Award Agreement states otherwise or contains a different definition of “Change in Control,” be deemed to occur upon any of the following events:</w:t>
      </w:r>
    </w:p>
    <w:p>
      <w:pPr>
        <w:spacing w:after="0" w:line="127"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Exchange Act (other than (A) the Company or any of its Affiliates, (B) any trustee or other fiduciary holding securities under any employee benefit plan of the Company or any of its Affiliates, (C) an underwriter temporarily holding securities pursuant to an offering of such securities, or (D) an entity owned, directly or indirectly, by the stockholders of the Company in substantially the same proportions as their ownership of Common Stock) becomes the “beneficial owner” (as defined in Rule 13d-3 under the Exchange Act), directly or indirectly, by way of merger, consolidation, recapitalization, reorganization or otherwise, of fifty percent (50%) or more of the total voting power of the then outstanding voting securities of the Company;</w:t>
      </w:r>
    </w:p>
    <w:p>
      <w:pPr>
        <w:spacing w:after="0" w:line="129"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cessation of control (by virtue of their not constituting a majority of directors) of the Board by the individuals (the “</w:t>
      </w:r>
      <w:r>
        <w:rPr>
          <w:rFonts w:ascii="Times New Roman" w:cs="Times New Roman" w:eastAsia="Times New Roman" w:hAnsi="Times New Roman"/>
          <w:sz w:val="20"/>
          <w:szCs w:val="20"/>
          <w:u w:val="single" w:color="auto"/>
          <w:color w:val="auto"/>
        </w:rPr>
        <w:t>Continuing Directors</w:t>
      </w:r>
      <w:r>
        <w:rPr>
          <w:rFonts w:ascii="Times New Roman" w:cs="Times New Roman" w:eastAsia="Times New Roman" w:hAnsi="Times New Roman"/>
          <w:sz w:val="20"/>
          <w:szCs w:val="20"/>
          <w:color w:val="auto"/>
        </w:rPr>
        <w:t>”) who (x) were directors on the Effective Date or (y) become directors after Effective Date and whose election or nomination for election by the Company’s stockholders was approved by a vote of at least two-thirds of the directors then in office who were directors on the Effective Date or whose election or nomination for election was previously so approved;</w:t>
      </w:r>
    </w:p>
    <w:p>
      <w:pPr>
        <w:spacing w:after="0" w:line="124"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merger or consolidation of the Company with any other company,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36"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plan of complete liquidation of the Company or the sale or disposition by the Company of all or substantially all the Company’s assets; or</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6" w:name="page7"/>
    <w:bookmarkEnd w:id="6"/>
    <w:p>
      <w:pPr>
        <w:ind w:left="2160" w:hanging="655"/>
        <w:spacing w:after="0"/>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specified as a “Change in Control” in an applicable Award</w:t>
      </w:r>
    </w:p>
    <w:p>
      <w:pPr>
        <w:spacing w:after="0" w:line="28"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4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(i), (ii), (iii), (iv), or (v)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79" w:lineRule="exact"/>
        <w:rPr>
          <w:sz w:val="20"/>
          <w:szCs w:val="20"/>
          <w:color w:val="auto"/>
        </w:rPr>
      </w:pPr>
    </w:p>
    <w:p>
      <w:pPr>
        <w:ind w:left="200" w:right="219" w:firstLine="657"/>
        <w:spacing w:after="0" w:line="283" w:lineRule="auto"/>
        <w:tabs>
          <w:tab w:leader="none" w:pos="14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means any claim, liability or obligation of any nature, arising out of or relating to the Plan or an alleged breach of the Plan or an Award Agreement.</w:t>
      </w:r>
    </w:p>
    <w:p>
      <w:pPr>
        <w:spacing w:after="0" w:line="92"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and any successor thereto.</w:t>
      </w:r>
    </w:p>
    <w:p>
      <w:pPr>
        <w:spacing w:after="0" w:line="28" w:lineRule="exact"/>
        <w:rPr>
          <w:sz w:val="20"/>
          <w:szCs w:val="20"/>
          <w:color w:val="auto"/>
        </w:rPr>
      </w:pPr>
    </w:p>
    <w:p>
      <w:pPr>
        <w:jc w:val="both"/>
        <w:ind w:left="200" w:right="219" w:firstLine="82"/>
        <w:spacing w:after="0" w:line="253" w:lineRule="auto"/>
        <w:rPr>
          <w:sz w:val="20"/>
          <w:szCs w:val="20"/>
          <w:color w:val="auto"/>
        </w:rPr>
      </w:pPr>
      <w:r>
        <w:rPr>
          <w:rFonts w:ascii="Times New Roman" w:cs="Times New Roman" w:eastAsia="Times New Roman" w:hAnsi="Times New Roman"/>
          <w:sz w:val="20"/>
          <w:szCs w:val="20"/>
          <w:color w:val="auto"/>
        </w:rPr>
        <w:t>Reference in the Plan to any section of the Code shall be deemed to include any regulations or other interpretative guidance under such section, and any amendments or successor provisions to such section, regulations or guidance.</w:t>
      </w:r>
    </w:p>
    <w:p>
      <w:pPr>
        <w:spacing w:after="0" w:line="121" w:lineRule="exact"/>
        <w:rPr>
          <w:sz w:val="20"/>
          <w:szCs w:val="20"/>
          <w:color w:val="auto"/>
        </w:rPr>
      </w:pPr>
    </w:p>
    <w:p>
      <w:pPr>
        <w:ind w:left="200" w:right="239" w:firstLine="657"/>
        <w:spacing w:after="0" w:line="269" w:lineRule="auto"/>
        <w:tabs>
          <w:tab w:leader="none" w:pos="149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a committee of at least two people as the Board may appoint to administer the Plan or, if no such committee has been appointed by the Board, the Board.</w:t>
      </w:r>
    </w:p>
    <w:p>
      <w:pPr>
        <w:spacing w:after="0" w:line="118"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par value $0.0001 per share (and any stock or other securities into which such shares may be converted or into which they may be exchanged).</w:t>
      </w:r>
    </w:p>
    <w:p>
      <w:pPr>
        <w:spacing w:after="0" w:line="113"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Presto Technologies, Inc., a Delaware corporation.</w:t>
      </w:r>
    </w:p>
    <w:p>
      <w:pPr>
        <w:spacing w:after="0" w:line="175"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w:t>
      </w:r>
      <w:r>
        <w:rPr>
          <w:rFonts w:ascii="Times New Roman" w:cs="Times New Roman" w:eastAsia="Times New Roman" w:hAnsi="Times New Roman"/>
          <w:sz w:val="20"/>
          <w:szCs w:val="20"/>
          <w:color w:val="auto"/>
        </w:rPr>
        <w:t>t” means the date on which the granting of an Award is authorized, or such other date as may be specified in such authorization.</w:t>
      </w:r>
    </w:p>
    <w:p>
      <w:pPr>
        <w:spacing w:after="0" w:line="118"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 Equivalent</w:t>
      </w:r>
      <w:r>
        <w:rPr>
          <w:rFonts w:ascii="Times New Roman" w:cs="Times New Roman" w:eastAsia="Times New Roman" w:hAnsi="Times New Roman"/>
          <w:sz w:val="20"/>
          <w:szCs w:val="20"/>
          <w:color w:val="auto"/>
        </w:rPr>
        <w:t>” means a right awarded under Section 11 to receive the equivalent value (in cash or Common Stock) of ordinary dividends that would otherwise be paid on the Common Stock subject to an Award that is a full-value award but that have not been issued or delivered.</w:t>
      </w:r>
    </w:p>
    <w:p>
      <w:pPr>
        <w:spacing w:after="0" w:line="133"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on which the Plan is approved by the Company’s</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w:t>
      </w:r>
    </w:p>
    <w:p>
      <w:pPr>
        <w:spacing w:after="0" w:line="153"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Directo</w:t>
      </w:r>
      <w:r>
        <w:rPr>
          <w:rFonts w:ascii="Times New Roman" w:cs="Times New Roman" w:eastAsia="Times New Roman" w:hAnsi="Times New Roman"/>
          <w:sz w:val="20"/>
          <w:szCs w:val="20"/>
          <w:color w:val="auto"/>
        </w:rPr>
        <w:t>r” means a person who is a “non-employee director” within the meaning of Rule 16b-3 under the Exchange Act.</w:t>
      </w:r>
    </w:p>
    <w:p>
      <w:pPr>
        <w:spacing w:after="0" w:line="118"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Person</w:t>
      </w:r>
      <w:r>
        <w:rPr>
          <w:rFonts w:ascii="Times New Roman" w:cs="Times New Roman" w:eastAsia="Times New Roman" w:hAnsi="Times New Roman"/>
          <w:sz w:val="20"/>
          <w:szCs w:val="20"/>
          <w:color w:val="auto"/>
        </w:rPr>
        <w:t>” with respect to an Award denominated in Common Stock, means any</w:t>
      </w:r>
    </w:p>
    <w:p>
      <w:pPr>
        <w:spacing w:after="0" w:line="21" w:lineRule="exact"/>
        <w:rPr>
          <w:rFonts w:ascii="Times New Roman" w:cs="Times New Roman" w:eastAsia="Times New Roman" w:hAnsi="Times New Roman"/>
          <w:sz w:val="20"/>
          <w:szCs w:val="20"/>
          <w:color w:val="auto"/>
        </w:rPr>
      </w:pPr>
    </w:p>
    <w:p>
      <w:pPr>
        <w:ind w:left="480" w:hanging="271"/>
        <w:spacing w:after="0"/>
        <w:tabs>
          <w:tab w:leader="none" w:pos="4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employed by the Company or an Affiliate; (ii) director of the Company or an Affiliate;</w:t>
      </w:r>
    </w:p>
    <w:p>
      <w:pPr>
        <w:jc w:val="both"/>
        <w:ind w:left="200" w:right="219" w:firstLine="9"/>
        <w:spacing w:after="0" w:line="246" w:lineRule="auto"/>
        <w:tabs>
          <w:tab w:leader="none" w:pos="56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consultant or advisor to the Company or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Securities Act applies such persons must be eligible to be offered securities registrable on Form S-8 under the Securities Act; or</w:t>
      </w:r>
    </w:p>
    <w:p>
      <w:pPr>
        <w:spacing w:after="0" w:line="1" w:lineRule="exact"/>
        <w:rPr>
          <w:rFonts w:ascii="Times New Roman" w:cs="Times New Roman" w:eastAsia="Times New Roman" w:hAnsi="Times New Roman"/>
          <w:sz w:val="20"/>
          <w:szCs w:val="20"/>
          <w:color w:val="auto"/>
        </w:rPr>
      </w:pPr>
    </w:p>
    <w:p>
      <w:pPr>
        <w:jc w:val="both"/>
        <w:ind w:left="200" w:right="219" w:firstLine="9"/>
        <w:spacing w:after="0" w:line="248" w:lineRule="auto"/>
        <w:tabs>
          <w:tab w:leader="none" w:pos="59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prospective employees, directors, officers, consultants or advisors who have accepted offers of employment or consultancy from the Company or its Affiliates (and would satisfy the provisions of clauses (i) through (iii) above once he begins employment with or begins providing services to the Company or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Date of Grant of any Award to such individual shall not be prior to the date he begins employment with or begins providing services to the Company or its Affiliates).</w:t>
      </w:r>
    </w:p>
    <w:p>
      <w:pPr>
        <w:spacing w:after="0" w:line="139"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w:t>
      </w:r>
      <w:r>
        <w:rPr>
          <w:rFonts w:ascii="Times New Roman" w:cs="Times New Roman" w:eastAsia="Times New Roman" w:hAnsi="Times New Roman"/>
          <w:sz w:val="20"/>
          <w:szCs w:val="20"/>
          <w:color w:val="auto"/>
        </w:rPr>
        <w:t>t” means the U.S. Securities Exchange Act of 1934, as it may be amended from time to time, including the rules and regulations promulgated thereunder and successor provisions and rules and regulations thereto.</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7" w:name="page8"/>
    <w:bookmarkEnd w:id="7"/>
    <w:p>
      <w:pPr>
        <w:ind w:left="1500" w:hanging="643"/>
        <w:spacing w:after="0"/>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has the meaning given such term in Section 7(c) of the Plan.</w:t>
      </w:r>
    </w:p>
    <w:p>
      <w:pPr>
        <w:spacing w:after="0" w:line="17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as of any date, the value of Common Stock determined as</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53" w:lineRule="exact"/>
        <w:rPr>
          <w:rFonts w:ascii="Times New Roman" w:cs="Times New Roman" w:eastAsia="Times New Roman" w:hAnsi="Times New Roman"/>
          <w:sz w:val="20"/>
          <w:szCs w:val="20"/>
          <w:color w:val="auto"/>
        </w:rPr>
      </w:pPr>
    </w:p>
    <w:p>
      <w:pPr>
        <w:jc w:val="both"/>
        <w:ind w:left="860" w:right="219" w:firstLine="645"/>
        <w:spacing w:after="0" w:line="253" w:lineRule="auto"/>
        <w:tabs>
          <w:tab w:leader="none" w:pos="215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listed on any established stock exchange or a national market system, the closing sales price for such shares (or if no sales were reported, the closing price on the date immediately preceding such date) as quoted on such exchange or system on the day of determination, as reported in The Wall Street Journal or such other source as the Committee deems reliable;</w:t>
      </w:r>
    </w:p>
    <w:p>
      <w:pPr>
        <w:spacing w:after="0" w:line="124" w:lineRule="exact"/>
        <w:rPr>
          <w:rFonts w:ascii="Times New Roman" w:cs="Times New Roman" w:eastAsia="Times New Roman" w:hAnsi="Times New Roman"/>
          <w:sz w:val="20"/>
          <w:szCs w:val="20"/>
          <w:color w:val="auto"/>
        </w:rPr>
      </w:pPr>
    </w:p>
    <w:p>
      <w:pPr>
        <w:jc w:val="both"/>
        <w:ind w:left="860" w:right="239" w:firstLine="645"/>
        <w:spacing w:after="0" w:line="254" w:lineRule="auto"/>
        <w:tabs>
          <w:tab w:leader="none" w:pos="215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regularly quoted by a recognized securities dealer but selling prices are not reported, the Fair Market Value of a Common Share will be the mean between the high bid and low asked prices for the Common Stock on the day of determination, as reported in The Wall Street Journal or such other source as the Committee deems reliable; or</w:t>
      </w:r>
    </w:p>
    <w:p>
      <w:pPr>
        <w:spacing w:after="0" w:line="133" w:lineRule="exact"/>
        <w:rPr>
          <w:rFonts w:ascii="Times New Roman" w:cs="Times New Roman" w:eastAsia="Times New Roman" w:hAnsi="Times New Roman"/>
          <w:sz w:val="20"/>
          <w:szCs w:val="20"/>
          <w:color w:val="auto"/>
        </w:rPr>
      </w:pPr>
    </w:p>
    <w:p>
      <w:pPr>
        <w:jc w:val="both"/>
        <w:ind w:left="860" w:right="239" w:firstLine="645"/>
        <w:spacing w:after="0" w:line="261" w:lineRule="auto"/>
        <w:tabs>
          <w:tab w:leader="none" w:pos="215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an established market for the Common Stock, the Fair Market Value will be determined in good faith by the Committee and such determination shall be conclusive and binding on all persons.</w:t>
      </w:r>
    </w:p>
    <w:p>
      <w:pPr>
        <w:spacing w:after="0" w:line="113"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spacing w:after="0" w:line="113"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Immediate Family Members</w:t>
      </w:r>
      <w:r>
        <w:rPr>
          <w:rFonts w:ascii="Times New Roman" w:cs="Times New Roman" w:eastAsia="Times New Roman" w:hAnsi="Times New Roman"/>
          <w:sz w:val="20"/>
          <w:szCs w:val="20"/>
          <w:color w:val="auto"/>
        </w:rPr>
        <w:t>” shall have the meaning set forth in Section 15(b)(ii).</w:t>
      </w:r>
    </w:p>
    <w:p>
      <w:pPr>
        <w:spacing w:after="0" w:line="175" w:lineRule="exact"/>
        <w:rPr>
          <w:rFonts w:ascii="Times New Roman" w:cs="Times New Roman" w:eastAsia="Times New Roman" w:hAnsi="Times New Roman"/>
          <w:sz w:val="20"/>
          <w:szCs w:val="20"/>
          <w:color w:val="auto"/>
        </w:rPr>
      </w:pPr>
    </w:p>
    <w:p>
      <w:pPr>
        <w:jc w:val="both"/>
        <w:ind w:left="200" w:right="239" w:firstLine="657"/>
        <w:spacing w:after="0" w:line="261" w:lineRule="auto"/>
        <w:tabs>
          <w:tab w:leader="none" w:pos="14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means an Option that is designated by the Committee as an incentive stock option as described in Section 422 of the Code and otherwise meets the requirements set forth in the Plan for incentive stock options.</w:t>
      </w:r>
    </w:p>
    <w:p>
      <w:pPr>
        <w:spacing w:after="0" w:line="113"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Indemnifiable Person</w:t>
      </w:r>
      <w:r>
        <w:rPr>
          <w:rFonts w:ascii="Times New Roman" w:cs="Times New Roman" w:eastAsia="Times New Roman" w:hAnsi="Times New Roman"/>
          <w:sz w:val="20"/>
          <w:szCs w:val="20"/>
          <w:color w:val="auto"/>
        </w:rPr>
        <w:t>” shall have the meaning set forth in Section 4(e) of the Plan.</w:t>
      </w:r>
    </w:p>
    <w:p>
      <w:pPr>
        <w:spacing w:after="0" w:line="175" w:lineRule="exact"/>
        <w:rPr>
          <w:rFonts w:ascii="Times New Roman" w:cs="Times New Roman" w:eastAsia="Times New Roman" w:hAnsi="Times New Roman"/>
          <w:sz w:val="20"/>
          <w:szCs w:val="20"/>
          <w:color w:val="auto"/>
        </w:rPr>
      </w:pPr>
    </w:p>
    <w:p>
      <w:pPr>
        <w:jc w:val="both"/>
        <w:ind w:left="200" w:right="219" w:firstLine="657"/>
        <w:spacing w:after="0" w:line="250" w:lineRule="auto"/>
        <w:tabs>
          <w:tab w:leader="none" w:pos="14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Mature Shares</w:t>
      </w:r>
      <w:r>
        <w:rPr>
          <w:rFonts w:ascii="Times New Roman" w:cs="Times New Roman" w:eastAsia="Times New Roman" w:hAnsi="Times New Roman"/>
          <w:sz w:val="20"/>
          <w:szCs w:val="20"/>
          <w:color w:val="auto"/>
        </w:rPr>
        <w:t>” means shares of Common Stock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tax or deduction obligation of the Participant.</w:t>
      </w:r>
    </w:p>
    <w:p>
      <w:pPr>
        <w:spacing w:after="0" w:line="138"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shall mean that certain Agreement and Plan of Merger, by and among Ventoux CCM Acquisition Corp., Ventoux Merger Sub Inc. and E La Carte, Inc., dated as of November 10, 2021 as amended from time to time.</w:t>
      </w:r>
    </w:p>
    <w:p>
      <w:pPr>
        <w:spacing w:after="0" w:line="113"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rPr>
        <w:t>” means an Option that is not designated by the Committee as an Incentive Stock Option.</w:t>
      </w:r>
    </w:p>
    <w:p>
      <w:pPr>
        <w:spacing w:after="0" w:line="119" w:lineRule="exact"/>
        <w:rPr>
          <w:sz w:val="20"/>
          <w:szCs w:val="20"/>
          <w:color w:val="auto"/>
        </w:rPr>
      </w:pPr>
    </w:p>
    <w:p>
      <w:pPr>
        <w:ind w:left="1500" w:hanging="643"/>
        <w:spacing w:after="0"/>
        <w:tabs>
          <w:tab w:leader="none" w:pos="15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means an Award granted under Section 7 of the Plan.</w:t>
      </w:r>
    </w:p>
    <w:p>
      <w:pPr>
        <w:spacing w:after="0" w:line="161"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 Period</w:t>
      </w:r>
      <w:r>
        <w:rPr>
          <w:rFonts w:ascii="Times New Roman" w:cs="Times New Roman" w:eastAsia="Times New Roman" w:hAnsi="Times New Roman"/>
          <w:sz w:val="20"/>
          <w:szCs w:val="20"/>
          <w:color w:val="auto"/>
        </w:rPr>
        <w:t>” has the meaning given such term in Section 7(d) of the Plan.</w:t>
      </w:r>
    </w:p>
    <w:p>
      <w:pPr>
        <w:spacing w:after="0" w:line="175"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Optionholder Earnout Shares</w:t>
      </w:r>
      <w:r>
        <w:rPr>
          <w:rFonts w:ascii="Times New Roman" w:cs="Times New Roman" w:eastAsia="Times New Roman" w:hAnsi="Times New Roman"/>
          <w:sz w:val="20"/>
          <w:szCs w:val="20"/>
          <w:color w:val="auto"/>
        </w:rPr>
        <w:t>” means Earnout Shares issuable to holders of Exchanged Options (each as defined in the Merger Agreement).</w:t>
      </w:r>
    </w:p>
    <w:p>
      <w:pPr>
        <w:spacing w:after="0" w:line="118" w:lineRule="exact"/>
        <w:rPr>
          <w:rFonts w:ascii="Times New Roman" w:cs="Times New Roman" w:eastAsia="Times New Roman" w:hAnsi="Times New Roman"/>
          <w:sz w:val="20"/>
          <w:szCs w:val="20"/>
          <w:color w:val="auto"/>
        </w:rPr>
      </w:pPr>
    </w:p>
    <w:p>
      <w:pPr>
        <w:jc w:val="both"/>
        <w:ind w:left="200" w:right="239" w:firstLine="657"/>
        <w:spacing w:after="0" w:line="261" w:lineRule="auto"/>
        <w:tabs>
          <w:tab w:leader="none" w:pos="14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Cash-Based Award</w:t>
      </w:r>
      <w:r>
        <w:rPr>
          <w:rFonts w:ascii="Times New Roman" w:cs="Times New Roman" w:eastAsia="Times New Roman" w:hAnsi="Times New Roman"/>
          <w:sz w:val="20"/>
          <w:szCs w:val="20"/>
          <w:color w:val="auto"/>
        </w:rPr>
        <w:t>” means a cash Award granted to a Participant under Section 10 of the Plan, including cash awarded as a bonus or upon the attainment of Performance Goals or otherwise as permitted under the Plan.</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8" w:name="page9"/>
    <w:bookmarkEnd w:id="8"/>
    <w:p>
      <w:pPr>
        <w:jc w:val="both"/>
        <w:ind w:left="200" w:right="219" w:firstLine="657"/>
        <w:spacing w:after="0" w:line="261"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Stock-Based Award</w:t>
      </w:r>
      <w:r>
        <w:rPr>
          <w:rFonts w:ascii="Times New Roman" w:cs="Times New Roman" w:eastAsia="Times New Roman" w:hAnsi="Times New Roman"/>
          <w:sz w:val="20"/>
          <w:szCs w:val="20"/>
          <w:color w:val="auto"/>
        </w:rPr>
        <w:t>” means an equity-based or equity-related Award, other than an Option, SAR, Restricted Stock, Restricted Stock Unit or Dividend Equivalent, granted in accordance with the terms and conditions set forth under Section 10 of the Plan</w:t>
      </w:r>
    </w:p>
    <w:p>
      <w:pPr>
        <w:spacing w:after="0" w:line="127"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w:t>
      </w:r>
      <w:r>
        <w:rPr>
          <w:rFonts w:ascii="Times New Roman" w:cs="Times New Roman" w:eastAsia="Times New Roman" w:hAnsi="Times New Roman"/>
          <w:sz w:val="20"/>
          <w:szCs w:val="20"/>
          <w:color w:val="auto"/>
        </w:rPr>
        <w:t>t” means an Eligible Person who has been selected by the Committee to participate in the Plan and to receive an Award pursuant to Section 6 of the Plan.</w:t>
      </w:r>
    </w:p>
    <w:p>
      <w:pPr>
        <w:spacing w:after="0" w:line="118"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Award</w:t>
      </w:r>
      <w:r>
        <w:rPr>
          <w:rFonts w:ascii="Times New Roman" w:cs="Times New Roman" w:eastAsia="Times New Roman" w:hAnsi="Times New Roman"/>
          <w:sz w:val="20"/>
          <w:szCs w:val="20"/>
          <w:color w:val="auto"/>
        </w:rPr>
        <w:t>” shall mean any Award designated by the Committee as a Performance Award pursuant to Section 12 of the Plan.</w:t>
      </w:r>
    </w:p>
    <w:p>
      <w:pPr>
        <w:spacing w:after="0" w:line="118"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Criteria</w:t>
      </w:r>
      <w:r>
        <w:rPr>
          <w:rFonts w:ascii="Times New Roman" w:cs="Times New Roman" w:eastAsia="Times New Roman" w:hAnsi="Times New Roman"/>
          <w:sz w:val="20"/>
          <w:szCs w:val="20"/>
          <w:color w:val="auto"/>
        </w:rPr>
        <w:t>” shall mean the criterion or criteria that the Committee shall select for purposes of establishing the Performance Goal(s) for a Performance Period with respect to any Performance Award under the Plan pursuant to Section 12 of the Plan.</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Formula</w:t>
      </w:r>
      <w:r>
        <w:rPr>
          <w:rFonts w:ascii="Times New Roman" w:cs="Times New Roman" w:eastAsia="Times New Roman" w:hAnsi="Times New Roman"/>
          <w:sz w:val="20"/>
          <w:szCs w:val="20"/>
          <w:color w:val="auto"/>
        </w:rPr>
        <w:t>” shall mean, for a Performance Period, the one or more formulae applied against the relevant Performance Goal to determine, with regard to the Performance Award of a particular Participant, whether all, some portion but less than all, or none of the Performance Award has been earned for the applicable Performance Period.</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shall mean, for a Performance Period, the one or more goals established by the Committee for the Performance Period based upon the Performance Criteria pursuant to Section 12 of the Plan.</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shall mean the one or more periods of time, as the Committee may select, over which the attainment of one or more Performance Goals will be measured for the purpose of determining a Participant’s right to, and the payment of, a Performance Award.</w:t>
      </w:r>
    </w:p>
    <w:p>
      <w:pPr>
        <w:spacing w:after="0" w:line="113"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Transferee</w:t>
      </w:r>
      <w:r>
        <w:rPr>
          <w:rFonts w:ascii="Times New Roman" w:cs="Times New Roman" w:eastAsia="Times New Roman" w:hAnsi="Times New Roman"/>
          <w:sz w:val="20"/>
          <w:szCs w:val="20"/>
          <w:color w:val="auto"/>
        </w:rPr>
        <w:t>” shall have the meaning set forth in Section 15(b)(ii) of the Plan.</w:t>
      </w:r>
    </w:p>
    <w:p>
      <w:pPr>
        <w:spacing w:after="0" w:line="175"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entity or group within the meaning of Section 13(d)(3) or 14(d)(2) of the Exchange Act.</w:t>
      </w:r>
    </w:p>
    <w:p>
      <w:pPr>
        <w:spacing w:after="0" w:line="118"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 means shares of Common Stock, subject to certain specified performance or time-based restrictions (including, without limitation, a requirement that the Participant remain continuously employed or provide continuous services for a specified period of time), granted under Section 9 of the Plan.</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Stock Uni</w:t>
      </w:r>
      <w:r>
        <w:rPr>
          <w:rFonts w:ascii="Times New Roman" w:cs="Times New Roman" w:eastAsia="Times New Roman" w:hAnsi="Times New Roman"/>
          <w:sz w:val="20"/>
          <w:szCs w:val="20"/>
          <w:color w:val="auto"/>
        </w:rPr>
        <w:t>t” means an unfunded and unsecured promise to deliver shares of Common Stock, cash, other securities or other property, subject to certain performance or time-based restrictions (including, without limitation, a requirement that the Participant remain continuously employed or provide continuous services for a specified period of time), granted under Section 9 of the Plan.</w:t>
      </w:r>
    </w:p>
    <w:p>
      <w:pPr>
        <w:spacing w:after="0" w:line="11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SAR Period</w:t>
      </w:r>
      <w:r>
        <w:rPr>
          <w:rFonts w:ascii="Times New Roman" w:cs="Times New Roman" w:eastAsia="Times New Roman" w:hAnsi="Times New Roman"/>
          <w:sz w:val="20"/>
          <w:szCs w:val="20"/>
          <w:color w:val="auto"/>
        </w:rPr>
        <w:t>” has the meaning given such term in Section 8(b) of the Plan.</w:t>
      </w:r>
    </w:p>
    <w:p>
      <w:pPr>
        <w:spacing w:after="0" w:line="175" w:lineRule="exact"/>
        <w:rPr>
          <w:rFonts w:ascii="Times New Roman" w:cs="Times New Roman" w:eastAsia="Times New Roman" w:hAnsi="Times New Roman"/>
          <w:sz w:val="20"/>
          <w:szCs w:val="20"/>
          <w:color w:val="auto"/>
        </w:rPr>
      </w:pPr>
    </w:p>
    <w:p>
      <w:pPr>
        <w:jc w:val="both"/>
        <w:ind w:left="260" w:right="219" w:firstLine="597"/>
        <w:spacing w:after="0" w:line="254" w:lineRule="auto"/>
        <w:tabs>
          <w:tab w:leader="none" w:pos="150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w:t>
      </w:r>
      <w:r>
        <w:rPr>
          <w:rFonts w:ascii="Times New Roman" w:cs="Times New Roman" w:eastAsia="Times New Roman" w:hAnsi="Times New Roman"/>
          <w:sz w:val="20"/>
          <w:szCs w:val="20"/>
          <w:color w:val="auto"/>
        </w:rPr>
        <w:t>t” means the Securities Act of 1933, as amended, and any successor thereto. Reference in the Plan to any section of the Securities Act shall be deemed to include any rules, regulations</w:t>
      </w:r>
    </w:p>
    <w:p>
      <w:pPr>
        <w:spacing w:after="0" w:line="1"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20"/>
          <w:szCs w:val="20"/>
          <w:color w:val="auto"/>
        </w:rPr>
        <w:t>or other interpretative guidance under such section, and any amendments or successor provisions to such section, rules, regulations or guidance.</w:t>
      </w:r>
    </w:p>
    <w:p>
      <w:pPr>
        <w:spacing w:after="0" w:line="134" w:lineRule="exact"/>
        <w:rPr>
          <w:sz w:val="20"/>
          <w:szCs w:val="20"/>
          <w:color w:val="auto"/>
        </w:rPr>
      </w:pPr>
    </w:p>
    <w:p>
      <w:pPr>
        <w:ind w:left="4460" w:right="4179" w:hanging="3603"/>
        <w:spacing w:after="0" w:line="918" w:lineRule="auto"/>
        <w:tabs>
          <w:tab w:leader="none" w:pos="1506"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w:t>
      </w:r>
      <w:r>
        <w:rPr>
          <w:rFonts w:ascii="Times New Roman" w:cs="Times New Roman" w:eastAsia="Times New Roman" w:hAnsi="Times New Roman"/>
          <w:sz w:val="19"/>
          <w:szCs w:val="19"/>
          <w:color w:val="auto"/>
        </w:rPr>
        <w:t>” means a share of Common Stock.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9" w:name="page10"/>
    <w:bookmarkEnd w:id="9"/>
    <w:p>
      <w:pPr>
        <w:ind w:left="1500" w:hanging="643"/>
        <w:spacing w:after="0"/>
        <w:tabs>
          <w:tab w:leader="none" w:pos="150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Stock Appreciation Righ</w:t>
      </w:r>
      <w:r>
        <w:rPr>
          <w:rFonts w:ascii="Times New Roman" w:cs="Times New Roman" w:eastAsia="Times New Roman" w:hAnsi="Times New Roman"/>
          <w:sz w:val="19"/>
          <w:szCs w:val="19"/>
          <w:color w:val="auto"/>
        </w:rPr>
        <w:t>t” or “</w:t>
      </w:r>
      <w:r>
        <w:rPr>
          <w:rFonts w:ascii="Times New Roman" w:cs="Times New Roman" w:eastAsia="Times New Roman" w:hAnsi="Times New Roman"/>
          <w:sz w:val="19"/>
          <w:szCs w:val="19"/>
          <w:u w:val="single" w:color="auto"/>
          <w:color w:val="auto"/>
        </w:rPr>
        <w:t>SAR</w:t>
      </w:r>
      <w:r>
        <w:rPr>
          <w:rFonts w:ascii="Times New Roman" w:cs="Times New Roman" w:eastAsia="Times New Roman" w:hAnsi="Times New Roman"/>
          <w:sz w:val="19"/>
          <w:szCs w:val="19"/>
          <w:color w:val="auto"/>
        </w:rPr>
        <w:t>” means an Award granted under Section 8 of the Plan.</w:t>
      </w:r>
    </w:p>
    <w:p>
      <w:pPr>
        <w:spacing w:after="0" w:line="186" w:lineRule="exact"/>
        <w:rPr>
          <w:rFonts w:ascii="Times New Roman" w:cs="Times New Roman" w:eastAsia="Times New Roman" w:hAnsi="Times New Roman"/>
          <w:sz w:val="19"/>
          <w:szCs w:val="19"/>
          <w:color w:val="auto"/>
        </w:rPr>
      </w:pPr>
    </w:p>
    <w:p>
      <w:pPr>
        <w:jc w:val="both"/>
        <w:ind w:left="200" w:right="219" w:firstLine="657"/>
        <w:spacing w:after="0" w:line="254" w:lineRule="auto"/>
        <w:tabs>
          <w:tab w:leader="none" w:pos="149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Strike Price</w:t>
      </w:r>
      <w:r>
        <w:rPr>
          <w:rFonts w:ascii="Times New Roman" w:cs="Times New Roman" w:eastAsia="Times New Roman" w:hAnsi="Times New Roman"/>
          <w:sz w:val="20"/>
          <w:szCs w:val="20"/>
          <w:color w:val="auto"/>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corporation in which the Company owns, directly or indirectly, stock representing 50% or more of the combined voting power of all classes of stock entitled to vote, and any other business organization, regardless of form, in which the Company possesses, directly or indirectly, 50% or more of the total combined equity interests in such organization.</w:t>
      </w:r>
    </w:p>
    <w:p>
      <w:pPr>
        <w:spacing w:after="0" w:line="11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has the meaning given such term in Section 5(f).</w:t>
      </w:r>
    </w:p>
    <w:p>
      <w:pPr>
        <w:spacing w:after="0" w:line="333"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65" w:lineRule="exact"/>
        <w:rPr>
          <w:rFonts w:ascii="Times New Roman" w:cs="Times New Roman" w:eastAsia="Times New Roman" w:hAnsi="Times New Roman"/>
          <w:sz w:val="20"/>
          <w:szCs w:val="20"/>
          <w:b w:val="1"/>
          <w:bCs w:val="1"/>
          <w:color w:val="auto"/>
        </w:rPr>
      </w:pPr>
    </w:p>
    <w:p>
      <w:pPr>
        <w:jc w:val="both"/>
        <w:ind w:left="200" w:right="219" w:firstLine="657"/>
        <w:spacing w:after="0" w:line="250" w:lineRule="auto"/>
        <w:tabs>
          <w:tab w:leader="none" w:pos="149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administer the Plan. To the extent required to comply with the provisions of Rule 16b-3 promulgated under the Exchange Act and Applicable Law (if the Board is not acting as the Committee under the Plan), it is intended that each member of the Committee shall, at the time he takes any action with respect to an Award under the Plan, be an Eligible Director. However, the fact that a Committee member shall fail to qualify as an Eligible Director shall not invalidate any Award granted by the Committee that is otherwise validly granted under the Plan. 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spacing w:after="0" w:line="125"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Authority</w:t>
      </w:r>
      <w:r>
        <w:rPr>
          <w:rFonts w:ascii="Times New Roman" w:cs="Times New Roman" w:eastAsia="Times New Roman" w:hAnsi="Times New Roman"/>
          <w:sz w:val="20"/>
          <w:szCs w:val="20"/>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and (x) make any other determination and take any other action that the Committee deems necessary or desirable for the administration of the Plan, in each case, to the extent consistent with the terms of the Plan.</w:t>
      </w:r>
    </w:p>
    <w:p>
      <w:pPr>
        <w:spacing w:after="0" w:line="140" w:lineRule="exact"/>
        <w:rPr>
          <w:rFonts w:ascii="Times New Roman" w:cs="Times New Roman" w:eastAsia="Times New Roman" w:hAnsi="Times New Roman"/>
          <w:sz w:val="20"/>
          <w:szCs w:val="20"/>
          <w:color w:val="auto"/>
        </w:rPr>
      </w:pPr>
    </w:p>
    <w:p>
      <w:pPr>
        <w:jc w:val="both"/>
        <w:ind w:left="200" w:right="219" w:firstLine="657"/>
        <w:spacing w:after="0" w:line="253" w:lineRule="auto"/>
        <w:tabs>
          <w:tab w:leader="none" w:pos="149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 w:name="page11"/>
    <w:bookmarkEnd w:id="10"/>
    <w:p>
      <w:pPr>
        <w:jc w:val="both"/>
        <w:ind w:left="200" w:right="219" w:firstLine="657"/>
        <w:spacing w:after="0" w:line="253" w:lineRule="auto"/>
        <w:tabs>
          <w:tab w:leader="none" w:pos="149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stockholder of the Company.</w:t>
      </w:r>
    </w:p>
    <w:p>
      <w:pPr>
        <w:spacing w:after="0" w:line="124" w:lineRule="exact"/>
        <w:rPr>
          <w:rFonts w:ascii="Times New Roman" w:cs="Times New Roman" w:eastAsia="Times New Roman" w:hAnsi="Times New Roman"/>
          <w:sz w:val="20"/>
          <w:szCs w:val="20"/>
          <w:color w:val="auto"/>
        </w:rPr>
      </w:pPr>
    </w:p>
    <w:p>
      <w:pPr>
        <w:jc w:val="both"/>
        <w:ind w:left="200" w:right="219" w:firstLine="657"/>
        <w:spacing w:after="0" w:line="260" w:lineRule="auto"/>
        <w:tabs>
          <w:tab w:leader="none" w:pos="1496"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No member of the Board, the Committee, delegate of the Committee or any employee or agent of the Company (each such person, an “</w:t>
      </w:r>
      <w:r>
        <w:rPr>
          <w:rFonts w:ascii="Times New Roman" w:cs="Times New Roman" w:eastAsia="Times New Roman" w:hAnsi="Times New Roman"/>
          <w:sz w:val="19"/>
          <w:szCs w:val="19"/>
          <w:u w:val="single" w:color="auto"/>
          <w:color w:val="auto"/>
        </w:rPr>
        <w:t>Indemnifiable Person</w:t>
      </w:r>
      <w:r>
        <w:rPr>
          <w:rFonts w:ascii="Times New Roman" w:cs="Times New Roman" w:eastAsia="Times New Roman" w:hAnsi="Times New Roman"/>
          <w:sz w:val="19"/>
          <w:szCs w:val="19"/>
          <w:color w:val="auto"/>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Articles of Incorporation or Bylaws. The foregoing right of indemnification shall not be exclusive of any other rights of indemnification to which such Indemnifiable Persons may be entitled under the Company’s Articles of Incorporation or Bylaws, as a matter of law, or otherwise, or any other power that the Company may have to indemnify such Indemnifiable Persons or hold them harmless.</w:t>
      </w:r>
    </w:p>
    <w:p>
      <w:pPr>
        <w:spacing w:after="0" w:line="296" w:lineRule="exact"/>
        <w:rPr>
          <w:rFonts w:ascii="Times New Roman" w:cs="Times New Roman" w:eastAsia="Times New Roman" w:hAnsi="Times New Roman"/>
          <w:sz w:val="19"/>
          <w:szCs w:val="19"/>
          <w:color w:val="auto"/>
        </w:rPr>
      </w:pPr>
    </w:p>
    <w:p>
      <w:pPr>
        <w:ind w:left="860" w:hanging="651"/>
        <w:spacing w:after="0"/>
        <w:tabs>
          <w:tab w:leader="none" w:pos="86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Awards; Shares Subject to the Plan; Limitations.</w:t>
      </w:r>
    </w:p>
    <w:p>
      <w:pPr>
        <w:spacing w:after="0" w:line="165"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from time to time, grant Awards to one or more Eligible Persons.</w:t>
      </w:r>
    </w:p>
    <w:p>
      <w:pPr>
        <w:spacing w:after="0" w:line="175" w:lineRule="exact"/>
        <w:rPr>
          <w:rFonts w:ascii="Times New Roman" w:cs="Times New Roman" w:eastAsia="Times New Roman" w:hAnsi="Times New Roman"/>
          <w:sz w:val="20"/>
          <w:szCs w:val="20"/>
          <w:color w:val="auto"/>
        </w:rPr>
      </w:pPr>
    </w:p>
    <w:p>
      <w:pPr>
        <w:jc w:val="both"/>
        <w:ind w:left="200" w:right="219" w:firstLine="657"/>
        <w:spacing w:after="0" w:line="248" w:lineRule="auto"/>
        <w:tabs>
          <w:tab w:leader="none" w:pos="149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5(c) and Section 13 of the Plan, Awards granted under the Plan shall be subject to the following limitations: (i) the Committee is authorized to deliver under the Plan an aggregate of 6,617,400 shares of Common Stock (which includes shares of Common Stock underlying Awards that are outstanding and that have been issued in settlement of Awards, in each case, as of the Effective Date), plus (ii) any Optionholder Earnout Shares, as applicable, which are forfeited by reason of a termination of service or employment following the Effective Date (in the case of this subclause (ii), not to exceed 4,500,000 shares of Common Stock in the aggregate). Subject to Section 13, the maximum aggregate number of Shares that may be issued through the exercise of Incentive Stock Options granted under the Plan is 23,087,000 shares of Common Stock.</w:t>
      </w:r>
    </w:p>
    <w:p>
      <w:pPr>
        <w:spacing w:after="0" w:line="142" w:lineRule="exact"/>
        <w:rPr>
          <w:rFonts w:ascii="Times New Roman" w:cs="Times New Roman" w:eastAsia="Times New Roman" w:hAnsi="Times New Roman"/>
          <w:sz w:val="20"/>
          <w:szCs w:val="20"/>
          <w:color w:val="auto"/>
        </w:rPr>
      </w:pPr>
    </w:p>
    <w:p>
      <w:pPr>
        <w:jc w:val="both"/>
        <w:ind w:left="200" w:right="219" w:firstLine="657"/>
        <w:spacing w:after="0" w:line="250" w:lineRule="auto"/>
        <w:tabs>
          <w:tab w:leader="none" w:pos="149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July 1 of each of 2024 through 2033, the aggregate number of shares of Common Stock reserved for issuance under the Plan shall be increased automatically by the number of shares equal to five percent (5%) of the total number of shares of all classes of Common Stock issued and outstanding on the immediately preceding June 30 (rounded down to the nearest whole share); provided, that the Board or the Committee may in its sole discretion reduce the amount of the increase in any particular year.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1" w:name="page12"/>
    <w:bookmarkEnd w:id="11"/>
    <w:p>
      <w:pPr>
        <w:jc w:val="both"/>
        <w:ind w:left="200" w:right="219" w:firstLine="657"/>
        <w:spacing w:after="0" w:line="258" w:lineRule="auto"/>
        <w:tabs>
          <w:tab w:leader="none" w:pos="149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any Option or other Award granted hereunder is exercised through the tendering of Shares (either actually or by attestation) or by the withholding of Shares by the Company, or</w:t>
      </w:r>
    </w:p>
    <w:p>
      <w:pPr>
        <w:ind w:left="520" w:hanging="311"/>
        <w:spacing w:after="0"/>
        <w:tabs>
          <w:tab w:leader="none" w:pos="5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or deduction liabilities arising from such Option or other Award are satisfied by the tendering of</w:t>
      </w:r>
    </w:p>
    <w:p>
      <w:pPr>
        <w:spacing w:after="0" w:line="6"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0"/>
          <w:szCs w:val="20"/>
          <w:color w:val="auto"/>
        </w:rPr>
        <w:t>Shares (either actually or by attestation) or by the withholding of Shares by the Company, then in each such case the Shares so tendered or withheld shall be added to the Shares available for grant under the Plan on a one-for-one basis. Shares underlying Awards under the Plan that are forfeited, canceled, expire unexercised, or are settled in cash shall also be available again for issuance as Awards under the Plan.</w:t>
      </w:r>
    </w:p>
    <w:p>
      <w:pPr>
        <w:spacing w:after="0" w:line="141" w:lineRule="exact"/>
        <w:rPr>
          <w:sz w:val="20"/>
          <w:szCs w:val="20"/>
          <w:color w:val="auto"/>
        </w:rPr>
      </w:pPr>
    </w:p>
    <w:p>
      <w:pPr>
        <w:jc w:val="both"/>
        <w:ind w:left="200" w:right="219" w:firstLine="657"/>
        <w:spacing w:after="0" w:line="254" w:lineRule="auto"/>
        <w:tabs>
          <w:tab w:leader="none" w:pos="149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delivered by the Company in settlement of Awards may be authorized and unissued shares, shares held in the treasury of the Company, shares purchased on the open market or by private purchase, or a combination of the foregoing.</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53" w:lineRule="auto"/>
        <w:tabs>
          <w:tab w:leader="none" w:pos="149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The number of Shares underlying any Substitute Awards shall not be counted against the aggregate number of Shares available for Awards under the Plan.</w:t>
      </w:r>
    </w:p>
    <w:p>
      <w:pPr>
        <w:spacing w:after="0" w:line="282" w:lineRule="exact"/>
        <w:rPr>
          <w:rFonts w:ascii="Times New Roman" w:cs="Times New Roman" w:eastAsia="Times New Roman" w:hAnsi="Times New Roman"/>
          <w:sz w:val="20"/>
          <w:szCs w:val="20"/>
          <w:color w:val="auto"/>
        </w:rPr>
      </w:pPr>
    </w:p>
    <w:p>
      <w:pPr>
        <w:jc w:val="both"/>
        <w:ind w:left="200" w:right="219" w:firstLine="9"/>
        <w:spacing w:after="0" w:line="263" w:lineRule="auto"/>
        <w:tabs>
          <w:tab w:leader="none" w:pos="84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Eligibility. </w:t>
      </w:r>
      <w:r>
        <w:rPr>
          <w:rFonts w:ascii="Times New Roman" w:cs="Times New Roman" w:eastAsia="Times New Roman" w:hAnsi="Times New Roman"/>
          <w:sz w:val="20"/>
          <w:szCs w:val="20"/>
          <w:color w:val="auto"/>
        </w:rPr>
        <w:t>Participation shall be limited to Eligible Persons who have entered into an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who have received written notification from the Committee, or from a person designated by the Committee, that they have been selected to participate in the Plan.</w:t>
      </w:r>
    </w:p>
    <w:p>
      <w:pPr>
        <w:spacing w:after="0" w:line="269" w:lineRule="exact"/>
        <w:rPr>
          <w:rFonts w:ascii="Times New Roman" w:cs="Times New Roman" w:eastAsia="Times New Roman" w:hAnsi="Times New Roman"/>
          <w:sz w:val="20"/>
          <w:szCs w:val="20"/>
          <w:b w:val="1"/>
          <w:bCs w:val="1"/>
          <w:color w:val="auto"/>
        </w:rPr>
      </w:pPr>
    </w:p>
    <w:p>
      <w:pPr>
        <w:ind w:left="860" w:hanging="651"/>
        <w:spacing w:after="0"/>
        <w:tabs>
          <w:tab w:leader="none" w:pos="86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Options.</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657"/>
        <w:spacing w:after="0" w:line="249" w:lineRule="auto"/>
        <w:tabs>
          <w:tab w:leader="none" w:pos="149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w:t>
      </w:r>
    </w:p>
    <w:p>
      <w:pPr>
        <w:spacing w:after="0" w:line="138"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Stock Options</w:t>
      </w:r>
      <w:r>
        <w:rPr>
          <w:rFonts w:ascii="Times New Roman" w:cs="Times New Roman" w:eastAsia="Times New Roman" w:hAnsi="Times New Roman"/>
          <w:sz w:val="20"/>
          <w:szCs w:val="20"/>
          <w:color w:val="auto"/>
        </w:rPr>
        <w:t xml:space="preserve">.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49" w:lineRule="exact"/>
        <w:rPr>
          <w:rFonts w:ascii="Times New Roman" w:cs="Times New Roman" w:eastAsia="Times New Roman" w:hAnsi="Times New Roman"/>
          <w:sz w:val="20"/>
          <w:szCs w:val="20"/>
          <w:color w:val="auto"/>
        </w:rPr>
      </w:pPr>
    </w:p>
    <w:p>
      <w:pPr>
        <w:jc w:val="both"/>
        <w:ind w:left="200" w:right="219" w:firstLine="657"/>
        <w:spacing w:after="0" w:line="266" w:lineRule="auto"/>
        <w:tabs>
          <w:tab w:leader="none" w:pos="1496"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Except with respect to Substitute Awards, the exercise price (“</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Price</w:t>
      </w:r>
      <w:r>
        <w:rPr>
          <w:rFonts w:ascii="Times New Roman" w:cs="Times New Roman" w:eastAsia="Times New Roman" w:hAnsi="Times New Roman"/>
          <w:sz w:val="19"/>
          <w:szCs w:val="19"/>
          <w:color w:val="auto"/>
        </w:rPr>
        <w:t xml:space="preserve">”) per Share for each Option shall not be less than 100% of the Fair Market Value of such share determined as of the Date of Grant;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w:t>
      </w:r>
      <w:r>
        <w:rPr>
          <w:rFonts w:ascii="Times New Roman" w:cs="Times New Roman" w:eastAsia="Times New Roman" w:hAnsi="Times New Roman"/>
          <w:sz w:val="19"/>
          <w:szCs w:val="19"/>
          <w:color w:val="auto"/>
        </w:rPr>
        <w:t>r, that in the case of an Incentive Stock Option granted to an employee who, at the time of the grant of such Option, owns shares representing more than 10% of the total combined voting power of all classes of shares of the Company or any related corporation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 w:name="page13"/>
    <w:bookmarkEnd w:id="12"/>
    <w:p>
      <w:pPr>
        <w:jc w:val="both"/>
        <w:ind w:left="200" w:right="219"/>
        <w:spacing w:after="0" w:line="258" w:lineRule="auto"/>
        <w:rPr>
          <w:sz w:val="20"/>
          <w:szCs w:val="20"/>
          <w:color w:val="auto"/>
        </w:rPr>
      </w:pPr>
      <w:r>
        <w:rPr>
          <w:rFonts w:ascii="Times New Roman" w:cs="Times New Roman" w:eastAsia="Times New Roman" w:hAnsi="Times New Roman"/>
          <w:sz w:val="20"/>
          <w:szCs w:val="20"/>
          <w:color w:val="auto"/>
        </w:rPr>
        <w:t xml:space="preserve">determined in accordance with Treasury Regulation Section 1.422-2(f)), the Exercise Price per share shall not be less than 110% of the Fair Market Value per share on the Date of Grant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notwithstanding any provision herein to the contrary, the Exercise Price shall not be less than the par value per Share.</w:t>
      </w:r>
    </w:p>
    <w:p>
      <w:pPr>
        <w:spacing w:after="0" w:line="118" w:lineRule="exact"/>
        <w:rPr>
          <w:sz w:val="20"/>
          <w:szCs w:val="20"/>
          <w:color w:val="auto"/>
        </w:rPr>
      </w:pPr>
    </w:p>
    <w:p>
      <w:pPr>
        <w:jc w:val="both"/>
        <w:ind w:left="200" w:right="219" w:firstLine="657"/>
        <w:spacing w:after="0" w:line="248" w:lineRule="auto"/>
        <w:tabs>
          <w:tab w:leader="none" w:pos="14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Expiration</w:t>
      </w:r>
      <w:r>
        <w:rPr>
          <w:rFonts w:ascii="Times New Roman" w:cs="Times New Roman" w:eastAsia="Times New Roman" w:hAnsi="Times New Roman"/>
          <w:sz w:val="20"/>
          <w:szCs w:val="20"/>
          <w:color w:val="auto"/>
        </w:rPr>
        <w:t>. Options shall vest and become exercisable in such manner and on such date or dates determined by the Committee and shall expire after such period, not to exceed ten years, as may be determined by the Committee (the “</w:t>
      </w:r>
      <w:r>
        <w:rPr>
          <w:rFonts w:ascii="Times New Roman" w:cs="Times New Roman" w:eastAsia="Times New Roman" w:hAnsi="Times New Roman"/>
          <w:sz w:val="20"/>
          <w:szCs w:val="20"/>
          <w:u w:val="single" w:color="auto"/>
          <w:color w:val="auto"/>
        </w:rPr>
        <w:t>Option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w:t>
      </w:r>
      <w:r>
        <w:rPr>
          <w:rFonts w:ascii="Times New Roman" w:cs="Times New Roman" w:eastAsia="Times New Roman" w:hAnsi="Times New Roman"/>
          <w:sz w:val="20"/>
          <w:szCs w:val="20"/>
          <w:color w:val="auto"/>
        </w:rPr>
        <w:t xml:space="preserve">r, that the Option Period shall not exceed five years from the Date of Grant in the case of an Incentive Stock Option granted to a Participant who on the Date of Grant owns shares representing more than 10% of the total combined voting power of all classes of shares of the Company or any related corporation (as determined in accordance with Treasury Regulation Section 1.422-2(f));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notwithstanding any vesting dates set by the Committee, the Committee may, in its sole discretion, accelerate the exercisability of any Option, which acceleration shall not affect the terms and conditions of such Option other than with respect to exercisability. If the Option would expire at a time when the exercise of the Option would violate applicable securities laws, the expiration date applicable to the Option will be automatically extended to a date that is 30 calendar days following the date such exercise would no longer violate applicable securities laws (so long as such extension shall not violate Section 409A of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such expiration date be extended beyond the expiration of the Option Period.</w:t>
      </w:r>
    </w:p>
    <w:p>
      <w:pPr>
        <w:spacing w:after="0" w:line="128"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 and Form of Paymen</w:t>
      </w:r>
      <w:r>
        <w:rPr>
          <w:rFonts w:ascii="Times New Roman" w:cs="Times New Roman" w:eastAsia="Times New Roman" w:hAnsi="Times New Roman"/>
          <w:sz w:val="20"/>
          <w:szCs w:val="20"/>
          <w:color w:val="auto"/>
        </w:rPr>
        <w:t xml:space="preserve">t. No Shares shall be delivered pursuant to any exercise of an Option until payment in full of the Exercise Price therefor is received by the Company and the Participant has paid to the Company an amount equal to any taxes required to be withheld or paid upon exercise of such Option.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Stock valued at the Fair Market Value at the time the Option is exercised (including, pursuant to procedures approved by the Committee, by means of attestation of ownership of a sufficient number of Shares in lieu of actual delivery of such shares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Shares are not subject to any pledge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(B) if there is a public market for the Common Stock at such time, by means of a broker-assisted “cashless exercise” pursuant to which the Company is delivered a copy of irrevocable instructions to a stockbroker to sell the Shares otherwise deliverable upon the exercise of the Option and to deliver promptly to the Company an amount equal to the Exercise Price, or (C) by a “net exercise” method whereby the Company withholds from the delivery of the Shares for which the Option was exercised that number of Shares having a Fair Market Value equal to the aggregate Exercise Price for the Shares for which the Option was exercised.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38" w:lineRule="exact"/>
        <w:rPr>
          <w:rFonts w:ascii="Times New Roman" w:cs="Times New Roman" w:eastAsia="Times New Roman" w:hAnsi="Times New Roman"/>
          <w:sz w:val="20"/>
          <w:szCs w:val="20"/>
          <w:color w:val="auto"/>
        </w:rPr>
      </w:pPr>
    </w:p>
    <w:p>
      <w:pPr>
        <w:jc w:val="both"/>
        <w:ind w:left="200" w:right="219" w:firstLine="657"/>
        <w:spacing w:after="0" w:line="263" w:lineRule="auto"/>
        <w:tabs>
          <w:tab w:leader="none" w:pos="1496"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Notification upon Disqualifying Disposition of an Incentive Stock Option</w:t>
      </w:r>
      <w:r>
        <w:rPr>
          <w:rFonts w:ascii="Times New Roman" w:cs="Times New Roman" w:eastAsia="Times New Roman" w:hAnsi="Times New Roman"/>
          <w:sz w:val="19"/>
          <w:szCs w:val="19"/>
          <w:color w:val="auto"/>
        </w:rPr>
        <w:t>. Each Participant awarded an Incentive Stock Option under the Plan shall notify the Company in writing immediately after the date he makes a disqualifying disposition of any Shares acquired pursuant to the exercise of such Incentive Stock Option. A disqualifying disposition is any disposition (including, without limitation, any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sale) of such Shares before the later of (i) two years after the Date of Grant of the Incentive Stock Option or</w:t>
      </w:r>
    </w:p>
    <w:p>
      <w:pPr>
        <w:spacing w:after="0" w:line="18" w:lineRule="exact"/>
        <w:rPr>
          <w:sz w:val="20"/>
          <w:szCs w:val="20"/>
          <w:color w:val="auto"/>
        </w:rPr>
      </w:pPr>
    </w:p>
    <w:p>
      <w:pPr>
        <w:jc w:val="both"/>
        <w:ind w:left="200" w:right="219" w:firstLine="9"/>
        <w:spacing w:after="0" w:line="246" w:lineRule="auto"/>
        <w:tabs>
          <w:tab w:leader="none" w:pos="50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year after the date of exercise of the Incentive Stock Option. The Company may, if determined by the Committee and in accordance with procedures established by the Committee, retain possession of any Shares acquired pursuant to the exercise of an Incentive Stock Option as agent for the applicable Participant until the end of the period described in the preceding sentence.</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13" w:name="page14"/>
    <w:bookmarkEnd w:id="13"/>
    <w:p>
      <w:pPr>
        <w:jc w:val="both"/>
        <w:ind w:left="200" w:right="219" w:firstLine="657"/>
        <w:spacing w:after="0" w:line="253" w:lineRule="auto"/>
        <w:tabs>
          <w:tab w:leader="none" w:pos="149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 etc</w:t>
      </w:r>
      <w:r>
        <w:rPr>
          <w:rFonts w:ascii="Times New Roman" w:cs="Times New Roman" w:eastAsia="Times New Roman" w:hAnsi="Times New Roman"/>
          <w:sz w:val="20"/>
          <w:szCs w:val="20"/>
          <w:color w:val="auto"/>
        </w:rPr>
        <w:t>. Notwithstanding the foregoing, in no event shall a Participant be permitted to exercise an Option in a manner that the Committee determines would violate the Sarbanes-Oxley Act of 2002, if applicable; any other Applicable Law; the applicable rules and regulations of the Securities and Exchange Commission; or the applicable rules and regulations of any securities exchange or inter-dealer quotation system on which the securities of the Company are listed or traded.</w:t>
      </w:r>
    </w:p>
    <w:p>
      <w:pPr>
        <w:spacing w:after="0" w:line="295"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Appreciation Rights.</w:t>
      </w:r>
    </w:p>
    <w:p>
      <w:pPr>
        <w:spacing w:after="0" w:line="165" w:lineRule="exact"/>
        <w:rPr>
          <w:rFonts w:ascii="Times New Roman" w:cs="Times New Roman" w:eastAsia="Times New Roman" w:hAnsi="Times New Roman"/>
          <w:sz w:val="20"/>
          <w:szCs w:val="20"/>
          <w:b w:val="1"/>
          <w:bCs w:val="1"/>
          <w:color w:val="auto"/>
        </w:rPr>
      </w:pPr>
    </w:p>
    <w:p>
      <w:pPr>
        <w:jc w:val="both"/>
        <w:ind w:left="200" w:right="219" w:firstLine="657"/>
        <w:spacing w:after="0" w:line="251" w:lineRule="auto"/>
        <w:tabs>
          <w:tab w:leader="none" w:pos="149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36"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Strike Price</w:t>
      </w:r>
      <w:r>
        <w:rPr>
          <w:rFonts w:ascii="Times New Roman" w:cs="Times New Roman" w:eastAsia="Times New Roman" w:hAnsi="Times New Roman"/>
          <w:sz w:val="20"/>
          <w:szCs w:val="20"/>
          <w:color w:val="auto"/>
        </w:rPr>
        <w:t>. The Strike Price per Share for each SAR shall not be less than 100% of the Fair Market Value of such share determined as of the Date of Grant.</w:t>
      </w:r>
    </w:p>
    <w:p>
      <w:pPr>
        <w:spacing w:after="0" w:line="118"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Expiration</w:t>
      </w:r>
      <w:r>
        <w:rPr>
          <w:rFonts w:ascii="Times New Roman" w:cs="Times New Roman" w:eastAsia="Times New Roman" w:hAnsi="Times New Roman"/>
          <w:sz w:val="20"/>
          <w:szCs w:val="20"/>
          <w:color w:val="auto"/>
        </w:rPr>
        <w:t>.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Times New Roman" w:cs="Times New Roman" w:eastAsia="Times New Roman" w:hAnsi="Times New Roman"/>
          <w:sz w:val="20"/>
          <w:szCs w:val="20"/>
          <w:u w:val="single" w:color="auto"/>
          <w:color w:val="auto"/>
        </w:rPr>
        <w:t>SAR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w:t>
      </w:r>
      <w:r>
        <w:rPr>
          <w:rFonts w:ascii="Times New Roman" w:cs="Times New Roman" w:eastAsia="Times New Roman" w:hAnsi="Times New Roman"/>
          <w:sz w:val="20"/>
          <w:szCs w:val="20"/>
          <w:color w:val="auto"/>
        </w:rPr>
        <w:t xml:space="preserve">r, that notwithstanding any vesting dates set by the Committee, the Committee may, in its sole discretion, accelerate the exercisability of any SAR, which acceleration shall not affect the terms and conditions of such SAR other than with respect to exercisability. If the SAR would expire at a time when the exercise of the SAR would violate applicable securities laws, the expiration date applicable to the SAR will be automatically extended to a date that is 30 calendar days following the date such exercise would no longer violate applicable securities laws (so long as such extension shall not violate Section 409A of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such expiration date be extended beyond the expiration of the SAR Period.</w:t>
      </w:r>
    </w:p>
    <w:p>
      <w:pPr>
        <w:spacing w:after="0" w:line="136"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SARs that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27" w:lineRule="exact"/>
        <w:rPr>
          <w:rFonts w:ascii="Times New Roman" w:cs="Times New Roman" w:eastAsia="Times New Roman" w:hAnsi="Times New Roman"/>
          <w:sz w:val="20"/>
          <w:szCs w:val="20"/>
          <w:color w:val="auto"/>
        </w:rPr>
      </w:pPr>
    </w:p>
    <w:p>
      <w:pPr>
        <w:jc w:val="both"/>
        <w:ind w:left="200" w:right="219" w:firstLine="657"/>
        <w:spacing w:after="0" w:line="248" w:lineRule="auto"/>
        <w:tabs>
          <w:tab w:leader="none" w:pos="149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w:t>
      </w:r>
      <w:r>
        <w:rPr>
          <w:rFonts w:ascii="Times New Roman" w:cs="Times New Roman" w:eastAsia="Times New Roman" w:hAnsi="Times New Roman"/>
          <w:sz w:val="20"/>
          <w:szCs w:val="20"/>
          <w:color w:val="auto"/>
        </w:rPr>
        <w:t>t. Upon the exercise of a SAR, the Company shall pay to the Participant an amount equal to the number of shares subject to the SAR that are being exercised, multiplied by the excess, if any, of the Fair Market Value of one Share on the exercise date over the Strike Price, less an amount equal to any taxes required to be withheld or paid. The Company shall pay such amount in cash, in Common Stock having a Fair Market Value equal to such amount, or any combination thereof, as determined by the Committee.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300"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Stock and Restricted Stock Units.</w:t>
      </w:r>
    </w:p>
    <w:p>
      <w:pPr>
        <w:spacing w:after="0" w:line="165" w:lineRule="exact"/>
        <w:rPr>
          <w:rFonts w:ascii="Times New Roman" w:cs="Times New Roman" w:eastAsia="Times New Roman" w:hAnsi="Times New Roman"/>
          <w:sz w:val="20"/>
          <w:szCs w:val="20"/>
          <w:b w:val="1"/>
          <w:bCs w:val="1"/>
          <w:color w:val="auto"/>
        </w:rPr>
      </w:pPr>
    </w:p>
    <w:p>
      <w:pPr>
        <w:jc w:val="both"/>
        <w:ind w:left="200" w:right="219" w:firstLine="657"/>
        <w:spacing w:after="0" w:line="261" w:lineRule="auto"/>
        <w:tabs>
          <w:tab w:leader="none" w:pos="149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 w:name="page15"/>
    <w:bookmarkEnd w:id="14"/>
    <w:p>
      <w:pPr>
        <w:ind w:left="200" w:right="219"/>
        <w:spacing w:after="0" w:line="283" w:lineRule="auto"/>
        <w:rPr>
          <w:sz w:val="20"/>
          <w:szCs w:val="20"/>
          <w:color w:val="auto"/>
        </w:rPr>
      </w:pPr>
      <w:r>
        <w:rPr>
          <w:rFonts w:ascii="Times New Roman" w:cs="Times New Roman" w:eastAsia="Times New Roman" w:hAnsi="Times New Roman"/>
          <w:sz w:val="20"/>
          <w:szCs w:val="20"/>
          <w:color w:val="auto"/>
        </w:rPr>
        <w:t>be subject to the conditions set forth in this Section 9 and to such other conditions not inconsistent with the Plan as may be reflected in the applicable Award Agreement.</w:t>
      </w:r>
    </w:p>
    <w:p>
      <w:pPr>
        <w:spacing w:after="0" w:line="92" w:lineRule="exact"/>
        <w:rPr>
          <w:sz w:val="20"/>
          <w:szCs w:val="20"/>
          <w:color w:val="auto"/>
        </w:rPr>
      </w:pPr>
    </w:p>
    <w:p>
      <w:pPr>
        <w:jc w:val="both"/>
        <w:ind w:left="200" w:right="219" w:firstLine="657"/>
        <w:spacing w:after="0" w:line="261" w:lineRule="auto"/>
        <w:tabs>
          <w:tab w:leader="none" w:pos="149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Accounts; Escrow or Similar Arrangemen</w:t>
      </w:r>
      <w:r>
        <w:rPr>
          <w:rFonts w:ascii="Times New Roman" w:cs="Times New Roman" w:eastAsia="Times New Roman" w:hAnsi="Times New Roman"/>
          <w:sz w:val="19"/>
          <w:szCs w:val="19"/>
          <w:color w:val="auto"/>
        </w:rPr>
        <w:t>t. Upon the grant of Restricted Stock, a book entry in a restricted account shall be 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and the right to receive dividends, if applicable. To the extent shares of Restricted Stock are forfeited, any share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35" w:lineRule="exact"/>
        <w:rPr>
          <w:rFonts w:ascii="Times New Roman" w:cs="Times New Roman" w:eastAsia="Times New Roman" w:hAnsi="Times New Roman"/>
          <w:sz w:val="19"/>
          <w:szCs w:val="19"/>
          <w:color w:val="auto"/>
        </w:rPr>
      </w:pPr>
    </w:p>
    <w:p>
      <w:pPr>
        <w:jc w:val="both"/>
        <w:ind w:left="200" w:right="219" w:firstLine="657"/>
        <w:spacing w:after="0" w:line="261" w:lineRule="auto"/>
        <w:tabs>
          <w:tab w:leader="none" w:pos="14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Unless otherwise provided by the Committee in an Award Agreement the unvested portion of Restricted Stock and Restricted Stock Units shall terminate and be forfeited upon termination of employment or service of the Participant granted the applicable Award.</w:t>
      </w:r>
    </w:p>
    <w:p>
      <w:pPr>
        <w:spacing w:after="0" w:line="113"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Restricted Stock and Settlement of Restricted Stock Unit</w:t>
      </w:r>
      <w:r>
        <w:rPr>
          <w:rFonts w:ascii="Times New Roman" w:cs="Times New Roman" w:eastAsia="Times New Roman" w:hAnsi="Times New Roman"/>
          <w:sz w:val="20"/>
          <w:szCs w:val="20"/>
          <w:color w:val="auto"/>
        </w:rPr>
        <w:t>s.</w:t>
      </w:r>
    </w:p>
    <w:p>
      <w:pPr>
        <w:spacing w:after="0" w:line="175" w:lineRule="exact"/>
        <w:rPr>
          <w:rFonts w:ascii="Times New Roman" w:cs="Times New Roman" w:eastAsia="Times New Roman" w:hAnsi="Times New Roman"/>
          <w:sz w:val="20"/>
          <w:szCs w:val="20"/>
          <w:color w:val="auto"/>
        </w:rPr>
      </w:pPr>
    </w:p>
    <w:p>
      <w:pPr>
        <w:jc w:val="both"/>
        <w:ind w:left="860" w:right="219" w:firstLine="645"/>
        <w:spacing w:after="0" w:line="265" w:lineRule="auto"/>
        <w:tabs>
          <w:tab w:leader="none" w:pos="2156"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w:t>
      </w:r>
    </w:p>
    <w:p>
      <w:pPr>
        <w:jc w:val="both"/>
        <w:ind w:left="860" w:right="219" w:firstLine="105"/>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If an escrow arrangement is used, 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or shall register such shares in the Participants name without any such restrictions. Dividends, if any, that may have been withheld by the Committee and attributable to any particular share of Restricted Stock shall be distributed to the Participant in cash or, at the sole discretion of the Committee, in Shares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131" w:lineRule="exact"/>
        <w:rPr>
          <w:rFonts w:ascii="Times New Roman" w:cs="Times New Roman" w:eastAsia="Times New Roman" w:hAnsi="Times New Roman"/>
          <w:sz w:val="19"/>
          <w:szCs w:val="19"/>
          <w:color w:val="auto"/>
        </w:rPr>
      </w:pPr>
    </w:p>
    <w:p>
      <w:pPr>
        <w:jc w:val="both"/>
        <w:ind w:left="860" w:right="219" w:firstLine="645"/>
        <w:spacing w:after="0" w:line="248" w:lineRule="auto"/>
        <w:tabs>
          <w:tab w:leader="none" w:pos="215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provided by the Committee in an Award Agreement, upon the expiration of the Restricted Period with respect to any outstanding Restricted Stock Units, the Company shall deliver to the Participant, or his beneficiary, without charge, one share of Common Stock for each such outstanding Restricted Stock Unit;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Committee may, in its sole discretion, elect to (A) pay cash or part cash and part Common Stock in lieu of delivering only Common Stock in respect of such Restricted Stock Units or (B) defer the delivery of shares of Common Stock (or cash or part Common Stock and part cash, as the case may be) beyond the expiration of the Restricted Period if such delivery would result in a violation of Applicable Law until such time as is no longer the case. If a cash payment is made in lieu of delivering Common Stock, the amount of such payment shall be equal to the Fair Market Value of the Common Stock as of the date on which the Restricted Period lapsed with respect to such Restricted Stock Units, less an amount equal to any taxes required to be withheld or paid.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 w:name="page16"/>
    <w:bookmarkEnd w:id="15"/>
    <w:p>
      <w:pPr>
        <w:ind w:left="860" w:hanging="651"/>
        <w:spacing w:after="0"/>
        <w:tabs>
          <w:tab w:leader="none" w:pos="86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Stock-Based Awards and Other Cash-Based Awards.</w:t>
      </w:r>
    </w:p>
    <w:p>
      <w:pPr>
        <w:spacing w:after="0" w:line="179" w:lineRule="exact"/>
        <w:rPr>
          <w:rFonts w:ascii="Times New Roman" w:cs="Times New Roman" w:eastAsia="Times New Roman" w:hAnsi="Times New Roman"/>
          <w:sz w:val="20"/>
          <w:szCs w:val="20"/>
          <w:b w:val="1"/>
          <w:bCs w:val="1"/>
          <w:color w:val="auto"/>
        </w:rPr>
      </w:pPr>
    </w:p>
    <w:p>
      <w:pPr>
        <w:ind w:left="200" w:right="219" w:firstLine="657"/>
        <w:spacing w:after="0" w:line="251" w:lineRule="auto"/>
        <w:tabs>
          <w:tab w:leader="none" w:pos="149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Stock-Based Awards</w:t>
      </w:r>
      <w:r>
        <w:rPr>
          <w:rFonts w:ascii="Times New Roman" w:cs="Times New Roman" w:eastAsia="Times New Roman" w:hAnsi="Times New Roman"/>
          <w:sz w:val="20"/>
          <w:szCs w:val="20"/>
          <w:color w:val="auto"/>
        </w:rPr>
        <w:t>. The Committee may grant types of equity-based or equity-related Awards not otherwise described by the terms of the Plan (including the grant or offer for sale of unrestricted Common Stock), in such amounts and subject to such terms and conditions, as the Committee shall determine. Such Other Stock-Based Awards may involve the transfer of actual shares of Common Stock to Participants, or payment in cash or otherwise of amounts based on the value of Common Stock. The terms and conditions of such Awards shall be consistent with the Plan and set forth in the Award Agreement and need not be uniform among all such Awards or all Participants receiving such Awards.</w:t>
      </w:r>
    </w:p>
    <w:p>
      <w:pPr>
        <w:spacing w:after="0" w:line="125"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Cash-Based Awards</w:t>
      </w:r>
      <w:r>
        <w:rPr>
          <w:rFonts w:ascii="Times New Roman" w:cs="Times New Roman" w:eastAsia="Times New Roman" w:hAnsi="Times New Roman"/>
          <w:sz w:val="20"/>
          <w:szCs w:val="20"/>
          <w:color w:val="auto"/>
        </w:rPr>
        <w:t>. The Committee may grant a Participant a cash Award not otherwise described by the terms of the Plan, including cash awarded as a bonus or upon the attainment of Performance Goals or otherwise as permitted under the Plan.</w:t>
      </w:r>
    </w:p>
    <w:p>
      <w:pPr>
        <w:spacing w:after="0" w:line="113"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Value of Awards</w:t>
      </w:r>
      <w:r>
        <w:rPr>
          <w:rFonts w:ascii="Times New Roman" w:cs="Times New Roman" w:eastAsia="Times New Roman" w:hAnsi="Times New Roman"/>
          <w:sz w:val="20"/>
          <w:szCs w:val="20"/>
          <w:color w:val="auto"/>
        </w:rPr>
        <w:t>. Each Other Stock-Based Award shall be expressed in terms of shares of Common Stock or units based on Common Stock, as determined by the Committee, and each Other Cash-Based Awards shall be shall be expressed in terms of cash, as determined by the Committee. The Committee may establish Performance Goals in its discretion pursuant to Section 12, and any such Performance Goals shall be set forth in the applicable Award Agreement. If the Committee exercises its discretion to establish Performance Goals, the number and/or value of Other Stock-Based Awards or Other Cash-Based Awards that will be paid out to the Participant will depend on the extent to which such Performance Goals are met.</w:t>
      </w:r>
    </w:p>
    <w:p>
      <w:pPr>
        <w:spacing w:after="0" w:line="14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Awards</w:t>
      </w:r>
      <w:r>
        <w:rPr>
          <w:rFonts w:ascii="Times New Roman" w:cs="Times New Roman" w:eastAsia="Times New Roman" w:hAnsi="Times New Roman"/>
          <w:sz w:val="20"/>
          <w:szCs w:val="20"/>
          <w:color w:val="auto"/>
        </w:rPr>
        <w:t>. Payment, if any, with respect to an Other Stock-Based Award or Other Cash-Based Award shall be made in accordance with the terms of the Award, as set forth in the Award Agreement, in cash, Common Stock or a combination of cash and Common Stock, as the Committee determines.</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The Committee shall determine the extent to which the Participant shall have the right to receive Other Stock-Based Awards or Other Cash-Based Awards following the Participant’s termination of employment or service (including by reason of such Participant’s death, disability (as determined by the Committee), or termination without Cause). Such provisions shall be determined in the sole discretion of the Committee and will be included in the applicable Award Agreement but need not be uniform among all Other Stock-Based Awards or Other Cash-Based Awards issued pursuant to the Plan and may reflect distinctions based on the reasons for the termination of employment or service.</w:t>
      </w:r>
    </w:p>
    <w:p>
      <w:pPr>
        <w:spacing w:after="0" w:line="296"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848"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No adjustment shall be made in the Common Stock issuable or taken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under Awards on account of cash dividends that may be paid or other rights that may be issued to the holders of Common Stock prior to issuance of such Common Stock under such Award. The Committee may grant Dividend Equivalents based on the dividends declared on shares of Common Stock that are subject to any Award (other than an Option or Stock Appreciation Right). Any Award of Dividend Equivalents may be credited as of the dividend payment dates, during the period between the Date of Grant of the Award and the date the Award becomes payable or terminates or expires, as determined by the Committee; however, Dividend Equivalents shall not be payable unless and until the Award becomes payable, and shall be subject to forfeiture to the same extent as the underlying Award. Dividend Equivalents may be subject to any additional limitations and/or restrictions determined by the Committee.</w:t>
      </w:r>
    </w:p>
    <w:p>
      <w:pPr>
        <w:spacing w:after="0" w:line="8" w:lineRule="exact"/>
        <w:rPr>
          <w:rFonts w:ascii="Times New Roman" w:cs="Times New Roman" w:eastAsia="Times New Roman" w:hAnsi="Times New Roman"/>
          <w:sz w:val="20"/>
          <w:szCs w:val="20"/>
          <w:b w:val="1"/>
          <w:bCs w:val="1"/>
          <w:color w:val="auto"/>
        </w:rPr>
      </w:pPr>
    </w:p>
    <w:p>
      <w:pPr>
        <w:ind w:left="200" w:right="239" w:firstLine="105"/>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Dividend Equivalents shall be payable in cash, Common Stock or converted to full-value Awards, calculated based on such formula, as may be determined by the Committee.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6" w:name="page17"/>
    <w:bookmarkEnd w:id="16"/>
    <w:p>
      <w:pPr>
        <w:ind w:left="860" w:hanging="651"/>
        <w:spacing w:after="0"/>
        <w:tabs>
          <w:tab w:leader="none" w:pos="86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Awards.</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657"/>
        <w:spacing w:after="0" w:line="253" w:lineRule="auto"/>
        <w:tabs>
          <w:tab w:leader="none" w:pos="149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Committee shall have the authority, at the time of grant of any Award described in Sections 7 through 10 of the Plan, to designate such Award as a Performance Award. The Committee shall have the authority to make an award of a cash bonus to any Participant and designate such Award as a Performance Award. Unless otherwise determined by the Committee, all Performance Awards shall be evidenced by an Award Agreement.</w:t>
      </w:r>
    </w:p>
    <w:p>
      <w:pPr>
        <w:spacing w:after="0" w:line="124" w:lineRule="exact"/>
        <w:rPr>
          <w:rFonts w:ascii="Times New Roman" w:cs="Times New Roman" w:eastAsia="Times New Roman" w:hAnsi="Times New Roman"/>
          <w:sz w:val="20"/>
          <w:szCs w:val="20"/>
          <w:color w:val="auto"/>
        </w:rPr>
      </w:pPr>
    </w:p>
    <w:p>
      <w:pPr>
        <w:jc w:val="both"/>
        <w:ind w:left="200" w:right="219" w:firstLine="657"/>
        <w:spacing w:after="0" w:line="251" w:lineRule="auto"/>
        <w:tabs>
          <w:tab w:leader="none" w:pos="149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 of Committee with Respect to Performance Award</w:t>
      </w:r>
      <w:r>
        <w:rPr>
          <w:rFonts w:ascii="Times New Roman" w:cs="Times New Roman" w:eastAsia="Times New Roman" w:hAnsi="Times New Roman"/>
          <w:sz w:val="20"/>
          <w:szCs w:val="20"/>
          <w:color w:val="auto"/>
        </w:rPr>
        <w:t>s. The Committee shall have the discretion to establish the terms, conditions and restrictions of any Performance Award. With regard to a particular Performance Period, the Committee shall have sole discretion to select the length of such Performance Period, the type(s) of Performance Awards to be issued, the Performance Criteria that will be used to establish the Performance Goal(s), the kind(s) and/or level(s) of the Performance Goals(s) that is (are) to apply and the Performance Formula.</w:t>
      </w:r>
    </w:p>
    <w:p>
      <w:pPr>
        <w:spacing w:after="0" w:line="136" w:lineRule="exact"/>
        <w:rPr>
          <w:rFonts w:ascii="Times New Roman" w:cs="Times New Roman" w:eastAsia="Times New Roman" w:hAnsi="Times New Roman"/>
          <w:sz w:val="20"/>
          <w:szCs w:val="20"/>
          <w:color w:val="auto"/>
        </w:rPr>
      </w:pPr>
    </w:p>
    <w:p>
      <w:pPr>
        <w:jc w:val="both"/>
        <w:ind w:left="200" w:right="219" w:firstLine="657"/>
        <w:spacing w:after="0" w:line="259" w:lineRule="auto"/>
        <w:tabs>
          <w:tab w:leader="none" w:pos="1496"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Criteria</w:t>
      </w:r>
      <w:r>
        <w:rPr>
          <w:rFonts w:ascii="Times New Roman" w:cs="Times New Roman" w:eastAsia="Times New Roman" w:hAnsi="Times New Roman"/>
          <w:sz w:val="19"/>
          <w:szCs w:val="19"/>
          <w:color w:val="auto"/>
        </w:rPr>
        <w:t>. The Committee may establish Performance Criteria that will be used to establish the Performance Goal(s) for Performance Awards which may be based on the attainment of specific levels of performance of the Company (and/or one or more Affiliates, divisions, business segments or operational units, or any combination of the foregoing) and may include, without limitation, any of the following: (i) net earnings or net income (before or after taxes); (ii) basic or diluted earnings per share (before or after taxes); (iii) revenue or revenue growth (measured on a net or gross basis);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stockholder return); (xiii) expense targets; (xiv) margins; (xv) productivity and operating efficiencies; (xvi)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w:t>
      </w:r>
    </w:p>
    <w:p>
      <w:pPr>
        <w:spacing w:after="0" w:line="9" w:lineRule="exact"/>
        <w:rPr>
          <w:rFonts w:ascii="Times New Roman" w:cs="Times New Roman" w:eastAsia="Times New Roman" w:hAnsi="Times New Roman"/>
          <w:sz w:val="19"/>
          <w:szCs w:val="19"/>
          <w:color w:val="auto"/>
        </w:rPr>
      </w:pPr>
    </w:p>
    <w:p>
      <w:pPr>
        <w:jc w:val="both"/>
        <w:ind w:left="200" w:right="219"/>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(xxix) cost targets; (xxx) reductions and savings; (xxxi) productivity and efficiencies; (xxxii) strategic partnerships or transactions; (xxxiii) personal targets, goals or completion of projects; and (xxxiv) such other criteria as established by the Committee in its discretion from time to time. Any one or more of the Performance Criteria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comparable or peer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Any Performance Criteria that are financial metrics, may be determined in accordance with United States Generally Accepted Accounting Principles (“</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or may be adjusted when established to include or exclude any items otherwise includable or excludable under GAAP.</w:t>
      </w:r>
    </w:p>
    <w:p>
      <w:pPr>
        <w:spacing w:after="0" w:line="133" w:lineRule="exact"/>
        <w:rPr>
          <w:rFonts w:ascii="Times New Roman" w:cs="Times New Roman" w:eastAsia="Times New Roman" w:hAnsi="Times New Roman"/>
          <w:sz w:val="19"/>
          <w:szCs w:val="19"/>
          <w:color w:val="auto"/>
        </w:rPr>
      </w:pPr>
    </w:p>
    <w:p>
      <w:pPr>
        <w:jc w:val="both"/>
        <w:ind w:left="200" w:right="219" w:firstLine="657"/>
        <w:spacing w:after="0" w:line="253" w:lineRule="auto"/>
        <w:tabs>
          <w:tab w:leader="none" w:pos="149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of Performance Goal(s</w:t>
      </w:r>
      <w:r>
        <w:rPr>
          <w:rFonts w:ascii="Times New Roman" w:cs="Times New Roman" w:eastAsia="Times New Roman" w:hAnsi="Times New Roman"/>
          <w:sz w:val="20"/>
          <w:szCs w:val="20"/>
          <w:color w:val="auto"/>
        </w:rPr>
        <w:t>). The Committee is authorized at any time to adjust or modify the calculation of a Performance Goal for such Performance Period, based on and in order to appropriately reflect any specified circumstance or event that occurs during a Performance Period, including but not limited to the following: (i) asset write-downs; (ii) litigation or claim judgments or settlements; (iii) the effect of changes in tax laws, accounting principles, or other laws or regulatory rules</w:t>
      </w:r>
    </w:p>
    <w:p>
      <w:pPr>
        <w:sectPr>
          <w:pgSz w:w="11900" w:h="16838" w:orient="portrait"/>
          <w:cols w:equalWidth="0" w:num="1">
            <w:col w:w="9019"/>
          </w:cols>
          <w:pgMar w:left="1440" w:top="88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17" w:name="page18"/>
    <w:bookmarkEnd w:id="17"/>
    <w:p>
      <w:pPr>
        <w:jc w:val="both"/>
        <w:ind w:left="200" w:right="219"/>
        <w:spacing w:after="0" w:line="252" w:lineRule="auto"/>
        <w:rPr>
          <w:sz w:val="20"/>
          <w:szCs w:val="20"/>
          <w:color w:val="auto"/>
        </w:rPr>
      </w:pPr>
      <w:r>
        <w:rPr>
          <w:rFonts w:ascii="Times New Roman" w:cs="Times New Roman" w:eastAsia="Times New Roman" w:hAnsi="Times New Roman"/>
          <w:sz w:val="20"/>
          <w:szCs w:val="20"/>
          <w:color w:val="auto"/>
        </w:rPr>
        <w:t>affecting reported results; (iv) any reorganization and restructuring programs; (v) unusual and/or infrequently occurring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1" w:lineRule="exact"/>
        <w:rPr>
          <w:sz w:val="20"/>
          <w:szCs w:val="20"/>
          <w:color w:val="auto"/>
        </w:rPr>
      </w:pPr>
    </w:p>
    <w:p>
      <w:pPr>
        <w:jc w:val="both"/>
        <w:ind w:left="200" w:right="219" w:firstLine="9"/>
        <w:spacing w:after="0" w:line="249" w:lineRule="auto"/>
        <w:tabs>
          <w:tab w:leader="none" w:pos="61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divestitures; (vii) discontinued operations; (viii) any other specific unusual or infrequently occurring or non-recurring events, or objectively determinable category thereof; (ix) foreign exchange gains and losses; and (x) a change in the Company’s fiscal year.</w:t>
      </w:r>
    </w:p>
    <w:p>
      <w:pPr>
        <w:spacing w:after="0" w:line="139" w:lineRule="exact"/>
        <w:rPr>
          <w:rFonts w:ascii="Times New Roman" w:cs="Times New Roman" w:eastAsia="Times New Roman" w:hAnsi="Times New Roman"/>
          <w:sz w:val="20"/>
          <w:szCs w:val="20"/>
          <w:color w:val="auto"/>
        </w:rPr>
      </w:pPr>
    </w:p>
    <w:p>
      <w:pPr>
        <w:ind w:left="200" w:right="219" w:firstLine="657"/>
        <w:spacing w:after="0" w:line="247" w:lineRule="auto"/>
        <w:tabs>
          <w:tab w:leader="none" w:pos="14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 to Receipt of Payment</w:t>
      </w:r>
      <w:r>
        <w:rPr>
          <w:rFonts w:ascii="Times New Roman" w:cs="Times New Roman" w:eastAsia="Times New Roman" w:hAnsi="Times New Roman"/>
          <w:sz w:val="20"/>
          <w:szCs w:val="20"/>
          <w:color w:val="auto"/>
        </w:rPr>
        <w:t>. Unless otherwise provided in the applicable Award Agreement, a Participant must be employed by the Company on the last day of a Performance Period to be eligible for payment in respect of a Performance Award for such Performance Period. Unless otherwise determined by the Committee, a Participant shall be eligible to receive payment in respect of a Performance Award only to the extent that: (i) the Performance Goals for such period are achieved; and (ii) all or some of the portion of such Participant’s Performance Award has been earned for the Performance Period based on the application of the Performance Formula to such achieved Performance Goals. Following the completion of a Performance Period, the Committee shall determine whether, and to what extent, the Performance Goals for the Performance Period have been achieved and, if so, calculate the amount of the Performance Awards earned for the period based upon the Performance Formula. The Committee shall then determine the amount of each Participant’s Performance Award actually payable for the Performance Period.</w:t>
      </w:r>
    </w:p>
    <w:p>
      <w:pPr>
        <w:spacing w:after="0" w:line="301" w:lineRule="exact"/>
        <w:rPr>
          <w:sz w:val="20"/>
          <w:szCs w:val="20"/>
          <w:color w:val="auto"/>
        </w:rPr>
      </w:pPr>
    </w:p>
    <w:p>
      <w:pPr>
        <w:jc w:val="both"/>
        <w:ind w:left="200" w:right="219" w:firstLine="9"/>
        <w:spacing w:after="0" w:line="247" w:lineRule="auto"/>
        <w:tabs>
          <w:tab w:leader="none" w:pos="848"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Changes in Capital Structure and Similar Events. </w:t>
      </w:r>
      <w:r>
        <w:rPr>
          <w:rFonts w:ascii="Times New Roman" w:cs="Times New Roman" w:eastAsia="Times New Roman" w:hAnsi="Times New Roman"/>
          <w:sz w:val="20"/>
          <w:szCs w:val="20"/>
          <w:color w:val="auto"/>
        </w:rPr>
        <w:t>In the event of  (a) any dividend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ordinary cash dividends) or other distribution (whether in the form of cash, Common Stock, other securities or other property), recapitalization, stock split, reverse stock split, reorganization, merger, amalgamation, consolidation, spin-off, split-up, split-off, combination, repurchase or exchange of Common Stock or other securities of the Company, issuance of warrants or other rights to acquire Common Stock or other securities of the Company, or other similar corporate transaction or event (including, without limitation, a Change in Control) that affects the Common Stock, or (b) 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subject to the requirements of Code Sections 409A, 421, and 422, if applicable, including without limitation any or all of the following:</w:t>
      </w:r>
    </w:p>
    <w:p>
      <w:pPr>
        <w:spacing w:after="0" w:line="146" w:lineRule="exact"/>
        <w:rPr>
          <w:rFonts w:ascii="Times New Roman" w:cs="Times New Roman" w:eastAsia="Times New Roman" w:hAnsi="Times New Roman"/>
          <w:sz w:val="20"/>
          <w:szCs w:val="20"/>
          <w:b w:val="1"/>
          <w:bCs w:val="1"/>
          <w:color w:val="auto"/>
        </w:rPr>
      </w:pPr>
    </w:p>
    <w:p>
      <w:pPr>
        <w:jc w:val="both"/>
        <w:ind w:left="200" w:right="219" w:firstLine="657"/>
        <w:spacing w:after="0" w:line="248" w:lineRule="auto"/>
        <w:tabs>
          <w:tab w:leader="none" w:pos="149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adjusting any or all of  (i)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(ii) the terms of any outstanding Award, including, without limitation, (A) the number of shares of Common Stock or other securities of the Company (or number and kind of other securities or other property) subject to outstanding Awards or to which outstanding Awards relate, (B) the Exercise Price or Strike Price with respect to any Award or (C) any applicable performance measures (including, without limitation, Performance Criteria and Performance Goals);</w:t>
      </w:r>
    </w:p>
    <w:p>
      <w:pPr>
        <w:spacing w:after="0" w:line="142"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 substitution or assumption of Awards in a manner that substantially preserves the applicable terms of such Awards;</w:t>
      </w:r>
    </w:p>
    <w:p>
      <w:pPr>
        <w:spacing w:after="0" w:line="118" w:lineRule="exact"/>
        <w:rPr>
          <w:rFonts w:ascii="Times New Roman" w:cs="Times New Roman" w:eastAsia="Times New Roman" w:hAnsi="Times New Roman"/>
          <w:sz w:val="20"/>
          <w:szCs w:val="20"/>
          <w:color w:val="auto"/>
        </w:rPr>
      </w:pPr>
    </w:p>
    <w:p>
      <w:pPr>
        <w:ind w:left="200" w:right="239" w:firstLine="657"/>
        <w:spacing w:after="0" w:line="269" w:lineRule="auto"/>
        <w:tabs>
          <w:tab w:leader="none" w:pos="149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accelerating the exercisability or vesting of, lapse of restrictions on, or termination of, Awards or providing for a period of time for exercise prior to the occurrence of such event;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8" w:name="page19"/>
    <w:bookmarkEnd w:id="18"/>
    <w:p>
      <w:pPr>
        <w:jc w:val="both"/>
        <w:ind w:left="200" w:right="219" w:firstLine="657"/>
        <w:spacing w:after="0" w:line="261" w:lineRule="auto"/>
        <w:tabs>
          <w:tab w:leader="none" w:pos="149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modifying the terms of Awards to add events, conditions or circumstances (including termination of employment within a specified period after a Change in Control) upon which the exercisability or vesting of or lapse of restrictions thereon will accelerate;</w:t>
      </w:r>
    </w:p>
    <w:p>
      <w:pPr>
        <w:spacing w:after="0" w:line="127" w:lineRule="exact"/>
        <w:rPr>
          <w:rFonts w:ascii="Times New Roman" w:cs="Times New Roman" w:eastAsia="Times New Roman" w:hAnsi="Times New Roman"/>
          <w:sz w:val="20"/>
          <w:szCs w:val="20"/>
          <w:color w:val="auto"/>
        </w:rPr>
      </w:pPr>
    </w:p>
    <w:p>
      <w:pPr>
        <w:jc w:val="both"/>
        <w:ind w:left="200" w:right="239" w:firstLine="657"/>
        <w:spacing w:after="0" w:line="254" w:lineRule="auto"/>
        <w:tabs>
          <w:tab w:leader="none" w:pos="149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deeming any performance measures (including, without limitation, Performance Criteria and Performance Goals) satisfied at target, maximum or actual performance through closing or such other level determined by the Committee in its sole discretion, or providing for the performance measures to continue (as is or as adjusted by the Committee) after closing;</w:t>
      </w:r>
    </w:p>
    <w:p>
      <w:pPr>
        <w:spacing w:after="0" w:line="133"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for a period prior to the Change in Control determined by the Committee in its sole discretion, any Options or SARs that would not otherwise become exercisable prior to the Change in Control will be exercisable as to all Common Stock subject thereto (but any such exercise will be contingent upon and subject to the occurrence of the Change in Control and if the Change in Control does not take place after giving such notice for any reason whatsoever, the exercise will be null and void) and that any Options or SARs not exercised prior to the consummation of the Change in Control will terminate and be of no further force and effect as of the consummation of the Change in Control; and</w:t>
      </w:r>
    </w:p>
    <w:p>
      <w:pPr>
        <w:spacing w:after="0" w:line="138"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canceling any one or more outstanding Awards and causing to be paid to the holders thereof, in cash, Common Stock, other securities or other property, or any combination thereof, the value of such Awards, if any, as determined by the Committee (which if applicable may be based upon the price per Common Share received or to be received by other stockholders of the Company in such event), including without limitation, in the case of an outstanding Option or SAR, a cash payment in an amount equal to the excess, if any, of the Fair Market Value (as of a date specified by the Committee) of the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any “equity restructuring” (within the meaning of the Financial Accounting Standards Board Accounting Standards Codification Topic 718), the Committee shall make an equitable or proportionate adjustment to outstanding Awards to reflect such equity restructuring. The Company shall give each Participant notice of an adjustment hereunder and, upon notice, such adjustment shall be final, conclusive and binding for all purposes.</w:t>
      </w:r>
    </w:p>
    <w:p>
      <w:pPr>
        <w:spacing w:after="0" w:line="293"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Termination.</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657"/>
        <w:spacing w:after="0" w:line="248" w:lineRule="auto"/>
        <w:tabs>
          <w:tab w:leader="none" w:pos="149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 of the Plan</w:t>
      </w:r>
      <w:r>
        <w:rPr>
          <w:rFonts w:ascii="Times New Roman" w:cs="Times New Roman" w:eastAsia="Times New Roman" w:hAnsi="Times New Roman"/>
          <w:sz w:val="20"/>
          <w:szCs w:val="20"/>
          <w:color w:val="auto"/>
        </w:rPr>
        <w:t xml:space="preserve">. The Board may amend, alter, suspend, discontinue, or terminate the Plan or any portion thereof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Stock may be listed or quoted);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42" w:lineRule="exact"/>
        <w:rPr>
          <w:rFonts w:ascii="Times New Roman" w:cs="Times New Roman" w:eastAsia="Times New Roman" w:hAnsi="Times New Roman"/>
          <w:sz w:val="20"/>
          <w:szCs w:val="20"/>
          <w:color w:val="auto"/>
        </w:rPr>
      </w:pPr>
    </w:p>
    <w:p>
      <w:pPr>
        <w:jc w:val="both"/>
        <w:ind w:left="200" w:right="219" w:firstLine="657"/>
        <w:spacing w:after="0" w:line="264" w:lineRule="auto"/>
        <w:tabs>
          <w:tab w:leader="none" w:pos="1496"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of Award Agreements; Repricing</w:t>
      </w:r>
      <w:r>
        <w:rPr>
          <w:rFonts w:ascii="Times New Roman" w:cs="Times New Roman" w:eastAsia="Times New Roman" w:hAnsi="Times New Roman"/>
          <w:sz w:val="19"/>
          <w:szCs w:val="19"/>
          <w:color w:val="auto"/>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in its sole</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19" w:name="page20"/>
    <w:bookmarkEnd w:id="19"/>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discretion, that the amendment is necessary for the Award to comply with Code Section 409A. In addition, the Committee shall, without the approval of the stockholders of the Company, have the authority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283" w:lineRule="exact"/>
        <w:rPr>
          <w:sz w:val="20"/>
          <w:szCs w:val="20"/>
          <w:color w:val="auto"/>
        </w:rPr>
      </w:pPr>
    </w:p>
    <w:p>
      <w:pPr>
        <w:ind w:left="860" w:hanging="651"/>
        <w:spacing w:after="0"/>
        <w:tabs>
          <w:tab w:leader="none" w:pos="86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657"/>
        <w:spacing w:after="0" w:line="251" w:lineRule="auto"/>
        <w:tabs>
          <w:tab w:leader="none" w:pos="149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spacing w:after="0" w:line="122"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860" w:right="219" w:firstLine="645"/>
        <w:spacing w:after="0" w:line="249" w:lineRule="auto"/>
        <w:tabs>
          <w:tab w:leader="none" w:pos="2156"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designation of a beneficiary shall not constitute an assignment, alienation, pledge, attachment, sale, transfer or encumbrance.</w:t>
      </w:r>
    </w:p>
    <w:p>
      <w:pPr>
        <w:spacing w:after="0" w:line="129"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 w:cs="Times New Roman" w:eastAsia="Times New Roman" w:hAnsi="Times New Roman"/>
          <w:sz w:val="20"/>
          <w:szCs w:val="20"/>
          <w:u w:val="single" w:color="auto"/>
          <w:color w:val="auto"/>
        </w:rPr>
        <w:t>Immediate Family Members</w:t>
      </w:r>
      <w:r>
        <w:rPr>
          <w:rFonts w:ascii="Times New Roman" w:cs="Times New Roman" w:eastAsia="Times New Roman" w:hAnsi="Times New Roman"/>
          <w:sz w:val="20"/>
          <w:szCs w:val="20"/>
          <w:color w:val="auto"/>
        </w:rPr>
        <w:t>”); (B) a trust solely for the benefit of the Participant and his Immediate Family Members; (C) a partnership or limited liability company whose only partners or stockholders are the Participant and his Immediate Family Members; or</w:t>
      </w:r>
    </w:p>
    <w:p>
      <w:pPr>
        <w:spacing w:after="0" w:line="4" w:lineRule="exact"/>
        <w:rPr>
          <w:rFonts w:ascii="Times New Roman" w:cs="Times New Roman" w:eastAsia="Times New Roman" w:hAnsi="Times New Roman"/>
          <w:sz w:val="20"/>
          <w:szCs w:val="20"/>
          <w:color w:val="auto"/>
        </w:rPr>
      </w:pPr>
    </w:p>
    <w:p>
      <w:pPr>
        <w:jc w:val="both"/>
        <w:ind w:left="860" w:right="219"/>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 w:cs="Times New Roman" w:eastAsia="Times New Roman" w:hAnsi="Times New Roman"/>
          <w:sz w:val="20"/>
          <w:szCs w:val="20"/>
          <w:u w:val="single" w:color="auto"/>
          <w:color w:val="auto"/>
        </w:rPr>
        <w:t>Permitted Transferee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30" w:lineRule="exact"/>
        <w:rPr>
          <w:rFonts w:ascii="Times New Roman" w:cs="Times New Roman" w:eastAsia="Times New Roman" w:hAnsi="Times New Roman"/>
          <w:sz w:val="20"/>
          <w:szCs w:val="20"/>
          <w:color w:val="auto"/>
        </w:rPr>
      </w:pPr>
    </w:p>
    <w:p>
      <w:pPr>
        <w:jc w:val="both"/>
        <w:ind w:left="860" w:right="219" w:firstLine="645"/>
        <w:spacing w:after="0" w:line="267" w:lineRule="auto"/>
        <w:tabs>
          <w:tab w:leader="none" w:pos="2156" w:val="left"/>
        </w:tabs>
        <w:numPr>
          <w:ilvl w:val="2"/>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w:t>
      </w:r>
    </w:p>
    <w:p>
      <w:pPr>
        <w:spacing w:after="0" w:line="1" w:lineRule="exact"/>
        <w:rPr>
          <w:rFonts w:ascii="Times New Roman" w:cs="Times New Roman" w:eastAsia="Times New Roman" w:hAnsi="Times New Roman"/>
          <w:sz w:val="19"/>
          <w:szCs w:val="19"/>
          <w:color w:val="auto"/>
        </w:rPr>
      </w:pPr>
    </w:p>
    <w:p>
      <w:pPr>
        <w:jc w:val="both"/>
        <w:ind w:left="860" w:right="219"/>
        <w:spacing w:after="0" w:line="26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20" w:name="page21"/>
    <w:bookmarkEnd w:id="20"/>
    <w:p>
      <w:pPr>
        <w:jc w:val="both"/>
        <w:ind w:left="860" w:right="219"/>
        <w:spacing w:after="0" w:line="253" w:lineRule="auto"/>
        <w:rPr>
          <w:sz w:val="20"/>
          <w:szCs w:val="20"/>
          <w:color w:val="auto"/>
        </w:rPr>
      </w:pPr>
      <w:r>
        <w:rPr>
          <w:rFonts w:ascii="Times New Roman" w:cs="Times New Roman" w:eastAsia="Times New Roman" w:hAnsi="Times New Roman"/>
          <w:sz w:val="20"/>
          <w:szCs w:val="20"/>
          <w:color w:val="auto"/>
        </w:rPr>
        <w:t>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25" w:lineRule="exact"/>
        <w:rPr>
          <w:sz w:val="20"/>
          <w:szCs w:val="20"/>
          <w:color w:val="auto"/>
        </w:rPr>
      </w:pPr>
    </w:p>
    <w:p>
      <w:pPr>
        <w:ind w:left="1500" w:hanging="643"/>
        <w:spacing w:after="0"/>
        <w:tabs>
          <w:tab w:leader="none" w:pos="1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 and Deductions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860" w:right="219" w:firstLine="645"/>
        <w:spacing w:after="0" w:line="248" w:lineRule="auto"/>
        <w:tabs>
          <w:tab w:leader="none" w:pos="215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shall be required to pay to the Company or any Affiliate, and the Company or any Affiliate shall have the right and is hereby authorized to deduct and withhold, from any cash, Common Stock, other securities or other property deliverable under any Award or from any compensation or other amounts owing to a Participant, the amount (in cash, Common Stock, other securities or other property) of any required taxes (up to the maximum statutory rate under Applicable Law as in effect from time to time as determined by the Committee) and deduction in respect of an Award, its grant, vesting or exercise, or any payment or transfer under an Award or under the Plan and to take such other action as may be necessary in the opinion of the Committee or the Company to satisfy all obligations for the payment of such taxes.</w:t>
      </w:r>
    </w:p>
    <w:p>
      <w:pPr>
        <w:spacing w:after="0" w:line="129"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clause (i) above, the Committee may, in its sole discretion, permit a Participant to satisfy, in whole or in part, the foregoing tax and deduction liability by (A) the delivery of shares of Common Stock (which are not subject to any pledge or other security interest and are Mature Shares, except as otherwise determined by the Committee) owned by the Participant having a Fair Market Value equal to such liability or (B) having the Company withhold from the number of shares of Common Stock otherwise issuable or deliverable pursuant to the exercise or settlement of the Award a number of shares with a Fair Market Value equal to such liability.</w:t>
      </w:r>
    </w:p>
    <w:p>
      <w:pPr>
        <w:spacing w:after="0" w:line="127"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Claim to Awards; No Rights to Continued Employment; Waiver</w:t>
      </w:r>
      <w:r>
        <w:rPr>
          <w:rFonts w:ascii="Times New Roman" w:cs="Times New Roman" w:eastAsia="Times New Roman" w:hAnsi="Times New Roman"/>
          <w:sz w:val="20"/>
          <w:szCs w:val="20"/>
          <w:color w:val="auto"/>
        </w:rPr>
        <w:t>. No employee of the Company or an Affiliate, or other person, shall have any Claim or right to be granted an Award under the Plan or, having been selected for the grant of an Award, to be selected for a grant of any other Award. A Participant’s sole remedy for any Claim related to the Plan or any Award shall be against the Company, and no Participant shall have any Claim or right of any nature against any Subsidiary or Affiliate of the Company or any stockholder or existing or former director, officer or employee of the Company or any Subsidiary of the Company.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32" w:lineRule="exact"/>
        <w:rPr>
          <w:rFonts w:ascii="Times New Roman" w:cs="Times New Roman" w:eastAsia="Times New Roman" w:hAnsi="Times New Roman"/>
          <w:sz w:val="20"/>
          <w:szCs w:val="20"/>
          <w:color w:val="auto"/>
        </w:rPr>
      </w:pPr>
    </w:p>
    <w:p>
      <w:pPr>
        <w:ind w:left="200" w:right="219" w:firstLine="657"/>
        <w:spacing w:after="0" w:line="283" w:lineRule="auto"/>
        <w:tabs>
          <w:tab w:leader="none" w:pos="14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Participants</w:t>
      </w:r>
      <w:r>
        <w:rPr>
          <w:rFonts w:ascii="Times New Roman" w:cs="Times New Roman" w:eastAsia="Times New Roman" w:hAnsi="Times New Roman"/>
          <w:sz w:val="20"/>
          <w:szCs w:val="20"/>
          <w:color w:val="auto"/>
        </w:rPr>
        <w:t>. With respect to Participants who reside or work outside of the United States of America, the Committee may in its sole discretion amend the terms of the Plan or</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21" w:name="page22"/>
    <w:bookmarkEnd w:id="21"/>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outstanding Awards with respect to such Participants in order to conform such terms with the requirements of local law or to obtain more favorable tax or other and, in furtherance of such purposes the Administrator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38" w:lineRule="exact"/>
        <w:rPr>
          <w:sz w:val="20"/>
          <w:szCs w:val="20"/>
          <w:color w:val="auto"/>
        </w:rPr>
      </w:pPr>
    </w:p>
    <w:p>
      <w:pPr>
        <w:jc w:val="both"/>
        <w:ind w:left="200" w:right="219" w:firstLine="657"/>
        <w:spacing w:after="0" w:line="249" w:lineRule="auto"/>
        <w:tabs>
          <w:tab w:leader="none" w:pos="14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and Change of Beneficiary</w:t>
      </w:r>
      <w:r>
        <w:rPr>
          <w:rFonts w:ascii="Times New Roman" w:cs="Times New Roman" w:eastAsia="Times New Roman" w:hAnsi="Times New Roman"/>
          <w:sz w:val="20"/>
          <w:szCs w:val="20"/>
          <w:color w:val="auto"/>
        </w:rPr>
        <w:t xml:space="preserve">. Each Participant may file, on forms supplied by the Committee, a written designation of one or more persons as 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spouse or, if the Participant is unmarried at the time of death, his estate.</w:t>
      </w:r>
    </w:p>
    <w:p>
      <w:pPr>
        <w:spacing w:after="0" w:line="124"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Employment/Service</w:t>
      </w:r>
      <w:r>
        <w:rPr>
          <w:rFonts w:ascii="Times New Roman" w:cs="Times New Roman" w:eastAsia="Times New Roman" w:hAnsi="Times New Roman"/>
          <w:sz w:val="20"/>
          <w:szCs w:val="20"/>
          <w:color w:val="auto"/>
        </w:rPr>
        <w:t>. Unless determined otherwise by the Committee at any time following such event and subject to Section 15(r) of the Plan: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143"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rPr>
        <w:t>. Except as otherwise specifically provided in the Plan or any Award Agreement, no person shall be entitled to the privileges of ownership in respect of Common Stock or other securities that are subject to Awards hereunder until such shares have been issued or delivered to that person.</w:t>
      </w:r>
    </w:p>
    <w:p>
      <w:pPr>
        <w:spacing w:after="0" w:line="11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 and Other Regulations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860" w:right="219" w:firstLine="645"/>
        <w:spacing w:after="0" w:line="247" w:lineRule="auto"/>
        <w:tabs>
          <w:tab w:leader="none" w:pos="215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Stock or other securities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Stock or other securities to be offered or sold under the Plan. The Committee shall have the authority to provide that all certificates for Common Stock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22" w:name="page23"/>
    <w:bookmarkEnd w:id="22"/>
    <w:p>
      <w:pPr>
        <w:jc w:val="both"/>
        <w:ind w:left="860" w:right="219"/>
        <w:spacing w:after="0" w:line="253" w:lineRule="auto"/>
        <w:rPr>
          <w:sz w:val="20"/>
          <w:szCs w:val="20"/>
          <w:color w:val="auto"/>
        </w:rPr>
      </w:pPr>
      <w:r>
        <w:rPr>
          <w:rFonts w:ascii="Times New Roman" w:cs="Times New Roman" w:eastAsia="Times New Roman" w:hAnsi="Times New Roman"/>
          <w:sz w:val="20"/>
          <w:szCs w:val="20"/>
          <w:color w:val="auto"/>
        </w:rPr>
        <w:t>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38" w:lineRule="exact"/>
        <w:rPr>
          <w:sz w:val="20"/>
          <w:szCs w:val="20"/>
          <w:color w:val="auto"/>
        </w:rPr>
      </w:pPr>
    </w:p>
    <w:p>
      <w:pPr>
        <w:jc w:val="both"/>
        <w:ind w:left="860" w:right="219" w:firstLine="645"/>
        <w:spacing w:after="0" w:line="261" w:lineRule="auto"/>
        <w:tabs>
          <w:tab w:leader="none" w:pos="2156"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may cancel an Award or any portion thereof if the Committee determines, in its sole discretion, that legal or contractual restrictions and/or blockage and/or other market considerations would make the Company’s acquisition of Common Stock from the public markets, the Company’s issuance of Common Stock or other securities to the Participant, the Participant’s acquisition of Common Stock or other securities from the Company and/or the Participant’s sale of Common Stock to the public markets, illegal, impracticable or inadvisable. If the Committee determines to cancel all or any portion of an Award denominated in Common Stock in accordance with the foregoing, the Company shall pay to the Participant an amount equal to the excess of  (A) the aggregate Fair Market Value of the Common Stock subject to such Award or portion thereof that is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Stock (in the case of any other Award). Such amount shall be delivered to the Participant as soon as practicable following the cancellation of such Award or portion thereof.</w:t>
      </w:r>
    </w:p>
    <w:p>
      <w:pPr>
        <w:spacing w:after="0" w:line="129" w:lineRule="exact"/>
        <w:rPr>
          <w:rFonts w:ascii="Times New Roman" w:cs="Times New Roman" w:eastAsia="Times New Roman" w:hAnsi="Times New Roman"/>
          <w:sz w:val="19"/>
          <w:szCs w:val="19"/>
          <w:color w:val="auto"/>
        </w:rPr>
      </w:pPr>
    </w:p>
    <w:p>
      <w:pPr>
        <w:jc w:val="both"/>
        <w:ind w:left="200" w:right="219" w:firstLine="657"/>
        <w:spacing w:after="0" w:line="249" w:lineRule="auto"/>
        <w:tabs>
          <w:tab w:leader="none" w:pos="14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Persons Other Than Participants</w:t>
      </w:r>
      <w:r>
        <w:rPr>
          <w:rFonts w:ascii="Times New Roman" w:cs="Times New Roman" w:eastAsia="Times New Roman" w:hAnsi="Times New Roman"/>
          <w:sz w:val="20"/>
          <w:szCs w:val="20"/>
          <w:color w:val="auto"/>
        </w:rPr>
        <w:t>. 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29" w:lineRule="exact"/>
        <w:rPr>
          <w:rFonts w:ascii="Times New Roman" w:cs="Times New Roman" w:eastAsia="Times New Roman" w:hAnsi="Times New Roman"/>
          <w:sz w:val="20"/>
          <w:szCs w:val="20"/>
          <w:color w:val="auto"/>
        </w:rPr>
      </w:pPr>
    </w:p>
    <w:p>
      <w:pPr>
        <w:jc w:val="both"/>
        <w:ind w:left="200" w:right="219" w:firstLine="657"/>
        <w:spacing w:after="0" w:line="253" w:lineRule="auto"/>
        <w:tabs>
          <w:tab w:leader="none" w:pos="14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of the Plan</w:t>
      </w:r>
      <w:r>
        <w:rPr>
          <w:rFonts w:ascii="Times New Roman" w:cs="Times New Roman" w:eastAsia="Times New Roman" w:hAnsi="Times New Roman"/>
          <w:sz w:val="20"/>
          <w:szCs w:val="20"/>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the Plan, and such arrangements may be either applicable generally or only in specific cases.</w:t>
      </w:r>
    </w:p>
    <w:p>
      <w:pPr>
        <w:spacing w:after="0" w:line="124"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Trust or Fund Created</w:t>
      </w:r>
      <w:r>
        <w:rPr>
          <w:rFonts w:ascii="Times New Roman" w:cs="Times New Roman" w:eastAsia="Times New Roman" w:hAnsi="Times New Roman"/>
          <w:sz w:val="20"/>
          <w:szCs w:val="20"/>
          <w:color w:val="auto"/>
        </w:rPr>
        <w:t>.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or service providers under general law.</w:t>
      </w:r>
    </w:p>
    <w:p>
      <w:pPr>
        <w:spacing w:after="0" w:line="129"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on Reports</w:t>
      </w:r>
      <w:r>
        <w:rPr>
          <w:rFonts w:ascii="Times New Roman" w:cs="Times New Roman" w:eastAsia="Times New Roman" w:hAnsi="Times New Roman"/>
          <w:sz w:val="20"/>
          <w:szCs w:val="20"/>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 w:name="page24"/>
    <w:bookmarkEnd w:id="23"/>
    <w:p>
      <w:pPr>
        <w:ind w:left="200" w:right="219"/>
        <w:spacing w:after="0" w:line="283" w:lineRule="auto"/>
        <w:rPr>
          <w:sz w:val="20"/>
          <w:szCs w:val="20"/>
          <w:color w:val="auto"/>
        </w:rPr>
      </w:pPr>
      <w:r>
        <w:rPr>
          <w:rFonts w:ascii="Times New Roman" w:cs="Times New Roman" w:eastAsia="Times New Roman" w:hAnsi="Times New Roman"/>
          <w:sz w:val="20"/>
          <w:szCs w:val="20"/>
          <w:color w:val="auto"/>
        </w:rPr>
        <w:t>Company and its Affiliates and/or any other information furnished in connection with the Plan by any agent of or service provider to the Company or the Committee or the Board, other than himself.</w:t>
      </w:r>
    </w:p>
    <w:p>
      <w:pPr>
        <w:spacing w:after="0" w:line="92" w:lineRule="exact"/>
        <w:rPr>
          <w:sz w:val="20"/>
          <w:szCs w:val="20"/>
          <w:color w:val="auto"/>
        </w:rPr>
      </w:pPr>
    </w:p>
    <w:p>
      <w:pPr>
        <w:jc w:val="both"/>
        <w:ind w:left="200" w:right="219" w:firstLine="657"/>
        <w:spacing w:after="0" w:line="261" w:lineRule="auto"/>
        <w:tabs>
          <w:tab w:leader="none" w:pos="14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27"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13"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29" w:lineRule="exact"/>
        <w:rPr>
          <w:rFonts w:ascii="Times New Roman" w:cs="Times New Roman" w:eastAsia="Times New Roman" w:hAnsi="Times New Roman"/>
          <w:sz w:val="20"/>
          <w:szCs w:val="20"/>
          <w:color w:val="auto"/>
        </w:rPr>
      </w:pPr>
    </w:p>
    <w:p>
      <w:pPr>
        <w:jc w:val="both"/>
        <w:ind w:left="200" w:right="219" w:firstLine="657"/>
        <w:spacing w:after="0" w:line="258" w:lineRule="auto"/>
        <w:tabs>
          <w:tab w:leader="none" w:pos="14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Binding on Successors</w:t>
      </w:r>
      <w:r>
        <w:rPr>
          <w:rFonts w:ascii="Times New Roman" w:cs="Times New Roman" w:eastAsia="Times New Roman" w:hAnsi="Times New Roman"/>
          <w:sz w:val="20"/>
          <w:szCs w:val="20"/>
          <w:color w:val="auto"/>
        </w:rPr>
        <w:t>. 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spacing w:after="0" w:line="118"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860" w:right="219" w:firstLine="645"/>
        <w:spacing w:after="0" w:line="266" w:lineRule="auto"/>
        <w:tabs>
          <w:tab w:leader="none" w:pos="2156"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of the Plan to the contrary, all Awards made under the Plan are intended to be exempt from or, in the alternative, comply with Code Section 409A and the authoritative guidance thereunder, including the exceptions for stock rights and short-term deferrals. The Plan shall be construed and interpreted in accordance with such intent. Each payment under an Award shall be treated as a separate payment for purposes of Code Section 409A.</w:t>
      </w:r>
    </w:p>
    <w:p>
      <w:pPr>
        <w:spacing w:after="0" w:line="125" w:lineRule="exact"/>
        <w:rPr>
          <w:rFonts w:ascii="Times New Roman" w:cs="Times New Roman" w:eastAsia="Times New Roman" w:hAnsi="Times New Roman"/>
          <w:sz w:val="19"/>
          <w:szCs w:val="19"/>
          <w:color w:val="auto"/>
        </w:rPr>
      </w:pPr>
    </w:p>
    <w:p>
      <w:pPr>
        <w:jc w:val="both"/>
        <w:ind w:left="860" w:right="219" w:firstLine="645"/>
        <w:spacing w:after="0" w:line="247" w:lineRule="auto"/>
        <w:tabs>
          <w:tab w:leader="none" w:pos="215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Participant is a “specified employee” (as such term is defined for purposes of Code Section 409A) at the time of his termination of service, no amount that is nonqualified deferred compensation subject to Code Section 409A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 (y) within 30 days following the date of the Participant’s death. For purposes of Code Section 409A, a termination of service shall be deemed to occur only if it is a “separation from service” within the meaning of Code Section 409A, and references in the Plan and any Award Agreement to “termination of service” or similar terms shall mean a “separation from service.” If any Award is or becomes subject to Code Section 409A, unless the applicable Award Agreement provides otherwise, such Award shall be payable upon the Participant’s “separation from service” within the meaning of Code Section 409A. If any Award is or becomes subject to Code Section 409A and if payment of such Award would be accelerated or otherwise triggered under a Change in Control, then the definition of Change in Control shall be deemed modified, only to the extent necessary to avoid the imposition of any additional tax under Code Section 409A, to mean a “change in control event” as such term is defined for purposes of Code Section 409A.</w:t>
      </w:r>
    </w:p>
    <w:p>
      <w:pPr>
        <w:spacing w:after="0" w:line="134" w:lineRule="exact"/>
        <w:rPr>
          <w:rFonts w:ascii="Times New Roman" w:cs="Times New Roman" w:eastAsia="Times New Roman" w:hAnsi="Times New Roman"/>
          <w:sz w:val="20"/>
          <w:szCs w:val="20"/>
          <w:color w:val="auto"/>
        </w:rPr>
      </w:pPr>
    </w:p>
    <w:p>
      <w:pPr>
        <w:ind w:left="860" w:right="239" w:firstLine="645"/>
        <w:spacing w:after="0" w:line="283" w:lineRule="auto"/>
        <w:tabs>
          <w:tab w:leader="none" w:pos="215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adjustments made pursuant to Section 13 to Awards that are subject to Code Section 409A shall be made in compliance with the requirements of Code Section 409A, and any</w:t>
      </w:r>
    </w:p>
    <w:p>
      <w:pPr>
        <w:sectPr>
          <w:pgSz w:w="11900" w:h="16838" w:orient="portrait"/>
          <w:cols w:equalWidth="0" w:num="1">
            <w:col w:w="9019"/>
          </w:cols>
          <w:pgMar w:left="1440" w:top="886"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24" w:name="page25"/>
    <w:bookmarkEnd w:id="24"/>
    <w:p>
      <w:pPr>
        <w:jc w:val="both"/>
        <w:ind w:left="860" w:right="219"/>
        <w:spacing w:after="0" w:line="281" w:lineRule="auto"/>
        <w:rPr>
          <w:sz w:val="20"/>
          <w:szCs w:val="20"/>
          <w:color w:val="auto"/>
        </w:rPr>
      </w:pPr>
      <w:r>
        <w:rPr>
          <w:rFonts w:ascii="Times New Roman" w:cs="Times New Roman" w:eastAsia="Times New Roman" w:hAnsi="Times New Roman"/>
          <w:sz w:val="19"/>
          <w:szCs w:val="19"/>
          <w:color w:val="auto"/>
        </w:rPr>
        <w:t>adjustments made pursuant to Section 13 to Awards that are not subject to Code Section 409A shall be made in such a manner as to ensure that after such adjustment, the Awards either (x) continue not to be subject to Code Section 409A or (y) comply with the requirements of Code Section 409A.</w:t>
      </w:r>
    </w:p>
    <w:p>
      <w:pPr>
        <w:spacing w:after="0" w:line="110" w:lineRule="exact"/>
        <w:rPr>
          <w:sz w:val="20"/>
          <w:szCs w:val="20"/>
          <w:color w:val="auto"/>
        </w:rPr>
      </w:pPr>
    </w:p>
    <w:p>
      <w:pPr>
        <w:jc w:val="both"/>
        <w:ind w:left="200" w:right="219" w:firstLine="657"/>
        <w:spacing w:after="0" w:line="253" w:lineRule="auto"/>
        <w:tabs>
          <w:tab w:leader="none" w:pos="14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 Gender; Titles and Headings</w:t>
      </w:r>
      <w:r>
        <w:rPr>
          <w:rFonts w:ascii="Times New Roman" w:cs="Times New Roman" w:eastAsia="Times New Roman" w:hAnsi="Times New Roman"/>
          <w:sz w:val="20"/>
          <w:szCs w:val="20"/>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24" w:lineRule="exact"/>
        <w:rPr>
          <w:rFonts w:ascii="Times New Roman" w:cs="Times New Roman" w:eastAsia="Times New Roman" w:hAnsi="Times New Roman"/>
          <w:sz w:val="20"/>
          <w:szCs w:val="20"/>
          <w:color w:val="auto"/>
        </w:rPr>
      </w:pPr>
    </w:p>
    <w:p>
      <w:pPr>
        <w:jc w:val="both"/>
        <w:ind w:left="200" w:right="239" w:firstLine="657"/>
        <w:spacing w:after="0" w:line="261" w:lineRule="auto"/>
        <w:tabs>
          <w:tab w:leader="none" w:pos="14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Notwithstanding the above, the Committee may require, as a condition to the grant of and/or the receipt of Common Stock or other securities under an Award, that the Participant execute lock-up, stockholder or other agreements, as it may determine in its sole and absolute discretion.</w:t>
      </w:r>
    </w:p>
    <w:p>
      <w:pPr>
        <w:spacing w:after="0" w:line="113" w:lineRule="exact"/>
        <w:rPr>
          <w:rFonts w:ascii="Times New Roman" w:cs="Times New Roman" w:eastAsia="Times New Roman" w:hAnsi="Times New Roman"/>
          <w:sz w:val="20"/>
          <w:szCs w:val="20"/>
          <w:color w:val="auto"/>
        </w:rPr>
      </w:pPr>
    </w:p>
    <w:p>
      <w:pPr>
        <w:ind w:left="200" w:right="239" w:firstLine="657"/>
        <w:spacing w:after="0" w:line="283" w:lineRule="auto"/>
        <w:tabs>
          <w:tab w:leader="none" w:pos="14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Participants shall be required to pay, to the extent required by Applicable Law, any amounts required to receive Common Stock or other securities under any Award made under the Plan.</w:t>
      </w:r>
    </w:p>
    <w:p>
      <w:pPr>
        <w:spacing w:after="0" w:line="92" w:lineRule="exact"/>
        <w:rPr>
          <w:rFonts w:ascii="Times New Roman" w:cs="Times New Roman" w:eastAsia="Times New Roman" w:hAnsi="Times New Roman"/>
          <w:sz w:val="20"/>
          <w:szCs w:val="20"/>
          <w:color w:val="auto"/>
        </w:rPr>
      </w:pPr>
    </w:p>
    <w:p>
      <w:pPr>
        <w:jc w:val="both"/>
        <w:ind w:left="200" w:right="219" w:firstLine="657"/>
        <w:spacing w:after="0" w:line="250" w:lineRule="auto"/>
        <w:tabs>
          <w:tab w:leader="none" w:pos="14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All Awards shall be subject (including on a retroactive basis) to (i) any clawback, forfeiture or similar incentive compensation recoupment policy established from time to time by the Company, including, without limitation, any such policy established to comply with the Dodd-Frank Wall Street Reform and Consumer Protection Act, (ii) Applicable Law (including, without limitation, Section 304 of the Sarbanes-Oxley Act and Section 954 of the Dodd-Frank Wall Street Reform and Consumer Protection Act), and/or (iii) the rules and regulations of the applicable securities exchange or inter-dealer quotation system on which the Common Stock or other securities are listed or quoted, and such requirements shall be deemed incorporated by reference into all outstanding Award Agreements.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lvl w:ilvl="1">
      <w:lvlJc w:val="left"/>
      <w:lvlText w:val="(%2)"/>
      <w:numFmt w:val="lowerLetter"/>
      <w:start w:val="1"/>
    </w:lvl>
  </w:abstractNum>
  <w:abstractNum w:abstractNumId="2">
    <w:nsid w:val="436C6125"/>
    <w:multiLevelType w:val="hybridMultilevel"/>
    <w:lvl w:ilvl="0">
      <w:lvlJc w:val="left"/>
      <w:lvlText w:val="(%1)"/>
      <w:numFmt w:val="lowerLetter"/>
      <w:start w:val="4"/>
    </w:lvl>
    <w:lvl w:ilvl="1">
      <w:lvlJc w:val="left"/>
      <w:lvlText w:val="(%2)"/>
      <w:numFmt w:val="lowerRoman"/>
      <w:start w:val="1"/>
    </w:lvl>
  </w:abstractNum>
  <w:abstractNum w:abstractNumId="3">
    <w:nsid w:val="628C895D"/>
    <w:multiLevelType w:val="hybridMultilevel"/>
    <w:lvl w:ilvl="0">
      <w:lvlJc w:val="left"/>
      <w:lvlText w:val="(%1)"/>
      <w:numFmt w:val="lowerRoman"/>
      <w:start w:val="5"/>
    </w:lvl>
  </w:abstractNum>
  <w:abstractNum w:abstractNumId="4">
    <w:nsid w:val="333AB105"/>
    <w:multiLevelType w:val="hybridMultilevel"/>
    <w:lvl w:ilvl="0">
      <w:lvlJc w:val="left"/>
      <w:lvlText w:val="(%1)"/>
      <w:numFmt w:val="lowerLetter"/>
      <w:start w:val="8"/>
    </w:lvl>
  </w:abstractNum>
  <w:abstractNum w:abstractNumId="5">
    <w:nsid w:val="721DA317"/>
    <w:multiLevelType w:val="hybridMultilevel"/>
    <w:lvl w:ilvl="0">
      <w:lvlJc w:val="left"/>
      <w:lvlText w:val="%1"/>
      <w:numFmt w:val="lowerRoman"/>
      <w:start w:val="1"/>
    </w:lvl>
    <w:lvl w:ilvl="1">
      <w:lvlJc w:val="left"/>
      <w:lvlText w:val="(%2)"/>
      <w:numFmt w:val="lowerLetter"/>
      <w:start w:val="10"/>
    </w:lvl>
  </w:abstractNum>
  <w:abstractNum w:abstractNumId="6">
    <w:nsid w:val="2443A858"/>
    <w:multiLevelType w:val="hybridMultilevel"/>
    <w:lvl w:ilvl="0">
      <w:lvlJc w:val="left"/>
      <w:lvlText w:val="(%1)"/>
      <w:numFmt w:val="lowerRoman"/>
      <w:start w:val="1"/>
    </w:lvl>
    <w:lvl w:ilvl="1">
      <w:lvlJc w:val="left"/>
      <w:lvlText w:val="%2"/>
      <w:numFmt w:val="lowerLetter"/>
      <w:start w:val="1"/>
    </w:lvl>
  </w:abstractNum>
  <w:abstractNum w:abstractNumId="7">
    <w:nsid w:val="2D1D5AE9"/>
    <w:multiLevelType w:val="hybridMultilevel"/>
    <w:lvl w:ilvl="0">
      <w:lvlJc w:val="left"/>
      <w:lvlText w:val="(%1)"/>
      <w:numFmt w:val="lowerRoman"/>
      <w:start w:val="3"/>
    </w:lvl>
    <w:lvl w:ilvl="1">
      <w:lvlJc w:val="left"/>
      <w:lvlText w:val="(%2)"/>
      <w:numFmt w:val="lowerLetter"/>
      <w:start w:val="18"/>
    </w:lvl>
  </w:abstractNum>
  <w:abstractNum w:abstractNumId="8">
    <w:nsid w:val="6763845E"/>
    <w:multiLevelType w:val="hybridMultilevel"/>
    <w:lvl w:ilvl="0">
      <w:lvlJc w:val="left"/>
      <w:lvlText w:val="(%1)"/>
      <w:numFmt w:val="lowerLetter"/>
      <w:start w:val="19"/>
    </w:lvl>
    <w:lvl w:ilvl="1">
      <w:lvlJc w:val="left"/>
      <w:lvlText w:val="(%2)"/>
      <w:numFmt w:val="lowerRoman"/>
      <w:start w:val="1"/>
    </w:lvl>
  </w:abstractNum>
  <w:abstractNum w:abstractNumId="9">
    <w:nsid w:val="75A2A8D4"/>
    <w:multiLevelType w:val="hybridMultilevel"/>
    <w:lvl w:ilvl="0">
      <w:lvlJc w:val="left"/>
      <w:lvlText w:val="(%1)"/>
      <w:numFmt w:val="lowerLetter"/>
      <w:start w:val="27"/>
    </w:lvl>
  </w:abstractNum>
  <w:abstractNum w:abstractNumId="10">
    <w:nsid w:val="8EDBDAB"/>
    <w:multiLevelType w:val="hybridMultilevel"/>
    <w:lvl w:ilvl="0">
      <w:lvlJc w:val="left"/>
      <w:lvlText w:val="(%1)"/>
      <w:numFmt w:val="lowerLetter"/>
      <w:start w:val="31"/>
    </w:lvl>
  </w:abstractNum>
  <w:abstractNum w:abstractNumId="11">
    <w:nsid w:val="79838CB2"/>
    <w:multiLevelType w:val="hybridMultilevel"/>
    <w:lvl w:ilvl="0">
      <w:lvlJc w:val="left"/>
      <w:lvlText w:val="(%1)"/>
      <w:numFmt w:val="lowerLetter"/>
      <w:start w:val="45"/>
    </w:lvl>
  </w:abstractNum>
  <w:abstractNum w:abstractNumId="12">
    <w:nsid w:val="4353D0CD"/>
    <w:multiLevelType w:val="hybridMultilevel"/>
    <w:lvl w:ilvl="0">
      <w:lvlJc w:val="left"/>
      <w:lvlText w:val="%1"/>
      <w:numFmt w:val="decimal"/>
      <w:start w:val="1"/>
    </w:lvl>
    <w:lvl w:ilvl="1">
      <w:lvlJc w:val="left"/>
      <w:lvlText w:val="(%2)"/>
      <w:numFmt w:val="lowerLetter"/>
      <w:start w:val="46"/>
    </w:lvl>
  </w:abstractNum>
  <w:abstractNum w:abstractNumId="13">
    <w:nsid w:val="B03E0C6"/>
    <w:multiLevelType w:val="hybridMultilevel"/>
    <w:lvl w:ilvl="0">
      <w:lvlJc w:val="left"/>
      <w:lvlText w:val="%1."/>
      <w:numFmt w:val="decimal"/>
      <w:start w:val="4"/>
    </w:lvl>
    <w:lvl w:ilvl="1">
      <w:lvlJc w:val="left"/>
      <w:lvlText w:val="(%2)"/>
      <w:numFmt w:val="lowerLetter"/>
      <w:start w:val="1"/>
    </w:lvl>
  </w:abstractNum>
  <w:abstractNum w:abstractNumId="14">
    <w:nsid w:val="189A769B"/>
    <w:multiLevelType w:val="hybridMultilevel"/>
    <w:lvl w:ilvl="0">
      <w:lvlJc w:val="left"/>
      <w:lvlText w:val="%1"/>
      <w:numFmt w:val="decimal"/>
      <w:start w:val="1"/>
    </w:lvl>
    <w:lvl w:ilvl="1">
      <w:lvlJc w:val="left"/>
      <w:lvlText w:val="(%2)"/>
      <w:numFmt w:val="lowerLetter"/>
      <w:start w:val="4"/>
    </w:lvl>
  </w:abstractNum>
  <w:abstractNum w:abstractNumId="15">
    <w:nsid w:val="54E49EB4"/>
    <w:multiLevelType w:val="hybridMultilevel"/>
    <w:lvl w:ilvl="0">
      <w:lvlJc w:val="left"/>
      <w:lvlText w:val="%1."/>
      <w:numFmt w:val="decimal"/>
      <w:start w:val="5"/>
    </w:lvl>
    <w:lvl w:ilvl="1">
      <w:lvlJc w:val="left"/>
      <w:lvlText w:val="(%2)"/>
      <w:numFmt w:val="lowerLetter"/>
      <w:start w:val="1"/>
    </w:lvl>
  </w:abstractNum>
  <w:abstractNum w:abstractNumId="16">
    <w:nsid w:val="71F32454"/>
    <w:multiLevelType w:val="hybridMultilevel"/>
    <w:lvl w:ilvl="0">
      <w:lvlJc w:val="left"/>
      <w:lvlText w:val="%1"/>
      <w:numFmt w:val="lowerLetter"/>
      <w:start w:val="1"/>
    </w:lvl>
    <w:lvl w:ilvl="1">
      <w:lvlJc w:val="left"/>
      <w:lvlText w:val="(%2)"/>
      <w:numFmt w:val="lowerLetter"/>
      <w:start w:val="4"/>
    </w:lvl>
  </w:abstractNum>
  <w:abstractNum w:abstractNumId="17">
    <w:nsid w:val="2CA88611"/>
    <w:multiLevelType w:val="hybridMultilevel"/>
    <w:lvl w:ilvl="0">
      <w:lvlJc w:val="left"/>
      <w:lvlText w:val="(%1)"/>
      <w:numFmt w:val="lowerLetter"/>
      <w:start w:val="35"/>
    </w:lvl>
    <w:lvl w:ilvl="1">
      <w:lvlJc w:val="left"/>
      <w:lvlText w:val="%2"/>
      <w:numFmt w:val="lowerLetter"/>
      <w:start w:val="1"/>
    </w:lvl>
  </w:abstractNum>
  <w:abstractNum w:abstractNumId="18">
    <w:nsid w:val="836C40E"/>
    <w:multiLevelType w:val="hybridMultilevel"/>
    <w:lvl w:ilvl="0">
      <w:lvlJc w:val="left"/>
      <w:lvlText w:val="%1"/>
      <w:numFmt w:val="decimal"/>
      <w:start w:val="1"/>
    </w:lvl>
    <w:lvl w:ilvl="1">
      <w:lvlJc w:val="left"/>
      <w:lvlText w:val="(%2)"/>
      <w:numFmt w:val="lowerLetter"/>
      <w:start w:val="5"/>
    </w:lvl>
  </w:abstractNum>
  <w:abstractNum w:abstractNumId="19">
    <w:nsid w:val="2901D82"/>
    <w:multiLevelType w:val="hybridMultilevel"/>
    <w:lvl w:ilvl="0">
      <w:lvlJc w:val="left"/>
      <w:lvlText w:val="%1."/>
      <w:numFmt w:val="decimal"/>
      <w:start w:val="6"/>
    </w:lvl>
    <w:lvl w:ilvl="1">
      <w:lvlJc w:val="left"/>
      <w:lvlText w:val="(%2)"/>
      <w:numFmt w:val="lowerLetter"/>
      <w:start w:val="1"/>
    </w:lvl>
  </w:abstractNum>
  <w:abstractNum w:abstractNumId="20">
    <w:nsid w:val="3A95F874"/>
    <w:multiLevelType w:val="hybridMultilevel"/>
    <w:lvl w:ilvl="0">
      <w:lvlJc w:val="left"/>
      <w:lvlText w:val="(%1)"/>
      <w:numFmt w:val="lowerLetter"/>
      <w:start w:val="4"/>
    </w:lvl>
  </w:abstractNum>
  <w:abstractNum w:abstractNumId="21">
    <w:nsid w:val="8138641"/>
    <w:multiLevelType w:val="hybridMultilevel"/>
    <w:lvl w:ilvl="0">
      <w:lvlJc w:val="left"/>
      <w:lvlText w:val="(%1)"/>
      <w:numFmt w:val="lowerRoman"/>
      <w:start w:val="2"/>
    </w:lvl>
  </w:abstractNum>
  <w:abstractNum w:abstractNumId="22">
    <w:nsid w:val="1E7FF521"/>
    <w:multiLevelType w:val="hybridMultilevel"/>
    <w:lvl w:ilvl="0">
      <w:lvlJc w:val="left"/>
      <w:lvlText w:val="%1"/>
      <w:numFmt w:val="decimal"/>
      <w:start w:val="1"/>
    </w:lvl>
    <w:lvl w:ilvl="1">
      <w:lvlJc w:val="left"/>
      <w:lvlText w:val="(%2)"/>
      <w:numFmt w:val="lowerLetter"/>
      <w:start w:val="7"/>
    </w:lvl>
  </w:abstractNum>
  <w:abstractNum w:abstractNumId="23">
    <w:nsid w:val="7C3DBD3D"/>
    <w:multiLevelType w:val="hybridMultilevel"/>
    <w:lvl w:ilvl="0">
      <w:lvlJc w:val="left"/>
      <w:lvlText w:val="%1."/>
      <w:numFmt w:val="decimal"/>
      <w:start w:val="8"/>
    </w:lvl>
    <w:lvl w:ilvl="1">
      <w:lvlJc w:val="left"/>
      <w:lvlText w:val="(%2)"/>
      <w:numFmt w:val="lowerLetter"/>
      <w:start w:val="1"/>
    </w:lvl>
  </w:abstractNum>
  <w:abstractNum w:abstractNumId="24">
    <w:nsid w:val="737B8DDC"/>
    <w:multiLevelType w:val="hybridMultilevel"/>
    <w:lvl w:ilvl="0">
      <w:lvlJc w:val="left"/>
      <w:lvlText w:val="(%1)"/>
      <w:numFmt w:val="lowerLetter"/>
      <w:start w:val="2"/>
    </w:lvl>
    <w:lvl w:ilvl="1">
      <w:lvlJc w:val="left"/>
      <w:lvlText w:val="(%2)"/>
      <w:numFmt w:val="lowerRoman"/>
      <w:start w:val="1"/>
    </w:lvl>
  </w:abstractNum>
  <w:abstractNum w:abstractNumId="25">
    <w:nsid w:val="6CEAF087"/>
    <w:multiLevelType w:val="hybridMultilevel"/>
    <w:lvl w:ilvl="0">
      <w:lvlJc w:val="left"/>
      <w:lvlText w:val="%1."/>
      <w:numFmt w:val="decimal"/>
      <w:start w:val="10"/>
    </w:lvl>
    <w:lvl w:ilvl="1">
      <w:lvlJc w:val="left"/>
      <w:lvlText w:val="(%2)"/>
      <w:numFmt w:val="lowerLetter"/>
      <w:start w:val="1"/>
    </w:lvl>
  </w:abstractNum>
  <w:abstractNum w:abstractNumId="26">
    <w:nsid w:val="22221A70"/>
    <w:multiLevelType w:val="hybridMultilevel"/>
    <w:lvl w:ilvl="0">
      <w:lvlJc w:val="left"/>
      <w:lvlText w:val="%1."/>
      <w:numFmt w:val="decimal"/>
      <w:start w:val="12"/>
    </w:lvl>
    <w:lvl w:ilvl="1">
      <w:lvlJc w:val="left"/>
      <w:lvlText w:val="(%2)"/>
      <w:numFmt w:val="lowerLetter"/>
      <w:start w:val="1"/>
    </w:lvl>
  </w:abstractNum>
  <w:abstractNum w:abstractNumId="27">
    <w:nsid w:val="4516DDE9"/>
    <w:multiLevelType w:val="hybridMultilevel"/>
    <w:lvl w:ilvl="0">
      <w:lvlJc w:val="left"/>
      <w:lvlText w:val="(%1)"/>
      <w:numFmt w:val="lowerRoman"/>
      <w:start w:val="6"/>
    </w:lvl>
    <w:lvl w:ilvl="1">
      <w:lvlJc w:val="left"/>
      <w:lvlText w:val="(%2)"/>
      <w:numFmt w:val="lowerLetter"/>
      <w:start w:val="5"/>
    </w:lvl>
  </w:abstractNum>
  <w:abstractNum w:abstractNumId="28">
    <w:nsid w:val="3006C83E"/>
    <w:multiLevelType w:val="hybridMultilevel"/>
    <w:lvl w:ilvl="0">
      <w:lvlJc w:val="left"/>
      <w:lvlText w:val="%1."/>
      <w:numFmt w:val="decimal"/>
      <w:start w:val="13"/>
    </w:lvl>
    <w:lvl w:ilvl="1">
      <w:lvlJc w:val="left"/>
      <w:lvlText w:val="(%2)"/>
      <w:numFmt w:val="low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4"/>
    </w:lvl>
  </w:abstractNum>
  <w:abstractNum w:abstractNumId="30">
    <w:nsid w:val="419AC241"/>
    <w:multiLevelType w:val="hybridMultilevel"/>
    <w:lvl w:ilvl="0">
      <w:lvlJc w:val="left"/>
      <w:lvlText w:val="%1."/>
      <w:numFmt w:val="decimal"/>
      <w:start w:val="14"/>
    </w:lvl>
    <w:lvl w:ilvl="1">
      <w:lvlJc w:val="left"/>
      <w:lvlText w:val="(%2)"/>
      <w:numFmt w:val="lowerLetter"/>
      <w:start w:val="1"/>
    </w:lvl>
  </w:abstractNum>
  <w:abstractNum w:abstractNumId="31">
    <w:nsid w:val="5577F8E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2">
    <w:nsid w:val="440BADFC"/>
    <w:multiLevelType w:val="hybridMultilevel"/>
    <w:lvl w:ilvl="0">
      <w:lvlJc w:val="left"/>
      <w:lvlText w:val="(%1)"/>
      <w:numFmt w:val="lowerLetter"/>
      <w:start w:val="3"/>
    </w:lvl>
    <w:lvl w:ilvl="1">
      <w:lvlJc w:val="left"/>
      <w:lvlText w:val="(%2)"/>
      <w:numFmt w:val="lowerRoman"/>
      <w:start w:val="1"/>
    </w:lvl>
  </w:abstractNum>
  <w:abstractNum w:abstractNumId="33">
    <w:nsid w:val="5072367"/>
    <w:multiLevelType w:val="hybridMultilevel"/>
    <w:lvl w:ilvl="0">
      <w:lvlJc w:val="left"/>
      <w:lvlText w:val="(%1)"/>
      <w:numFmt w:val="lowerLetter"/>
      <w:start w:val="6"/>
    </w:lvl>
    <w:lvl w:ilvl="1">
      <w:lvlJc w:val="left"/>
      <w:lvlText w:val="(%2)"/>
      <w:numFmt w:val="lowerLetter"/>
      <w:start w:val="9"/>
    </w:lvl>
  </w:abstractNum>
  <w:abstractNum w:abstractNumId="34">
    <w:nsid w:val="3804823E"/>
    <w:multiLevelType w:val="hybridMultilevel"/>
    <w:lvl w:ilvl="0">
      <w:lvlJc w:val="left"/>
      <w:lvlText w:val="%1"/>
      <w:numFmt w:val="lowerLetter"/>
      <w:start w:val="1"/>
    </w:lvl>
    <w:lvl w:ilvl="1">
      <w:lvlJc w:val="left"/>
      <w:lvlText w:val="(%2)"/>
      <w:numFmt w:val="lowerLetter"/>
      <w:start w:val="35"/>
    </w:lvl>
  </w:abstractNum>
  <w:abstractNum w:abstractNumId="35">
    <w:nsid w:val="77465F01"/>
    <w:multiLevelType w:val="hybridMultilevel"/>
    <w:lvl w:ilvl="0">
      <w:lvlJc w:val="left"/>
      <w:lvlText w:val="(%1)"/>
      <w:numFmt w:val="lowerLetter"/>
      <w:start w:val="10"/>
    </w:lvl>
    <w:lvl w:ilvl="1">
      <w:lvlJc w:val="left"/>
      <w:lvlText w:val="%2"/>
      <w:numFmt w:val="lowerLetter"/>
      <w:start w:val="1"/>
    </w:lvl>
  </w:abstractNum>
  <w:abstractNum w:abstractNumId="36">
    <w:nsid w:val="7724C67E"/>
    <w:multiLevelType w:val="hybridMultilevel"/>
    <w:lvl w:ilvl="0">
      <w:lvlJc w:val="left"/>
      <w:lvlText w:val="(%1)"/>
      <w:numFmt w:val="lowerLetter"/>
      <w:start w:val="14"/>
    </w:lvl>
    <w:lvl w:ilvl="1">
      <w:lvlJc w:val="left"/>
      <w:lvlText w:val="(%2)"/>
      <w:numFmt w:val="lowerRoman"/>
      <w:start w:val="1"/>
    </w:lvl>
  </w:abstractNum>
  <w:abstractNum w:abstractNumId="37">
    <w:nsid w:val="5C482A97"/>
    <w:multiLevelType w:val="hybridMultilevel"/>
    <w:lvl w:ilvl="0">
      <w:lvlJc w:val="left"/>
      <w:lvlText w:val="(%1)"/>
      <w:numFmt w:val="low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2023-12-12T15:43:52Z</dcterms:created>
  <dcterms:modified xsi:type="dcterms:W3CDTF">2023-12-12T15:43:52Z</dcterms:modified>
</cp:coreProperties>
</file>