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333-263516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PIPE Investments, page 33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4. Supplement the disclosure of the Convertible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Subscription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to explain in plain English how the terms of the agreement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favor the Note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Investor, the sponsor, and affiliates. Discuss the downside protection this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 will have that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not be available to other investors. Lastly, add risk factor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highlighting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specific terms and scenarios of the note financing that could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benefit the sponsor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 Investor to the detriment of other investors.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Disclose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pre-existing relationships between the Equity PIPE Investors or the Debt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VTAQ, the sponsors, Presto, or any affiliates of such parties.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/>
        <w:tabs>
          <w:tab w:leader="none" w:pos="114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LastNameEdward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Scheetz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NameVentoux CCM Acquisition Corp.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31,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VTAQ's Directors and Officers in the Business Combination, page 41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8 and the disclosure that "the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stockholders, Presto and/or its affiliates and the Presto Founders and/or their affiliates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and will not make any purchases of shares and/or warrants from investors." If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revise to remove the assertion that these parties "will not" make any such purchases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that the preceding disclosure indicates they "may" do so at any time prior to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Meeting. Additionally, please refer to Compliance and Disclosure Interpretation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166.01 (Tender Offers and Schedules) for additional guidance.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Presto Projected Financial Information, page 107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13. Please revise to discuss the projected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 for each of your products and any assumptions regarding increases in those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margins. As an example only, we note your disclosure of "both Vision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Voice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generating higher margins than the Touch product, driving Presto s blended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margins from approximately 25% in the year ending December 31, 2021 to approximately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55%" but it is unclear what the underlying margins are or what the product mix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projected to be. Information about Presto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and Product Offering, page 174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on page F-33 that "[t]he Company is exposed to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vendor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 risk as it supplies tablets from one vendor." Revise to identify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suppliers and discuss the material terms of your agreements with them including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termination provisions. Refer to Item 101(h)(4)(v)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186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24. We also note your clarification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impairments of returned leased tablets could be considered recurring, frequent, and usual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of doing business, indicating that impairments related to returns of leased tablets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occur under various circumstances not directly caused by COVID-19. Furthermore,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this impairment was the result of customers who returned used equipment during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quarters that coincided with the COVID-19 pandemic period. Please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10(e) of Regulation S-K prohibits adjusting a non-GAAP financial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to eliminate or smooth items identified as infrequent or unusual when the nature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charge or gain is such that it is reasonably likely to recur within two years or there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a similar charge or gain within the prior two years. Accordingly, please revise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 adjustment for impairments of returned leased tablets in all Non-GAAP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the "Loss on Infrequent Product Repairs" adjustment, please clarify and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netted out any manufacturer warranties under the repair and return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 March 31,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merchandise authorization ( RMA ) process. See Question 100.03 of the Compliance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the "Hardware Repair Expenses Related to COVID-19" adjustment,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and tell us the nature of hardware repair expenses, apart from the liquid ingress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issue, why hardware repairs are infrequent and one-time expenses, and how you were 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ascertain that these hardware repairs were directly related to COVID-19 complications.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 of E La Carte, Inc. (dba Presto) Note 1. Summary of Business and Significant Accounting Policies Revenue Recognition, page F-36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33. For arrangements that involve leases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equipment, please revise your disclosures to clarify whether such leases are accounted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ASC 606, or are accounted for using ASC 840 due to the scope exemption for leases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ASC 606-10-15-2 and the terms of the arrangements that you considered in your policy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Also, please tell us how you considered ASC 840-10-25-1 in determining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lease classification is operating.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 to the License/Revenue Share agreements with restaurants for the Tabletop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systems, please clarify the amount of revenue commissions typically paid as a percentage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premium content revenue, or gaming revenue.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551-3376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Derby,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551-3334 or Joshua Shainess,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551-7951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LastNameEdward Scheetz</w:t>
            </w:r>
          </w:p>
        </w:tc>
        <w:tc>
          <w:tcPr>
            <w:tcW w:w="214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NameVentoux CCM Acquisition Corp.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1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Division of</w:t>
            </w: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31,</w:t>
            </w:r>
          </w:p>
        </w:tc>
        <w:tc>
          <w:tcPr>
            <w:tcW w:w="4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3</w:t>
            </w:r>
          </w:p>
        </w:tc>
        <w:tc>
          <w:tcPr>
            <w:tcW w:w="2140" w:type="dxa"/>
            <w:vAlign w:val="bottom"/>
          </w:tcPr>
          <w:p>
            <w:pPr>
              <w:ind w:left="1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Technology</w:t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2022-11-07T00:19:03Z</dcterms:created>
  <dcterms:modified xsi:type="dcterms:W3CDTF">2022-11-07T00:19:03Z</dcterms:modified>
</cp:coreProperties>
</file>