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131d1_8k.htm"/>
      <w:bookmarkStart w:id="1" w:name="kstm24913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2_edei--DocumentType_c202403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5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bookmarkStart w:id="5" w:name="xdx_903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4_edei--EntityFileNumber_c20240314"/>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3_edei--EntityTaxIdentificationNum"/>
            <w:bookmarkEnd w:id="7"/>
            <w:r>
              <w:rPr>
                <w:b/>
              </w:rPr>
              <w:t>84-2968594</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985 Industrial Road</w:t>
            </w:r>
          </w:p>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San Carlos, </w:t>
            </w:r>
            <w:bookmarkStart w:id="10" w:name="xdx_906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4_edei--EntityAddressPostalZipCode"/>
            <w:bookmarkEnd w:id="11"/>
            <w:r>
              <w:rPr>
                <w:b/>
                <w:sz w:val="20"/>
              </w:rPr>
              <w:t>94070</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w:t>
            </w:r>
            <w:bookmarkStart w:id="12" w:name="xdx_906_edei--CityAreaCode_c20240314__20"/>
            <w:bookmarkEnd w:id="12"/>
            <w:r>
              <w:rPr>
                <w:b/>
                <w:sz w:val="20"/>
              </w:rPr>
              <w:t xml:space="preserve">650) </w:t>
            </w:r>
            <w:bookmarkStart w:id="13" w:name="xdx_90B_edei--LocalPhoneNumber_c20240314"/>
            <w:bookmarkEnd w:id="13"/>
            <w:r>
              <w:rPr>
                <w:b/>
                <w:sz w:val="20"/>
              </w:rPr>
              <w:t>817-9012</w:t>
            </w:r>
          </w:p>
        </w:tc>
      </w:tr>
      <w:tr>
        <w:trPr/>
        <w:tc>
          <w:tcPr>
            <w:tcW w:w="5225" w:type="dxa"/>
            <w:tcBorders/>
            <w:tcMar>
              <w:bottom w:w="0" w:type="dxa"/>
            </w:tcMar>
            <w:vAlign w:val="center"/>
          </w:tcPr>
          <w:p>
            <w:pPr>
              <w:pStyle w:val="TableContents"/>
              <w:bidi w:val="0"/>
              <w:spacing w:before="0" w:after="283"/>
              <w:jc w:val="center"/>
              <w:rPr>
                <w:b/>
                <w:sz w:val="20"/>
              </w:rPr>
            </w:pPr>
            <w:r>
              <w:rPr>
                <w:b/>
                <w:sz w:val="20"/>
              </w:rPr>
              <w:t>(Registrant’s telephone number, including area code)</w:t>
            </w:r>
          </w:p>
        </w:tc>
      </w:tr>
      <w:tr>
        <w:trPr/>
        <w:tc>
          <w:tcPr>
            <w:tcW w:w="5225" w:type="dxa"/>
            <w:tcBorders/>
            <w:tcMar>
              <w:bottom w:w="0" w:type="dxa"/>
            </w:tcMar>
            <w:vAlign w:val="center"/>
          </w:tcPr>
          <w:p>
            <w:pPr>
              <w:pStyle w:val="TableContents"/>
              <w:bidi w:val="0"/>
              <w:spacing w:before="0" w:after="283"/>
              <w:jc w:val="left"/>
              <w:rPr/>
            </w:pPr>
            <w:r>
              <w:rPr/>
              <w:t> </w:t>
            </w:r>
          </w:p>
        </w:tc>
      </w:tr>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5225" w:type="dxa"/>
            <w:tcBorders/>
            <w:tcMar>
              <w:bottom w:w="0" w:type="dxa"/>
            </w:tcMar>
            <w:vAlign w:val="center"/>
          </w:tcPr>
          <w:p>
            <w:pPr>
              <w:pStyle w:val="TableContents"/>
              <w:bidi w:val="0"/>
              <w:spacing w:before="0" w:after="283"/>
              <w:jc w:val="center"/>
              <w:rPr>
                <w:b/>
                <w:sz w:val="20"/>
              </w:rPr>
            </w:pPr>
            <w:r>
              <w:rPr>
                <w:b/>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6_edei--SolicitingMaterial_c202403"/>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11"/>
        <w:gridCol w:w="60"/>
        <w:gridCol w:w="998"/>
        <w:gridCol w:w="60"/>
        <w:gridCol w:w="3076"/>
      </w:tblGrid>
      <w:tr>
        <w:trPr/>
        <w:tc>
          <w:tcPr>
            <w:tcW w:w="6011"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998"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076" w:type="dxa"/>
            <w:tcBorders>
              <w:bottom w:val="single" w:sz="8" w:space="0" w:color="000000"/>
            </w:tcBorders>
            <w:vAlign w:val="center"/>
          </w:tcPr>
          <w:p>
            <w:pPr>
              <w:pStyle w:val="TableContents"/>
              <w:bidi w:val="0"/>
              <w:spacing w:before="0" w:after="283"/>
              <w:jc w:val="center"/>
              <w:rPr>
                <w:b/>
              </w:rPr>
            </w:pPr>
            <w:r>
              <w:rPr>
                <w:b/>
              </w:rPr>
              <w:t xml:space="preserve">Name of each exchange on which </w:t>
              <w:br/>
              <w:t>registered</w:t>
            </w:r>
          </w:p>
        </w:tc>
      </w:tr>
      <w:tr>
        <w:trPr/>
        <w:tc>
          <w:tcPr>
            <w:tcW w:w="6011" w:type="dxa"/>
            <w:tcBorders/>
            <w:shd w:fill="CCEEFF" w:val="clear"/>
            <w:tcMar>
              <w:bottom w:w="0" w:type="dxa"/>
            </w:tcMar>
            <w:vAlign w:val="center"/>
          </w:tcPr>
          <w:p>
            <w:pPr>
              <w:pStyle w:val="TableContents"/>
              <w:bidi w:val="0"/>
              <w:spacing w:before="0" w:after="283"/>
              <w:jc w:val="center"/>
              <w:rPr/>
            </w:pPr>
            <w:bookmarkStart w:id="18" w:name="xdx_907_edei--Security12bTitle_c20240314"/>
            <w:bookmarkEnd w:id="18"/>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8" w:type="dxa"/>
            <w:tcBorders/>
            <w:shd w:fill="CCEEFF" w:val="clear"/>
            <w:tcMar>
              <w:bottom w:w="0" w:type="dxa"/>
            </w:tcMar>
            <w:vAlign w:val="center"/>
          </w:tcPr>
          <w:p>
            <w:pPr>
              <w:pStyle w:val="TableContents"/>
              <w:bidi w:val="0"/>
              <w:spacing w:before="0" w:after="283"/>
              <w:jc w:val="center"/>
              <w:rPr/>
            </w:pPr>
            <w:bookmarkStart w:id="19" w:name="xdx_90E_edei--TradingSymbol_c20240314__2"/>
            <w:bookmarkEnd w:id="19"/>
            <w:r>
              <w:rPr/>
              <w:t>PRST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076" w:type="dxa"/>
            <w:tcBorders/>
            <w:shd w:fill="CCEEFF" w:val="clear"/>
            <w:tcMar>
              <w:bottom w:w="0" w:type="dxa"/>
            </w:tcMar>
            <w:vAlign w:val="center"/>
          </w:tcPr>
          <w:p>
            <w:pPr>
              <w:pStyle w:val="TableContents"/>
              <w:bidi w:val="0"/>
              <w:spacing w:before="0" w:after="283"/>
              <w:jc w:val="center"/>
              <w:rPr/>
            </w:pPr>
            <w:bookmarkStart w:id="20" w:name="xdx_90D_edei--SecurityExchangeName_c2024"/>
            <w:bookmarkEnd w:id="20"/>
            <w:r>
              <w:rPr/>
              <w:t>The Nasdaq Stock Market LLC</w:t>
            </w:r>
          </w:p>
        </w:tc>
      </w:tr>
      <w:tr>
        <w:trPr/>
        <w:tc>
          <w:tcPr>
            <w:tcW w:w="6011" w:type="dxa"/>
            <w:tcBorders/>
            <w:shd w:fill="FFFFFF" w:val="clear"/>
            <w:tcMar>
              <w:bottom w:w="0" w:type="dxa"/>
            </w:tcMar>
            <w:vAlign w:val="center"/>
          </w:tcPr>
          <w:p>
            <w:pPr>
              <w:pStyle w:val="TableContents"/>
              <w:bidi w:val="0"/>
              <w:spacing w:before="0" w:after="283"/>
              <w:jc w:val="center"/>
              <w:rPr/>
            </w:pPr>
            <w:bookmarkStart w:id="21" w:name="xdx_90D_edei--Security12bTitle_c20240314"/>
            <w:bookmarkEnd w:id="21"/>
            <w:r>
              <w:rPr/>
              <w:t>Warrants, each whole warrant exercisable for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8" w:type="dxa"/>
            <w:tcBorders/>
            <w:shd w:fill="FFFFFF" w:val="clear"/>
            <w:tcMar>
              <w:bottom w:w="0" w:type="dxa"/>
            </w:tcMar>
            <w:vAlign w:val="center"/>
          </w:tcPr>
          <w:p>
            <w:pPr>
              <w:pStyle w:val="TableContents"/>
              <w:bidi w:val="0"/>
              <w:spacing w:before="0" w:after="283"/>
              <w:jc w:val="center"/>
              <w:rPr/>
            </w:pPr>
            <w:bookmarkStart w:id="22" w:name="xdx_90A_edei--TradingSymbol_c20240314__2"/>
            <w:bookmarkEnd w:id="22"/>
            <w:r>
              <w:rPr/>
              <w:t>PRSTW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076" w:type="dxa"/>
            <w:tcBorders/>
            <w:shd w:fill="FFFFFF" w:val="clear"/>
            <w:tcMar>
              <w:bottom w:w="0" w:type="dxa"/>
            </w:tcMar>
            <w:vAlign w:val="center"/>
          </w:tcPr>
          <w:p>
            <w:pPr>
              <w:pStyle w:val="TableContents"/>
              <w:bidi w:val="0"/>
              <w:spacing w:before="0" w:after="283"/>
              <w:jc w:val="center"/>
              <w:rPr/>
            </w:pPr>
            <w:bookmarkStart w:id="23" w:name="xdx_90A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1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D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2024, Presto Automation Inc. (the “Company”) entered into a securities purchase agreements (the “Purchase Agreement”) with several investors (the “Purchasers”) relating to the issuance and sale of an aggregate of 4,800,000 shares of the Company’s common stock, par value $0.0001 per share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issued 4,800,000 shares of common stock at an offering price of $0.25. The aggregate gross proceeds to the Company from the Offering were approximately $1,200,000, before deducting placement agent fees and other estimated Offering expenses payable by the Company. The Offering closed on March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March 14, 2024, and accompanying prospectus, dated October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does not purport to be complete and is subject to, and qualified in its entirety by, the full text of the Purchase Agreement filed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2.05 Costs Associated with Exit or Disposal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2024, in furtherance of previously-announced plan to implement a strategic wind-down plan with respect to the Company’s Touch business, the Company’s board approved and the Company commenced a reduction in force affecting 24 corporate roles, or 18% of the Company’s workforce. The Company estimates that this will result in approximately $3,100,000 in annualized cost savings. Affected employees were informed of the reduction in force on or about this date. The Company expects the reduction in force to be substantially complete by the end of the fiscal fourth quarter of 2024. Total costs and cash expenditures for the reduction in force are estimated at $0.4 million, substantially all of which are related to employee severance and benefits costs and will be recognized in the fiscal third and fourth quarter of 2024. The Company expects to pay the majority of these reduction in force amounts in the fiscal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projects that the net proceeds from the Offering, together with the Company’s other cash resources and projected revenues, are sufficient for the Company to sustain its operations through April 1, 2024. The Company is currently exploring alternatives and in discussions with potential investors to raise capital.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28" w:type="dxa"/>
          <w:right w:w="0" w:type="dxa"/>
        </w:tblCellMar>
      </w:tblPr>
      <w:tblGrid>
        <w:gridCol w:w="1205"/>
        <w:gridCol w:w="60"/>
        <w:gridCol w:w="747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475"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hyperlink w:anchor="tm249131d1_ex5-1.htm">
              <w:r>
                <w:rPr>
                  <w:rStyle w:val="InternetLink"/>
                </w:rPr>
                <w:t>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both"/>
              <w:rPr/>
            </w:pPr>
            <w:hyperlink w:anchor="tm249131d1_ex5-1.htm">
              <w:r>
                <w:rPr>
                  <w:rStyle w:val="InternetLink"/>
                </w:rPr>
                <w:t>Opinion of Paul Hastings LLP</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49131d1_ex10-1.htm">
              <w:r>
                <w:rPr>
                  <w:rStyle w:val="InternetLink"/>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7475" w:type="dxa"/>
            <w:tcBorders/>
            <w:shd w:fill="FFFFFF" w:val="clear"/>
            <w:tcMar>
              <w:bottom w:w="0" w:type="dxa"/>
            </w:tcMar>
            <w:vAlign w:val="center"/>
          </w:tcPr>
          <w:p>
            <w:pPr>
              <w:pStyle w:val="TableContents"/>
              <w:bidi w:val="0"/>
              <w:spacing w:before="0" w:after="283"/>
              <w:jc w:val="both"/>
              <w:rPr/>
            </w:pPr>
            <w:hyperlink w:anchor="tm249131d1_ex10-1.htm">
              <w:r>
                <w:rPr>
                  <w:rStyle w:val="InternetLink"/>
                </w:rPr>
                <w:t>Form Securities Purchase Agreement</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49131d1_ex5-1.htm">
              <w:r>
                <w:rPr>
                  <w:rStyle w:val="InternetLink"/>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7475" w:type="dxa"/>
            <w:tcBorders/>
            <w:shd w:fill="FFFFFF" w:val="clear"/>
            <w:tcMar>
              <w:bottom w:w="0" w:type="dxa"/>
            </w:tcMar>
            <w:vAlign w:val="center"/>
          </w:tcPr>
          <w:p>
            <w:pPr>
              <w:pStyle w:val="TableContents"/>
              <w:bidi w:val="0"/>
              <w:spacing w:before="0" w:after="283"/>
              <w:jc w:val="both"/>
              <w:rPr/>
            </w:pPr>
            <w:hyperlink w:anchor="tm249131d1_ex5-1.htm">
              <w:r>
                <w:rPr>
                  <w:rStyle w:val="InternetLink"/>
                </w:rPr>
                <w:t>Consent of Paul Hastings LLP (included in Exhibit 5.1)</w:t>
              </w:r>
            </w:hyperlink>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2120"/>
        <w:gridCol w:w="365"/>
        <w:gridCol w:w="710"/>
        <w:gridCol w:w="3980"/>
      </w:tblGrid>
      <w:tr>
        <w:trPr/>
        <w:tc>
          <w:tcPr>
            <w:tcW w:w="2120" w:type="dxa"/>
            <w:tcBorders/>
            <w:vAlign w:val="center"/>
          </w:tcPr>
          <w:p>
            <w:pPr>
              <w:pStyle w:val="TableContents"/>
              <w:bidi w:val="0"/>
              <w:spacing w:before="0" w:after="283"/>
              <w:jc w:val="left"/>
              <w:rPr/>
            </w:pPr>
            <w:r>
              <w:rPr/>
              <w:t> </w:t>
            </w:r>
          </w:p>
        </w:tc>
        <w:tc>
          <w:tcPr>
            <w:tcW w:w="5055" w:type="dxa"/>
            <w:gridSpan w:val="3"/>
            <w:tcBorders/>
            <w:vAlign w:val="center"/>
          </w:tcPr>
          <w:p>
            <w:pPr>
              <w:pStyle w:val="TableContents"/>
              <w:bidi w:val="0"/>
              <w:spacing w:before="0" w:after="283"/>
              <w:jc w:val="left"/>
              <w:rPr>
                <w:b/>
              </w:rPr>
            </w:pPr>
            <w:r>
              <w:rPr>
                <w:b/>
              </w:rPr>
              <w:t>PRESTO AUTOMATION, INC.</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Date: March 18, 2024</w:t>
            </w:r>
          </w:p>
        </w:tc>
        <w:tc>
          <w:tcPr>
            <w:tcW w:w="365" w:type="dxa"/>
            <w:tcBorders/>
            <w:vAlign w:val="center"/>
          </w:tcPr>
          <w:p>
            <w:pPr>
              <w:pStyle w:val="TableContents"/>
              <w:bidi w:val="0"/>
              <w:spacing w:before="0" w:after="283"/>
              <w:jc w:val="left"/>
              <w:rPr/>
            </w:pPr>
            <w:r>
              <w:rPr/>
              <w:t>By:</w:t>
            </w:r>
          </w:p>
        </w:tc>
        <w:tc>
          <w:tcPr>
            <w:tcW w:w="4690" w:type="dxa"/>
            <w:gridSpan w:val="2"/>
            <w:tcBorders>
              <w:bottom w:val="single" w:sz="8" w:space="0" w:color="000000"/>
            </w:tcBorders>
            <w:tcMar>
              <w:bottom w:w="28" w:type="dxa"/>
            </w:tcMar>
            <w:vAlign w:val="center"/>
          </w:tcPr>
          <w:p>
            <w:pPr>
              <w:pStyle w:val="TableContents"/>
              <w:bidi w:val="0"/>
              <w:spacing w:before="0" w:after="283"/>
              <w:jc w:val="left"/>
              <w:rPr/>
            </w:pPr>
            <w:r>
              <w:rPr/>
              <w:t>/s/  Susan Shinoff</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980" w:type="dxa"/>
            <w:tcBorders/>
            <w:vAlign w:val="center"/>
          </w:tcPr>
          <w:p>
            <w:pPr>
              <w:pStyle w:val="TableContents"/>
              <w:bidi w:val="0"/>
              <w:spacing w:before="0" w:after="283"/>
              <w:jc w:val="left"/>
              <w:rPr/>
            </w:pPr>
            <w:r>
              <w:rPr/>
              <w:t>Susan Shinoff</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980" w:type="dxa"/>
            <w:tcBorders/>
            <w:vAlign w:val="center"/>
          </w:tcPr>
          <w:p>
            <w:pPr>
              <w:pStyle w:val="TableContents"/>
              <w:bidi w:val="0"/>
              <w:spacing w:before="0" w:after="283"/>
              <w:jc w:val="left"/>
              <w:rPr/>
            </w:pPr>
            <w:r>
              <w:rPr/>
              <w:t>General Counsel and Corporate Secretary</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6" w:name="tm249131d1_ex5-1.htm"/>
      <w:bookmarkStart w:id="27" w:name="kstm249131d1_ex5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526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14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325"/>
        <w:gridCol w:w="1130"/>
      </w:tblGrid>
      <w:tr>
        <w:trPr/>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18, 2024</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52763.00001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Presto Automation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Rule 424(b) of the rules and regulations of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of a prospectus supplement, dated March 14, 2024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to the Company’s Registration Statement on Form S-3 (File No. 333-275112) originally filed with the Commission under the Act on October 20, 2023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the related prospectus, dated October 30, 2023, included in the Registration Statement at the time it originally became effective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together with the Prospectus Supplement,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offering by the Company of 4,800,000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The Shares are being sold to institutional investors named in, and pursuant to, a securities purchase agreement, dated as of March 14, 2024, between the Company and such investors (the “</w:t>
      </w:r>
      <w:r>
        <w:rPr>
          <w:rFonts w:ascii="Times New Roman;Times;Serif" w:hAnsi="Times New Roman;Times;Serif"/>
          <w:b/>
          <w:i/>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the Prospectus, the form of Securities Purchase Agreement, the Company’s Second Amended and Restated Certificate of Incorporation, as amended, and the Company’s Amended and Restated Bylaws, each as currently in effect,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legal capacity, competency and authority of all individuals executing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Securities Purchase Agreement is the valid and binding obligation of each of the parties thereto, enforceable against such parties in accordance with their terms and that they have not been amended or terminated orally or in writing; and (viii) that the statements contained in the certificates and comparable documents of public officials, officers and representatives of the Company and other persons on which we have relied for the purposes of this opinion letter are true and correct on and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3148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14825" cy="285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716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400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issued and sold against payment therefor in accordance with the Securities Purchase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“Legal Matters” in the Prospectus Supplement and to the filing of this opinion as an exhibit to a Current Report of the Company on Form 8-K.</w:t>
      </w:r>
    </w:p>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75"/>
        <w:gridCol w:w="60"/>
        <w:gridCol w:w="210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/s/ Paul Hastings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49131d1_ex10-1.htm"/>
      <w:bookmarkStart w:id="29" w:name="kstm249131d1_ex101"/>
      <w:bookmarkEnd w:id="28"/>
      <w:bookmarkEnd w:id="29"/>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March 14, 2024, between Presto Automation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Shares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or at the election of the Company, immediately following, the date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Paul Hastings LLP, with offices located at 200 Park Avenue, New York, NY 10166.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the credit agreement, dated as of September 21, 2022, with Metropolitan Partners Group Administration, LLC, as administrative, payment and collateral agent for the lenders, as amended by the First Amendment to Credit Agreement, dated March 31, 2023, the Second Amendment to Credit Agreement, dated May 22, 2023, the Third Amendment to Credit Agreement, dated October 10, 2023, the Forbearance Agreement and Fourth Amendment to Credit Agreement, dated January 22, 2024, the Fifth Amendment to Credit Agreement and Acknowledgement, dated January 30, 2024, and the Forbearance Agreement and Sixth Amendment to Credit Agreement, dated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options, restricted stock units or equity awards to employees, officers, or directors or consultants of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provided that such securities are issued pursuant to a registration statement on Form S-8 filed by the Company, (b) securities upon the exercise or exchange of or conversion of any Shares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convertible into or exercisable for Common Stock that are issued pursuant to Section 4(a)(2) of the Securities Act or Regulation D under the Securities Act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 herein, and provided that any such issuance shall only be to a Person (or to the equityholders of a Person) which is, itself or through its subsidiaries, an operating company or an owner of an asset in a business synergistic with the business of the Company, as determined by the Board of Directors in good faith,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$0.25, subject to adjustment for reverse and forward stock splits, stock dividends, stock combinations and other similar transactions of the Common Stock that occur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Chardan Capital Markets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for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the Purchasers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filed with the Commission (File No. 333-275112) that registers the sale of the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NYSE American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all exhibits and schedules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New York 10004 ,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substantially concurrent with the execution and delivery of this Agreement by the parties hereto, the Company agrees to sell, and each of the Purchasers agree to purchase, up to an aggregate of $1,200,000 of Shares. Each Purchaser’s Subscription Amount as set forth on the signature page hereto executed by such Purchaser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settlement with the Company or its designee. The Company shall deliver to each Purchaser its respective Shares, and the Company and each Purchaser shall deliver the other items set forth in Section 2.3 deliverable at the Closing. Upon satisfaction or waiver of the covenants and conditions set forth in Sections 2.3 and 2.4, the Closing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Each Purchaser represents to the Company that it has received (or otherwise had made available to it by the filing by the Company of an electronic version thereof with the Commission) the Prospectus contained in the Registration Statement filed by the Company with the Commission, and the Prospectus Supplement relating thereto. Each Purchaser acknowledges that, prior to the delivery of this Agreement by it to the Company, the Purchaser will receive certain additional information regarding the offering, including pricing information. Such information may be provided to the Purchaser by any means permitted under the Securities Act, including the Prospectus Supplement and oral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Prospectus and Prospectus Supplement (which may be delivered in accordance with Rule 172 under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provided each Purchaser with wire instructions, on Company letterhead and executed by the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to the extent not previously delivered,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DVP settlement with the Company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or prior to the Closing Date, the Company shall deliver or cause to be delivered to the Purchasers a legal opinion of Company Counsel,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from the date hereof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or as set forth in the SEC Reports,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Exhibit 21.1 of the Company’s Annual Report on Form 10-K for the year ended June 30, 2023 filed with the Commission on October 11, 2023. The Company owns, directly or indirectly, all of the capital stock or other equity interests of each Subsidiary free and clear of any Liens except as disclosed in the SEC Reports and Liens imposed under the Credit Agreement,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however, that changes in the market price or trading volume of the Common Stock shall not alone, in and of itself,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issuance and sale of the Shares and the listing of the Shares for trading thereon in the time and manner required thereby, (iv) the filing of Form D with the Commission and such filings as are required to be made under applicable state securities laws and (v) such consents or waivers that shall have been obtained prior to the Closing Date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Shares;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October 30, 2023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Shares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To the knowledge of the Company,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written notice that any of, the Intellectual Property Rights that are material to the Company have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3.1(r),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or other equity awards under any stock option plan or other equity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Supplement and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on Schedule 3.1(v),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GAAP. Neither the Company nor any Subsidiary is in default with respect to any Indebtedness (except for such breaches, violations or defaults as have been waived or for which consent has been obtained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Acknowledgment Regarding Purchasers’ Purchase of Shares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xml:space="preserve">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 in connection with the placement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or other equity plan was granted (i) in accordance with the terms of the Company’s stock option plan or other equity plan and (ii) with an exercise price at least equal to the fair market value of the Common Stock on the date such stock option would be considered granted under GAAP and applicable law. No stock option granted under the Company’s stock option plan or other equity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individually or in the aggregate,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Shares, it was, and as of the date hereof it is either: (i) an “accredited investor” as defined in Rule 501(a)(1), (a)(2), (a)(3), (a)(5), (a)(6),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have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any Nonpublic Information,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required filings with the Commission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and any Nonpublic Information,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(for purposes of this sentence, each Purchaser shall be deemed to have consented to the receipt of any Nonpublic Information),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4.7 and such failure materially prejudices the Company’s ability to defend against such claim, the Company shall have no obligation under this Section 4.7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From the date hereof until 15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except for any registration statement that the Company is contractually obligated to file as of the date hereof. Notwithstanding the foregoing, this Section 4.12 shall not apply in respect of an Exempt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before the Closing,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 provided, further, that the right to terminate this Agreement pursuant to this Section 5.1 shall not be available to a party if such party’s breach of any representation, warranty, covenant or other agreement contained in this Agreement is the primary cause of the failure of the Closing to be consummated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(based on the initial Subscription Amounts hereunder)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Shares</w:t>
      </w:r>
      <w:r>
        <w:rPr>
          <w:rFonts w:ascii="Times New Roman;Times;Serif" w:hAnsi="Times New Roman;Times;Serif"/>
          <w:b w:val="false"/>
          <w:i w:val="false"/>
          <w:caps w:val="false"/>
          <w:smallCaps w:val="false"/>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1181"/>
        <w:gridCol w:w="2183"/>
        <w:gridCol w:w="75"/>
      </w:tblGrid>
      <w:tr>
        <w:trPr/>
        <w:tc>
          <w:tcPr>
            <w:tcW w:w="3364" w:type="dxa"/>
            <w:gridSpan w:val="2"/>
            <w:tcBorders/>
            <w:vAlign w:val="center"/>
          </w:tcPr>
          <w:p>
            <w:pPr>
              <w:pStyle w:val="TableContents"/>
              <w:bidi w:val="0"/>
              <w:spacing w:before="0" w:after="283"/>
              <w:jc w:val="left"/>
              <w:rPr>
                <w:b/>
                <w:caps/>
              </w:rPr>
            </w:pPr>
            <w:r>
              <w:rPr>
                <w:b/>
                <w:caps/>
              </w:rPr>
              <w:t>presto automation inc.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By:</w:t>
            </w:r>
          </w:p>
        </w:tc>
        <w:tc>
          <w:tcPr>
            <w:tcW w:w="21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Automation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985 Industrial Road</w:t>
        <w:br/>
        <w:t>San Carlos, California 94070</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Paul Hastings LLP</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200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 New York 10166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Colin Diamond; Will Burns</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colindiamond@paulhastings.com; willburns@paulhastings.com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19123</Words>
  <Characters>102777</Characters>
  <CharactersWithSpaces>123179</CharactersWithSpaces>
  <Paragraphs>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