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16, 2022</w:t>
      </w:r>
    </w:p>
    <w:p>
      <w:pPr>
        <w:spacing w:after="0" w:line="31"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58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6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3660" w:type="dxa"/>
            <w:vAlign w:val="bottom"/>
            <w:tcBorders>
              <w:top w:val="single" w:sz="8" w:color="auto"/>
            </w:tcBorders>
          </w:tcPr>
          <w:p>
            <w:pPr>
              <w:jc w:val="center"/>
              <w:ind w:right="17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58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6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7580" w:type="dxa"/>
            <w:vAlign w:val="bottom"/>
            <w:gridSpan w:val="3"/>
          </w:tcPr>
          <w:p>
            <w:pPr>
              <w:jc w:val="center"/>
              <w:ind w:left="359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3660" w:type="dxa"/>
            <w:vAlign w:val="bottom"/>
          </w:tcPr>
          <w:p>
            <w:pPr>
              <w:spacing w:after="0"/>
              <w:rPr>
                <w:sz w:val="24"/>
                <w:szCs w:val="24"/>
                <w:color w:val="auto"/>
              </w:rPr>
            </w:pPr>
          </w:p>
        </w:tc>
      </w:tr>
      <w:tr>
        <w:trPr>
          <w:trHeight w:val="220"/>
        </w:trPr>
        <w:tc>
          <w:tcPr>
            <w:tcW w:w="7580" w:type="dxa"/>
            <w:vAlign w:val="bottom"/>
            <w:gridSpan w:val="3"/>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w w:val="99"/>
              </w:rPr>
              <w:t>San Carlos, CA 94070</w:t>
            </w:r>
          </w:p>
        </w:tc>
        <w:tc>
          <w:tcPr>
            <w:tcW w:w="3660" w:type="dxa"/>
            <w:vAlign w:val="bottom"/>
          </w:tcPr>
          <w:p>
            <w:pPr>
              <w:spacing w:after="0"/>
              <w:rPr>
                <w:sz w:val="19"/>
                <w:szCs w:val="19"/>
                <w:color w:val="auto"/>
              </w:rPr>
            </w:pPr>
          </w:p>
        </w:tc>
      </w:tr>
      <w:tr>
        <w:trPr>
          <w:trHeight w:val="234"/>
        </w:trPr>
        <w:tc>
          <w:tcPr>
            <w:tcW w:w="7580" w:type="dxa"/>
            <w:vAlign w:val="bottom"/>
            <w:gridSpan w:val="3"/>
          </w:tcPr>
          <w:p>
            <w:pPr>
              <w:jc w:val="center"/>
              <w:ind w:left="357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36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 2008 Stock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 2018 Equity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 2022 Incentive Award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817-9012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Colin Diamond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Laura Katherine Mann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&amp; Case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819-8200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1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Presto Automation Inc. (f/k/a Ventoux CCM Acquisition Corp.) (the “Company” or the “Registrant”) has filed with the Securities and Exchange Commission (the “SEC” or the “Commission”) this registration statement on Form S-8 (this “Registration Statement”) to register under the Securities Act of 1933, as amended (the “Securities Act”), the following shares of common stock, par value $0.0001 per share (the “Common Stock”), of the Company:</w:t>
      </w:r>
    </w:p>
    <w:p>
      <w:pPr>
        <w:spacing w:after="0" w:line="176" w:lineRule="exact"/>
        <w:rPr>
          <w:sz w:val="20"/>
          <w:szCs w:val="20"/>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of 4,902,917 shares of Common Stock underlying certain outstanding stock options previously granted under the KHR Technologies, Inc. 2008 Stock Incentive Plan (the “KHR Plan”);</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of 7,209,680 shares of Common Stock underlying certain outstanding stock options previously granted under the E La Carte, Inc. 2018 Equity Incentive Plan (the “E La Carte Plan,” together with the KHR Plan, the “Legacy Presto Plans”);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of 4,617,400 shares of Common Stock reserved for issuance under the Presto Automation Inc. 2022 Incentive Award Plan (the “New Presto Plan”);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reoffer and resale of 7,514,902 shares of Common Stock (the “Reoffer Prospectus Shares”) previously granted to the selling security holders named herein (the “Selling Securityholders”) pursuant to restricted share awards, restricted stock units or stock options under the Legacy Presto Plans, including (i) outstanding stock options for which the initial sale upon exercise and (ii) outstanding restricted stock units for which the initial sale upon vesting are also registered on this Registration Statement.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shares of Common Stock underlying outstanding stock options registered for offer or sale and the Reoffer Prospectus Shares were granted under the Legacy Presto Plans to employees or executive officers, including the Selling Securityholders, of E La Carte, Inc. (“Legacy Presto”), a Delaware corporation, before its acquisition by the Company in the business combination (the “Business Combination”) between the Company, Legacy Presto, Ventoux Merger Sub I and Ventoux Merger Sub II (as defined in the Reoffer Prospectus (as defined below)). The New Presto Plan was adopted in connection with the Business Combination. The inclusion of the Reoffer Prospectus Shares herein does not necessarily represent a present intention to sell any or all such shares of Common Stock.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416(a) under the Securities Act, this Registration Statement also covers any additional shares of Common Stock that become issuable under the Legacy Presto Plans or the New Presto Plan, as applicable, as a result of anti-dilution provisions described therein by reason of any dividend, share split, recapitalization or other similar transaction.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Registration Statement includes a prospectus (the “Reoffer Prospectus”) with respect to the Reoffer Prospectus Shares, the reoffer and resale of which are registered hereunder. The Reoffer Prospectus is prepared in accordance with General Instruction C of Form S-8 and the requirements of Part I of Form S-3. This Reoffer Prospectus permits reoffers and resales on a continuous or delayed basis of the Reoffer Prospectus Shares. As specified in General Instruction C of Form S-8, the amount of securities to be reoffered or resold under the Reoffer Prospectus by each selling security holder and any other person with whom they are acting in concert for the purpose of selling the Company’s securities, may not exceed, during any three-month period, the amount specified in Rule 144(e)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9" w:lineRule="exact"/>
        <w:rPr>
          <w:sz w:val="20"/>
          <w:szCs w:val="20"/>
          <w:color w:val="auto"/>
        </w:rPr>
      </w:pPr>
    </w:p>
    <w:p>
      <w:pPr>
        <w:jc w:val="both"/>
        <w:ind w:left="660" w:hanging="652"/>
        <w:spacing w:after="0" w:line="255"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specified in Items 1 and 2 of Part I of Form S-8 is omitted from this Registration Statement in accordance with the provisions of Rule 428 under the Securities Act and the introductory note to Part I of Form S-8. The documents containing the information specified in Part I of this Registration Statement will be sent or given to each participant in the Legacy Presto Plans or the New Presto Plan, as applicable, as required by Rule 428(b) under the Securities Act. Such documents are not required to be and are not being filed with the SEC,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REOFFER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7,514,902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Selling Securityholders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reoffer prospectus (the “Reoffer Prospectus”) relates to the offer and sale from time to time by certain Selling Securityholders named in this Reoffer Prospectus (the “Selling Securityholders”), or their permitted transferees, of up to 7,514,902 shares of common stock, par value $0.0001 per share (“Common Stock”), of Presto Automation Inc., a Delaware corporation (f/k/a Ventoux CCM Acquisition Corp.) (unless otherwise indicated or the context otherwise requires, the “Company,” “Presto,” “PRST,” “we,” “our” or “us”). This Reoffer Prospectus covers the offer and sale by the Selling Securityholders of 7,514,902 shares of Common Stock previously granted under restricted share awards, restricted stock units or stock options granted to the Selling Securityholders pursuant to the KHR Technologies, Inc. 2008 Stock Incentive Plan (the “KHR Plan”) and the E La Carte, Inc. 2018 Equity Incentive Plan (the “E La Carte Plan”, together with the KHR Plan, the “Legacy Presto Plans”). All such restricted share awards, restricted stock units or stock options were granted under the Legacy Presto Plans to the Selling Securityholders as executive officers of E La Carte, Inc. (“Legacy Presto”), a Delaware corporation, before its acquisition by the Company in the business combination (the “Business Combination”) between the Company, Legacy Presto, Ventoux Merger Sub I Inc., a Delaware corporation and a direct, wholly-owned subsidiary of Ventoux CCM Acquisition Corp (“Ventoux Merger Sub I”) and Ventoux Merger Sub II Inc., a Delaware corporation and a direct, wholly-owned subsidiary of Ventoux CCM Acquisition Corp (“Ventoux Merger Sub II”).</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offering any shares of Common Stock and will not receive any proceeds from the sale of the shares of Common Stock by the Selling Securityholders pursuant to this Reoffer Prospectus. The Selling Securityholders are “affiliates” of the Company (as defined in Rule 405 under the Securities Act of 1933, as amended (the “Securities 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other restrictions on them, the Selling Securityholders may from time to time (including in the case of shares of Common Stock offered hereby under restricted share award, restricted stock units or stock options, upon vesting and/or exercise) sell, transfer or otherwise dispose of any or all of the shares of Common Stock covered by this Reoffer Prospectus in various types of transactions, including through underwriters or dealers, directly to purchasers (or a single purchaser) or through broker-dealers or agents. If underwriters or dealers are used to sell the shares of Common Stock, we will name them and describe their compensation in a prospectus supplement. The shares of Common Stock may be sold in one or more transactions at fixed prices, prevailing market prices at the time of sale, prices related to the prevailing market prices, varying prices determined at the time of sale or negotiated prices. We do not know when or in what amount the Selling Securityholders may offer the shares of Common Stock for sale. The Selling Securityholders may sell any, all or none of the shares of Common Stock offered by this Reoffer Prospectus.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5 for more information about how the Selling Securityholders may sell or dispose of the shares of Common Stock covered by this Reoffer Prospectus.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their sale under this Reoffer Prospectus, the shares of Common Stock covered by this Reoffer Prospectus are “control securities” or “restricted securities,” within the meaning of Instruction C to Form S-8 under the Securities Act. This Reoffer Prospectus has been prepared for the purposes of registering the shares of Common Stock under the Securities Act to allow for future sales by the Selling Securityholders on a continuous or delayed basis to the public without restriction.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Stock Market under the symbol “PRST.” On December 12, 2022, the closing price of our Common Stock was $3.87 per share.</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federal securities laws, and, as such, we are subject to reduced public company reporting requirements.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section on page 2 of this Reoffer Prospectus.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Reoffer Prospectus or determined if this Reoffer Prospectus is truthful or complete. Any representation to the contrary is a criminal offense.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4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196"/>
        </w:trPr>
        <w:tc>
          <w:tcPr>
            <w:tcW w:w="8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640" w:type="dxa"/>
            <w:vAlign w:val="bottom"/>
            <w:shd w:val="clear" w:color="auto" w:fill="CCEEFF"/>
          </w:tcPr>
          <w:p>
            <w:pPr>
              <w:ind w:left="202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r>
      <w:tr>
        <w:trPr>
          <w:trHeight w:val="196"/>
        </w:trPr>
        <w:tc>
          <w:tcPr>
            <w:tcW w:w="8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64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r>
      <w:tr>
        <w:trPr>
          <w:trHeight w:val="196"/>
        </w:trPr>
        <w:tc>
          <w:tcPr>
            <w:tcW w:w="8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4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r>
      <w:tr>
        <w:trPr>
          <w:trHeight w:val="196"/>
        </w:trPr>
        <w:tc>
          <w:tcPr>
            <w:tcW w:w="8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DETERMINATION OF OFFERING PRICE</w:t>
            </w:r>
          </w:p>
        </w:tc>
        <w:tc>
          <w:tcPr>
            <w:tcW w:w="264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r>
      <w:tr>
        <w:trPr>
          <w:trHeight w:val="196"/>
        </w:trPr>
        <w:tc>
          <w:tcPr>
            <w:tcW w:w="8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4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r>
      <w:tr>
        <w:trPr>
          <w:trHeight w:val="196"/>
        </w:trPr>
        <w:tc>
          <w:tcPr>
            <w:tcW w:w="8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264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r>
      <w:tr>
        <w:trPr>
          <w:trHeight w:val="196"/>
        </w:trPr>
        <w:tc>
          <w:tcPr>
            <w:tcW w:w="8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4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r>
      <w:tr>
        <w:trPr>
          <w:trHeight w:val="196"/>
        </w:trPr>
        <w:tc>
          <w:tcPr>
            <w:tcW w:w="8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264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r>
      <w:tr>
        <w:trPr>
          <w:trHeight w:val="196"/>
        </w:trPr>
        <w:tc>
          <w:tcPr>
            <w:tcW w:w="8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4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r>
      <w:tr>
        <w:trPr>
          <w:trHeight w:val="196"/>
        </w:trPr>
        <w:tc>
          <w:tcPr>
            <w:tcW w:w="8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264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r>
      <w:tr>
        <w:trPr>
          <w:trHeight w:val="175"/>
        </w:trPr>
        <w:tc>
          <w:tcPr>
            <w:tcW w:w="8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4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Neither we nor the Selling Securityholders have authorized anyone to provide any information or to make any representations other than those contained in this Reoffer Prospectus or any accompanying prospectus supplement that we have prepared. We and the Selling Securityholders take no responsibility for, and can provide no assurance as to the reliability of, any other information that others may give you. This Reoffer Prospectus is an offer to sell only the securities offered hereby and only under circumstances and in jurisdictions where it is lawful to do so. No dealer, salesperson or other person is authorized to give any information or to represent anything not contained in this Reoffer Prospectus or any applicable prospectus supplement. This Reoffer Prospectus is not an offer to sell securities, and it is not soliciting an offer to buy securities, in any jurisdiction where the offer or sale is not permitted. You should assume that the information appearing in this Reoffer Prospectus or any prospectus supplement is accurate only as of the date on the front of those documents only, regardless of the time of delivery of this Reoffer Prospectus or any applicable prospectus supplement, or any sale of a security. Our business, financial condition, results of operations and prospects may have changed since those 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Reoffer Prospectus and the documents incorporated by reference in this Reoffer Prospectus contains forward-looking statements for purposes of the safe harbor provisions under the United States Private Securities Litigation Reform Act of 1995, including statements about the financial condition, results of operations, earnings outlook and prospects of Presto. Investors should note that on April 8, 2021, the staff of the SEC issued a public statement entitled “SPACs, IPOs and Liability Risk under the Securities Laws,” in which the SEC staff indicated that there is uncertainty as to the availability of the safe harbor under these Sections in connection with a SPAC merger. In addition, any statements that refer to projections (including EBITDA, adjusted EBITDA, EBITDA margin and revenue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projections prepared by, and are the responsibility of Presto’s management teams.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Factors that could cause actual results to differ from those implied by the forward-looking statements in this Reoffer Prospectus are more fully described under the heading “Risk Factors” and elsewhere in this Reoffer Prospectus. The risks described under the heading “Risk Factors” are not exhaustive. Other sections of this Reoffer Prospectus describe additional factors that could adversely affect the business, financial condition or results of operations of Presto. New risk factors emerge from time to time and it is not possible to predict all such risk factors, nor can Presto assess the impact of all such risk factors on the business of Presto,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Presto or persons acting on their behalf are expressly qualified in their entirety by the foregoing cautionary statements. Presto undertakes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7847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t>PROSPECTUS SUMMARY</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Reoffer Prospectus and may not contain all of the information that is important in making an investment decision. This summary is qualified in its entirety by the more detailed information included in this Reoffer Prospectus. Before making your investment decision with respect to our securities, you should carefully read this entire Reoffer Prospectus, including the information under “Risk Factors,” in this Reoffer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Presto, a Delaware corporation headquartered in San Carlos, California, seeks to overlay next-generation digital solutions onto the approximately $3 trillion hospitality industry given the hospitality industry’s current primarily analog nature and substantial reliance on labor. At present, Presto is focused on the restaurant industry. Since its founding in 2008, Presto has shipped over 250,000 enterprise-grade digital solution systems to the restaurant hospitality industry. Presto leverages decades of deep domain experience to build a technology platform that digitizes on-premise restaurant dining rooms and drive-throughs to maximize restaurant profitability and enhance the guest dining experience. Presto offers a range of Touch, Vision and Voice products to restaurants.</w:t>
      </w:r>
    </w:p>
    <w:p>
      <w:pPr>
        <w:spacing w:after="0" w:line="185" w:lineRule="exact"/>
        <w:rPr>
          <w:sz w:val="20"/>
          <w:szCs w:val="20"/>
          <w:color w:val="auto"/>
        </w:rPr>
      </w:pPr>
    </w:p>
    <w:p>
      <w:pPr>
        <w:jc w:val="both"/>
        <w:ind w:left="1300" w:right="20" w:hanging="647"/>
        <w:spacing w:after="0" w:line="25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Touch </w:t>
      </w:r>
      <w:r>
        <w:rPr>
          <w:rFonts w:ascii="Times New Roman" w:cs="Times New Roman" w:eastAsia="Times New Roman" w:hAnsi="Times New Roman"/>
          <w:sz w:val="18"/>
          <w:szCs w:val="18"/>
          <w:color w:val="auto"/>
        </w:rPr>
        <w:t>— Presto’s Touch products enable self-serve ordering, payment processing, customer (frequently referred to as logos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personalization, and gaming experiences. Presto’s latest product, Presto Flex, is an all-in-one tablet that can be deployed for a variety of applications, including serving as a tabletop device, self-serve kiosk or handheld device. Presto Flex offers Wi-Fi and LTE connectivity while weighing 25% less than an iPad with three times the battery capacity of comparable tablets. A.I. technology provides speech recognition that allows automated voice ordering by both guests and staff. Presto Flex’s front and rear cameras enable coupon scanning. Presto Flex hosts a wide range of payment options and is compliant with Payment Card Industry Data Security Standards (“PCI-DSS”). On average, Presto Flex eliminates 65% of point of sale trips increasing tables serviced and tips per server.</w:t>
      </w:r>
    </w:p>
    <w:p>
      <w:pPr>
        <w:spacing w:after="0" w:line="182" w:lineRule="exact"/>
        <w:rPr>
          <w:rFonts w:ascii="Times New Roman" w:cs="Times New Roman" w:eastAsia="Times New Roman" w:hAnsi="Times New Roman"/>
          <w:sz w:val="18"/>
          <w:szCs w:val="18"/>
          <w:color w:val="auto"/>
        </w:rPr>
      </w:pPr>
    </w:p>
    <w:p>
      <w:pPr>
        <w:jc w:val="both"/>
        <w:ind w:left="1300" w:right="20" w:hanging="647"/>
        <w:spacing w:after="0" w:line="255"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Vision </w:t>
      </w:r>
      <w:r>
        <w:rPr>
          <w:rFonts w:ascii="Times New Roman" w:cs="Times New Roman" w:eastAsia="Times New Roman" w:hAnsi="Times New Roman"/>
          <w:sz w:val="18"/>
          <w:szCs w:val="18"/>
          <w:color w:val="auto"/>
        </w:rPr>
        <w:t>— Presto’s AI-powered computer vision application provides real-time error detection, visual order tracking capabilities,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repeat guest identification. Presto Vision uses strategically located cameras and powerful artificial intelligence (“AI”) algorithms to offer unique real-time insights to restaurant operations and analytics. Presto’s next generation technology quickly identifies dropouts in drive-through lines, repeat customers, errors during food preparation, and missing items in the packing process. Vision’s smart analytics promotes items with short preparation times when queues are long and notifies managers to deploy line-busting tablets when drive-through wait times or abandonment rates are high. The Vision product also helps boost order accuracy in the restaurant hospitality industry by deploying its technology to kitchens, which allows management to monitor whether orders going out the door are substantially accurate.</w:t>
      </w:r>
    </w:p>
    <w:p>
      <w:pPr>
        <w:spacing w:after="0" w:line="184" w:lineRule="exact"/>
        <w:rPr>
          <w:rFonts w:ascii="Times New Roman" w:cs="Times New Roman" w:eastAsia="Times New Roman" w:hAnsi="Times New Roman"/>
          <w:sz w:val="18"/>
          <w:szCs w:val="18"/>
          <w:color w:val="auto"/>
        </w:rPr>
      </w:pPr>
    </w:p>
    <w:p>
      <w:pPr>
        <w:jc w:val="both"/>
        <w:ind w:left="1300" w:right="20" w:hanging="647"/>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Voice </w:t>
      </w:r>
      <w:r>
        <w:rPr>
          <w:rFonts w:ascii="Times New Roman" w:cs="Times New Roman" w:eastAsia="Times New Roman" w:hAnsi="Times New Roman"/>
          <w:sz w:val="18"/>
          <w:szCs w:val="18"/>
          <w:color w:val="auto"/>
        </w:rPr>
        <w:t>— Presto’s speech recognition technology offers guests voice-based ordering in the drive-through and other restaurant settings.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Presto’s Voice product takes orders using automated A.I. that frees up staff by automatically transmitting orders to the restaurant’s POS system. Voice technology enables faster transactions and improved order accuracy by eliminating human order taking. The Voice product also increases check sizes with automatic upselling and cross-selling functionality.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Offering</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Reoffer Prospectus relates to the public offering, which is not being underwritten, by the Selling Securityholders listed in this Reoffer Prospectus, of up to 7,514,902 shares of Common Stock previously granted to the Selling Securityholders as executive officers of Legacy Presto pursuant to restricted share awards, restricted stock units or stock options under the Legacy Presto Plans prior to the Business Combination. Subject to the vesting and/or exercise of the shares of Common Stock offered hereby pursuant to the terms of the relevant award agreements, the Selling Securityholders may from time to time sell, transfer or otherwise dispose of any or all of the shares of Common Stock covered by this Reoffer Prospectus through underwriters or dealers, directly to purchasers (or a single purchaser) or through broker-dealers or agents. We will receive none of the proceeds from the sale of the shares of Common Stock by the Selling Securityholders. The Selling Securityholders will bear all sales commissions and similar expenses in connection with this offering. We will bear all expenses of registration incurred in connection with this Reoffer Prospectus, as well as any other expenses incurred by us in connection with the registration and offering that are not borne by the Selling Securityholders.</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27"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Before making an investment decision, you should carefully consider the risks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Form 8-K filed with the SEC on September 27, 2022, together with all of the other information appearing in or incorporated by reference into this Reoffer Prospectus. Our business, prospects, financial condition, or operating results could be harmed by any of these risks, as well as other risks not currently known to us or that we currently consider immaterial. The trading price of our Common Stock could decline due to any of these risks, and, as a result, you may lose all or part of your investment. The risks we have described also include forward-looking statements, and our actual results may differ substantially from those discussed in these forward-looking statements. See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Securityholders will determine at what price they may sell the shares of Common Stock offered hereby, and such sales may be made at prevailing market prices or at privately negotiated prices.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below for more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of Common Stock offered hereby are being registered for the account of the Selling Securityholders named in this Reoffer Prospectus. All proceeds from the resale of the shares of Common Stock by the Selling Securityholders will go to the Selling Securityholders and we will not receive any proceeds from such resale.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concerning the Selling Securityholders. We will not receive any proceeds from the resale of shares by the Selling Securityholders.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table below sets forth, as of November 30, 2022 (the “Determination Date”), the following: (i) the name of each person who is offering the resale of shares of Common Stock by this Reoffer Prospectus; (ii) the number of shares (and the percentage, if 1% or more) of Common Stock beneficially owned (determined in the manner described in footnote (1) to the table below) by each person; (iii) the number of shares that each Selling Securityholder may offer for sale from time to time pursuant to this Reoffer Prospectus, whether or not such Selling Securityholder has a present intention to do so (described in footnote (2) to the table below); and (iv) the number of shares (and the percentage, if 1% or more) of Common Stock each person will own after the offering, assuming they sell all of the shares of Common Stock offered in this Reoffer Prospectus. Unless otherwise indicated, beneficial ownership is direct and, subject to community property laws where applicable, the Selling Securityholder indicated has sole voting and investment power. To our knowledge, no shares of Common Stock beneficially owned by any Selling Securityholder have been pledged as security.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Selling Securityholders identified below may have sold, transferred or otherwise disposed of some or all of their shares since the date on which the information in the following table is presented in transactions exempt from or not subject to the registration requirements of the Securities Act. Information concerning the Selling Securityholders may change from time to time and, if necessary, we will amend or supplement this prospectus accordingly. We cannot give an estimate as to the number of shares of Common Stock that will actually be held by the Selling Securityholders upon termination of this offering, because the Selling Securityholders may offer some or all of their Common Stock under the offering contemplated by this prospectus or acquire additional shares of Common Stock. The total number of shares that may be sold hereunder will not exceed the number of shares offered hereby. Please read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Reoffer Prospectus.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Beneficially Owned Prior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64"/>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00" w:type="dxa"/>
            <w:vAlign w:val="bottom"/>
            <w:gridSpan w:val="4"/>
          </w:tcPr>
          <w:p>
            <w:pPr>
              <w:jc w:val="center"/>
              <w:ind w:right="260"/>
              <w:spacing w:after="0" w:line="256" w:lineRule="exact"/>
              <w:rPr>
                <w:sz w:val="20"/>
                <w:szCs w:val="20"/>
                <w:color w:val="auto"/>
              </w:rPr>
            </w:pPr>
            <w:r>
              <w:rPr>
                <w:rFonts w:ascii="Times New Roman" w:cs="Times New Roman" w:eastAsia="Times New Roman" w:hAnsi="Times New Roman"/>
                <w:sz w:val="18"/>
                <w:szCs w:val="18"/>
                <w:b w:val="1"/>
                <w:bCs w:val="1"/>
                <w:color w:val="auto"/>
                <w:w w:val="96"/>
              </w:rPr>
              <w:t>to the Offering</w:t>
            </w:r>
            <w:r>
              <w:rPr>
                <w:rFonts w:ascii="Times New Roman" w:cs="Times New Roman" w:eastAsia="Times New Roman" w:hAnsi="Times New Roman"/>
                <w:sz w:val="29"/>
                <w:szCs w:val="29"/>
                <w:b w:val="1"/>
                <w:bCs w:val="1"/>
                <w:color w:val="auto"/>
                <w:w w:val="96"/>
                <w:vertAlign w:val="superscript"/>
              </w:rPr>
              <w:t>(1)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 Being</w:t>
            </w:r>
          </w:p>
        </w:tc>
        <w:tc>
          <w:tcPr>
            <w:tcW w:w="2600" w:type="dxa"/>
            <w:vAlign w:val="bottom"/>
            <w:gridSpan w:val="4"/>
          </w:tcPr>
          <w:p>
            <w:pPr>
              <w:jc w:val="center"/>
              <w:ind w:right="140"/>
              <w:spacing w:after="0" w:line="256" w:lineRule="exact"/>
              <w:rPr>
                <w:sz w:val="20"/>
                <w:szCs w:val="20"/>
                <w:color w:val="auto"/>
              </w:rPr>
            </w:pPr>
            <w:r>
              <w:rPr>
                <w:rFonts w:ascii="Times New Roman" w:cs="Times New Roman" w:eastAsia="Times New Roman" w:hAnsi="Times New Roman"/>
                <w:sz w:val="18"/>
                <w:szCs w:val="18"/>
                <w:b w:val="1"/>
                <w:bCs w:val="1"/>
                <w:color w:val="auto"/>
                <w:w w:val="93"/>
              </w:rPr>
              <w:t>the Offering</w:t>
            </w:r>
            <w:r>
              <w:rPr>
                <w:rFonts w:ascii="Times New Roman" w:cs="Times New Roman" w:eastAsia="Times New Roman" w:hAnsi="Times New Roman"/>
                <w:sz w:val="29"/>
                <w:szCs w:val="29"/>
                <w:b w:val="1"/>
                <w:bCs w:val="1"/>
                <w:color w:val="auto"/>
                <w:w w:val="93"/>
                <w:vertAlign w:val="superscript"/>
              </w:rPr>
              <w:t>(1)(3)</w:t>
            </w:r>
          </w:p>
        </w:tc>
      </w:tr>
      <w:tr>
        <w:trPr>
          <w:trHeight w:val="26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Selling Securityholders</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w w:val="98"/>
              </w:rPr>
              <w:t>Percentage</w:t>
            </w:r>
            <w:r>
              <w:rPr>
                <w:rFonts w:ascii="Times New Roman" w:cs="Times New Roman" w:eastAsia="Times New Roman" w:hAnsi="Times New Roman"/>
                <w:sz w:val="29"/>
                <w:szCs w:val="29"/>
                <w:b w:val="1"/>
                <w:bCs w:val="1"/>
                <w:color w:val="auto"/>
                <w:w w:val="98"/>
                <w:vertAlign w:val="superscript"/>
              </w:rPr>
              <w:t>(4)</w:t>
            </w:r>
          </w:p>
        </w:tc>
        <w:tc>
          <w:tcPr>
            <w:tcW w:w="2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b w:val="1"/>
                <w:bCs w:val="1"/>
                <w:color w:val="auto"/>
                <w:w w:val="92"/>
              </w:rPr>
              <w:t>Offered</w:t>
            </w:r>
            <w:r>
              <w:rPr>
                <w:rFonts w:ascii="Times New Roman" w:cs="Times New Roman" w:eastAsia="Times New Roman" w:hAnsi="Times New Roman"/>
                <w:sz w:val="29"/>
                <w:szCs w:val="29"/>
                <w:b w:val="1"/>
                <w:bCs w:val="1"/>
                <w:color w:val="auto"/>
                <w:w w:val="92"/>
                <w:vertAlign w:val="superscript"/>
              </w:rPr>
              <w:t>(2)</w:t>
            </w:r>
          </w:p>
        </w:tc>
        <w:tc>
          <w:tcPr>
            <w:tcW w:w="2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line="256" w:lineRule="exact"/>
              <w:rPr>
                <w:sz w:val="20"/>
                <w:szCs w:val="20"/>
                <w:color w:val="auto"/>
              </w:rPr>
            </w:pPr>
            <w:r>
              <w:rPr>
                <w:rFonts w:ascii="Times New Roman" w:cs="Times New Roman" w:eastAsia="Times New Roman" w:hAnsi="Times New Roman"/>
                <w:sz w:val="18"/>
                <w:szCs w:val="18"/>
                <w:b w:val="1"/>
                <w:bCs w:val="1"/>
                <w:color w:val="auto"/>
                <w:w w:val="96"/>
              </w:rPr>
              <w:t>Percentage</w:t>
            </w:r>
            <w:r>
              <w:rPr>
                <w:rFonts w:ascii="Times New Roman" w:cs="Times New Roman" w:eastAsia="Times New Roman" w:hAnsi="Times New Roman"/>
                <w:sz w:val="29"/>
                <w:szCs w:val="29"/>
                <w:b w:val="1"/>
                <w:bCs w:val="1"/>
                <w:color w:val="auto"/>
                <w:w w:val="96"/>
                <w:vertAlign w:val="superscript"/>
              </w:rPr>
              <w:t>(4)</w:t>
            </w:r>
          </w:p>
        </w:tc>
        <w:tc>
          <w:tcPr>
            <w:tcW w:w="160" w:type="dxa"/>
            <w:vAlign w:val="bottom"/>
            <w:tcBorders>
              <w:bottom w:val="single" w:sz="8" w:color="CCEEFF"/>
            </w:tcBorders>
          </w:tcPr>
          <w:p>
            <w:pPr>
              <w:spacing w:after="0"/>
              <w:rPr>
                <w:sz w:val="22"/>
                <w:szCs w:val="22"/>
                <w:color w:val="auto"/>
              </w:rPr>
            </w:pPr>
          </w:p>
        </w:tc>
      </w:tr>
      <w:tr>
        <w:trPr>
          <w:trHeight w:val="257"/>
        </w:trPr>
        <w:tc>
          <w:tcPr>
            <w:tcW w:w="45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Rajat Suri</w:t>
            </w:r>
            <w:r>
              <w:rPr>
                <w:rFonts w:ascii="Times New Roman" w:cs="Times New Roman" w:eastAsia="Times New Roman" w:hAnsi="Times New Roman"/>
                <w:sz w:val="29"/>
                <w:szCs w:val="29"/>
                <w:color w:val="auto"/>
                <w:vertAlign w:val="superscript"/>
              </w:rPr>
              <w:t>(5)</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6,759,732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5,298,529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2,234,703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56"/>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Kim Axel Lopdrup</w:t>
            </w:r>
            <w:r>
              <w:rPr>
                <w:rFonts w:ascii="Times New Roman" w:cs="Times New Roman" w:eastAsia="Times New Roman" w:hAnsi="Times New Roman"/>
                <w:sz w:val="29"/>
                <w:szCs w:val="29"/>
                <w:color w:val="auto"/>
                <w:vertAlign w:val="superscript"/>
              </w:rPr>
              <w:t>(6)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35,310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60,744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Ashish Gupta</w:t>
            </w:r>
            <w:r>
              <w:rPr>
                <w:rFonts w:ascii="Times New Roman" w:cs="Times New Roman" w:eastAsia="Times New Roman" w:hAnsi="Times New Roman"/>
                <w:sz w:val="29"/>
                <w:szCs w:val="29"/>
                <w:color w:val="auto"/>
                <w:vertAlign w:val="superscript"/>
              </w:rPr>
              <w:t>(7)</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598,935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728,358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William (Bill) Healey</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1,012,962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892,315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40,496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Dan Mosher</w:t>
            </w:r>
            <w:r>
              <w:rPr>
                <w:rFonts w:ascii="Times New Roman" w:cs="Times New Roman" w:eastAsia="Times New Roman" w:hAnsi="Times New Roman"/>
                <w:sz w:val="29"/>
                <w:szCs w:val="29"/>
                <w:color w:val="auto"/>
                <w:vertAlign w:val="superscript"/>
              </w:rPr>
              <w:t>(9)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235,289</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534,956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660" w:hanging="652"/>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Common Stock included in the footnote next to the Selling Securityholder’s name that the Selling Securityholder “beneficially owns,” meaning all shares of Common Stock over which the Selling Securityholder possesses sole or shared voting or investment power or has right to acquire such power within 60 days of the Determination Date (such as through the vesting of restricted stock units or the exercise of stock options). Shares subject to restricted stock units or options that vest or are exercisable within 60 days of the Determination Date are considered outstanding and beneficially owned by the Selling Securityholder holding such restricted stock units or options for the purpose of computing the ownership and percentage ownership of that Selling Securityholder, but are not treated as outstanding for the purpose of computing the ownership or percentage ownership of any other Selling Securityholder. Shares beneficially owned does not include earn-out shares for shares of Common Stock (the “Earn-Out Shares”), which represent the right to receive a number of shares of Common Stock if certain price-based vesting conditions are met following the Closing.</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Common Stock offered under this Reoffer Prospectus, which were previously granted to the Selling Securityholders pursuant to restricted stock units or stock options and vest and/or become exercisable in accordance with the terms of the agreements for such awards. This includes both shares of Common Stock from previously-granted restricted stock units or stock options that are considered “beneficially owned” as in footnote 1, as well as shares underlying restricted stock units or stock options that vest and/or become exercisable more than 60 days after the Determination Date. As a result, the number of shares of Common Stock included in this column may be higher than the same number in the column “Common Stock Beneficially Owned Prior to the Offering.”</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all of the shares of Common Stock held by each Selling Securityholder and being offered under this Reoffer Prospectus become vested and are sold, and that no Selling Securityholder will acquire additional shares of Common Stock before the completion of this offering.</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beneficial ownership is based on, as of the Determination Date, 51,108,930 shares of Common Stock issued and outstanding. Such amount excludes the Earn-Out Shares in the form of Common Stock issuable upon the satisfaction of certain earn-out conditions set forth in the Merger Agreement.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2,224,703 shares of Common Stock and (ii) 4,525,029 options to purchase shares of Common Stock exercisable within 60 days.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10,000 shares of Common Stock and (ii) 25,310 restricted stock units that vest within 60 days.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598,935 options to purchase shares of Common Stock exercisable within 60 days.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40,496 shares of Common Stock and (ii) 972,466 options to purchase shares of Common Stock exercisable within 60 days.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235,289 options to purchase shares of Common Stock exercisable within 60 days.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Other Material Relationships with the Selling Securityholders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offer letters with each of Messrs. Gupta and Mosher in August 2019 and February 2021, respectively, each of which provides for at-will employment and sets forth each NEO’s initial base salary, certain employee benefits, eligibility (subject to Board approval) to receive a grant of stock options and, in the case of Mr. Gupta, eligibility to participate in the Company’s annual cash bonus program. The offer letters do not provide for any severance in the event of a termination of employment. Mr. Mosher also entered into a restrictive covenant agreement that includes perpetual confidentiality and twelve-month post-termination employee non-solicitation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Directors and Executive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the closing of the Business Combination, we entered into indemnification agreements with each of our directors and executive officers, including the Selling Securityholders. The indemnification agreements require us to indemnify our directors and executive officers to the fullest extent permitted by Delaware law. The Delaware General Corporation Law (the “DGCL”) authorizes corporations to limit or eliminate the personal liability of directors of corporations and their stockholders for monetary damages for breaches of directors’ fiduciary duties, subject to certain exceptions. Presto’s Certificate of Incorporation (the “Charter”)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Presto or, in criminal proceedings, where the person had no reasonable cause to believe that his or her conduct was unlawful.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bylaws of Presto (the “Bylaws”) also provide that Presto must indemnify and advance expenses to Presto’s directors and officers to the fullest extent authorized by the DGCL. Presto also is expressly authorized to carry directors’ and officers’ liability insurance providing indemnification for Presto directors, officers, and certain employees for some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maintain a directors’ and officers’ insurance policy pursuant to which our directors and officers are insured against liability for actions taken in their capacities as directors and officers. We believe these provisions in the Charter, Bylaws and these indemnification agreements are necessary to attract and retain qualified persons as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Presto and other holders of Presto capital stock, including certain of the Selling Securityholders (the “Holders”) entered into the Amended and Restated Registration Rights Agreement. The Amended and Restated Registration Rights Agreement also provides the Holders with certain “demand” and “piggy-back” registration rights, subject to certain requirements and customary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shares of Common Stock covered by this Reoffer Prospectus are being registered by the Company for the account of the Selling Securityholders. The shares of Common Stock offered may be sold from time to time directly by or on behalf of each Selling Securityholder in one or more transactions on Nasdaq or any other stock exchange on which the Common Stock may be listed at the time of sale, in the over-the-counter market, in privately negotiated transactions, any other method permitted by applicable law or through a combination of such methods, at market prices prevailing at the time of sale, at prices related to such prevailing market prices, at fixed prices (which may be changed) or at negotiated prices. These transactions may include block transactions or crosses. Crosses are transactions in which the same broker acts as an agent on both sides of the trade. The Selling Securityholders may sell the Common Stock through one or more agents, brokers-dealers or directly to purchasers. Such broker-dealers may receive compensation in the form of commissions, discounts, or concessions from the Selling Securityholders and/or purchasers of the Common Stock or both. Such compensation as to a particular broker-dealer may be in excess of customary commissions. The amount of shares of Common Stock to be reoffered or resold under the Reoffer Prospectus by each Selling Securityholder and any other person with whom he or she is acting in concert for the purpose of selling Common Stock, may not exceed, during any three-month period, the amount specified in Rule 144(e) under the Securities Act.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a particular offering of the Common Stock is made, a prospectus supplement, if required, will be distributed, which will set forth the name of the Selling Securityholders, the aggregate amount of the Common Stock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their sales, a Selling Securityholder, and any participating broker-dealer may be deemed to be “underwriters” within the meaning of the Securities Act, and any commissions they receive and the proceeds of any sale of Common Stock may be deemed to be underwriting discounts and commissions under the Securities Act. We are bearing all costs relating to the registration of the Common Stock. Any commissions or other fees payable to broker-dealers in connection with any sale of the Common Stock will be borne by the Selling Securityholders or other party selling such shares of Common Stock.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Selling Securityholders will act independently of us in making decisions with respect to the timing, manner, and size of each resale or other transfer. There is no assurance that the Selling Securityholders will sell all or a portion of the Common Stock offered hereby under this Reoffer Prospectus. Further, we cannot assure you that the Selling Securityholders will not transfer, distribute, devise, or gift the Common Stock by other means not described in this Reoffer Prospectus. In addition to any Common Stock sold hereunder, Selling Securityholders may sell Common Stock in compliance with Rule 144 when available. Sales of the Common Stock must be made by the Selling Securityholders in compliance with all applicable state and federal securities laws and regulations, including the Securities Act. The Selling Securityholders may agree to indemnify any broker, dealer, or agent that participates in transactions involving sales of the Common Stock against certain liabilities in connection with the offering of the Common Stock arising under the Securities Act. We have notified the Selling Securityholders of the need to deliver a copy of this Reoffer Prospectus in connection with any sale of the Common Stock.</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anti-manipulation rules of Regulation M under the Securities Exchange Act of 1934, as amended (the “Exchange Act”) may apply to resales of shares of Common Stock and activities of the Selling Securityholders, which may limit the timing of purchases and resales of any of the shares of Common Stock by the Selling Securityholders and any other participating person. Regulation M may also restrict the ability of any person engaged in the distribution of the Common Stock to engage in passive market-making activities with respect to the Common Stock. Passive market-making involves transactions in which a market maker acts as both our underwriter and as a purchaser of shares of Common Stock in the secondary market. All of the foregoing may affect the marketability of the shares of Common Stock and the ability of any person or entity to engage in market-making activities with respect to the shares of Common Stock.</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on Form S-8, of which this Reoffer Prospectus forms a part, the shares of Common Stock will be freely tradable in the hands of persons other than our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348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incorporates by reference in this Reoffer Prospectus the following:</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by the Company with the SEC on February 23, 2022;</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Quarterly Reports on Form 10-Q for the fiscal quarters ended March 31, 2022, June 30, 2022, and September 30, 2022, filed with the SEC on </w:t>
      </w:r>
      <w:hyperlink r:id="rId31">
        <w:r>
          <w:rPr>
            <w:rFonts w:ascii="Times New Roman" w:cs="Times New Roman" w:eastAsia="Times New Roman" w:hAnsi="Times New Roman"/>
            <w:sz w:val="18"/>
            <w:szCs w:val="18"/>
            <w:u w:val="single" w:color="auto"/>
            <w:color w:val="0000EE"/>
          </w:rPr>
          <w:t>May 13, 2022</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August 15, 2022</w:t>
        </w:r>
      </w:hyperlink>
      <w:r>
        <w:rPr>
          <w:rFonts w:ascii="Times New Roman" w:cs="Times New Roman" w:eastAsia="Times New Roman" w:hAnsi="Times New Roman"/>
          <w:sz w:val="18"/>
          <w:szCs w:val="18"/>
          <w:color w:val="auto"/>
        </w:rPr>
        <w:t xml:space="preserve">, and </w:t>
      </w:r>
      <w:hyperlink r:id="rId33">
        <w:r>
          <w:rPr>
            <w:rFonts w:ascii="Times New Roman" w:cs="Times New Roman" w:eastAsia="Times New Roman" w:hAnsi="Times New Roman"/>
            <w:sz w:val="18"/>
            <w:szCs w:val="18"/>
            <w:u w:val="single" w:color="auto"/>
            <w:color w:val="0000EE"/>
          </w:rPr>
          <w:t>November 18, 2022</w:t>
        </w:r>
      </w:hyperlink>
      <w:r>
        <w:rPr>
          <w:rFonts w:ascii="Times New Roman" w:cs="Times New Roman" w:eastAsia="Times New Roman" w:hAnsi="Times New Roman"/>
          <w:sz w:val="18"/>
          <w:szCs w:val="18"/>
          <w:color w:val="auto"/>
        </w:rPr>
        <w:t>, respectively;</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Current Reports on Form 8-K, filed with the SEC on </w:t>
      </w:r>
      <w:hyperlink r:id="rId34">
        <w:r>
          <w:rPr>
            <w:rFonts w:ascii="Times New Roman" w:cs="Times New Roman" w:eastAsia="Times New Roman" w:hAnsi="Times New Roman"/>
            <w:sz w:val="18"/>
            <w:szCs w:val="18"/>
            <w:u w:val="single" w:color="auto"/>
            <w:color w:val="0000EE"/>
          </w:rPr>
          <w:t>April 4, 2022</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June 17, 2022</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July 26, 2022</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September 1, 2022</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September 12, 2022</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September 14,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September 27,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 xml:space="preserve">November 2,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December 16, 2022; and</w:t>
      </w:r>
    </w:p>
    <w:p>
      <w:pPr>
        <w:spacing w:after="0" w:line="161" w:lineRule="exact"/>
        <w:rPr>
          <w:rFonts w:ascii="Times New Roman" w:cs="Times New Roman" w:eastAsia="Times New Roman" w:hAnsi="Times New Roman"/>
          <w:sz w:val="18"/>
          <w:szCs w:val="18"/>
          <w:color w:val="0000EE"/>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the Company’s Registration Statement on </w:t>
      </w:r>
      <w:hyperlink r:id="rId42">
        <w:r>
          <w:rPr>
            <w:rFonts w:ascii="Times New Roman" w:cs="Times New Roman" w:eastAsia="Times New Roman" w:hAnsi="Times New Roman"/>
            <w:sz w:val="18"/>
            <w:szCs w:val="18"/>
            <w:u w:val="single" w:color="auto"/>
            <w:color w:val="0000EE"/>
          </w:rPr>
          <w:t>Form S-1</w:t>
        </w:r>
      </w:hyperlink>
      <w:r>
        <w:rPr>
          <w:rFonts w:ascii="Times New Roman" w:cs="Times New Roman" w:eastAsia="Times New Roman" w:hAnsi="Times New Roman"/>
          <w:sz w:val="18"/>
          <w:szCs w:val="18"/>
          <w:color w:val="auto"/>
        </w:rPr>
        <w:t>, filed by the Company with the SEC on October 21, 2022, including any amendment or report filed to update such description.</w:t>
      </w:r>
    </w:p>
    <w:p>
      <w:pPr>
        <w:spacing w:after="0" w:line="162"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Exchange Act prior to the filing of a post-effective amendment to the registration statement to which this Reoffer Prospectus relates, which indicates that all securities offered hereby have been sold or which deregisters all securities then remaining unsold, shall be deemed to be incorporated by reference in this Reoffer Prospectus and to be a part hereof from the date of filing of such documents.</w:t>
      </w:r>
    </w:p>
    <w:p>
      <w:pPr>
        <w:spacing w:after="0" w:line="180"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Reoffer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Reoffer Prospectus.</w:t>
      </w:r>
    </w:p>
    <w:p>
      <w:pPr>
        <w:spacing w:after="0" w:line="180"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information is incorporated by reference in this Reoffer Prospectus where such information under applicable forms and regulations of the SEC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Reoffer Prospectus.</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White &amp; Case LLP has issued an opinion regarding the legality of the shares of Common Stock offered hereby.</w:t>
      </w:r>
    </w:p>
    <w:p>
      <w:pPr>
        <w:spacing w:after="0" w:line="221"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rFonts w:ascii="Times New Roman" w:cs="Times New Roman" w:eastAsia="Times New Roman" w:hAnsi="Times New Roman"/>
          <w:sz w:val="18"/>
          <w:szCs w:val="18"/>
          <w:color w:val="0000EE"/>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E La Carte, Inc. (dba Presto) as of June 30, 2022 and 2021, and for the years then ended, incorporated in this prospectus by reference from Presto Automation Inc.’s Current Report on Form 8-K, have been audited by Moss Adams LLP, an independent registered public accounting firm, as stated in their report (which report expresses an unqualified opinion and includes explanatory paragraphs relating to a going concern uncertainty) which is incorporated herein by reference. Such consolidated financial statements have been so incorporated in reliance upon the report of such firm given upon their authority as experts in accounting and auditing.</w:t>
      </w:r>
    </w:p>
    <w:p>
      <w:pPr>
        <w:spacing w:after="0" w:line="183"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VTAQ as of December 31, 2021 and 2020, and for the years ended December 31, 2021 and 2020 incorporated by reference in this prospectus have been audited by WithumSmith+Brown, PC, independent registered public accounting firm, as set forth in their report thereon, incorporated by reference in this prospectus, and are incorporated in reliance on such report given on the authority of such firm as experts in auditing and accounting.</w:t>
      </w:r>
    </w:p>
    <w:p>
      <w:pPr>
        <w:spacing w:after="0" w:line="176" w:lineRule="exact"/>
        <w:rPr>
          <w:rFonts w:ascii="Times New Roman" w:cs="Times New Roman" w:eastAsia="Times New Roman" w:hAnsi="Times New Roman"/>
          <w:sz w:val="18"/>
          <w:szCs w:val="18"/>
          <w:color w:val="0000EE"/>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rFonts w:ascii="Times New Roman" w:cs="Times New Roman" w:eastAsia="Times New Roman" w:hAnsi="Times New Roman"/>
          <w:sz w:val="18"/>
          <w:szCs w:val="18"/>
          <w:color w:val="0000EE"/>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This Reoffer Prospectus is part of the registration statement, but does not contain all of the information included in the registration statement or the exhibits. Our SEC filings are available to the public on the internet at a website maintained by the SEC located at www.sec.gov. Those filings are also available to the public on, or accessible through, our website under the heading “Investors Relations” at www.presto.com. The information on our web site, however, is not, and should not be deemed to be, a part of this Reoffer Prospectus.</w:t>
      </w:r>
    </w:p>
    <w:p>
      <w:pPr>
        <w:spacing w:after="0" w:line="39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incorporates by reference in this Registration Statement the following:</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by the Company with the SEC on February 23, 2022;</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Quarterly Reports on Form 10-Q for the fiscal quarters ended March 31, 2022, June 30, 2022, and September 30, 2022, filed with the SEC on </w:t>
      </w:r>
      <w:hyperlink r:id="rId31">
        <w:r>
          <w:rPr>
            <w:rFonts w:ascii="Times New Roman" w:cs="Times New Roman" w:eastAsia="Times New Roman" w:hAnsi="Times New Roman"/>
            <w:sz w:val="18"/>
            <w:szCs w:val="18"/>
            <w:u w:val="single" w:color="auto"/>
            <w:color w:val="0000EE"/>
          </w:rPr>
          <w:t>May 13, 2022</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August 15, 2022</w:t>
        </w:r>
      </w:hyperlink>
      <w:r>
        <w:rPr>
          <w:rFonts w:ascii="Times New Roman" w:cs="Times New Roman" w:eastAsia="Times New Roman" w:hAnsi="Times New Roman"/>
          <w:sz w:val="18"/>
          <w:szCs w:val="18"/>
          <w:color w:val="auto"/>
        </w:rPr>
        <w:t xml:space="preserve">, and </w:t>
      </w:r>
      <w:hyperlink r:id="rId33">
        <w:r>
          <w:rPr>
            <w:rFonts w:ascii="Times New Roman" w:cs="Times New Roman" w:eastAsia="Times New Roman" w:hAnsi="Times New Roman"/>
            <w:sz w:val="18"/>
            <w:szCs w:val="18"/>
            <w:u w:val="single" w:color="auto"/>
            <w:color w:val="0000EE"/>
          </w:rPr>
          <w:t>November 18, 2022</w:t>
        </w:r>
      </w:hyperlink>
      <w:r>
        <w:rPr>
          <w:rFonts w:ascii="Times New Roman" w:cs="Times New Roman" w:eastAsia="Times New Roman" w:hAnsi="Times New Roman"/>
          <w:sz w:val="18"/>
          <w:szCs w:val="18"/>
          <w:color w:val="auto"/>
        </w:rPr>
        <w:t>, respectively;</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Current Reports on Form 8-K, filed with the SEC on </w:t>
      </w:r>
      <w:hyperlink r:id="rId34">
        <w:r>
          <w:rPr>
            <w:rFonts w:ascii="Times New Roman" w:cs="Times New Roman" w:eastAsia="Times New Roman" w:hAnsi="Times New Roman"/>
            <w:sz w:val="18"/>
            <w:szCs w:val="18"/>
            <w:u w:val="single" w:color="auto"/>
            <w:color w:val="0000EE"/>
          </w:rPr>
          <w:t>April 4, 2022</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June 17, 2022</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July 26, 2022</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September 1, 2022</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September 12, 2022</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September 14,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September 27,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 xml:space="preserve">November 2,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December 16,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0000EE"/>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the Company’s Registration Statement on </w:t>
      </w:r>
      <w:hyperlink r:id="rId42">
        <w:r>
          <w:rPr>
            <w:rFonts w:ascii="Times New Roman" w:cs="Times New Roman" w:eastAsia="Times New Roman" w:hAnsi="Times New Roman"/>
            <w:sz w:val="18"/>
            <w:szCs w:val="18"/>
            <w:u w:val="single" w:color="auto"/>
            <w:color w:val="0000EE"/>
          </w:rPr>
          <w:t>Form S-1</w:t>
        </w:r>
      </w:hyperlink>
      <w:r>
        <w:rPr>
          <w:rFonts w:ascii="Times New Roman" w:cs="Times New Roman" w:eastAsia="Times New Roman" w:hAnsi="Times New Roman"/>
          <w:sz w:val="18"/>
          <w:szCs w:val="18"/>
          <w:color w:val="auto"/>
        </w:rPr>
        <w:t>, filed by the Company with the SEC on October 21, 2022, including any amendment or report filed to update such description.</w:t>
      </w:r>
    </w:p>
    <w:p>
      <w:pPr>
        <w:spacing w:after="0" w:line="162"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Securities Exchange Act of 1934, as amended (the “Exchange Act”), prior to the filing of a post-effective amendment to which this Registration Statement relates, which indicates that all securities offered hereby have been sold or which deregisters all securities then remaining unsold, shall be deemed to be incorporated by reference in this Registration Statement and to be a part hereof from the date of filing or furnishing of such documents.</w:t>
      </w:r>
    </w:p>
    <w:p>
      <w:pPr>
        <w:spacing w:after="0" w:line="180"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information is incorporated by reference in this Registration Statement where such information under applicable forms and regulations of the SEC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Registration Statement.</w:t>
      </w:r>
    </w:p>
    <w:p>
      <w:pPr>
        <w:spacing w:after="0" w:line="176"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rFonts w:ascii="Times New Roman" w:cs="Times New Roman" w:eastAsia="Times New Roman" w:hAnsi="Times New Roman"/>
          <w:sz w:val="18"/>
          <w:szCs w:val="18"/>
          <w:color w:val="0000EE"/>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3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225" w:lineRule="exact"/>
        <w:rPr>
          <w:sz w:val="20"/>
          <w:szCs w:val="20"/>
          <w:color w:val="auto"/>
        </w:rPr>
      </w:pPr>
    </w:p>
    <w:p>
      <w:pPr>
        <w:jc w:val="both"/>
        <w:ind w:firstLine="656"/>
        <w:spacing w:after="0" w:line="253" w:lineRule="auto"/>
        <w:tabs>
          <w:tab w:leader="none" w:pos="8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8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8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56"/>
        <w:spacing w:after="0" w:line="261" w:lineRule="auto"/>
        <w:tabs>
          <w:tab w:leader="none" w:pos="8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8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8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Section 102(b)(7) of the DGCL, our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Charter, the liability of our directors to us or our stockholders will be eliminated or limited to the fullest extent authorized by the DGCL, as so amended. Any repeal or amendment of provisions of our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a person eligible for indemnification pursuant to our Charter will be indemnified by us in connection with a proceeding initiated by such person only if such proceeding was authorized by the Board, except for proceedings to enforce rights to indemnification.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right to indemnification which will be conferred by our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Charter or otherwise.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Charter may have or hereafter acquire under law, our Charter, our bylaws, an agreement, vote of stockholders or disinterested directors, or otherwise.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repeal or amendment of provisions of our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Charter also permits us, to the extent and in the manner authorized or permitted by law, to indemnify and to advance expenses to persons other that those specifically covered by our Charter.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current bylaws include the provisions relating to advancement of expenses and indemnification rights consistent with those which are set forth in our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repeal or amendment of provisions of our bylaws affecting indemnification rights, whether by the Board,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officers and directors a form that was filed as Exhibit 10.5 of our Registration Statement on Form S-1, filed with the SEC on January 4, 2021.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offer and sale of the shares of Common Stock being reoffered by the Reoffer Prospectus were deemed to be exempt from registration under the Securities Act in reliance upon Section 4(a)(2) of the Securities Act (or Regulation D thereunder) for offers and sales to certain grantees not involving a public offering Regulations S under the Securities Act for offers and sales to grantees outside the United States with no directed selling efforts in the United States and/or Rule 701 under the Securities Act for offers and sales to grantees pursuant to certain written compensatory benefit plans and contracts relating to compensation as provided thereunder.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300" w:type="dxa"/>
            <w:vAlign w:val="bottom"/>
            <w:gridSpan w:val="5"/>
          </w:tcPr>
          <w:p>
            <w:pPr>
              <w:ind w:left="15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Second Amended &amp; Restated Certificate of Incorporation (incorporated by reference to Exhibit 3.1 to the Current Report on Form 8-K filed</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on September 27, 2022).</w:t>
              </w:r>
            </w:hyperlink>
          </w:p>
        </w:tc>
        <w:tc>
          <w:tcPr>
            <w:tcW w:w="832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Bylaws of Presto Automation Inc. (incorporated by reference to Exhibit 3.2 to the Current Report on Form 8-K filed on September 27,</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2022).</w:t>
              </w:r>
            </w:hyperlink>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1010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Amended &amp; Restated Warrant Agreement dated as of September 21, 2022, by and among, New Presto, the Sponsors and Continental Stock</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Transfer &amp; Trust Company (incorporated by reference to Exhibit 10.3 to the Current Report on Form 8-K filed on September 27,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6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Presto Automation Inc. 2008 Stock Incentive Plan (incorporated by reference to Exhibit 10.6 to the Current Report on Form S-1 filed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October 21, 2022).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Presto Automation Inc. 2018 Equity Incentive Plan (incorporated by reference to Exhibit 10.7 to the Current Report on Form S-1 filed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October 21, 2022).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10100" w:type="dxa"/>
            <w:vAlign w:val="bottom"/>
            <w:gridSpan w:val="13"/>
          </w:tcPr>
          <w:p>
            <w:pPr>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Presto Automation Inc. 2022 Incentive Award Plan (incorporated by reference to Exhibit 10.6 to the Current Report on Form 8-K filed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September 27, 2022).</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Opinion of White &amp; Case LLP</w:t>
            </w:r>
          </w:p>
        </w:tc>
        <w:tc>
          <w:tcPr>
            <w:tcW w:w="7880" w:type="dxa"/>
            <w:vAlign w:val="bottom"/>
            <w:tcBorders>
              <w:bottom w:val="single" w:sz="8" w:color="CCEEFF"/>
            </w:tcBorders>
            <w:gridSpan w:val="6"/>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Consent of Moss Adams LLP.</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WithumSmith+Brown, PC.</w:t>
            </w:r>
          </w:p>
        </w:tc>
        <w:tc>
          <w:tcPr>
            <w:tcW w:w="7300" w:type="dxa"/>
            <w:vAlign w:val="bottom"/>
            <w:tcBorders>
              <w:bottom w:val="single" w:sz="8" w:color="CCEEFF"/>
            </w:tcBorders>
            <w:gridSpan w:val="5"/>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5"/>
                <w:szCs w:val="15"/>
                <w:color w:val="auto"/>
              </w:rPr>
            </w:pPr>
          </w:p>
        </w:tc>
        <w:tc>
          <w:tcPr>
            <w:tcW w:w="101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Consent of White &amp; Case LLP (included in Exhibit 5.1 to this Registration Statement).</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6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of certain officers and directors (included on the signature page to this Registration Statement).</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CEEFF"/>
            </w:tcBorders>
          </w:tcPr>
          <w:p>
            <w:pPr>
              <w:spacing w:after="0"/>
              <w:rPr>
                <w:sz w:val="15"/>
                <w:szCs w:val="15"/>
                <w:color w:val="auto"/>
              </w:rPr>
            </w:pPr>
          </w:p>
        </w:tc>
        <w:tc>
          <w:tcPr>
            <w:tcW w:w="822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c>
          <w:tcPr>
            <w:tcW w:w="1880" w:type="dxa"/>
            <w:vAlign w:val="bottom"/>
            <w:tcBorders>
              <w:top w:val="single" w:sz="8" w:color="CCEEFF"/>
            </w:tcBorders>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840" w:hanging="319"/>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54" w:lineRule="auto"/>
        <w:tabs>
          <w:tab w:leader="none" w:pos="26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 and</w:t>
      </w:r>
    </w:p>
    <w:p>
      <w:pPr>
        <w:spacing w:after="0" w:line="19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175" w:lineRule="exact"/>
        <w:rPr>
          <w:sz w:val="20"/>
          <w:szCs w:val="20"/>
          <w:color w:val="auto"/>
        </w:rPr>
      </w:pPr>
    </w:p>
    <w:p>
      <w:pPr>
        <w:jc w:val="both"/>
        <w:ind w:left="1960" w:hanging="656"/>
        <w:spacing w:after="0" w:line="266"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San Carlos, State of California, on December 16, 2022.</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Rajat Suri</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Ashish Gupta and Rajat Suri,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December 16,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39"/>
        </w:trPr>
        <w:tc>
          <w:tcPr>
            <w:tcW w:w="452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w w:val="99"/>
              </w:rPr>
              <w:t>/s/ Rajat Suri</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45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Rajat Suri</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1"/>
        </w:trPr>
        <w:tc>
          <w:tcPr>
            <w:tcW w:w="45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/s/ Ashish Gupta</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45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Ashish Gupta</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21"/>
        </w:trPr>
        <w:tc>
          <w:tcPr>
            <w:tcW w:w="45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/s/ Krishna K. Gupta</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Krishna K. Gupta</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45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rPr>
              <w:t>/s/ Ilya Golubovich</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Ilya Golubovich</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45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/s/ Keith Kravcik</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Keith Kravcik</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45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rPr>
              <w:t>/s/ Kim Axel Lopdrup</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Kim Axel Lopdrup</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45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/s/ Gail Zauder</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2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Gail Zauder</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1"/>
        </w:trPr>
        <w:tc>
          <w:tcPr>
            <w:tcW w:w="452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w w:val="99"/>
              </w:rPr>
              <w:t>/s/ Edward Scheetz</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5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Edward Scheetz</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637"/>
        </w:trPr>
        <w:tc>
          <w:tcPr>
            <w:tcW w:w="45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color w:val="auto"/>
              </w:rPr>
              <w:t>II-7</w:t>
            </w:r>
          </w:p>
        </w:tc>
      </w:tr>
    </w:tbl>
    <w:p>
      <w:pPr>
        <w:sectPr>
          <w:pgSz w:w="11900" w:h="16838" w:orient="portrait"/>
          <w:cols w:equalWidth="0" w:num="1">
            <w:col w:w="11240"/>
          </w:cols>
          <w:pgMar w:left="320" w:top="900"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156845</wp:posOffset>
            </wp:positionV>
            <wp:extent cx="132842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1328420" cy="10287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396875</wp:posOffset>
            </wp:positionV>
            <wp:extent cx="1457325" cy="779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14573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 Presto Automation Inc. -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acted as New York counsel to Presto Automation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registration statement on Form S-8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on the date hereof, relating to the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(i) 4,902,917 shares (the “</w:t>
      </w:r>
      <w:r>
        <w:rPr>
          <w:rFonts w:ascii="Times New Roman" w:cs="Times New Roman" w:eastAsia="Times New Roman" w:hAnsi="Times New Roman"/>
          <w:sz w:val="18"/>
          <w:szCs w:val="18"/>
          <w:u w:val="single" w:color="auto"/>
          <w:color w:val="auto"/>
        </w:rPr>
        <w:t>KHR Plan 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underlying certain outstanding stock options previously the KHR Technologies, Inc. 2008 Stock Incentive Plan (the “</w:t>
      </w:r>
      <w:r>
        <w:rPr>
          <w:rFonts w:ascii="Times New Roman" w:cs="Times New Roman" w:eastAsia="Times New Roman" w:hAnsi="Times New Roman"/>
          <w:sz w:val="18"/>
          <w:szCs w:val="18"/>
          <w:u w:val="single" w:color="auto"/>
          <w:color w:val="auto"/>
        </w:rPr>
        <w:t>KHR Plan</w:t>
      </w:r>
      <w:r>
        <w:rPr>
          <w:rFonts w:ascii="Times New Roman" w:cs="Times New Roman" w:eastAsia="Times New Roman" w:hAnsi="Times New Roman"/>
          <w:sz w:val="18"/>
          <w:szCs w:val="18"/>
          <w:color w:val="auto"/>
        </w:rPr>
        <w:t>”), (ii) 7,209,680 shares (the “</w:t>
      </w:r>
      <w:r>
        <w:rPr>
          <w:rFonts w:ascii="Times New Roman" w:cs="Times New Roman" w:eastAsia="Times New Roman" w:hAnsi="Times New Roman"/>
          <w:sz w:val="18"/>
          <w:szCs w:val="18"/>
          <w:u w:val="single" w:color="auto"/>
          <w:color w:val="auto"/>
        </w:rPr>
        <w:t>E La Carte Plan Shares</w:t>
      </w:r>
      <w:r>
        <w:rPr>
          <w:rFonts w:ascii="Times New Roman" w:cs="Times New Roman" w:eastAsia="Times New Roman" w:hAnsi="Times New Roman"/>
          <w:sz w:val="18"/>
          <w:szCs w:val="18"/>
          <w:color w:val="auto"/>
        </w:rPr>
        <w:t>,” together with the KHR Plan Shares, the “</w:t>
      </w:r>
      <w:r>
        <w:rPr>
          <w:rFonts w:ascii="Times New Roman" w:cs="Times New Roman" w:eastAsia="Times New Roman" w:hAnsi="Times New Roman"/>
          <w:sz w:val="18"/>
          <w:szCs w:val="18"/>
          <w:u w:val="single" w:color="auto"/>
          <w:color w:val="auto"/>
        </w:rPr>
        <w:t>Legacy Presto Plan Shares</w:t>
      </w:r>
      <w:r>
        <w:rPr>
          <w:rFonts w:ascii="Times New Roman" w:cs="Times New Roman" w:eastAsia="Times New Roman" w:hAnsi="Times New Roman"/>
          <w:sz w:val="18"/>
          <w:szCs w:val="18"/>
          <w:color w:val="auto"/>
        </w:rPr>
        <w:t>”) of Common Stock underlying certain outstanding stock options previously granted under the E La Carte, Inc. 2018 Equity Incentive Plan (the “E La Carte Plan,” together with the KHR Plan, the “</w:t>
      </w:r>
      <w:r>
        <w:rPr>
          <w:rFonts w:ascii="Times New Roman" w:cs="Times New Roman" w:eastAsia="Times New Roman" w:hAnsi="Times New Roman"/>
          <w:sz w:val="18"/>
          <w:szCs w:val="18"/>
          <w:u w:val="single" w:color="auto"/>
          <w:color w:val="auto"/>
        </w:rPr>
        <w:t>Legacy Presto Plans</w:t>
      </w:r>
      <w:r>
        <w:rPr>
          <w:rFonts w:ascii="Times New Roman" w:cs="Times New Roman" w:eastAsia="Times New Roman" w:hAnsi="Times New Roman"/>
          <w:sz w:val="18"/>
          <w:szCs w:val="18"/>
          <w:color w:val="auto"/>
        </w:rPr>
        <w:t>”) (ii) 4,617,400 shares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Presto Plan Shares</w:t>
      </w:r>
      <w:r>
        <w:rPr>
          <w:rFonts w:ascii="Times New Roman" w:cs="Times New Roman" w:eastAsia="Times New Roman" w:hAnsi="Times New Roman"/>
          <w:sz w:val="18"/>
          <w:szCs w:val="18"/>
          <w:color w:val="auto"/>
        </w:rPr>
        <w:t>”) of the Company’s Common Stock reserved for issuance pursuant to the Presto Automation Inc. 2022 Incentive Award Plan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Presto Plan</w:t>
      </w:r>
      <w:r>
        <w:rPr>
          <w:rFonts w:ascii="Times New Roman" w:cs="Times New Roman" w:eastAsia="Times New Roman" w:hAnsi="Times New Roman"/>
          <w:sz w:val="18"/>
          <w:szCs w:val="18"/>
          <w:color w:val="auto"/>
        </w:rPr>
        <w:t>”) and (iii) 7,514,902 shares of the Company’s Common Stock (the “</w:t>
      </w:r>
      <w:r>
        <w:rPr>
          <w:rFonts w:ascii="Times New Roman" w:cs="Times New Roman" w:eastAsia="Times New Roman" w:hAnsi="Times New Roman"/>
          <w:sz w:val="18"/>
          <w:szCs w:val="18"/>
          <w:u w:val="single" w:color="auto"/>
          <w:color w:val="auto"/>
        </w:rPr>
        <w:t>Reoffer Prospectus Shares</w:t>
      </w:r>
      <w:r>
        <w:rPr>
          <w:rFonts w:ascii="Times New Roman" w:cs="Times New Roman" w:eastAsia="Times New Roman" w:hAnsi="Times New Roman"/>
          <w:sz w:val="18"/>
          <w:szCs w:val="18"/>
          <w:color w:val="auto"/>
        </w:rPr>
        <w:t>”) previously issued under restricted stock units or stock options under the Legacy Presto Plans, including (i) outstanding stock options for which the initial sale upon exercise and (ii) outstanding restricted stock units for which the initial sale upon vesting are also registered on the Registration Statement. We refer in this opinion letter to the Legacy Presto Plan Shares, the New Presto Plan Shares and the Reoffer Prospectus Shares collectively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any related prospectus, other than as expressly stated herein with respect to the issue of the Shares.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opinion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 set forth in this opinion letter: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6011545</wp:posOffset>
            </wp:positionH>
            <wp:positionV relativeFrom="page">
              <wp:posOffset>586105</wp:posOffset>
            </wp:positionV>
            <wp:extent cx="132842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02870"/>
                    </a:xfrm>
                    <a:prstGeom prst="rect">
                      <a:avLst/>
                    </a:prstGeom>
                    <a:noFill/>
                  </pic:spPr>
                </pic:pic>
              </a:graphicData>
            </a:graphic>
          </wp:anchor>
        </w:drawing>
        <w:t>December 16, 2022</w:t>
      </w:r>
    </w:p>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Second Amended &amp; Restated Certificate of Incorporation of the Company, certified by the Secretary of State of the State of Delaware on September 21, 2022 and certified by the Secretary of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Bylaws of the Company as in effect on September 21, 2022, certified by the Secretary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of the board of directors of the Company relating to, among other matters, the filing of the Registration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Presto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Presto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Restricted Share Award Grant and Share Option Award Grant under the Legacy Presto Plans.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 expressed below, we have assumed, without independent investigation or verification of any kind, the genuineness of all signatures on documents we have reviewed, the legal capacity and competency of all natural persons signing all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the foregoing assumptions, and subject to the qualifications set forth in this opinion letter, having considered such questions of law as we have deemed necessary as a basis for the opinion expressed below, we are of the opinion that:</w:t>
      </w:r>
    </w:p>
    <w:p>
      <w:pPr>
        <w:spacing w:after="0" w:line="162" w:lineRule="exact"/>
        <w:rPr>
          <w:sz w:val="20"/>
          <w:szCs w:val="20"/>
          <w:color w:val="auto"/>
        </w:rPr>
      </w:pPr>
    </w:p>
    <w:p>
      <w:pPr>
        <w:ind w:left="760" w:hanging="415"/>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Presto Plan Shares have been duly authorized for issuance and sale pursuant to the Legacy Presto Plans by all necessary corporate action of the Company, and when issued as provided under the Legacy Presto Plans,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760" w:right="20" w:hanging="415"/>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Presto Plan Shares have been duly authorized for issuance and sale pursuant to the New Presto Plan by all necessary corporate action of the Company, and when issued as provided under the New Presto Plan,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760" w:hanging="415"/>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Reoffer Prospectus Shares have been duly authorized and are validly issued, fully paid and non-assessable.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6011545</wp:posOffset>
            </wp:positionH>
            <wp:positionV relativeFrom="page">
              <wp:posOffset>586105</wp:posOffset>
            </wp:positionV>
            <wp:extent cx="132842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28420" cy="102870"/>
                    </a:xfrm>
                    <a:prstGeom prst="rect">
                      <a:avLst/>
                    </a:prstGeom>
                    <a:noFill/>
                  </pic:spPr>
                </pic:pic>
              </a:graphicData>
            </a:graphic>
          </wp:anchor>
        </w:drawing>
        <w:t>December 16, 2022</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opinion expressed above is limited to questions arising under the Delaware General Corporation Law. We do not express any opinion as to the laws of any other jurisdiction. The opinion expressed above is limited to the matters stated in this opinion letter, and no opinion is implied or may be inferred beyond those expressly stated in this opinion letter. 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Commission as Exhibit 5.1 to the Registration Statement. In giving this consent, we do not hereby admit that we are in the category of persons whose consent is required under Section 7 of the Securities Act or the rules and regulations of the Commission promulgated thereunder.</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CJD; LKM; SP; CC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Presto Automation Inc. (the “Company”) of our report dated September 27, 2022 (December 16, 2022, as to the effects of the reverse capitalization described in Note 1), relating to the consolidated financial statements of E La Carte, Inc. (dba Presto) (which report expresses an unqualified opinion and includes an explanatory paragraph relating to a going concern uncertainty), appearing in the Current Report on Form 8-K of the Company, filed with the Securities and Exchange Commission. We also consent to the reference to us under the heading “Experts” in such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168275</wp:posOffset>
            </wp:positionV>
            <wp:extent cx="2143125" cy="634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21431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hereby consent to the incorporation by reference in the Prospectus constituting a part of this Registration Statement of our report dated February 23, 2022, relating to the financial statements of Ventoux CCM Acquisition Corp., appearing in the entity’s Annual Report on Form 10-K for the years ended December 31, 2021 and 2020. We also consent to the reference to us under the caption Experts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2743200" cy="3771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27432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WithumSmith+Brown, PC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612775</wp:posOffset>
            </wp:positionV>
            <wp:extent cx="6489065" cy="43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6489065" cy="43751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Fee</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4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45"/>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100" w:type="dxa"/>
            <w:vAlign w:val="bottom"/>
          </w:tcPr>
          <w:p>
            <w:pPr>
              <w:spacing w:after="0"/>
              <w:rPr>
                <w:sz w:val="21"/>
                <w:szCs w:val="21"/>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Class Title</w:t>
            </w: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Registered(1)</w:t>
            </w:r>
          </w:p>
        </w:tc>
        <w:tc>
          <w:tcPr>
            <w:tcW w:w="12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Unit(2)</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198"/>
        </w:trPr>
        <w:tc>
          <w:tcPr>
            <w:tcW w:w="10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1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21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$0.0001 per share</w:t>
            </w:r>
          </w:p>
        </w:tc>
        <w:tc>
          <w:tcPr>
            <w:tcW w:w="14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Other(2)</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4,902,917(3)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16,424,771.95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0.00011020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1,801.01</w:t>
            </w:r>
          </w:p>
        </w:tc>
      </w:tr>
      <w:tr>
        <w:trPr>
          <w:trHeight w:val="198"/>
        </w:trPr>
        <w:tc>
          <w:tcPr>
            <w:tcW w:w="1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21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par value</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$0.0001 per share</w:t>
            </w:r>
          </w:p>
        </w:tc>
        <w:tc>
          <w:tcPr>
            <w:tcW w:w="14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Other(2)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7,209,680(4)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24,152,428.00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0.00011020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2,661.60</w:t>
            </w:r>
          </w:p>
        </w:tc>
      </w:tr>
      <w:tr>
        <w:trPr>
          <w:trHeight w:val="198"/>
        </w:trPr>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212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par value</w:t>
            </w: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21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$0.0001 per share</w:t>
            </w:r>
          </w:p>
        </w:tc>
        <w:tc>
          <w:tcPr>
            <w:tcW w:w="14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Other(2)</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4,617,400(5)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15,468,290.00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0.00011020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1,704.61</w:t>
            </w:r>
          </w:p>
        </w:tc>
      </w:tr>
      <w:tr>
        <w:trPr>
          <w:trHeight w:val="198"/>
        </w:trPr>
        <w:tc>
          <w:tcPr>
            <w:tcW w:w="1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21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par value</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21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$0.0001 per share</w:t>
            </w:r>
          </w:p>
        </w:tc>
        <w:tc>
          <w:tcPr>
            <w:tcW w:w="14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Other(2)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7,815,278(6)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26,181,181.30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0.00011020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2,885.17</w:t>
            </w:r>
          </w:p>
        </w:tc>
      </w:tr>
      <w:tr>
        <w:trPr>
          <w:trHeight w:val="249"/>
        </w:trPr>
        <w:tc>
          <w:tcPr>
            <w:tcW w:w="3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0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82,226,671.25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0.00011020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9,061.38</w:t>
            </w:r>
          </w:p>
        </w:tc>
      </w:tr>
      <w:tr>
        <w:trPr>
          <w:trHeight w:val="210"/>
        </w:trPr>
        <w:tc>
          <w:tcPr>
            <w:tcW w:w="3140" w:type="dxa"/>
            <w:vAlign w:val="bottom"/>
            <w:tcBorders>
              <w:top w:val="single" w:sz="8" w:color="CCEEFF"/>
              <w:bottom w:val="single" w:sz="8" w:color="CCEEFF"/>
            </w:tcBorders>
            <w:gridSpan w:val="4"/>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Fee Offsets</w:t>
            </w:r>
          </w:p>
        </w:tc>
        <w:tc>
          <w:tcPr>
            <w:tcW w:w="10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9,061.38</w:t>
            </w:r>
          </w:p>
        </w:tc>
      </w:tr>
      <w:tr>
        <w:trPr>
          <w:trHeight w:val="21"/>
        </w:trPr>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ind w:left="340" w:hanging="332"/>
        <w:spacing w:after="0" w:line="25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common stock, par value $0.0001 per share (the “Common Stock”) of Presto Automation Inc. (the “Company” or the “Registrant”) that may become issuable under the terms of the: (i) KHR Technologies, Inc. 2008 Stock Incentive Plan (the “KHR Plan”), (ii) the E La Carte, Inc. 2018 Equity Incentive Plan (the “E La Carte Plan,” together with the KHR Plan, the “Legacy Presto Plans”) or (iii) the Presto Automation Inc. 2022 Incentive Award Plan (the “New Presto Plan”), as applicable, by reason of any share split, share dividend, recapitalization or other similar transaction effected without the Company’s receipt of consideration which results in an increase in the number of the outstanding shares of Common Stock.</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(h) under the Securities Act, based upon the average of the high and low selling prices of the common stock on December 13, 2022, as reported on Nasdaq.</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underlying certain outstanding stock options previously granted under the KHR Plan.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pursuant to future awards under the E La Carte Plan.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pursuant to future awards under the New Presto Plan.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previously granted under restricted stock units or stock options under the Legacy Presto Plans, the reoffer and resale of which are registered hereunder.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2 – Fee Offset Claims and Sources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7"/>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
    <w:nsid w:val="3352255A"/>
    <w:multiLevelType w:val="hybridMultilevel"/>
    <w:lvl w:ilvl="0">
      <w:lvlJc w:val="left"/>
      <w:lvlText w:val="%1"/>
      <w:numFmt w:val="lowerLetter"/>
      <w:start w:val="1"/>
    </w:lvl>
    <w:lvl w:ilvl="1">
      <w:lvlJc w:val="left"/>
      <w:lvlText w:val="(%2)"/>
      <w:numFmt w:val="decimal"/>
      <w:start w:val="2"/>
    </w:lvl>
  </w:abstractNum>
  <w:abstractNum w:abstractNumId="11">
    <w:nsid w:val="109CF92E"/>
    <w:multiLevelType w:val="hybridMultilevel"/>
    <w:lvl w:ilvl="0">
      <w:lvlJc w:val="left"/>
      <w:lvlText w:val="(%1)"/>
      <w:numFmt w:val="lowerLetter"/>
      <w:start w:val="2"/>
    </w:lvl>
    <w:lvl w:ilvl="1">
      <w:lvlJc w:val="left"/>
      <w:lvlText w:val="%2"/>
      <w:numFmt w:val="decimal"/>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3"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jpeg"/><Relationship Id="rId59" Type="http://schemas.openxmlformats.org/officeDocument/2006/relationships/image" Target="media/image32.jpeg"/><Relationship Id="rId60" Type="http://schemas.openxmlformats.org/officeDocument/2006/relationships/image" Target="media/image33.png"/><Relationship Id="rId61" Type="http://schemas.openxmlformats.org/officeDocument/2006/relationships/image" Target="media/image34.jpeg"/><Relationship Id="rId62" Type="http://schemas.openxmlformats.org/officeDocument/2006/relationships/image" Target="media/image35.png"/><Relationship Id="rId63" Type="http://schemas.openxmlformats.org/officeDocument/2006/relationships/image" Target="media/image36.jpeg"/><Relationship Id="rId64" Type="http://schemas.openxmlformats.org/officeDocument/2006/relationships/image" Target="media/image37.png"/><Relationship Id="rId65" Type="http://schemas.openxmlformats.org/officeDocument/2006/relationships/image" Target="media/image38.jpeg"/><Relationship Id="rId66" Type="http://schemas.openxmlformats.org/officeDocument/2006/relationships/image" Target="media/image39.jpeg"/><Relationship Id="rId67" Type="http://schemas.openxmlformats.org/officeDocument/2006/relationships/image" Target="media/image40.jpeg"/><Relationship Id="rId30" Type="http://schemas.openxmlformats.org/officeDocument/2006/relationships/hyperlink" Target="http://www.sec.gov/ix?doc=/Archives/edgar/data/1822145/000121390022009002/f10k2021_ventouxccmacq.htm" TargetMode="External"/><Relationship Id="rId31" Type="http://schemas.openxmlformats.org/officeDocument/2006/relationships/hyperlink" Target="http://www.sec.gov/ix?doc=/Archives/edgar/data/1822145/000121390022026430/f10q0322_ventouxccmacq.htm" TargetMode="External"/><Relationship Id="rId32" Type="http://schemas.openxmlformats.org/officeDocument/2006/relationships/hyperlink" Target="http://www.sec.gov/ix?doc=/Archives/edgar/data/1822145/000121390022047958/f10q0622_ventouxccmacq.htm" TargetMode="External"/><Relationship Id="rId33" Type="http://schemas.openxmlformats.org/officeDocument/2006/relationships/hyperlink" Target="http://www.sec.gov/ix?doc=/Archives/edgar/data/1822145/000121390022073927/f10q0922_prestoauto.htm" TargetMode="External"/><Relationship Id="rId34" Type="http://schemas.openxmlformats.org/officeDocument/2006/relationships/hyperlink" Target="http://www.sec.gov/ix?doc=/Archives/edgar/data/1822145/000121390022017828/ea157923-8k_ventoux.htm" TargetMode="External"/><Relationship Id="rId35" Type="http://schemas.openxmlformats.org/officeDocument/2006/relationships/hyperlink" Target="http://www.sec.gov/ix?doc=/Archives/edgar/data/1822145/000121390022033583/ea161746-8k_ventouxccm.htm" TargetMode="External"/><Relationship Id="rId36" Type="http://schemas.openxmlformats.org/officeDocument/2006/relationships/hyperlink" Target="http://www.sec.gov/ix?doc=/Archives/edgar/data/1822145/000121390022041523/ea163294-8k425_ventoux.htm" TargetMode="External"/><Relationship Id="rId37" Type="http://schemas.openxmlformats.org/officeDocument/2006/relationships/hyperlink" Target="http://www.sec.gov/ix?doc=/Archives/edgar/data/1822145/000121390022052977/ea165204-8k_ventoux.htm" TargetMode="External"/><Relationship Id="rId38" Type="http://schemas.openxmlformats.org/officeDocument/2006/relationships/hyperlink" Target="http://www.sec.gov/ix?doc=/Archives/edgar/data/1822145/000121390022055137/ea165590-8k_ventoux.htm" TargetMode="External"/><Relationship Id="rId39" Type="http://schemas.openxmlformats.org/officeDocument/2006/relationships/hyperlink" Target="http://www.sec.gov/ix?doc=/Archives/edgar/data/1822145/000121390022055948/ea165786-8k_ventoux.htm" TargetMode="External"/><Relationship Id="rId40" Type="http://schemas.openxmlformats.org/officeDocument/2006/relationships/hyperlink" Target="http://www.sec.gov/ix?doc=/Archives/edgar/data/1822145/000121390022059478/ea166244-8k_prestoauto.htm" TargetMode="External"/><Relationship Id="rId41" Type="http://schemas.openxmlformats.org/officeDocument/2006/relationships/hyperlink" Target="http://www.sec.gov/ix?doc=/Archives/edgar/data/1822145/000121390022068735/ea167911-8k_prestoauto.htm" TargetMode="External"/><Relationship Id="rId42" Type="http://schemas.openxmlformats.org/officeDocument/2006/relationships/hyperlink" Target="http://www.sec.gov/Archives/edgar/data/1822145/000121390022065582/fs12022_prestoauto.htm" TargetMode="External"/><Relationship Id="rId44" Type="http://schemas.openxmlformats.org/officeDocument/2006/relationships/hyperlink" Target="https://www.sec.gov/ix?doc=/Archives/edgar/data/1822145/000121390022080545/ea170141-8k_prestoauto.htm" TargetMode="External"/><Relationship Id="rId49" Type="http://schemas.openxmlformats.org/officeDocument/2006/relationships/hyperlink" Target="http://www.sec.gov/Archives/edgar/data/1822145/000121390022059478/ea166244ex3-1_prestoauto.htm" TargetMode="External"/><Relationship Id="rId50" Type="http://schemas.openxmlformats.org/officeDocument/2006/relationships/hyperlink" Target="http://www.sec.gov/Archives/edgar/data/1822145/000121390022059478/ea166244ex3-2_prestoauto.htm" TargetMode="External"/><Relationship Id="rId51" Type="http://schemas.openxmlformats.org/officeDocument/2006/relationships/hyperlink" Target="http://www.sec.gov/Archives/edgar/data/1822145/000121390022059478/ea166244ex10-3_prestoauto.htm" TargetMode="External"/><Relationship Id="rId52" Type="http://schemas.openxmlformats.org/officeDocument/2006/relationships/hyperlink" Target="http://www.sec.gov/Archives/edgar/data/1822145/000121390022065582/fs12022ex10-6_presto.htm" TargetMode="External"/><Relationship Id="rId53" Type="http://schemas.openxmlformats.org/officeDocument/2006/relationships/hyperlink" Target="http://www.sec.gov/Archives/edgar/data/1822145/000121390022065582/fs12022ex10-7_presto.htm" TargetMode="External"/><Relationship Id="rId54" Type="http://schemas.openxmlformats.org/officeDocument/2006/relationships/hyperlink" Target="http://www.sec.gov/Archives/edgar/data/1822145/000121390022059478/ea166244ex10-6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2022-12-16T15:57:03Z</dcterms:created>
  <dcterms:modified xsi:type="dcterms:W3CDTF">2022-12-16T15:57:03Z</dcterms:modified>
</cp:coreProperties>
</file>