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0"/>
        <w:spacing w:after="0"/>
        <w:rPr>
          <w:sz w:val="20"/>
          <w:szCs w:val="20"/>
          <w:color w:val="auto"/>
        </w:rPr>
      </w:pPr>
      <w:r>
        <w:rPr>
          <w:rFonts w:ascii="Times New Roman" w:cs="Times New Roman" w:eastAsia="Times New Roman" w:hAnsi="Times New Roman"/>
          <w:sz w:val="18"/>
          <w:szCs w:val="18"/>
          <w:b w:val="1"/>
          <w:bCs w:val="1"/>
          <w:color w:val="auto"/>
        </w:rPr>
        <w:t>Confidentially submitted to the U.S. Securities and Exchange Commission on August 27, 2020</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draft registration statement has not been publicly filed with the Securities and Exchange Commission,</w:t>
      </w:r>
    </w:p>
    <w:p>
      <w:pPr>
        <w:spacing w:after="0" w:line="9"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and all information herein remains strictly confidential.</w:t>
      </w:r>
    </w:p>
    <w:p>
      <w:pPr>
        <w:spacing w:after="0" w:line="14"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Registration No. 333-</w:t>
      </w:r>
      <w:r>
        <w:rPr>
          <w:rFonts w:ascii="Times New Roman" w:cs="Times New Roman" w:eastAsia="Times New Roman" w:hAnsi="Times New Roman"/>
          <w:sz w:val="18"/>
          <w:szCs w:val="18"/>
          <w:color w:val="auto"/>
        </w:rPr>
        <w:t>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114300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223"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6770</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84-2968594</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vMerge w:val="continue"/>
          </w:tcPr>
          <w:p>
            <w:pPr>
              <w:spacing w:after="0"/>
              <w:rPr>
                <w:sz w:val="16"/>
                <w:szCs w:val="16"/>
                <w:color w:val="auto"/>
              </w:rPr>
            </w:pPr>
          </w:p>
        </w:tc>
        <w:tc>
          <w:tcPr>
            <w:tcW w:w="2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vMerge w:val="continue"/>
          </w:tcPr>
          <w:p>
            <w:pPr>
              <w:spacing w:after="0"/>
              <w:rPr>
                <w:sz w:val="16"/>
                <w:szCs w:val="16"/>
                <w:color w:val="auto"/>
              </w:rPr>
            </w:pP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1"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Edward Scheetz</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East Putnam Avenue, Floor 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60" w:type="dxa"/>
        <w:tblCellMar>
          <w:top w:w="0" w:type="dxa"/>
          <w:left w:w="0" w:type="dxa"/>
          <w:bottom w:w="0" w:type="dxa"/>
          <w:right w:w="0" w:type="dxa"/>
        </w:tblCellMar>
      </w:tblP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Mitchell S. Nussbaum</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Alan I. Annex</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Giovanni Caruso</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Philip R. Weingold</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Loeb &amp; Loeb LLP</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Jason T. Simon</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345 Park Avenue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Greenberg Traurig, LLP</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 10154</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200 Park Avenue</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407-4000</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7"/>
              </w:rPr>
              <w:t>New York, New York 10166</w:t>
            </w:r>
          </w:p>
        </w:tc>
      </w:tr>
      <w:tr>
        <w:trPr>
          <w:trHeight w:val="216"/>
        </w:trPr>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(212) 407-4990 — Facsimile</w:t>
            </w: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801-8200</w:t>
            </w:r>
          </w:p>
        </w:tc>
      </w:tr>
      <w:tr>
        <w:trPr>
          <w:trHeight w:val="238"/>
        </w:trPr>
        <w:tc>
          <w:tcPr>
            <w:tcW w:w="2160" w:type="dxa"/>
            <w:vAlign w:val="bottom"/>
          </w:tcPr>
          <w:p>
            <w:pPr>
              <w:spacing w:after="0"/>
              <w:rPr>
                <w:sz w:val="20"/>
                <w:szCs w:val="20"/>
                <w:color w:val="auto"/>
              </w:rPr>
            </w:pPr>
          </w:p>
        </w:tc>
        <w:tc>
          <w:tcPr>
            <w:tcW w:w="408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(212) 801-6400 — Facsimile</w:t>
            </w:r>
          </w:p>
        </w:tc>
      </w:tr>
      <w:tr>
        <w:trPr>
          <w:trHeight w:val="432"/>
        </w:trPr>
        <w:tc>
          <w:tcPr>
            <w:tcW w:w="2160" w:type="dxa"/>
            <w:vAlign w:val="bottom"/>
          </w:tcPr>
          <w:p>
            <w:pPr>
              <w:spacing w:after="0"/>
              <w:rPr>
                <w:sz w:val="24"/>
                <w:szCs w:val="24"/>
                <w:color w:val="auto"/>
              </w:rPr>
            </w:pPr>
          </w:p>
        </w:tc>
        <w:tc>
          <w:tcPr>
            <w:tcW w:w="4080" w:type="dxa"/>
            <w:vAlign w:val="bottom"/>
          </w:tcPr>
          <w:p>
            <w:pPr>
              <w:jc w:val="right"/>
              <w:ind w:right="2070"/>
              <w:spacing w:after="0"/>
              <w:rPr>
                <w:sz w:val="20"/>
                <w:szCs w:val="20"/>
                <w:color w:val="auto"/>
              </w:rPr>
            </w:pPr>
            <w:r>
              <w:rPr>
                <w:rFonts w:ascii="Times New Roman" w:cs="Times New Roman" w:eastAsia="Times New Roman" w:hAnsi="Times New Roman"/>
                <w:sz w:val="18"/>
                <w:szCs w:val="18"/>
                <w:b w:val="1"/>
                <w:bCs w:val="1"/>
                <w:color w:val="auto"/>
              </w:rPr>
              <w:t>_____________________</w:t>
            </w:r>
          </w:p>
        </w:tc>
      </w:tr>
    </w:tbl>
    <w:p>
      <w:pPr>
        <w:spacing w:after="0" w:line="133" w:lineRule="exact"/>
        <w:rPr>
          <w:sz w:val="24"/>
          <w:szCs w:val="24"/>
          <w:color w:val="auto"/>
        </w:rPr>
      </w:pPr>
    </w:p>
    <w:p>
      <w:pPr>
        <w:jc w:val="both"/>
        <w:ind w:left="460" w:right="479" w:firstLine="432"/>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this offering.</w:t>
      </w:r>
    </w:p>
    <w:p>
      <w:pPr>
        <w:spacing w:after="0" w:line="13" w:lineRule="exact"/>
        <w:rPr>
          <w:sz w:val="24"/>
          <w:szCs w:val="24"/>
          <w:color w:val="auto"/>
        </w:rPr>
      </w:pPr>
    </w:p>
    <w:p>
      <w:pPr>
        <w:jc w:val="both"/>
        <w:ind w:left="460" w:right="479" w:firstLine="432"/>
        <w:spacing w:after="0" w:line="302" w:lineRule="auto"/>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6"/>
          <w:szCs w:val="16"/>
          <w:color w:val="auto"/>
        </w:rPr>
        <w:t>£</w:t>
      </w:r>
    </w:p>
    <w:p>
      <w:pPr>
        <w:spacing w:after="0" w:line="22"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3" w:lineRule="exact"/>
        <w:rPr>
          <w:sz w:val="24"/>
          <w:szCs w:val="24"/>
          <w:color w:val="auto"/>
        </w:rPr>
      </w:pPr>
    </w:p>
    <w:p>
      <w:pPr>
        <w:jc w:val="both"/>
        <w:ind w:left="460" w:right="45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23"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6"/>
          <w:szCs w:val="16"/>
          <w:color w:val="auto"/>
        </w:rPr>
        <w:t>£</w:t>
      </w:r>
    </w:p>
    <w:p>
      <w:pPr>
        <w:spacing w:after="0" w:line="37" w:lineRule="exact"/>
        <w:rPr>
          <w:sz w:val="24"/>
          <w:szCs w:val="24"/>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920" w:type="dxa"/>
        <w:tblCellMar>
          <w:top w:w="0" w:type="dxa"/>
          <w:left w:w="0" w:type="dxa"/>
          <w:bottom w:w="0" w:type="dxa"/>
          <w:right w:w="0" w:type="dxa"/>
        </w:tblCellMar>
      </w:tblP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84"/>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00" w:type="dxa"/>
            <w:vAlign w:val="bottom"/>
          </w:tcPr>
          <w:p>
            <w:pPr>
              <w:ind w:left="260"/>
              <w:spacing w:after="0"/>
              <w:rPr>
                <w:sz w:val="20"/>
                <w:szCs w:val="20"/>
                <w:color w:val="auto"/>
              </w:rPr>
            </w:pPr>
            <w:r>
              <w:rPr>
                <w:rFonts w:ascii="Arial" w:cs="Arial" w:eastAsia="Arial" w:hAnsi="Arial"/>
                <w:sz w:val="16"/>
                <w:szCs w:val="16"/>
                <w:color w:val="auto"/>
              </w:rPr>
              <w:t>S</w:t>
            </w: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r>
        <w:trPr>
          <w:trHeight w:val="283"/>
        </w:trPr>
        <w:tc>
          <w:tcPr>
            <w:tcW w:w="1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8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300"/>
              <w:spacing w:after="0"/>
              <w:rPr>
                <w:sz w:val="20"/>
                <w:szCs w:val="20"/>
                <w:color w:val="auto"/>
              </w:rPr>
            </w:pPr>
            <w:r>
              <w:rPr>
                <w:rFonts w:ascii="Arial" w:cs="Arial" w:eastAsia="Arial" w:hAnsi="Arial"/>
                <w:sz w:val="16"/>
                <w:szCs w:val="16"/>
                <w:color w:val="auto"/>
                <w:w w:val="93"/>
              </w:rPr>
              <w:t>S</w:t>
            </w:r>
          </w:p>
        </w:tc>
      </w:tr>
    </w:tbl>
    <w:p>
      <w:pPr>
        <w:spacing w:after="0" w:line="191" w:lineRule="exact"/>
        <w:rPr>
          <w:sz w:val="24"/>
          <w:szCs w:val="24"/>
          <w:color w:val="auto"/>
        </w:rPr>
      </w:pPr>
    </w:p>
    <w:p>
      <w:pPr>
        <w:jc w:val="both"/>
        <w:ind w:left="460" w:right="479" w:firstLine="432"/>
        <w:spacing w:after="0" w:line="28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25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4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2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9"/>
        </w:trPr>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Security being registered</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40" w:type="dxa"/>
            <w:vAlign w:val="bottom"/>
          </w:tcPr>
          <w:p>
            <w:pPr>
              <w:spacing w:after="0"/>
              <w:rPr>
                <w:sz w:val="22"/>
                <w:szCs w:val="22"/>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22"/>
                <w:szCs w:val="22"/>
                <w:color w:val="auto"/>
              </w:rPr>
            </w:pPr>
          </w:p>
        </w:tc>
        <w:tc>
          <w:tcPr>
            <w:tcW w:w="1080" w:type="dxa"/>
            <w:vAlign w:val="bottom"/>
            <w:gridSpan w:val="2"/>
          </w:tcPr>
          <w:p>
            <w:pPr>
              <w:jc w:val="center"/>
              <w:ind w:right="220"/>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Price</w:t>
            </w:r>
            <w:r>
              <w:rPr>
                <w:rFonts w:ascii="Times New Roman" w:cs="Times New Roman" w:eastAsia="Times New Roman" w:hAnsi="Times New Roman"/>
                <w:sz w:val="9"/>
                <w:szCs w:val="9"/>
                <w:b w:val="1"/>
                <w:bCs w:val="1"/>
                <w:color w:val="auto"/>
                <w:w w:val="88"/>
              </w:rPr>
              <w:t>(1)(2)</w:t>
            </w:r>
          </w:p>
        </w:tc>
        <w:tc>
          <w:tcPr>
            <w:tcW w:w="120" w:type="dxa"/>
            <w:vAlign w:val="bottom"/>
          </w:tcPr>
          <w:p>
            <w:pPr>
              <w:spacing w:after="0"/>
              <w:rPr>
                <w:sz w:val="22"/>
                <w:szCs w:val="22"/>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share of common</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$0.0001 par value and one warrant</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entitling the holder to purchase one-half of one</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common stock</w:t>
            </w:r>
            <w:r>
              <w:rPr>
                <w:rFonts w:ascii="Times New Roman" w:cs="Times New Roman" w:eastAsia="Times New Roman" w:hAnsi="Times New Roman"/>
                <w:sz w:val="20"/>
                <w:szCs w:val="20"/>
                <w:color w:val="auto"/>
                <w:vertAlign w:val="superscript"/>
              </w:rPr>
              <w:t>(2)</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17,250,000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22,390.50</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as part of the units</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60" w:type="dxa"/>
            <w:vAlign w:val="bottom"/>
            <w:gridSpan w:val="2"/>
          </w:tcPr>
          <w:p>
            <w:pPr>
              <w:ind w:left="720"/>
              <w:spacing w:after="0" w:line="275" w:lineRule="exact"/>
              <w:rPr>
                <w:sz w:val="20"/>
                <w:szCs w:val="20"/>
                <w:color w:val="auto"/>
              </w:rPr>
            </w:pPr>
            <w:r>
              <w:rPr>
                <w:rFonts w:ascii="Times New Roman" w:cs="Times New Roman" w:eastAsia="Times New Roman" w:hAnsi="Times New Roman"/>
                <w:sz w:val="31"/>
                <w:szCs w:val="31"/>
                <w:color w:val="auto"/>
                <w:w w:val="98"/>
                <w:vertAlign w:val="subscript"/>
              </w:rPr>
              <w:t>—</w:t>
            </w:r>
            <w:r>
              <w:rPr>
                <w:rFonts w:ascii="Times New Roman" w:cs="Times New Roman" w:eastAsia="Times New Roman" w:hAnsi="Times New Roman"/>
                <w:sz w:val="10"/>
                <w:szCs w:val="10"/>
                <w:color w:val="auto"/>
                <w:w w:val="98"/>
              </w:rPr>
              <w:t>(3)</w:t>
            </w:r>
          </w:p>
        </w:tc>
        <w:tc>
          <w:tcPr>
            <w:tcW w:w="0" w:type="dxa"/>
            <w:vAlign w:val="bottom"/>
          </w:tcPr>
          <w:p>
            <w:pPr>
              <w:spacing w:after="0"/>
              <w:rPr>
                <w:sz w:val="1"/>
                <w:szCs w:val="1"/>
                <w:color w:val="auto"/>
              </w:rPr>
            </w:pPr>
          </w:p>
        </w:tc>
      </w:tr>
      <w:tr>
        <w:trPr>
          <w:trHeight w:val="28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included as part of the units</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17,250,000</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720"/>
              <w:spacing w:after="0" w:line="283" w:lineRule="exact"/>
              <w:rPr>
                <w:sz w:val="20"/>
                <w:szCs w:val="20"/>
                <w:color w:val="auto"/>
              </w:rPr>
            </w:pPr>
            <w:r>
              <w:rPr>
                <w:rFonts w:ascii="Times New Roman" w:cs="Times New Roman" w:eastAsia="Times New Roman" w:hAnsi="Times New Roman"/>
                <w:sz w:val="32"/>
                <w:szCs w:val="32"/>
                <w:color w:val="auto"/>
                <w:w w:val="96"/>
                <w:vertAlign w:val="subscript"/>
              </w:rPr>
              <w:t>—</w:t>
            </w:r>
            <w:r>
              <w:rPr>
                <w:rFonts w:ascii="Times New Roman" w:cs="Times New Roman" w:eastAsia="Times New Roman" w:hAnsi="Times New Roman"/>
                <w:sz w:val="10"/>
                <w:szCs w:val="10"/>
                <w:color w:val="auto"/>
                <w:w w:val="96"/>
              </w:rPr>
              <w:t>(3)</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800" w:type="dxa"/>
            <w:vAlign w:val="bottom"/>
            <w:gridSpan w:val="2"/>
            <w:vMerge w:val="continue"/>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22,390.50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8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pursuant to Rule 457(o) under the Securities Act of 1933, as amended.</w:t>
      </w:r>
    </w:p>
    <w:p>
      <w:pPr>
        <w:jc w:val="both"/>
        <w:ind w:left="880" w:right="459" w:hanging="426"/>
        <w:spacing w:after="0" w:line="264" w:lineRule="auto"/>
        <w:tabs>
          <w:tab w:leader="none" w:pos="104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the aggregate of 15,000,000 units to be issued to public stockholders in the public offering, and 2,250,000 units which may be issued upon exercise of a 45-day option granted to the Underwriters to cover over-allotments, if any; and (B) shares of common stock and warrants underlying such units.</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fee pursuant to Rule 457(g).</w:t>
      </w:r>
    </w:p>
    <w:p>
      <w:pPr>
        <w:spacing w:after="0" w:line="15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350520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both"/>
        <w:ind w:left="460" w:right="459"/>
        <w:spacing w:after="0" w:line="276" w:lineRule="auto"/>
        <w:rPr>
          <w:sz w:val="20"/>
          <w:szCs w:val="20"/>
          <w:color w:val="auto"/>
        </w:rPr>
      </w:pPr>
      <w:r>
        <w:rPr>
          <w:rFonts w:ascii="Times New Roman" w:cs="Times New Roman" w:eastAsia="Times New Roman" w:hAnsi="Times New Roman"/>
          <w:sz w:val="16"/>
          <w:szCs w:val="16"/>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60" w:lineRule="exact"/>
        <w:rPr>
          <w:sz w:val="20"/>
          <w:szCs w:val="20"/>
          <w:color w:val="auto"/>
        </w:rPr>
      </w:pPr>
    </w:p>
    <w:p>
      <w:pPr>
        <w:ind w:left="460"/>
        <w:spacing w:after="0"/>
        <w:tabs>
          <w:tab w:leader="none" w:pos="4300" w:val="left"/>
        </w:tabs>
        <w:rPr>
          <w:sz w:val="20"/>
          <w:szCs w:val="20"/>
          <w:color w:val="auto"/>
        </w:rPr>
      </w:pPr>
      <w:r>
        <w:rPr>
          <w:rFonts w:ascii="Times New Roman" w:cs="Times New Roman" w:eastAsia="Times New Roman" w:hAnsi="Times New Roman"/>
          <w:sz w:val="18"/>
          <w:szCs w:val="18"/>
          <w:b w:val="1"/>
          <w:bCs w:val="1"/>
          <w:color w:val="D2232A"/>
        </w:rPr>
        <w:t>PRELIMINARY PROSPECTUS</w:t>
      </w:r>
      <w:r>
        <w:rPr>
          <w:sz w:val="20"/>
          <w:szCs w:val="20"/>
          <w:color w:val="auto"/>
        </w:rPr>
        <w:tab/>
      </w:r>
      <w:r>
        <w:rPr>
          <w:rFonts w:ascii="Times New Roman" w:cs="Times New Roman" w:eastAsia="Times New Roman" w:hAnsi="Times New Roman"/>
          <w:sz w:val="17"/>
          <w:szCs w:val="17"/>
          <w:b w:val="1"/>
          <w:bCs w:val="1"/>
          <w:color w:val="D2232A"/>
        </w:rPr>
        <w:t xml:space="preserve">SUBJECT TO COMPLETION, DATED </w:t>
      </w:r>
      <w:r>
        <w:rPr>
          <w:rFonts w:ascii="Times New Roman" w:cs="Times New Roman" w:eastAsia="Times New Roman" w:hAnsi="Times New Roman"/>
          <w:sz w:val="17"/>
          <w:szCs w:val="17"/>
          <w:color w:val="D2232A"/>
        </w:rPr>
        <w:t>_______</w:t>
      </w:r>
      <w:r>
        <w:rPr>
          <w:rFonts w:ascii="Times New Roman" w:cs="Times New Roman" w:eastAsia="Times New Roman" w:hAnsi="Times New Roman"/>
          <w:sz w:val="17"/>
          <w:szCs w:val="17"/>
          <w:b w:val="1"/>
          <w:bCs w:val="1"/>
          <w:color w:val="D2232A"/>
        </w:rPr>
        <w:t>, 2020</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VENTOUX CCM ACQUISITION CORP.</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47" w:lineRule="exact"/>
        <w:rPr>
          <w:sz w:val="20"/>
          <w:szCs w:val="20"/>
          <w:color w:val="auto"/>
        </w:rPr>
      </w:pPr>
    </w:p>
    <w:p>
      <w:pPr>
        <w:jc w:val="both"/>
        <w:ind w:left="460" w:right="459" w:firstLine="432"/>
        <w:spacing w:after="0" w:line="226" w:lineRule="auto"/>
        <w:rPr>
          <w:sz w:val="20"/>
          <w:szCs w:val="20"/>
          <w:color w:val="auto"/>
        </w:rPr>
      </w:pPr>
      <w:r>
        <w:rPr>
          <w:rFonts w:ascii="Times New Roman" w:cs="Times New Roman" w:eastAsia="Times New Roman" w:hAnsi="Times New Roman"/>
          <w:sz w:val="14"/>
          <w:szCs w:val="14"/>
          <w:color w:val="auto"/>
        </w:rPr>
        <w:t>Ventoux CCM Acquisition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5" w:lineRule="exact"/>
        <w:rPr>
          <w:sz w:val="20"/>
          <w:szCs w:val="20"/>
          <w:color w:val="auto"/>
        </w:rPr>
      </w:pPr>
    </w:p>
    <w:p>
      <w:pPr>
        <w:jc w:val="both"/>
        <w:ind w:left="460" w:right="459" w:firstLine="432"/>
        <w:spacing w:after="0" w:line="227" w:lineRule="auto"/>
        <w:rPr>
          <w:sz w:val="20"/>
          <w:szCs w:val="20"/>
          <w:color w:val="auto"/>
        </w:rPr>
      </w:pPr>
      <w:r>
        <w:rPr>
          <w:rFonts w:ascii="Times New Roman" w:cs="Times New Roman" w:eastAsia="Times New Roman" w:hAnsi="Times New Roman"/>
          <w:sz w:val="14"/>
          <w:szCs w:val="14"/>
          <w:color w:val="auto"/>
        </w:rPr>
        <w:t>This is an initial public offering of our securities. We are offering 15,000,000 units at an offering price of $10.00 per unit. Each unit consists of one share of common stock, par value $0.0001, and one warrant, which we refer to throughout this prospectus as “warrants” or the “public warrants.” Each warrant entitles the holder thereof to purchase one-half of one share of common stock at a price of $11.50 per whole share, subject to adjustment as described in the prospectus. We will not issue fractional shares. Each public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1" w:lineRule="exact"/>
        <w:rPr>
          <w:sz w:val="20"/>
          <w:szCs w:val="20"/>
          <w:color w:val="auto"/>
        </w:rPr>
      </w:pPr>
    </w:p>
    <w:p>
      <w:pPr>
        <w:jc w:val="both"/>
        <w:ind w:left="460" w:right="479" w:firstLine="432"/>
        <w:spacing w:after="0" w:line="233" w:lineRule="auto"/>
        <w:rPr>
          <w:sz w:val="20"/>
          <w:szCs w:val="20"/>
          <w:color w:val="auto"/>
        </w:rPr>
      </w:pPr>
      <w:r>
        <w:rPr>
          <w:rFonts w:ascii="Times New Roman" w:cs="Times New Roman" w:eastAsia="Times New Roman" w:hAnsi="Times New Roman"/>
          <w:sz w:val="14"/>
          <w:szCs w:val="14"/>
          <w:color w:val="auto"/>
        </w:rPr>
        <w:t>We have granted Chardan Capital Markets LLC, the representative of the underwriters, a 45-day option to purchase up to an additional 2,250,000 units (over and above the 15,000,000 units referred to above) solely to cover over-allotments, if any.</w:t>
      </w:r>
    </w:p>
    <w:p>
      <w:pPr>
        <w:spacing w:after="0" w:line="1" w:lineRule="exact"/>
        <w:rPr>
          <w:sz w:val="20"/>
          <w:szCs w:val="20"/>
          <w:color w:val="auto"/>
        </w:rPr>
      </w:pPr>
    </w:p>
    <w:p>
      <w:pPr>
        <w:jc w:val="both"/>
        <w:ind w:left="460" w:right="459" w:firstLine="432"/>
        <w:spacing w:after="0" w:line="225" w:lineRule="auto"/>
        <w:rPr>
          <w:sz w:val="20"/>
          <w:szCs w:val="20"/>
          <w:color w:val="auto"/>
        </w:rPr>
      </w:pPr>
      <w:r>
        <w:rPr>
          <w:rFonts w:ascii="Times New Roman" w:cs="Times New Roman" w:eastAsia="Times New Roman" w:hAnsi="Times New Roman"/>
          <w:sz w:val="14"/>
          <w:szCs w:val="14"/>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 w:lineRule="exact"/>
        <w:rPr>
          <w:sz w:val="20"/>
          <w:szCs w:val="20"/>
          <w:color w:val="auto"/>
        </w:rPr>
      </w:pPr>
    </w:p>
    <w:p>
      <w:pPr>
        <w:jc w:val="both"/>
        <w:ind w:left="460" w:right="459" w:firstLine="432"/>
        <w:spacing w:after="0" w:line="230" w:lineRule="auto"/>
        <w:rPr>
          <w:sz w:val="20"/>
          <w:szCs w:val="20"/>
          <w:color w:val="auto"/>
        </w:rPr>
      </w:pPr>
      <w:r>
        <w:rPr>
          <w:rFonts w:ascii="Times New Roman" w:cs="Times New Roman" w:eastAsia="Times New Roman" w:hAnsi="Times New Roman"/>
          <w:sz w:val="14"/>
          <w:szCs w:val="14"/>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4"/>
          <w:szCs w:val="14"/>
          <w:color w:val="auto"/>
        </w:rPr>
        <w:t>Ventoux Acquisition Holdings LLC (“Ventoux Acquisition”), our co-sponsor and an affiliate of certain of our directors and officers, has committed to purchase from us an aggregate of 3,000,000 warrants (or 3,300,000 warrants if the over-allotment option is exercised in full), and Chardan International Investments, LLC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53" w:lineRule="exact"/>
        <w:rPr>
          <w:sz w:val="20"/>
          <w:szCs w:val="20"/>
          <w:color w:val="auto"/>
        </w:rPr>
      </w:pPr>
    </w:p>
    <w:p>
      <w:pPr>
        <w:jc w:val="both"/>
        <w:ind w:left="460" w:right="459" w:firstLine="432"/>
        <w:spacing w:after="0" w:line="223" w:lineRule="auto"/>
        <w:rPr>
          <w:sz w:val="20"/>
          <w:szCs w:val="20"/>
          <w:color w:val="auto"/>
        </w:rPr>
      </w:pPr>
      <w:r>
        <w:rPr>
          <w:rFonts w:ascii="Times New Roman" w:cs="Times New Roman" w:eastAsia="Times New Roman" w:hAnsi="Times New Roman"/>
          <w:sz w:val="14"/>
          <w:szCs w:val="14"/>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officers and directors prior to the consummation of the offering, resulting in Ventoux Acquisition holding a balance of 2,773,875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w:t>
      </w:r>
    </w:p>
    <w:p>
      <w:pPr>
        <w:spacing w:after="0" w:line="3" w:lineRule="exact"/>
        <w:rPr>
          <w:sz w:val="20"/>
          <w:szCs w:val="20"/>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4"/>
          <w:szCs w:val="14"/>
          <w:color w:val="auto"/>
        </w:rPr>
        <w:t>There is presently no public market for our units, common stock, or warrants. We intend to apply to have our units listed on the Nasdaq Capital Market, or Nasdaq, under the symbol “[•]” on or promptly after the date of this prospectus. We cannot guarantee that our securities will be approved for listing on Nasdaq. Once the securities comprising the units begin separate trading as described in this prospectus, the shares of common stock and warrants will be traded on Nasdaq under the symbols “[•]” and “[•],” respectively. We cannot assure you that our securities will continue to be listed on Nasdaq after this offering.</w:t>
      </w:r>
    </w:p>
    <w:p>
      <w:pPr>
        <w:spacing w:after="0" w:line="2" w:lineRule="exact"/>
        <w:rPr>
          <w:sz w:val="20"/>
          <w:szCs w:val="20"/>
          <w:color w:val="auto"/>
        </w:rPr>
      </w:pPr>
    </w:p>
    <w:p>
      <w:pPr>
        <w:jc w:val="both"/>
        <w:ind w:left="460" w:right="459" w:firstLine="432"/>
        <w:spacing w:after="0" w:line="233"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and we will therefore be subject to reduced public company reporting requirements.</w:t>
      </w:r>
    </w:p>
    <w:p>
      <w:pPr>
        <w:spacing w:after="0" w:line="1" w:lineRule="exact"/>
        <w:rPr>
          <w:sz w:val="20"/>
          <w:szCs w:val="20"/>
          <w:color w:val="auto"/>
        </w:rPr>
      </w:pPr>
    </w:p>
    <w:p>
      <w:pPr>
        <w:jc w:val="both"/>
        <w:ind w:left="460" w:right="479" w:firstLine="432"/>
        <w:spacing w:after="0" w:line="231"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“Risk Factors” beginning on page 19 of this prospectus for a discussion of information that should be considered in connection with an investment in our securities.</w:t>
      </w:r>
    </w:p>
    <w:p>
      <w:pPr>
        <w:spacing w:after="0" w:line="1"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4"/>
          <w:szCs w:val="14"/>
          <w:color w:val="auto"/>
        </w:rPr>
        <w:t>Neither the Securities and Exchange Commission (also referred to as the “SEC”) nor any state securities commission has approved or disapproved of these securities or determined if this prospectus is truthful or complete. Any representation to the contrary is a criminal offense.</w:t>
      </w:r>
    </w:p>
    <w:p>
      <w:pPr>
        <w:spacing w:after="0" w:line="295"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Discount and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ind w:left="20"/>
              <w:spacing w:after="0" w:line="216" w:lineRule="exact"/>
              <w:rPr>
                <w:sz w:val="20"/>
                <w:szCs w:val="20"/>
                <w:color w:val="auto"/>
              </w:rPr>
            </w:pPr>
            <w:r>
              <w:rPr>
                <w:rFonts w:ascii="Times New Roman" w:cs="Times New Roman" w:eastAsia="Times New Roman" w:hAnsi="Times New Roman"/>
                <w:sz w:val="14"/>
                <w:szCs w:val="14"/>
                <w:b w:val="1"/>
                <w:bCs w:val="1"/>
                <w:color w:val="auto"/>
                <w:w w:val="94"/>
              </w:rPr>
              <w:t>Commissions</w:t>
            </w:r>
            <w:r>
              <w:rPr>
                <w:rFonts w:ascii="Times New Roman" w:cs="Times New Roman" w:eastAsia="Times New Roman" w:hAnsi="Times New Roman"/>
                <w:sz w:val="21"/>
                <w:szCs w:val="21"/>
                <w:b w:val="1"/>
                <w:bCs w:val="1"/>
                <w:color w:val="auto"/>
                <w:w w:val="94"/>
                <w:vertAlign w:val="superscript"/>
              </w:rPr>
              <w:t>(1)(2)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Expenses, to us</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2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0.55</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26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150,000,000</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3,000,000</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147,000,000</w:t>
            </w:r>
          </w:p>
        </w:tc>
        <w:tc>
          <w:tcPr>
            <w:tcW w:w="0" w:type="dxa"/>
            <w:vAlign w:val="bottom"/>
          </w:tcPr>
          <w:p>
            <w:pPr>
              <w:spacing w:after="0"/>
              <w:rPr>
                <w:sz w:val="1"/>
                <w:szCs w:val="1"/>
                <w:color w:val="auto"/>
              </w:rPr>
            </w:pPr>
          </w:p>
        </w:tc>
      </w:tr>
      <w:tr>
        <w:trPr>
          <w:trHeight w:val="274"/>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jc w:val="both"/>
        <w:ind w:left="880" w:right="459" w:hanging="426"/>
        <w:spacing w:after="0" w:line="229" w:lineRule="auto"/>
        <w:tabs>
          <w:tab w:leader="none" w:pos="97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$100,000 payable to B. Riley FBR, Inc. for acting as a qualified independent underwriter. Please see the section titled “Underwriting” for further information relating to the underwriting arrangements agreed to between us and the underwriters in this offering.</w:t>
      </w:r>
    </w:p>
    <w:p>
      <w:pPr>
        <w:jc w:val="both"/>
        <w:ind w:left="880" w:right="459" w:hanging="426"/>
        <w:spacing w:after="0"/>
        <w:tabs>
          <w:tab w:leader="none" w:pos="88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$5,250,000, or $0.35 per unit, equal to 3.5% of the gross proceeds of this offering (or $6,037,500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100" w:lineRule="exact"/>
        <w:rPr>
          <w:sz w:val="20"/>
          <w:szCs w:val="20"/>
          <w:color w:val="auto"/>
        </w:rPr>
      </w:pPr>
    </w:p>
    <w:p>
      <w:pPr>
        <w:jc w:val="both"/>
        <w:ind w:left="460" w:right="459" w:firstLine="432"/>
        <w:spacing w:after="0" w:line="227" w:lineRule="auto"/>
        <w:rPr>
          <w:sz w:val="20"/>
          <w:szCs w:val="20"/>
          <w:color w:val="auto"/>
        </w:rPr>
      </w:pPr>
      <w:r>
        <w:rPr>
          <w:rFonts w:ascii="Times New Roman" w:cs="Times New Roman" w:eastAsia="Times New Roman" w:hAnsi="Times New Roman"/>
          <w:sz w:val="14"/>
          <w:szCs w:val="14"/>
          <w:color w:val="auto"/>
        </w:rPr>
        <w:t>Upon consummation of the offering, $10.00 per unit sold to the public in this offering (whether or not the over-allotment option has been exercised in full or part) will be deposited into a United States-based trust account at Morgan Stanley with Continental Stock Transfer &amp; Trust Company acting as trustee. Such amount includes $5,250,000, or $0.35 per unit (or $6,037,500 if the underwriters’ over-allotment option is exercised in full) payable to the underwriters as deferred underwriting discounts and commissions.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 w:lineRule="exact"/>
        <w:rPr>
          <w:sz w:val="20"/>
          <w:szCs w:val="20"/>
          <w:color w:val="auto"/>
        </w:rPr>
      </w:pPr>
    </w:p>
    <w:p>
      <w:pPr>
        <w:jc w:val="both"/>
        <w:ind w:left="460" w:right="479" w:firstLine="432"/>
        <w:spacing w:after="0"/>
        <w:rPr>
          <w:sz w:val="20"/>
          <w:szCs w:val="20"/>
          <w:color w:val="auto"/>
        </w:rPr>
      </w:pPr>
      <w:r>
        <w:rPr>
          <w:rFonts w:ascii="Times New Roman" w:cs="Times New Roman" w:eastAsia="Times New Roman" w:hAnsi="Times New Roman"/>
          <w:sz w:val="14"/>
          <w:szCs w:val="14"/>
          <w:color w:val="auto"/>
        </w:rPr>
        <w:t xml:space="preserve">The underwriters are offering the units on a firm commitment basis. Chardan Capital Markets LLC, acting as the representative of the underwriters, expects to deliver the units to purchasers on or about </w:t>
      </w:r>
      <w:r>
        <w:rPr>
          <w:rFonts w:ascii="Times New Roman" w:cs="Times New Roman" w:eastAsia="Times New Roman" w:hAnsi="Times New Roman"/>
          <w:sz w:val="14"/>
          <w:szCs w:val="14"/>
          <w:b w:val="1"/>
          <w:bCs w:val="1"/>
          <w:color w:val="auto"/>
        </w:rPr>
        <w:t>___________,</w:t>
      </w:r>
      <w:r>
        <w:rPr>
          <w:rFonts w:ascii="Times New Roman" w:cs="Times New Roman" w:eastAsia="Times New Roman" w:hAnsi="Times New Roman"/>
          <w:sz w:val="14"/>
          <w:szCs w:val="14"/>
          <w:color w:val="auto"/>
        </w:rPr>
        <w:t xml:space="preserve"> 2020</w:t>
      </w:r>
      <w:r>
        <w:rPr>
          <w:rFonts w:ascii="Times New Roman" w:cs="Times New Roman" w:eastAsia="Times New Roman" w:hAnsi="Times New Roman"/>
          <w:sz w:val="14"/>
          <w:szCs w:val="14"/>
          <w:b w:val="1"/>
          <w:bCs w:val="1"/>
          <w:color w:val="auto"/>
        </w:rPr>
        <w:t>.</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Chardan</w:t>
      </w:r>
    </w:p>
    <w:p>
      <w:pPr>
        <w:spacing w:after="0" w:line="4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2" w:right="1440" w:bottom="36"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4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SUMMARY FINANCIAL DATA</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USE OF PROCEEDS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DIVIDEND POLICY</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CAPITALIZATION</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MANAGEMENT’S DISCUSSION AND ANALYSIS OF FINANCIAL CONDITION AND</w:t>
              </w:r>
            </w:hyperlink>
          </w:p>
        </w:tc>
        <w:tc>
          <w:tcPr>
            <w:tcW w:w="8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RESULTS OF OPERATIONS</w:t>
              </w:r>
            </w:hyperlink>
          </w:p>
        </w:tc>
        <w:tc>
          <w:tcPr>
            <w:tcW w:w="5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PROPOSED BUSINESS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PRINCIPAL STOCKHOLDERS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CERTAIN TRANSACTIONS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DESCRIPTION OF SECURITIES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SECURITIES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UNDERWRITING (CONFLICTS OF INTEREST)</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4"/>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EXPERTS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63"/>
        </w:trPr>
        <w:tc>
          <w:tcPr>
            <w:tcW w:w="756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r>
      <w:tr>
        <w:trPr>
          <w:trHeight w:val="243"/>
        </w:trPr>
        <w:tc>
          <w:tcPr>
            <w:tcW w:w="7560" w:type="dxa"/>
            <w:vAlign w:val="bottom"/>
            <w:gridSpan w:val="4"/>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INDEX TO FINANCIAL STATEMENTS</w:t>
              </w:r>
            </w:hyperlink>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20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120380"/>
                    </a:xfrm>
                    <a:prstGeom prst="rect">
                      <a:avLst/>
                    </a:prstGeom>
                    <a:noFill/>
                  </pic:spPr>
                </pic:pic>
              </a:graphicData>
            </a:graphic>
          </wp:anchor>
        </w:drawing>
        <w:t>SUMMARY</w:t>
      </w:r>
    </w:p>
    <w:p>
      <w:pPr>
        <w:spacing w:after="0" w:line="146"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16" w:lineRule="exact"/>
        <w:rPr>
          <w:sz w:val="20"/>
          <w:szCs w:val="20"/>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“us” “our” or “our company” refers to Ventoux CCM Acquisition Corp.;</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7"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stockholders” refers to all of our stockholders immediately prior to the date of this prospectus, including our co-sponsors and officers and directors to the extent they hold such shares;</w:t>
      </w:r>
    </w:p>
    <w:p>
      <w:pPr>
        <w:spacing w:after="0" w:line="9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“founder shares” refers to the 4,312,500 shares of common stock held by our co-sponsors, our directors, and affiliates of our management team prior to this offering (including up to an aggregate of 562,500 shares of common stock subject to forfeiture to the extent that the underwriters’ over-allotment option is not exercised in full or in part);</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warrants” refers to the warrants we are selling privately to Ventoux Acquisition, Chardan Investments, and/or their designees upon consummation of this offering;</w:t>
      </w:r>
    </w:p>
    <w:p>
      <w:pPr>
        <w:spacing w:after="0" w:line="9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“co-sponsors” refers to Ventoux Acquisition and Chardan Investments;</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“Ventoux Acquisition” refers to Ventoux Acquisition Holdings LLC, an entity affiliated with certain of our director and officers;</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Investments” refers to Chardan International Investments, LLC, an entity affiliated with certain of our investors and Chardan Capital Markets LLC;</w:t>
      </w:r>
    </w:p>
    <w:p>
      <w:pPr>
        <w:spacing w:after="0" w:line="90"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“Chardan” or “Chardan Capital Markets LLC” refers to Chardan Capital Markets LLC, the representative of the underwriters;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4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 “public stockholders” means the holders of shares of common stock which are being sold as part of the units in this public offering, or “public shares,” whether they are purchased in the public offering or in the aftermarket, including any of our initial stockholders to the extent that they purchase such public shares (except that our initial stockholders will not have conversion or tender rights with respect to any public shares they own); and</w:t>
      </w:r>
    </w:p>
    <w:p>
      <w:pPr>
        <w:spacing w:after="0" w:line="115" w:lineRule="exact"/>
        <w:rPr>
          <w:rFonts w:ascii="Times New Roman" w:cs="Times New Roman" w:eastAsia="Times New Roman" w:hAnsi="Times New Roman"/>
          <w:sz w:val="18"/>
          <w:szCs w:val="18"/>
          <w:color w:val="auto"/>
        </w:rPr>
      </w:pPr>
    </w:p>
    <w:p>
      <w:pPr>
        <w:ind w:left="1400" w:right="559" w:hanging="424"/>
        <w:spacing w:after="0" w:line="284" w:lineRule="auto"/>
        <w:tabs>
          <w:tab w:leader="none" w:pos="15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information in this prospectus assumes that the underwriters will not exercise their over-allotment option (unless otherwise indicated).</w:t>
      </w:r>
    </w:p>
    <w:p>
      <w:pPr>
        <w:spacing w:after="0" w:line="91"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92"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5" w:name="page6"/>
    <w:bookmarkEnd w:id="5"/>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16"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 Todd Ruppert, we are confident that the combined experience makes us well situated to identify, source, negotiate and execute an initial business combination in the hospitality, leisure, travel and dining sectors.</w:t>
      </w:r>
    </w:p>
    <w:p>
      <w:pPr>
        <w:spacing w:after="0" w:line="107"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(NYSE: NRF), which he successfully took public in 2004. In 2005, Mr. Scheetz became the CEO of Morgans Hotel Group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4"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merger and acquisition transaction activity at Hyatt Hotel Corporation (NYSE: H), where, as part of Hyatt’s global platform, he oversaw merger and acquisition investments and underwrote public and private companies within the broader hotel and leisure sectors. Prior to his work at Hyatt, Mr. MacDonald worked in the Real Estate Investment Management and Acquisitions group at Starwood Hotels &amp; Resorts (NYSE: HOT).</w:t>
      </w:r>
    </w:p>
    <w:p>
      <w:pPr>
        <w:spacing w:after="0" w:line="10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Mr. Brock Strasbourger is our Head of Operations,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spent four years working in the Emerging Markets Fixed Income group at Barclays Capital (NYSE: BCS).</w:t>
      </w:r>
    </w:p>
    <w:p>
      <w:pPr>
        <w:spacing w:after="0" w:line="12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ectPr>
          <w:pgSz w:w="11900" w:h="16838" w:orient="portrait"/>
          <w:cols w:equalWidth="0" w:num="1">
            <w:col w:w="9019"/>
          </w:cols>
          <w:pgMar w:left="1440" w:top="459" w:right="1440"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type w:val="continuous"/>
        </w:sectPr>
      </w:pPr>
    </w:p>
    <w:bookmarkStart w:id="6" w:name="page7"/>
    <w:bookmarkEnd w:id="6"/>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985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985885"/>
                    </a:xfrm>
                    <a:prstGeom prst="rect">
                      <a:avLst/>
                    </a:prstGeom>
                    <a:noFill/>
                  </pic:spPr>
                </pic:pic>
              </a:graphicData>
            </a:graphic>
          </wp:anchor>
        </w:drawing>
        <w:t>Chardan has an extensive track record in the SPAC market as underwriter, sponsor and advisor. Since 2004, Chardan has been lead or co-lead underwriter on 79 SPAC IPOs. Since 2018, Chardan has been merger and acquisition advisor to nine SPACs, helping companies close transactions valued at approximately $4.0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six SPACs, five of which have closed successful business combinations and one of which is currently seeking an acquisition.</w:t>
      </w:r>
    </w:p>
    <w:p>
      <w:pPr>
        <w:spacing w:after="0" w:line="97"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Our board of directors will include Julie Atkinson, Chief Marketing Officer for Founders Table Restaurant Group, which includes the Chopt and Dos Toros restaurant brands. She previously served as Senior Vice President, Global Digital at Tory Burch LLC from February 2017 to February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13"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Mr. R. Todd Ruppert will serve as a Senior Advisor to the management team. He has had a 40-year career in financial services, and was formerly CEO and president of T. Rowe Price Global Investment Services, co-president, T. Rowe Price International, and a member of the operating steering committee of the T. Rowe Price Group. Currently, Mr. Ruppert is a venture partner at Greenspring Associates, a U.S. based venture capital firm with over $10 billion under management. He also has a number of advisory roles including but not limited to Motive Partners, an investment firm focused on technology businesses in the financial services sector.</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35"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11"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93"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89"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ectPr>
          <w:pgSz w:w="11900" w:h="16838" w:orient="portrait"/>
          <w:cols w:equalWidth="0" w:num="1">
            <w:col w:w="9019"/>
          </w:cols>
          <w:pgMar w:left="1440" w:top="445" w:right="1440"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43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343265"/>
                    </a:xfrm>
                    <a:prstGeom prst="rect">
                      <a:avLst/>
                    </a:prstGeom>
                    <a:noFill/>
                  </pic:spPr>
                </pic:pic>
              </a:graphicData>
            </a:graphic>
          </wp:anchor>
        </w:drawing>
        <w:t>Business Strategy</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0"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9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6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ectPr>
          <w:pgSz w:w="11900" w:h="16838" w:orient="portrait"/>
          <w:cols w:equalWidth="0" w:num="1">
            <w:col w:w="9019"/>
          </w:cols>
          <w:pgMar w:left="1440" w:top="536" w:right="1440"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type w:val="continuous"/>
        </w:sectPr>
      </w:pPr>
    </w:p>
    <w:bookmarkStart w:id="8" w:name="page9"/>
    <w:bookmarkEnd w:id="8"/>
    <w:p>
      <w:pPr>
        <w:ind w:left="1400" w:right="559" w:hanging="424"/>
        <w:spacing w:after="0" w:line="282" w:lineRule="auto"/>
        <w:tabs>
          <w:tab w:leader="none" w:pos="14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025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025765"/>
                    </a:xfrm>
                    <a:prstGeom prst="rect">
                      <a:avLst/>
                    </a:prstGeom>
                    <a:noFill/>
                  </pic:spPr>
                </pic:pic>
              </a:graphicData>
            </a:graphic>
          </wp:anchor>
        </w:drawing>
        <w:t>is positioned for continued organic growth and may grow through bolt-on acquisitions in these challenging times for the industry sectors;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or has an executable strategy to be able to meet the changing consumer or business behaviors in a COVID-19 or post-COVID 19 environment;</w:t>
      </w:r>
    </w:p>
    <w:p>
      <w:pPr>
        <w:spacing w:after="0" w:line="8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pacing w:after="0" w:line="94"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21"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9" w:name="page10"/>
    <w:bookmarkEnd w:id="9"/>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48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62"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 $16,250.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officers and directors prior to the consummation of the offering, resulting in Ventoux Acquisition holding a balance of 2,773,875 shares. The founder shares include an aggregate of up to 562,500 shares that are subject to forfeiture to the extent that the underwriters’ over-allotment option is not exercised in full or in part, so that our initial stockholders will collectively own 20% of our issued and outstanding shares after this offering (excluding the sale of the private warrants and assuming our initial stockholders do not purchase public units in this offering). None of our initial stockholders has indicated any intention to purchase public units in this offering.</w:t>
      </w:r>
    </w:p>
    <w:p>
      <w:pPr>
        <w:spacing w:after="0" w:line="1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founder shares are identical to the public shares. However, our initial stockholders have agreed</w:t>
      </w:r>
    </w:p>
    <w:p>
      <w:pPr>
        <w:spacing w:after="0" w:line="27" w:lineRule="exact"/>
        <w:rPr>
          <w:sz w:val="20"/>
          <w:szCs w:val="20"/>
          <w:color w:val="auto"/>
        </w:rPr>
      </w:pPr>
    </w:p>
    <w:p>
      <w:pPr>
        <w:jc w:val="both"/>
        <w:ind w:left="540" w:right="559" w:firstLine="4"/>
        <w:spacing w:after="0" w:line="250" w:lineRule="auto"/>
        <w:tabs>
          <w:tab w:leader="none" w:pos="8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their founder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(C) not to redeem any shares, including founder shares into the right to receive cash from the trust account in connection with a stockholder vote to approve our proposed initial business combination or sell any shares to us in any tender offer in connection with our proposed initial business combination, and</w:t>
      </w:r>
    </w:p>
    <w:p>
      <w:pPr>
        <w:spacing w:after="0" w:line="3" w:lineRule="exact"/>
        <w:rPr>
          <w:rFonts w:ascii="Times New Roman" w:cs="Times New Roman" w:eastAsia="Times New Roman" w:hAnsi="Times New Roman"/>
          <w:sz w:val="18"/>
          <w:szCs w:val="18"/>
          <w:color w:val="auto"/>
        </w:rPr>
      </w:pPr>
    </w:p>
    <w:p>
      <w:pPr>
        <w:ind w:left="540" w:right="559" w:firstLine="4"/>
        <w:spacing w:after="0" w:line="260" w:lineRule="auto"/>
        <w:tabs>
          <w:tab w:leader="none" w:pos="8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founder shares shall not participate in any liquidating distribution upon winding up if a business combination is not consummated.</w:t>
      </w:r>
    </w:p>
    <w:p>
      <w:pPr>
        <w:spacing w:after="0" w:line="100" w:lineRule="exact"/>
        <w:rPr>
          <w:sz w:val="20"/>
          <w:szCs w:val="20"/>
          <w:color w:val="auto"/>
        </w:rPr>
      </w:pPr>
    </w:p>
    <w:p>
      <w:pPr>
        <w:jc w:val="both"/>
        <w:ind w:left="540" w:right="559" w:firstLine="432"/>
        <w:spacing w:after="0" w:line="252" w:lineRule="auto"/>
        <w:rPr>
          <w:sz w:val="20"/>
          <w:szCs w:val="20"/>
          <w:color w:val="auto"/>
        </w:rPr>
      </w:pPr>
      <w:r>
        <w:rPr>
          <w:rFonts w:ascii="Times New Roman" w:cs="Times New Roman" w:eastAsia="Times New Roman" w:hAnsi="Times New Roman"/>
          <w:sz w:val="18"/>
          <w:szCs w:val="18"/>
          <w:color w:val="auto"/>
        </w:rPr>
        <w:t>On the date of this prospectus, the founder shares will be placed into an escrow account maintained by Continental Stock Transfer &amp; Trust Company acting as escrow agent. 50% of these shares will not be transferred, assigned, sold or released from escrow until the earlier of (i) 6 months after the date of the consummation of our initial business combination or (ii) the date on which the closing price of our shares of common stock equals or exceeds $12.50 per share (as adjusted for stock splits, stock dividends, reorganizations and recapitalizations) for any 20 trading days within any 30-trading day period commencing after our initial business combination. and the remaining 50% of the founder shares will not be transferred, assigned, sold or released from escrow until 6 months after the date of the consummation of our initial business combination, or earlier, in either case, if, subsequent to our initial business combination, we consummate a subsequent liquidation, merger, stock exchange or other similar transaction which results in all of our stockholders having the right to exchange their shares of common stock for cash, securities or other property. 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w:t>
      </w:r>
    </w:p>
    <w:p>
      <w:pPr>
        <w:sectPr>
          <w:pgSz w:w="11900" w:h="16838" w:orient="portrait"/>
          <w:cols w:equalWidth="0" w:num="1">
            <w:col w:w="9019"/>
          </w:cols>
          <w:pgMar w:left="1440" w:top="459" w:right="1440"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type w:val="continuous"/>
        </w:sectPr>
      </w:pPr>
    </w:p>
    <w:bookmarkStart w:id="10" w:name="page11"/>
    <w:bookmarkEnd w:id="10"/>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37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437245"/>
                    </a:xfrm>
                    <a:prstGeom prst="rect">
                      <a:avLst/>
                    </a:prstGeom>
                    <a:noFill/>
                  </pic:spPr>
                </pic:pic>
              </a:graphicData>
            </a:graphic>
          </wp:anchor>
        </w:drawing>
        <w:t>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w:t>
      </w:r>
    </w:p>
    <w:p>
      <w:pPr>
        <w:spacing w:after="0" w:line="127" w:lineRule="exact"/>
        <w:rPr>
          <w:sz w:val="20"/>
          <w:szCs w:val="20"/>
          <w:color w:val="auto"/>
        </w:rPr>
      </w:pPr>
    </w:p>
    <w:p>
      <w:pPr>
        <w:jc w:val="both"/>
        <w:ind w:left="540" w:right="559" w:firstLine="432"/>
        <w:spacing w:after="0" w:line="267" w:lineRule="auto"/>
        <w:rPr>
          <w:sz w:val="20"/>
          <w:szCs w:val="20"/>
          <w:color w:val="auto"/>
        </w:rPr>
      </w:pPr>
      <w:r>
        <w:rPr>
          <w:rFonts w:ascii="Times New Roman" w:cs="Times New Roman" w:eastAsia="Times New Roman" w:hAnsi="Times New Roman"/>
          <w:sz w:val="17"/>
          <w:szCs w:val="17"/>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336" w:lineRule="exact"/>
        <w:rPr>
          <w:sz w:val="20"/>
          <w:szCs w:val="20"/>
          <w:color w:val="auto"/>
        </w:rPr>
      </w:pPr>
    </w:p>
    <w:p>
      <w:pPr>
        <w:jc w:val="both"/>
        <w:ind w:left="540" w:right="559" w:firstLine="432"/>
        <w:spacing w:after="0" w:line="269" w:lineRule="auto"/>
        <w:rPr>
          <w:sz w:val="20"/>
          <w:szCs w:val="20"/>
          <w:color w:val="auto"/>
        </w:rPr>
      </w:pPr>
      <w:r>
        <w:rPr>
          <w:rFonts w:ascii="Times New Roman" w:cs="Times New Roman" w:eastAsia="Times New Roman" w:hAnsi="Times New Roman"/>
          <w:sz w:val="17"/>
          <w:szCs w:val="17"/>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0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proceeds from the private placement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1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12"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If public units or shares of common stock are purchased by any of our directors, officers or initial stockholders, they will be entitled to funds from the trust account to the same extent as any public stockholder upon our liquidation but will not have redemption rights related thereto.</w:t>
      </w:r>
    </w:p>
    <w:p>
      <w:pPr>
        <w:spacing w:after="0" w:line="95"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executive offices are located at 1 East Putnam Avenue, Floor 4, Greenwich, CT, 06830, and our telephone number is 646-465-9000.</w:t>
      </w:r>
    </w:p>
    <w:p>
      <w:pPr>
        <w:sectPr>
          <w:pgSz w:w="11900" w:h="16838" w:orient="portrait"/>
          <w:cols w:equalWidth="0" w:num="1">
            <w:col w:w="9019"/>
          </w:cols>
          <w:pgMar w:left="1440" w:top="459" w:right="1440"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22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7922895"/>
                    </a:xfrm>
                    <a:prstGeom prst="rect">
                      <a:avLst/>
                    </a:prstGeom>
                    <a:noFill/>
                  </pic:spPr>
                </pic:pic>
              </a:graphicData>
            </a:graphic>
          </wp:anchor>
        </w:drawing>
        <w:t>The Offering</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19 of this prospectus.</w:t>
      </w:r>
    </w:p>
    <w:p>
      <w:pPr>
        <w:spacing w:after="0" w:line="156" w:lineRule="exact"/>
        <w:rPr>
          <w:sz w:val="20"/>
          <w:szCs w:val="20"/>
          <w:color w:val="auto"/>
        </w:r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Securities offered</w:t>
      </w:r>
      <w:r>
        <w:rPr>
          <w:sz w:val="20"/>
          <w:szCs w:val="20"/>
          <w:color w:val="auto"/>
        </w:rPr>
        <w:tab/>
      </w:r>
      <w:r>
        <w:rPr>
          <w:rFonts w:ascii="Times New Roman" w:cs="Times New Roman" w:eastAsia="Times New Roman" w:hAnsi="Times New Roman"/>
          <w:sz w:val="18"/>
          <w:szCs w:val="18"/>
          <w:color w:val="auto"/>
        </w:rPr>
        <w:t>15,000,000 units, at $10.00 per unit, each unit consisting of one share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common stock and one warrant. Each warrant entitles the holder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thereof to purchase one-half of one share of common stock at a price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$11.50 per whole share, subject to adjustment as described in this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prospectus.</w:t>
      </w:r>
    </w:p>
    <w:p>
      <w:pPr>
        <w:sectPr>
          <w:pgSz w:w="11900" w:h="16838" w:orient="portrait"/>
          <w:cols w:equalWidth="0" w:num="1">
            <w:col w:w="9019"/>
          </w:cols>
          <w:pgMar w:left="1440" w:top="536" w:right="1440" w:bottom="1440" w:gutter="0" w:footer="0" w:header="0"/>
        </w:sectPr>
      </w:pPr>
    </w:p>
    <w:p>
      <w:pPr>
        <w:spacing w:after="0" w:line="162"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We anticipate the units and the shares of common stock and the warrants, once they begin separate trading, will be listed on Nasdaq under the symbols “[•],” “[•],” and “[•],” respectively.</w:t>
      </w:r>
    </w:p>
    <w:p>
      <w:pPr>
        <w:spacing w:after="0" w:line="149" w:lineRule="exact"/>
        <w:rPr>
          <w:sz w:val="20"/>
          <w:szCs w:val="20"/>
          <w:color w:val="auto"/>
        </w:rPr>
      </w:pPr>
    </w:p>
    <w:p>
      <w:pPr>
        <w:jc w:val="both"/>
        <w:ind w:right="579"/>
        <w:spacing w:after="0" w:line="250" w:lineRule="auto"/>
        <w:rPr>
          <w:sz w:val="20"/>
          <w:szCs w:val="20"/>
          <w:color w:val="auto"/>
        </w:rPr>
      </w:pPr>
      <w:r>
        <w:rPr>
          <w:rFonts w:ascii="Times New Roman" w:cs="Times New Roman" w:eastAsia="Times New Roman" w:hAnsi="Times New Roman"/>
          <w:sz w:val="18"/>
          <w:szCs w:val="18"/>
          <w:color w:val="auto"/>
        </w:rPr>
        <w:t>Each of the shares of common stock and warrants may trade 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169" w:lineRule="exact"/>
        <w:rPr>
          <w:sz w:val="20"/>
          <w:szCs w:val="20"/>
          <w:color w:val="auto"/>
        </w:rPr>
      </w:pP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Once the shares of common stock and warrants commence separate trading, holders will have the option to continue to hold units or separate their units into shares of common stock and warrants. Holders will need to have their brokers contact our transfer agent, Continental Stock Transfer &amp; Trust Company, in order to separate the units into separately trading shares of common stock and warrants.</w:t>
      </w:r>
    </w:p>
    <w:p>
      <w:pPr>
        <w:spacing w:after="0" w:line="160" w:lineRule="exact"/>
        <w:rPr>
          <w:sz w:val="20"/>
          <w:szCs w:val="20"/>
          <w:color w:val="auto"/>
        </w:rPr>
      </w:pPr>
    </w:p>
    <w:p>
      <w:pPr>
        <w:jc w:val="both"/>
        <w:ind w:right="559"/>
        <w:spacing w:after="0" w:line="250" w:lineRule="auto"/>
        <w:rPr>
          <w:sz w:val="20"/>
          <w:szCs w:val="20"/>
          <w:color w:val="auto"/>
        </w:rPr>
      </w:pPr>
      <w:r>
        <w:rPr>
          <w:rFonts w:ascii="Times New Roman" w:cs="Times New Roman" w:eastAsia="Times New Roman" w:hAnsi="Times New Roman"/>
          <w:sz w:val="18"/>
          <w:szCs w:val="18"/>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has allowed separate trading of the shares of common stock and warrants prior to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 this prospectus.</w:t>
      </w:r>
    </w:p>
    <w:p>
      <w:pPr>
        <w:spacing w:after="0" w:line="171" w:lineRule="exact"/>
        <w:rPr>
          <w:sz w:val="20"/>
          <w:szCs w:val="20"/>
          <w:color w:val="auto"/>
        </w:rPr>
      </w:pPr>
    </w:p>
    <w:p>
      <w:pPr>
        <w:jc w:val="both"/>
        <w:ind w:right="579"/>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our initial business combination, we may, at our discretion, mandatorily separate all issued and outstanding units into shares of common stock and warrants.</w:t>
      </w:r>
    </w:p>
    <w:p>
      <w:pPr>
        <w:spacing w:after="0" w:line="200" w:lineRule="exact"/>
        <w:rPr>
          <w:sz w:val="20"/>
          <w:szCs w:val="20"/>
          <w:color w:val="auto"/>
        </w:rPr>
      </w:pPr>
    </w:p>
    <w:p>
      <w:pPr>
        <w:sectPr>
          <w:pgSz w:w="11900" w:h="16838" w:orient="portrait"/>
          <w:cols w:equalWidth="0" w:num="2">
            <w:col w:w="2700" w:space="560"/>
            <w:col w:w="5759"/>
          </w:cols>
          <w:pgMar w:left="1440" w:top="536" w:right="1440" w:bottom="1440" w:gutter="0" w:footer="0" w:header="0"/>
          <w:type w:val="continuous"/>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type w:val="continuous"/>
        </w:sectPr>
      </w:pPr>
    </w:p>
    <w:bookmarkStart w:id="12" w:name="page13"/>
    <w:bookmarkEnd w:id="12"/>
    <w:tbl>
      <w:tblPr>
        <w:tblLayout w:type="fixed"/>
        <w:tblInd w:w="54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1540" w:type="dxa"/>
            <w:vAlign w:val="bottom"/>
          </w:tcPr>
          <w:p>
            <w:pPr>
              <w:spacing w:after="0"/>
              <w:rPr>
                <w:sz w:val="20"/>
                <w:szCs w:val="20"/>
                <w:color w:val="auto"/>
              </w:rPr>
            </w:pP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issued and outstanding</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before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4,312,500 shares</w:t>
            </w:r>
            <w:r>
              <w:rPr>
                <w:rFonts w:ascii="Times New Roman" w:cs="Times New Roman" w:eastAsia="Times New Roman" w:hAnsi="Times New Roman"/>
                <w:sz w:val="20"/>
                <w:szCs w:val="20"/>
                <w:color w:val="auto"/>
                <w:vertAlign w:val="superscript"/>
              </w:rPr>
              <w:t>(1)</w:t>
            </w:r>
          </w:p>
        </w:tc>
      </w:tr>
      <w:tr>
        <w:trPr>
          <w:trHeight w:val="335"/>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to be issued and</w:t>
            </w:r>
          </w:p>
        </w:tc>
        <w:tc>
          <w:tcPr>
            <w:tcW w:w="1540" w:type="dxa"/>
            <w:vAlign w:val="bottom"/>
          </w:tcPr>
          <w:p>
            <w:pPr>
              <w:spacing w:after="0"/>
              <w:rPr>
                <w:sz w:val="24"/>
                <w:szCs w:val="24"/>
                <w:color w:val="auto"/>
              </w:rPr>
            </w:pPr>
          </w:p>
        </w:tc>
      </w:tr>
      <w:tr>
        <w:trPr>
          <w:trHeight w:val="28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after this offering</w:t>
            </w:r>
          </w:p>
        </w:tc>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18,750,000 shares</w:t>
            </w:r>
            <w:r>
              <w:rPr>
                <w:rFonts w:ascii="Times New Roman" w:cs="Times New Roman" w:eastAsia="Times New Roman" w:hAnsi="Times New Roman"/>
                <w:sz w:val="20"/>
                <w:szCs w:val="20"/>
                <w:color w:val="auto"/>
                <w:w w:val="95"/>
                <w:vertAlign w:val="superscript"/>
              </w:rPr>
              <w:t>(2)</w:t>
            </w:r>
          </w:p>
        </w:tc>
      </w:tr>
      <w:tr>
        <w:trPr>
          <w:trHeight w:val="357"/>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644"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88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9088755"/>
                    </a:xfrm>
                    <a:prstGeom prst="rect">
                      <a:avLst/>
                    </a:prstGeom>
                    <a:noFill/>
                  </pic:spPr>
                </pic:pic>
              </a:graphicData>
            </a:graphic>
          </wp:anchor>
        </w:drawing>
      </w:r>
    </w:p>
    <w:p>
      <w:pPr>
        <w:spacing w:after="0" w:line="167" w:lineRule="exact"/>
        <w:rPr>
          <w:sz w:val="20"/>
          <w:szCs w:val="20"/>
          <w:color w:val="auto"/>
        </w:rPr>
      </w:pPr>
    </w:p>
    <w:p>
      <w:pPr>
        <w:ind w:left="720" w:right="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Number issued and outstanding before this offering</w:t>
      </w:r>
    </w:p>
    <w:p>
      <w:pPr>
        <w:spacing w:after="0" w:line="105" w:lineRule="exact"/>
        <w:rPr>
          <w:sz w:val="20"/>
          <w:szCs w:val="20"/>
          <w:color w:val="auto"/>
        </w:rPr>
      </w:pPr>
    </w:p>
    <w:p>
      <w:pPr>
        <w:ind w:left="72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Number to be issued and outstanding after this offering and sale of private warrants</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public warrants and 4,500,000 private warrants</w:t>
      </w:r>
      <w:r>
        <w:rPr>
          <w:rFonts w:ascii="Times New Roman" w:cs="Times New Roman" w:eastAsia="Times New Roman" w:hAnsi="Times New Roman"/>
          <w:sz w:val="20"/>
          <w:szCs w:val="20"/>
          <w:color w:val="auto"/>
          <w:vertAlign w:val="superscript"/>
        </w:rPr>
        <w:t>(3)</w:t>
      </w:r>
    </w:p>
    <w:p>
      <w:pPr>
        <w:spacing w:after="0" w:line="175"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Each redeemable public warrant entitles the holder thereof to purchase one-half of one share of common stock, and each private warrant entitles the holder thereof to purchase one share of common stock.</w:t>
      </w:r>
    </w:p>
    <w:p>
      <w:pPr>
        <w:spacing w:after="0" w:line="145" w:lineRule="exact"/>
        <w:rPr>
          <w:sz w:val="20"/>
          <w:szCs w:val="20"/>
          <w:color w:val="auto"/>
        </w:rPr>
      </w:pPr>
    </w:p>
    <w:p>
      <w:pPr>
        <w:sectPr>
          <w:pgSz w:w="11900" w:h="16838" w:orient="portrait"/>
          <w:cols w:equalWidth="0" w:num="2">
            <w:col w:w="3020" w:space="240"/>
            <w:col w:w="5759"/>
          </w:cols>
          <w:pgMar w:left="1440" w:top="644" w:right="1440" w:bottom="1440" w:gutter="0" w:footer="0" w:header="0"/>
          <w:type w:val="continuous"/>
        </w:sectPr>
      </w:pPr>
    </w:p>
    <w:p>
      <w:pPr>
        <w:ind w:left="540"/>
        <w:spacing w:after="0"/>
        <w:tabs>
          <w:tab w:leader="none" w:pos="3240" w:val="left"/>
        </w:tabs>
        <w:rPr>
          <w:sz w:val="20"/>
          <w:szCs w:val="20"/>
          <w:color w:val="auto"/>
        </w:rPr>
      </w:pPr>
      <w:r>
        <w:rPr>
          <w:rFonts w:ascii="Times New Roman" w:cs="Times New Roman" w:eastAsia="Times New Roman" w:hAnsi="Times New Roman"/>
          <w:sz w:val="18"/>
          <w:szCs w:val="18"/>
          <w:b w:val="1"/>
          <w:bCs w:val="1"/>
          <w:color w:val="auto"/>
        </w:rPr>
        <w:t>Exercise price</w:t>
      </w:r>
      <w:r>
        <w:rPr>
          <w:sz w:val="20"/>
          <w:szCs w:val="20"/>
          <w:color w:val="auto"/>
        </w:rPr>
        <w:tab/>
      </w:r>
      <w:r>
        <w:rPr>
          <w:rFonts w:ascii="Times New Roman" w:cs="Times New Roman" w:eastAsia="Times New Roman" w:hAnsi="Times New Roman"/>
          <w:sz w:val="18"/>
          <w:szCs w:val="18"/>
          <w:color w:val="auto"/>
        </w:rPr>
        <w:t>$11.50 per whole share, subject to adjustment as described herein. If we</w:t>
      </w:r>
    </w:p>
    <w:p>
      <w:pPr>
        <w:spacing w:after="0" w:line="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 additional shares of common stock or equity-linked securities for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capital raising purposes in connection with the closing of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at an issue price or effective issue price of less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than $9.20 per share of common stock (with such issue price or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issue price to be determined in good faith by our board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directors  and,  in  the  case  of  any  such  issuance  to  our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stockholders or their affiliates, without taking into account any founder</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shares or private warrants held by them, as applicable, prior to such</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issuance) (the “newly issued price”), the exercise price of the warrants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will be adjusted (to the nearest cent) to be equal to 115% of the newly</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issued price and the $16.50 per share redemption trigger price described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below under “— Redemption” will be adjusted (to the nearest cent)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be equal to 165% of the market value (the volume weighted average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trading price of the common stock during the 20 trading day period</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starting on the trading day prior to the consummation of an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w:t>
      </w:r>
    </w:p>
    <w:p>
      <w:pPr>
        <w:spacing w:after="0" w:line="8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No public warrants will be exercisable for cash unless we have an</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effective and current registration statement covering the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issuable upon exercise of the warrants and a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prospectus relating to such shares of common stock. It is our current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intention  to  have  an  effective  and  current  registration  statement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covering the shares of common stock issuable upon exercise of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public warrants and a current prospectus relating to such shares of</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common stock in effect promptly following consummation of an initial</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business combination. Notwithstanding the foregoing, if a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covering the shares of common stock issuable upon exercise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 the public warrants is not effective within 120 days following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consummation of our initial business combination, public warrant</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holders may, until such time as there is an effective registration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statement and during any period when we shall have failed to maintain</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an effective registration statement, exercise warrants on a cashless basis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pursuant  to  an  available  exemption  from  registration  under  the</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Securities Act. In such event, each holder would pay the</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right="559" w:hanging="436"/>
        <w:spacing w:after="0" w:line="269" w:lineRule="auto"/>
        <w:tabs>
          <w:tab w:leader="none" w:pos="1018"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an aggregate of up to 562,500 shares of common stock held by our initial stockholders that are subject to forfeiture if the over-allotment option is not fully exercised by the underwriters.</w:t>
      </w:r>
    </w:p>
    <w:p>
      <w:pPr>
        <w:jc w:val="both"/>
        <w:ind w:left="980" w:right="559" w:hanging="436"/>
        <w:spacing w:after="0" w:line="264" w:lineRule="auto"/>
        <w:tabs>
          <w:tab w:leader="none" w:pos="1032"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If the over-allotment option is exercised in full, there will be a total of 21,562,500 shares of common stock issued and outstanding.</w:t>
      </w:r>
    </w:p>
    <w:p>
      <w:pPr>
        <w:ind w:left="980" w:right="559" w:hanging="436"/>
        <w:spacing w:after="0" w:line="288" w:lineRule="auto"/>
        <w:tabs>
          <w:tab w:leader="none" w:pos="97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If the over-allotment option is exercised, there would be 17,250,000 public warrants outstanding and 4,950,000 private warrants outstanding.</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type w:val="continuous"/>
        </w:sectPr>
      </w:pPr>
    </w:p>
    <w:bookmarkStart w:id="13" w:name="page14"/>
    <w:bookmarkEnd w:id="13"/>
    <w:tbl>
      <w:tblPr>
        <w:tblLayout w:type="fixed"/>
        <w:tblInd w:w="470" w:type="dxa"/>
        <w:tblCellMar>
          <w:top w:w="0" w:type="dxa"/>
          <w:left w:w="0" w:type="dxa"/>
          <w:bottom w:w="0" w:type="dxa"/>
          <w:right w:w="0" w:type="dxa"/>
        </w:tblCellMar>
      </w:tblPr>
      <w:tr>
        <w:trPr>
          <w:trHeight w:val="630"/>
        </w:trPr>
        <w:tc>
          <w:tcPr>
            <w:tcW w:w="2040" w:type="dxa"/>
            <w:vAlign w:val="bottom"/>
            <w:tcBorders>
              <w:top w:val="single" w:sz="8" w:color="auto"/>
              <w:left w:val="single" w:sz="8" w:color="auto"/>
            </w:tcBorders>
          </w:tcPr>
          <w:p>
            <w:pPr>
              <w:spacing w:after="0"/>
              <w:rPr>
                <w:sz w:val="24"/>
                <w:szCs w:val="24"/>
                <w:color w:val="auto"/>
              </w:rPr>
            </w:pPr>
          </w:p>
        </w:tc>
        <w:tc>
          <w:tcPr>
            <w:tcW w:w="60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exercise price by surrendering the whole warrants for that number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shares of common stock equal to the quotient obtained by dividing</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(x) the product of the number of shares of common stock underlying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multiplied by the difference between the exercise price of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and the “fair market value” by (y) the fair market value.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“fair market value” shall mean the average reported last sale price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shares of common stock for the 10 trading days ending on the day</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prior to the date of exercise. For example, if a holder held 300 warrants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to purchase 150 shares and the fair market value on the date prior to</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exercise was $15.00, that holder would receive 35 shares without the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payment of any additional cash consideration.</w:t>
            </w:r>
          </w:p>
        </w:tc>
      </w:tr>
      <w:tr>
        <w:trPr>
          <w:trHeight w:val="387"/>
        </w:trPr>
        <w:tc>
          <w:tcPr>
            <w:tcW w:w="20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Exercise period</w:t>
            </w: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warrants will become exercisable on the later of one year after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closing of this offering or the consummation of an initial business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combination. The warrants will expire at 5:00 p.m., New York City</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time, on the fifth anniversary of our completion of an initial business</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combination, or earlier upon redemption.</w:t>
            </w:r>
          </w:p>
        </w:tc>
      </w:tr>
      <w:tr>
        <w:trPr>
          <w:trHeight w:val="387"/>
        </w:trPr>
        <w:tc>
          <w:tcPr>
            <w:tcW w:w="20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We  may  redeem  the  outstanding  warrants  (excluding  the  private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in whole and not in part, at a price of $0.01 per warrant:</w:t>
            </w:r>
          </w:p>
        </w:tc>
      </w:tr>
      <w:tr>
        <w:trPr>
          <w:trHeight w:val="351"/>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at any time while the warrants are exercisable,</w:t>
            </w:r>
          </w:p>
        </w:tc>
      </w:tr>
      <w:tr>
        <w:trPr>
          <w:trHeight w:val="364"/>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upon a minimum of 30 days’ prior written notice of redemption,</w:t>
            </w:r>
          </w:p>
        </w:tc>
      </w:tr>
      <w:tr>
        <w:trPr>
          <w:trHeight w:val="346"/>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if, and only if, the last sales price of our common stock equals or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exceeds $16.50 per share for any 20 trading days within a 30</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trading day period ending three business days before we send the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notice of redemption, and</w:t>
            </w:r>
          </w:p>
        </w:tc>
      </w:tr>
      <w:tr>
        <w:trPr>
          <w:trHeight w:val="333"/>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  if, and only if, there is a current registration statement in effect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with respect to the shares of common stock underlying such</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warrants at the time of redemption and for the entire 30-day</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trading  period  referred  to  above  and  continuing  each  day</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thereafter until the date of redemption.</w:t>
            </w:r>
          </w:p>
        </w:tc>
      </w:tr>
      <w:tr>
        <w:trPr>
          <w:trHeight w:val="346"/>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If the foregoing conditions are satisfied and we issue a notice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redemption, each warrant holder can exercise his, her or its warrant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prior to the scheduled redemption date. However, the price of our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common stock may fall below the $16.50 trigger price, as well as the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$11.50 warrant exercise price, after the redemption notice is issued.</w:t>
            </w:r>
          </w:p>
        </w:tc>
      </w:tr>
      <w:tr>
        <w:trPr>
          <w:trHeight w:val="346"/>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redemption criteria for our warrants have been established at a</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price which is intended to provide warrant holders a reasonable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premium to the initial exercise price and provide a sufficient differential</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between the then-prevailing share price and the warrant exercise price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so that if the share price declines as a result of our redemption call,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redemption will not cause the share price to drop below the exercise</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price of the warrants.</w:t>
            </w:r>
          </w:p>
        </w:tc>
      </w:tr>
      <w:tr>
        <w:trPr>
          <w:trHeight w:val="333"/>
        </w:trPr>
        <w:tc>
          <w:tcPr>
            <w:tcW w:w="2040" w:type="dxa"/>
            <w:vAlign w:val="bottom"/>
            <w:tcBorders>
              <w:left w:val="single" w:sz="8" w:color="auto"/>
            </w:tcBorders>
          </w:tcPr>
          <w:p>
            <w:pPr>
              <w:spacing w:after="0"/>
              <w:rPr>
                <w:sz w:val="24"/>
                <w:szCs w:val="24"/>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If we call the warrants for redemption as described above, our</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management will have the option to require all holders that wish to</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exercise warrants to do so on a “cashless basis.” In such event, each</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holder would pay the exercise price by surrendering the whole warrants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for that number of shares of common stock equal to the quotient</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obtained by dividing (x) the product of the number of shares of</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common stock underlying the warrants, multiplied by the difference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between the exercise price of the warrants and the “fair market value”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by (y) the fair market value. The “fair market value” shall mean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average reported last sale price of the shares of common stock for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10 trading days ending on the third trading day prior to the date on</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which the notice of redemption is sent to the holders of warrants.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Whether we will exercise our option to require all holders to exercise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their warrants on a “cashless basis” will depend on a variety of factors</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including the price of our shares of common stock at the time the</w:t>
            </w:r>
          </w:p>
        </w:tc>
      </w:tr>
      <w:tr>
        <w:trPr>
          <w:trHeight w:val="216"/>
        </w:trPr>
        <w:tc>
          <w:tcPr>
            <w:tcW w:w="2040" w:type="dxa"/>
            <w:vAlign w:val="bottom"/>
            <w:tcBorders>
              <w:left w:val="single" w:sz="8" w:color="auto"/>
            </w:tcBorders>
          </w:tcPr>
          <w:p>
            <w:pPr>
              <w:spacing w:after="0"/>
              <w:rPr>
                <w:sz w:val="18"/>
                <w:szCs w:val="18"/>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warrants are called for redemption, our cash needs at such time and</w:t>
            </w:r>
          </w:p>
        </w:tc>
      </w:tr>
      <w:tr>
        <w:trPr>
          <w:trHeight w:val="234"/>
        </w:trPr>
        <w:tc>
          <w:tcPr>
            <w:tcW w:w="2040" w:type="dxa"/>
            <w:vAlign w:val="bottom"/>
            <w:tcBorders>
              <w:left w:val="single" w:sz="8" w:color="auto"/>
            </w:tcBorders>
          </w:tcPr>
          <w:p>
            <w:pPr>
              <w:spacing w:after="0"/>
              <w:rPr>
                <w:sz w:val="20"/>
                <w:szCs w:val="20"/>
                <w:color w:val="auto"/>
              </w:rPr>
            </w:pPr>
          </w:p>
        </w:tc>
        <w:tc>
          <w:tcPr>
            <w:tcW w:w="606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concerns regarding dilutive share issuances.</w:t>
            </w:r>
          </w:p>
        </w:tc>
      </w:tr>
      <w:tr>
        <w:trPr>
          <w:trHeight w:val="402"/>
        </w:trPr>
        <w:tc>
          <w:tcPr>
            <w:tcW w:w="2040" w:type="dxa"/>
            <w:vAlign w:val="bottom"/>
            <w:tcBorders>
              <w:left w:val="single" w:sz="8" w:color="auto"/>
              <w:bottom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r>
      <w:tr>
        <w:trPr>
          <w:trHeight w:val="388"/>
        </w:trPr>
        <w:tc>
          <w:tcPr>
            <w:tcW w:w="204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9019"/>
          </w:cols>
          <w:pgMar w:left="1440" w:top="120" w:right="1440" w:bottom="973" w:gutter="0" w:footer="0" w:header="0"/>
        </w:sectPr>
      </w:pPr>
    </w:p>
    <w:bookmarkStart w:id="14" w:name="page15"/>
    <w:bookmarkEnd w:id="14"/>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Offering proceeds to be held in trust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$150,000,000 of the net proceeds of this offering (or $172,500,000 if the over-allotment option is exercised in full), including $4,500,000 we will receive from the sale of the private warrants, or $10.00 per unit sold to the public in this offering (regardless of whether or not the over-allotment option is exercised in full or part) will be placed in a trust account at Morgan Stanley, maintained by Continental Stock Transfer &amp; Trust Company, acting as trustee pursuant to an agreement to be signed on the date of this prospectus. Of the $4,500,000 we will receive from the sale of the private warrants, $3,500,000 will be used for offering expenses and $1,000,000 will be used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-1844675</wp:posOffset>
            </wp:positionV>
            <wp:extent cx="5147310" cy="7837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7837170"/>
                    </a:xfrm>
                    <a:prstGeom prst="rect">
                      <a:avLst/>
                    </a:prstGeom>
                    <a:noFill/>
                  </pic:spPr>
                </pic:pic>
              </a:graphicData>
            </a:graphic>
          </wp:anchor>
        </w:drawing>
      </w:r>
    </w:p>
    <w:p>
      <w:pPr>
        <w:spacing w:after="0" w:line="147"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Except as set forth below, the proceeds in the trust account will not be released until the earlier of: (1) the completion of an initial business combination within the required time period and (2) our redemption of 100% of the outstanding public shares if we have not completed a business combination in the required time period. Therefore, unless and until our initial business combination is consummated, the proceeds held in the trust account will not be available for our use for any expenses related to this offering or expenses which we may incur related to the investigation and selection of a target business and the negotiation of an agreement to acquire a target business.</w:t>
      </w:r>
    </w:p>
    <w:p>
      <w:pPr>
        <w:spacing w:after="0" w:line="167"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Notwithstanding the foregoing, there can be released to us, from time to time, any interest earned on the funds in the trust account that we may need to pay our tax obligations. With this exception, expenses incurred by us may be paid prior to a business combination only from the net proceeds of this offering not held in the trust account of approximately $1,000,000 provided, however, that in order 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only be repaid with funds not held in the trust account, to the extent available.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200" w:lineRule="exact"/>
        <w:rPr>
          <w:sz w:val="20"/>
          <w:szCs w:val="20"/>
          <w:color w:val="auto"/>
        </w:rPr>
      </w:pPr>
    </w:p>
    <w:p>
      <w:pPr>
        <w:sectPr>
          <w:pgSz w:w="11900" w:h="16838" w:orient="portrait"/>
          <w:cols w:equalWidth="0" w:num="2">
            <w:col w:w="2720" w:space="540"/>
            <w:col w:w="5759"/>
          </w:cols>
          <w:pgMar w:left="1440" w:top="644"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44" w:right="1440" w:bottom="1440" w:gutter="0" w:footer="0" w:header="0"/>
          <w:type w:val="continuous"/>
        </w:sectPr>
      </w:pPr>
    </w:p>
    <w:bookmarkStart w:id="15" w:name="page16"/>
    <w:bookmarkEnd w:id="15"/>
    <w:p>
      <w:pPr>
        <w:jc w:val="both"/>
        <w:ind w:left="3260" w:right="559" w:hanging="2713"/>
        <w:spacing w:after="0" w:line="256"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204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8720455"/>
                    </a:xfrm>
                    <a:prstGeom prst="rect">
                      <a:avLst/>
                    </a:prstGeom>
                    <a:noFill/>
                  </pic:spPr>
                </pic:pic>
              </a:graphicData>
            </a:graphic>
          </wp:anchor>
        </w:drawing>
        <w:t>Limited payments to insiders</w:t>
      </w:r>
      <w:r>
        <w:rPr>
          <w:sz w:val="20"/>
          <w:szCs w:val="20"/>
          <w:color w:val="auto"/>
        </w:rPr>
        <w:tab/>
      </w:r>
      <w:r>
        <w:rPr>
          <w:rFonts w:ascii="Times New Roman" w:cs="Times New Roman" w:eastAsia="Times New Roman" w:hAnsi="Times New Roman"/>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24" w:lineRule="exact"/>
        <w:rPr>
          <w:sz w:val="20"/>
          <w:szCs w:val="20"/>
          <w:color w:val="auto"/>
        </w:rPr>
      </w:pPr>
    </w:p>
    <w:p>
      <w:pPr>
        <w:ind w:left="3680" w:right="579" w:hanging="207"/>
        <w:spacing w:after="0" w:line="282" w:lineRule="auto"/>
        <w:tabs>
          <w:tab w:leader="none" w:pos="37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of up to $1,000,000 made to us by our co-sponsors;</w:t>
      </w:r>
    </w:p>
    <w:p>
      <w:pPr>
        <w:spacing w:after="0" w:line="80" w:lineRule="exact"/>
        <w:rPr>
          <w:rFonts w:ascii="Times New Roman" w:cs="Times New Roman" w:eastAsia="Times New Roman" w:hAnsi="Times New Roman"/>
          <w:sz w:val="18"/>
          <w:szCs w:val="18"/>
          <w:color w:val="auto"/>
        </w:rPr>
      </w:pPr>
    </w:p>
    <w:p>
      <w:pPr>
        <w:jc w:val="both"/>
        <w:ind w:left="3680" w:right="559" w:hanging="207"/>
        <w:spacing w:after="0" w:line="266" w:lineRule="auto"/>
        <w:tabs>
          <w:tab w:leader="none" w:pos="3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$10,000 per month to Chardan Capital Markets LLC for office space and related services, subject to deferral as described herein;</w:t>
      </w:r>
    </w:p>
    <w:p>
      <w:pPr>
        <w:spacing w:after="0" w:line="108"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6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loans which may be made by our insiders, officers, directors or any of its or their affiliates to finance transaction costs in connection with an initial business combination, the terms of which have not been determined;</w:t>
      </w:r>
    </w:p>
    <w:p>
      <w:pPr>
        <w:spacing w:after="0" w:line="112" w:lineRule="exact"/>
        <w:rPr>
          <w:rFonts w:ascii="Times New Roman" w:cs="Times New Roman" w:eastAsia="Times New Roman" w:hAnsi="Times New Roman"/>
          <w:sz w:val="18"/>
          <w:szCs w:val="18"/>
          <w:color w:val="auto"/>
        </w:rPr>
      </w:pPr>
    </w:p>
    <w:p>
      <w:pPr>
        <w:jc w:val="both"/>
        <w:ind w:left="3680" w:right="559" w:hanging="207"/>
        <w:spacing w:after="0" w:line="261" w:lineRule="auto"/>
        <w:tabs>
          <w:tab w:leader="none" w:pos="375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incurred by them in connection with certain activities on our behalf, such as identifying and investigating possible business targets and business combinations; and</w:t>
      </w:r>
    </w:p>
    <w:p>
      <w:pPr>
        <w:spacing w:after="0" w:line="98" w:lineRule="exact"/>
        <w:rPr>
          <w:rFonts w:ascii="Times New Roman" w:cs="Times New Roman" w:eastAsia="Times New Roman" w:hAnsi="Times New Roman"/>
          <w:sz w:val="18"/>
          <w:szCs w:val="18"/>
          <w:color w:val="auto"/>
        </w:rPr>
      </w:pPr>
    </w:p>
    <w:p>
      <w:pPr>
        <w:jc w:val="both"/>
        <w:ind w:left="3680" w:right="559" w:hanging="207"/>
        <w:spacing w:after="0" w:line="258" w:lineRule="auto"/>
        <w:tabs>
          <w:tab w:leader="none" w:pos="39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upon consummation of our initial business combination of any loans which may be made by our initial stockholders or their affiliates or our officers and directors to finance transaction costs in connection with an intended initial business combination.</w:t>
      </w:r>
    </w:p>
    <w:p>
      <w:pPr>
        <w:spacing w:after="0" w:line="116" w:lineRule="exact"/>
        <w:rPr>
          <w:sz w:val="20"/>
          <w:szCs w:val="20"/>
          <w:color w:val="auto"/>
        </w:r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There is no limit on the amount of out-of-pocket expenses reimbursable by us; provided, however,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their respective affiliates, and any reimbursements and payments made to members of our audit committee will be reviewed and approved by our board of directors, with any interested director abstaining from such review and approval.</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Potential revisions to agreements</w:t>
      </w:r>
    </w:p>
    <w:p>
      <w:pPr>
        <w:spacing w:after="0" w:line="31" w:lineRule="exact"/>
        <w:rPr>
          <w:sz w:val="20"/>
          <w:szCs w:val="20"/>
          <w:color w:val="auto"/>
        </w:rPr>
      </w:pPr>
    </w:p>
    <w:p>
      <w:pPr>
        <w:jc w:val="both"/>
        <w:ind w:left="3260" w:right="559" w:hanging="2533"/>
        <w:spacing w:after="0" w:line="251"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with insiders</w:t>
      </w:r>
      <w:r>
        <w:rPr>
          <w:sz w:val="20"/>
          <w:szCs w:val="20"/>
          <w:color w:val="auto"/>
        </w:rPr>
        <w:tab/>
      </w:r>
      <w:r>
        <w:rPr>
          <w:rFonts w:ascii="Times New Roman" w:cs="Times New Roman" w:eastAsia="Times New Roman" w:hAnsi="Times New Roman"/>
          <w:sz w:val="18"/>
          <w:szCs w:val="18"/>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16" w:name="page17"/>
    <w:bookmarkEnd w:id="16"/>
    <w:p>
      <w:pPr>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In connection with any proposed initial business combination, we will either (1) seek stockholder approval of such initial business combination at a meeting called for such purpose at which public stockholders may seek to convert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 If enough stockholders tender their shares so that we are unable to satisfy any applicable closing condition set forth in the definitive agreement related to our initial business combination, or we are unable to maintain net tangible assets of at least $5,000,001 (so that we are not subject to the SEC’s “penny stock” rules), we will not consummate such initial business combination. 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-5588000</wp:posOffset>
            </wp:positionV>
            <wp:extent cx="5147310" cy="8034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034655"/>
                    </a:xfrm>
                    <a:prstGeom prst="rect">
                      <a:avLst/>
                    </a:prstGeom>
                    <a:noFill/>
                  </pic:spPr>
                </pic:pic>
              </a:graphicData>
            </a:graphic>
          </wp:anchor>
        </w:drawing>
      </w:r>
    </w:p>
    <w:p>
      <w:pPr>
        <w:spacing w:after="0" w:line="152"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We have determined not to consummate any business combination unless we have net tangible assets of at least $5,000,001 upon such consummation in order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3140" w:space="120"/>
            <w:col w:w="5759"/>
          </w:cols>
          <w:pgMar w:left="1440" w:top="495"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17" w:name="page18"/>
    <w:bookmarkEnd w:id="17"/>
    <w:p>
      <w:pPr>
        <w:jc w:val="both"/>
        <w:ind w:left="3260" w:right="57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2176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9217660"/>
                    </a:xfrm>
                    <a:prstGeom prst="rect">
                      <a:avLst/>
                    </a:prstGeom>
                    <a:noFill/>
                  </pic:spPr>
                </pic:pic>
              </a:graphicData>
            </a:graphic>
          </wp:anchor>
        </w:drawing>
        <w:t>Our initial stockholders have agreed (A) to vote their founder shares and any public shares in favor of any proposed business combination,</w:t>
      </w:r>
    </w:p>
    <w:p>
      <w:pPr>
        <w:jc w:val="both"/>
        <w:ind w:left="3260" w:right="559" w:hanging="3"/>
        <w:spacing w:after="0" w:line="250" w:lineRule="auto"/>
        <w:tabs>
          <w:tab w:leader="none" w:pos="35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stockholders an opportunity to redeem their public shares in conjunction with any such amendment, (C) not to convert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Exchange Act, which are rules designed to stop potential manipulation of a company’s stock or purchasing shares when the buyer is in possession of material non-public information about the Company.</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completing our</w:t>
      </w:r>
    </w:p>
    <w:p>
      <w:pPr>
        <w:spacing w:after="0" w:line="31" w:lineRule="exact"/>
        <w:rPr>
          <w:sz w:val="20"/>
          <w:szCs w:val="20"/>
          <w:color w:val="auto"/>
        </w:rPr>
      </w:pPr>
    </w:p>
    <w:p>
      <w:pPr>
        <w:jc w:val="both"/>
        <w:ind w:left="3260" w:right="559" w:hanging="2533"/>
        <w:spacing w:after="0" w:line="251" w:lineRule="auto"/>
        <w:tabs>
          <w:tab w:leader="none" w:pos="3240" w:val="left"/>
        </w:tabs>
        <w:rPr>
          <w:sz w:val="20"/>
          <w:szCs w:val="20"/>
          <w:color w:val="auto"/>
        </w:rPr>
      </w:pPr>
      <w:r>
        <w:rPr>
          <w:rFonts w:ascii="Times New Roman" w:cs="Times New Roman" w:eastAsia="Times New Roman" w:hAnsi="Times New Roman"/>
          <w:sz w:val="18"/>
          <w:szCs w:val="18"/>
          <w:b w:val="1"/>
          <w:bCs w:val="1"/>
          <w:color w:val="auto"/>
        </w:rPr>
        <w:t>initial business combination</w:t>
      </w:r>
      <w:r>
        <w:rPr>
          <w:sz w:val="20"/>
          <w:szCs w:val="20"/>
          <w:color w:val="auto"/>
        </w:rPr>
        <w:tab/>
      </w:r>
      <w:r>
        <w:rPr>
          <w:rFonts w:ascii="Times New Roman" w:cs="Times New Roman" w:eastAsia="Times New Roman" w:hAnsi="Times New Roman"/>
          <w:sz w:val="18"/>
          <w:szCs w:val="18"/>
          <w:color w:val="auto"/>
        </w:rPr>
        <w:t>There is no limitation on our ability to raise funds privately or through loans in connection with our initial business combination. Our initial business combination must occur with one or more target businesses that together have an aggregate fair market value of at least 80% of the value of the trust account (excluding any deferred underwriters’ fees and taxes payable on the income earned on the trust account) at the time of the agreement to enter into the initial business combination. If we are no longer listed on Nasdaq, we will not be required to satisfy the 80% test.</w:t>
      </w:r>
    </w:p>
    <w:p>
      <w:pPr>
        <w:spacing w:after="0" w:line="112" w:lineRule="exact"/>
        <w:rPr>
          <w:sz w:val="20"/>
          <w:szCs w:val="20"/>
          <w:color w:val="auto"/>
        </w:rPr>
      </w:pPr>
    </w:p>
    <w:p>
      <w:pPr>
        <w:jc w:val="both"/>
        <w:ind w:left="3260" w:right="559"/>
        <w:spacing w:after="0" w:line="252" w:lineRule="auto"/>
        <w:rPr>
          <w:sz w:val="20"/>
          <w:szCs w:val="20"/>
          <w:color w:val="auto"/>
        </w:rPr>
      </w:pPr>
      <w:r>
        <w:rPr>
          <w:rFonts w:ascii="Times New Roman" w:cs="Times New Roman" w:eastAsia="Times New Roman" w:hAnsi="Times New Roman"/>
          <w:sz w:val="18"/>
          <w:szCs w:val="18"/>
          <w:color w:val="auto"/>
        </w:rPr>
        <w:t>If our board is not able to independently determine the fair market value of the target business or businesses, we may obtain an opinion from an independent investment banking or accounting firm as to the fair market value of the target business. We will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ectPr>
          <w:pgSz w:w="11900" w:h="16838" w:orient="portrait"/>
          <w:cols w:equalWidth="0" w:num="1">
            <w:col w:w="9019"/>
          </w:cols>
          <w:pgMar w:left="1440" w:top="499"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8" w:name="page19"/>
    <w:bookmarkEnd w:id="18"/>
    <w:p>
      <w:pPr>
        <w:ind w:left="54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72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Release of funds in trust account upon closing of our initial business combination</w:t>
      </w:r>
    </w:p>
    <w:p>
      <w:pPr>
        <w:spacing w:after="0" w:line="20" w:lineRule="exact"/>
        <w:rPr>
          <w:sz w:val="20"/>
          <w:szCs w:val="20"/>
          <w:color w:val="auto"/>
        </w:rPr>
      </w:pPr>
      <w:r>
        <w:rPr>
          <w:sz w:val="20"/>
          <w:szCs w:val="20"/>
          <w:color w:val="auto"/>
        </w:rPr>
        <w:br w:type="column"/>
      </w:r>
    </w:p>
    <w:p>
      <w:pPr>
        <w:jc w:val="both"/>
        <w:ind w:right="55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any stockholder meeting called to approve a proposed initial business combination, each public stockholder will have the right, regardless of whether he, she or it is voting for or against such proposed business combination, to demand that we convert his, her or its public shares into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upon consummation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-1068705</wp:posOffset>
            </wp:positionV>
            <wp:extent cx="5147310" cy="9149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149080"/>
                    </a:xfrm>
                    <a:prstGeom prst="rect">
                      <a:avLst/>
                    </a:prstGeom>
                    <a:noFill/>
                  </pic:spPr>
                </pic:pic>
              </a:graphicData>
            </a:graphic>
          </wp:anchor>
        </w:drawing>
      </w:r>
    </w:p>
    <w:p>
      <w:pPr>
        <w:spacing w:after="0" w:line="100" w:lineRule="exact"/>
        <w:rPr>
          <w:sz w:val="20"/>
          <w:szCs w:val="20"/>
          <w:color w:val="auto"/>
        </w:rPr>
      </w:pPr>
    </w:p>
    <w:p>
      <w:pPr>
        <w:jc w:val="both"/>
        <w:ind w:right="559"/>
        <w:spacing w:after="0" w:line="251" w:lineRule="auto"/>
        <w:rPr>
          <w:sz w:val="20"/>
          <w:szCs w:val="20"/>
          <w:color w:val="auto"/>
        </w:rPr>
      </w:pPr>
      <w:r>
        <w:rPr>
          <w:rFonts w:ascii="Times New Roman" w:cs="Times New Roman" w:eastAsia="Times New Roman" w:hAnsi="Times New Roman"/>
          <w:sz w:val="18"/>
          <w:szCs w:val="18"/>
          <w:color w:val="auto"/>
        </w:rPr>
        <w:t>We may require public stockholders wishing to exercise conversion rights, whether they are a record holder or hold their shares in “street name,” to either tender the certificates they are seeking to convert to our transfer agent or to deliver the shares they are seeking to convert to the transfer agent electronically using Depository Trust Company’s DWAC (Deposit/Withdrawal At Custodian) System, at the holder’s option, at any time at or prior to the vote on the business combination.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 The conversion rights will include the requirement that a beneficial holder must identify itself in order to validly redeem its shares.</w:t>
      </w:r>
    </w:p>
    <w:p>
      <w:pPr>
        <w:spacing w:after="0" w:line="125" w:lineRule="exact"/>
        <w:rPr>
          <w:sz w:val="20"/>
          <w:szCs w:val="20"/>
          <w:color w:val="auto"/>
        </w:rPr>
      </w:pPr>
    </w:p>
    <w:p>
      <w:pPr>
        <w:jc w:val="both"/>
        <w:ind w:right="559"/>
        <w:spacing w:after="0" w:line="254" w:lineRule="auto"/>
        <w:rPr>
          <w:sz w:val="20"/>
          <w:szCs w:val="20"/>
          <w:color w:val="auto"/>
        </w:rPr>
      </w:pPr>
      <w:r>
        <w:rPr>
          <w:rFonts w:ascii="Times New Roman" w:cs="Times New Roman" w:eastAsia="Times New Roman" w:hAnsi="Times New Roman"/>
          <w:sz w:val="18"/>
          <w:szCs w:val="18"/>
          <w:color w:val="auto"/>
        </w:rPr>
        <w:t xml:space="preserve">Under Delaware law, we may be required to give a minimum of only ten days’ notice for each general meeting.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w:t>
      </w:r>
    </w:p>
    <w:p>
      <w:pPr>
        <w:spacing w:after="0" w:line="121" w:lineRule="exact"/>
        <w:rPr>
          <w:sz w:val="20"/>
          <w:szCs w:val="20"/>
          <w:color w:val="auto"/>
        </w:rPr>
      </w:pPr>
    </w:p>
    <w:p>
      <w:pPr>
        <w:jc w:val="both"/>
        <w:ind w:right="559"/>
        <w:spacing w:after="0" w:line="258" w:lineRule="auto"/>
        <w:rPr>
          <w:sz w:val="20"/>
          <w:szCs w:val="20"/>
          <w:color w:val="auto"/>
        </w:rPr>
      </w:pPr>
      <w:r>
        <w:rPr>
          <w:rFonts w:ascii="Times New Roman" w:cs="Times New Roman" w:eastAsia="Times New Roman" w:hAnsi="Times New Roman"/>
          <w:sz w:val="18"/>
          <w:szCs w:val="18"/>
          <w:color w:val="auto"/>
        </w:rPr>
        <w:t>If we require public stockholders who wish to convert their shares of common stock to comply with specific delivery requirements for conversion described above and such proposed business combination is not consummated, we will promptly return such certificates to the tendering public stockholders.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559"/>
        <w:spacing w:after="0" w:line="252" w:lineRule="auto"/>
        <w:rPr>
          <w:sz w:val="20"/>
          <w:szCs w:val="20"/>
          <w:color w:val="auto"/>
        </w:rPr>
      </w:pPr>
      <w:r>
        <w:rPr>
          <w:rFonts w:ascii="Times New Roman" w:cs="Times New Roman" w:eastAsia="Times New Roman" w:hAnsi="Times New Roman"/>
          <w:sz w:val="18"/>
          <w:szCs w:val="18"/>
          <w:color w:val="auto"/>
        </w:rPr>
        <w:t>On the completion of our initial business combination, all amounts held in the trust account will be released to us. We will use these funds to pay amounts due to any public stockholders who exercise their conversion rights as described above under “— Conversion rights” to pay all or a portion of the consideration payable to the target or targets or owners of the target or targets of our initial business combination and to pay other expenses associated with our initial business combination. If our initial business combination is paid for using stock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040" w:space="220"/>
            <w:col w:w="5759"/>
          </w:cols>
          <w:pgMar w:left="1440" w:top="495"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19" w:name="page20"/>
    <w:bookmarkEnd w:id="19"/>
    <w:p>
      <w:pPr>
        <w:ind w:lef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57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857615"/>
                    </a:xfrm>
                    <a:prstGeom prst="rect">
                      <a:avLst/>
                    </a:prstGeom>
                    <a:noFill/>
                  </pic:spPr>
                </pic:pic>
              </a:graphicData>
            </a:graphic>
          </wp:anchor>
        </w:drawing>
        <w:t>Liquidation if no business</w:t>
      </w:r>
    </w:p>
    <w:p>
      <w:pPr>
        <w:spacing w:after="0" w:line="31" w:lineRule="exact"/>
        <w:rPr>
          <w:sz w:val="20"/>
          <w:szCs w:val="20"/>
          <w:color w:val="auto"/>
        </w:rPr>
      </w:pPr>
    </w:p>
    <w:p>
      <w:pPr>
        <w:jc w:val="both"/>
        <w:ind w:left="3260" w:right="559" w:hanging="2539"/>
        <w:spacing w:after="0" w:line="266" w:lineRule="auto"/>
        <w:tabs>
          <w:tab w:leader="none" w:pos="3240" w:val="left"/>
        </w:tabs>
        <w:rPr>
          <w:sz w:val="20"/>
          <w:szCs w:val="20"/>
          <w:color w:val="auto"/>
        </w:rPr>
      </w:pPr>
      <w:r>
        <w:rPr>
          <w:rFonts w:ascii="Times New Roman" w:cs="Times New Roman" w:eastAsia="Times New Roman" w:hAnsi="Times New Roman"/>
          <w:sz w:val="17"/>
          <w:szCs w:val="17"/>
          <w:b w:val="1"/>
          <w:bCs w:val="1"/>
          <w:color w:val="auto"/>
        </w:rPr>
        <w:t>combination</w:t>
      </w:r>
      <w:r>
        <w:rPr>
          <w:sz w:val="20"/>
          <w:szCs w:val="20"/>
          <w:color w:val="auto"/>
        </w:rPr>
        <w:tab/>
      </w:r>
      <w:r>
        <w:rPr>
          <w:rFonts w:ascii="Times New Roman" w:cs="Times New Roman" w:eastAsia="Times New Roman" w:hAnsi="Times New Roman"/>
          <w:sz w:val="17"/>
          <w:szCs w:val="17"/>
          <w:color w:val="auto"/>
        </w:rPr>
        <w:t>If we are unable to complete our initial business combination within 24 months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pacing w:after="0" w:line="160" w:lineRule="exact"/>
        <w:rPr>
          <w:sz w:val="20"/>
          <w:szCs w:val="20"/>
          <w:color w:val="auto"/>
        </w:rPr>
      </w:pPr>
    </w:p>
    <w:p>
      <w:pPr>
        <w:jc w:val="both"/>
        <w:ind w:left="3260" w:right="559"/>
        <w:spacing w:after="0" w:line="255" w:lineRule="auto"/>
        <w:rPr>
          <w:sz w:val="20"/>
          <w:szCs w:val="20"/>
          <w:color w:val="auto"/>
        </w:rPr>
      </w:pPr>
      <w:r>
        <w:rPr>
          <w:rFonts w:ascii="Times New Roman" w:cs="Times New Roman" w:eastAsia="Times New Roman" w:hAnsi="Times New Roman"/>
          <w:sz w:val="18"/>
          <w:szCs w:val="18"/>
          <w:color w:val="auto"/>
        </w:rPr>
        <w:t>In connection with our redemption of 100% of our outstanding public shares for a portion of the funds held in the trust account, each holder will receive a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08" w:lineRule="exact"/>
        <w:rPr>
          <w:sz w:val="20"/>
          <w:szCs w:val="20"/>
          <w:color w:val="auto"/>
        </w:rPr>
      </w:pPr>
    </w:p>
    <w:p>
      <w:pPr>
        <w:jc w:val="both"/>
        <w:ind w:left="3260" w:right="559"/>
        <w:spacing w:after="0" w:line="254" w:lineRule="auto"/>
        <w:rPr>
          <w:sz w:val="20"/>
          <w:szCs w:val="20"/>
          <w:color w:val="auto"/>
        </w:rPr>
      </w:pPr>
      <w:r>
        <w:rPr>
          <w:rFonts w:ascii="Times New Roman" w:cs="Times New Roman" w:eastAsia="Times New Roman" w:hAnsi="Times New Roman"/>
          <w:sz w:val="18"/>
          <w:szCs w:val="18"/>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21" w:lineRule="exact"/>
        <w:rPr>
          <w:sz w:val="20"/>
          <w:szCs w:val="20"/>
          <w:color w:val="auto"/>
        </w:rPr>
      </w:pPr>
    </w:p>
    <w:p>
      <w:pPr>
        <w:jc w:val="both"/>
        <w:ind w:left="3260" w:right="55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and private warrants will not participate in any redemption distribution with respect to their founder shares and private warrants, but may have any public shares redeemed upon liquidation.</w:t>
      </w:r>
    </w:p>
    <w:p>
      <w:pPr>
        <w:spacing w:after="0" w:line="112" w:lineRule="exact"/>
        <w:rPr>
          <w:sz w:val="20"/>
          <w:szCs w:val="20"/>
          <w:color w:val="auto"/>
        </w:rPr>
      </w:pPr>
    </w:p>
    <w:p>
      <w:pPr>
        <w:jc w:val="both"/>
        <w:ind w:left="3260" w:right="559"/>
        <w:spacing w:after="0" w:line="252" w:lineRule="auto"/>
        <w:rPr>
          <w:sz w:val="20"/>
          <w:szCs w:val="20"/>
          <w:color w:val="auto"/>
        </w:rPr>
      </w:pPr>
      <w:r>
        <w:rPr>
          <w:rFonts w:ascii="Times New Roman" w:cs="Times New Roman" w:eastAsia="Times New Roman" w:hAnsi="Times New Roman"/>
          <w:sz w:val="18"/>
          <w:szCs w:val="18"/>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the estimated $10.00. We will pay the costs of any subsequent liquidation from our remaining assets outside of the trust account. If such funds are insufficient, our co-sponsors have agreed to pay the funds necessary to complete such liquidation and has agreed not to seek repayment for such expenses. We currently do not anticipate that such funds will be insufficient.</w:t>
      </w:r>
    </w:p>
    <w:p>
      <w:pPr>
        <w:sectPr>
          <w:pgSz w:w="11900" w:h="16838" w:orient="portrait"/>
          <w:cols w:equalWidth="0" w:num="1">
            <w:col w:w="9019"/>
          </w:cols>
          <w:pgMar w:left="1440" w:top="495"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0" w:name="page21"/>
    <w:bookmarkEnd w:id="20"/>
    <w:p>
      <w:pPr>
        <w:ind w:left="540"/>
        <w:spacing w:after="0"/>
        <w:rPr>
          <w:sz w:val="20"/>
          <w:szCs w:val="20"/>
          <w:color w:val="auto"/>
        </w:rPr>
      </w:pPr>
      <w:r>
        <w:rPr>
          <w:rFonts w:ascii="Times New Roman" w:cs="Times New Roman" w:eastAsia="Times New Roman" w:hAnsi="Times New Roman"/>
          <w:sz w:val="17"/>
          <w:szCs w:val="17"/>
          <w:b w:val="1"/>
          <w:bCs w:val="1"/>
          <w:color w:val="auto"/>
        </w:rPr>
        <w:t>Conflict of Interest</w:t>
      </w:r>
    </w:p>
    <w:p>
      <w:pPr>
        <w:spacing w:after="0" w:line="20" w:lineRule="exact"/>
        <w:rPr>
          <w:sz w:val="20"/>
          <w:szCs w:val="20"/>
          <w:color w:val="auto"/>
        </w:rPr>
      </w:pPr>
      <w:r>
        <w:rPr>
          <w:sz w:val="20"/>
          <w:szCs w:val="20"/>
          <w:color w:val="auto"/>
        </w:rPr>
        <w:br w:type="column"/>
      </w:r>
    </w:p>
    <w:p>
      <w:pPr>
        <w:jc w:val="both"/>
        <w:ind w:right="559"/>
        <w:spacing w:after="0" w:line="255" w:lineRule="auto"/>
        <w:rPr>
          <w:sz w:val="20"/>
          <w:szCs w:val="20"/>
          <w:color w:val="auto"/>
        </w:rPr>
      </w:pPr>
      <w:r>
        <w:rPr>
          <w:rFonts w:ascii="Times New Roman" w:cs="Times New Roman" w:eastAsia="Times New Roman" w:hAnsi="Times New Roman"/>
          <w:sz w:val="18"/>
          <w:szCs w:val="18"/>
          <w:color w:val="auto"/>
        </w:rPr>
        <w:t>Chardan Capital Markets LLC, the representative of the underwriters in this offering and an affiliate of one of our co-sponsors and one of our directors, is a beneficial owner of our co-sponsor, Chardan Investments. As a result, Chardan Capital Markets LLC is deemed to have a “conflict of interest” within the meaning of FINRA Rule 5121 (“Rule 5121”). Accordingly, this offering is being made in compliance with the applicable requirements of Rule 5121.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-1205230</wp:posOffset>
            </wp:positionV>
            <wp:extent cx="5147310" cy="48285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482854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2540" w:space="720"/>
            <w:col w:w="5759"/>
          </w:cols>
          <w:pgMar w:left="1440" w:top="495" w:right="1440" w:bottom="1440" w:gutter="0" w:footer="0" w:header="0"/>
        </w:sectPr>
      </w:pPr>
    </w:p>
    <w:p>
      <w:pPr>
        <w:jc w:val="both"/>
        <w:ind w:left="3260" w:right="559"/>
        <w:spacing w:after="0" w:line="253" w:lineRule="auto"/>
        <w:rPr>
          <w:sz w:val="20"/>
          <w:szCs w:val="20"/>
          <w:color w:val="auto"/>
        </w:rPr>
      </w:pPr>
      <w:r>
        <w:rPr>
          <w:rFonts w:ascii="Times New Roman" w:cs="Times New Roman" w:eastAsia="Times New Roman" w:hAnsi="Times New Roman"/>
          <w:sz w:val="18"/>
          <w:szCs w:val="18"/>
          <w:color w:val="auto"/>
        </w:rPr>
        <w:t>Rule 5121 requires that a “qualified independent underwriter,” as defined in Rule 5121, participate in the preparation of the registration statement and prospectus and exercise the usual standards of due diligence with respect thereto. B. Riley FBR, Inc. has agreed to act as a “qualified independent underwriter” for this offering. B. Riley FBR, Inc. will receive $100,000 for acting as a qualified independent underwriter. We have agreed to indemnify B. Riley FBR,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ectPr>
          <w:pgSz w:w="11900" w:h="16838" w:orient="portrait"/>
          <w:cols w:equalWidth="0" w:num="1">
            <w:col w:w="9019"/>
          </w:cols>
          <w:pgMar w:left="1440" w:top="495" w:right="1440"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this offering, please see “</w:t>
      </w:r>
      <w:r>
        <w:rPr>
          <w:rFonts w:ascii="Times New Roman" w:cs="Times New Roman" w:eastAsia="Times New Roman" w:hAnsi="Times New Roman"/>
          <w:sz w:val="18"/>
          <w:szCs w:val="18"/>
          <w:i w:val="1"/>
          <w:iCs w:val="1"/>
          <w:color w:val="auto"/>
        </w:rPr>
        <w:t>Proposed Business — Comparison to Offerings of Blank Check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 Subject to Rule 419</w:t>
      </w:r>
      <w:r>
        <w:rPr>
          <w:rFonts w:ascii="Times New Roman" w:cs="Times New Roman" w:eastAsia="Times New Roman" w:hAnsi="Times New Roman"/>
          <w:sz w:val="18"/>
          <w:szCs w:val="18"/>
          <w:color w:val="auto"/>
        </w:rPr>
        <w:t>.” You should carefully consider these and the other risks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entitled “Risk Factors” beginning on page 19 of this prospectus.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95" w:right="1440" w:bottom="1440" w:gutter="0" w:footer="0" w:header="0"/>
          <w:type w:val="continuous"/>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402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5402580"/>
                    </a:xfrm>
                    <a:prstGeom prst="rect">
                      <a:avLst/>
                    </a:prstGeom>
                    <a:noFill/>
                  </pic:spPr>
                </pic:pic>
              </a:graphicData>
            </a:graphic>
          </wp:anchor>
        </w:drawing>
        <w:t>SUMMARY FINANCIAL DATA</w:t>
      </w:r>
    </w:p>
    <w:p>
      <w:pPr>
        <w:spacing w:after="0" w:line="148"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June 30, 2020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As Adjusted</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color w:val="auto"/>
              </w:rPr>
              <w:t>(Audited)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145,773,465</w:t>
            </w:r>
          </w:p>
        </w:tc>
        <w:tc>
          <w:tcPr>
            <w:tcW w:w="0" w:type="dxa"/>
            <w:vAlign w:val="bottom"/>
          </w:tcPr>
          <w:p>
            <w:pPr>
              <w:spacing w:after="0"/>
              <w:rPr>
                <w:sz w:val="1"/>
                <w:szCs w:val="1"/>
                <w:color w:val="auto"/>
              </w:rPr>
            </w:pPr>
          </w:p>
        </w:tc>
      </w:tr>
      <w:tr>
        <w:trPr>
          <w:trHeight w:val="40"/>
        </w:trPr>
        <w:tc>
          <w:tcPr>
            <w:tcW w:w="402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151,023,465</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Value of shares of common stock subject to possible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conversion/tender</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140,773,460</w:t>
            </w:r>
          </w:p>
        </w:tc>
        <w:tc>
          <w:tcPr>
            <w:tcW w:w="0" w:type="dxa"/>
            <w:vAlign w:val="bottom"/>
          </w:tcPr>
          <w:p>
            <w:pPr>
              <w:spacing w:after="0"/>
              <w:rPr>
                <w:sz w:val="1"/>
                <w:szCs w:val="1"/>
                <w:color w:val="auto"/>
              </w:rPr>
            </w:pPr>
          </w:p>
        </w:tc>
      </w:tr>
      <w:tr>
        <w:trPr>
          <w:trHeight w:val="243"/>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98" w:lineRule="auto"/>
        <w:tabs>
          <w:tab w:leader="none" w:pos="102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$4,500,000 we will receive from the sale of the private warrants (without exercise of over-allotment option).</w:t>
      </w:r>
    </w:p>
    <w:p>
      <w:pPr>
        <w:spacing w:after="0" w:line="9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6"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“as adjusted” working capital and total assets amounts include the $150,000,000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99"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we have net tangible assets of at least $5,000,001 upon such consummation and a majority of the outstanding shares of common stock voted are voted in favor of the business combination (if a vote is required or being obtained).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 newly formed blank check company in the early stage with no operating history and no revenues, and you have no basis on which to evaluate our ability to achieve our business objective.</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a newly formed blank check company with no operating results, and we will not commence operations until obtaining funding through this offering and consummating our initial business combination.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our initial business combination, and may be unable to complete our initial business combination. If we fail to complete our initial business combination, we will never generate any operating revenues.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outbreak has resulted, and a significant outbreak of other infectious diseases could result, in a widespread health crisis that has affected, or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 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191"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requirement that the target business or businesses that we acquire must collectively have a fair market value equal to at least 80% of the balance of the funds in the trust account (excluding any deferred underwriters’ fees and taxes payable on the income earned on the trust account) at the time of the execution of a definitive agreement for our initial business combination may limit the type and number of companies with which we may complete such a business combination.</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Pursuant to Nasdaq listing rules, the target business or businesses that we acquire must collectively have a fair market value equal to at least 80% of the balance of the funds in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which may be less than $10.00 per share.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3" w:name="page24"/>
    <w:bookmarkEnd w:id="23"/>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public stockholders may not be afforded an opportunity to vote on our proposed business combination, which means we may consummate our initial business combination even though a majority of our public stockholders do not support such a combination.</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a stockholder vote is not required, we may conduct redemptions via a tender offer. Accordingly, we may consummate our initial business combination even if holders of a majority of our public shares do not approve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At the time of your investment in us, you will not be provided with an opportunity to evaluate the specific merits or risks of one or more target businesses. Because our board of directors may consummate our initial business combination without seeking stockholder approval, public stockholders may not have the right or opportunity to vote on the business combination.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business combination.</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redeem their shares for cash may make our financial condition unattractive to potential business combination targets, which may make it difficult for us to enter into our initial business combination with a target.</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enter into a transaction agreement with a prospective target that requires as a closing condition that we have a minimum net worth or a certain amount of cash. If too many public stockholders exercise their redemption rights, we may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would be aware of these risks and, thus, may be reluctant to enter into our initial business combination transaction with us.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a large number of our stockholders to exercise redemption rights may not allow us to consummate the most desirable business combination or optimize our capital structure.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consummation of our business combination, we may redeem up to that number of shares of common stock that would permit us to maintain net tangible assets of $5,000,001. If our business combination requires us to use substantially all of our cash to pay the purchase price, the redemption threshold may be further limited. Alternatively, we may need to arrange third party financing to help fund our business combination in case a larger percentage of stockholders exercises its redemption rights than we expect. If the acquisition involves the issuance of our shares as consideration, we may be required to issue a higher percentage of our shares to the target or its stockholders to make up for the failure to satisfy a minimum cash requirement.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maintain a minimum net worth or retain a certain amount of cash could increase the probability that we cannot consummate our business combination and that you would have to wait for liquidation in order to redeem your shares.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pursuant to the terms of our proposed business combination, we are required to maintain a minimum net worth or retain a certain amount of cash in trust in order to consummate the business combination, regardless of whether we proceed with redemptions under the tender offer or proxy rules, the probability that we cannot consummate our business combination is increased. If we do not consummate our business combination, you would not receive your pro rata portion of the trust account until we liquidate. If you are in need of immediate liquidity, you could attempt to sell your shares in the open market; however, at such time our shares may trade at a discount to the pro rata amount in our trust account. In either situation, you may suffer a material loss on your investment or lose the benefit of funds expected in connection with a redemption until we liquidate or you are able to sell your shares in the open market.</w:t>
      </w:r>
    </w:p>
    <w:p>
      <w:pPr>
        <w:sectPr>
          <w:pgSz w:w="11900" w:h="16838" w:orient="portrait"/>
          <w:cols w:equalWidth="0" w:num="1">
            <w:col w:w="9019"/>
          </w:cols>
          <w:pgMar w:left="1440" w:top="333"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4" w:name="page25"/>
    <w:bookmarkEnd w:id="24"/>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requirement that we complete our initial business combination within 24 months from the closing of this offering may give potential target businesses leverage over us in negotiating our initial business combination.</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potential target business with which we enter into negotiations concerning our initial business combination will be aware that we must consummate our initial business combination within 24 months from the closing of this offering. Consequently, such target business may obtain leverage over us in negotiating our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consummate our initial business combination within the required time period, in which case we would cease all operations except for the purpose of winding up and we would redeem our public shares and liquidate.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co-sponsors, officers and directors have agreed that we must complete our initial business combination within 24 months from the closing of this offering. We may not be able to find a suitable target business and consummate our initial business combination within such time period. If we are unable to consummate our initial business combination within the required time period, we will, as promptly as reasonably possible but not more than five business days thereafter (subject to our certificate of incorporation and Delaware law), distribute the aggregate amount then on deposit in the trust account (net of taxes payable), pro rata to our public stockholders by way of redemption and cease all operations except for the purposes of winding up of our affairs, as further described herein. This redemption of public stockholders from the trust account shall be effected as required by our certificate of incorporation and Delaware law, prior to any voluntary winding up.</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our co-sponsors, directors, officers, advisors and their affiliates may elect to purchase shares from stockholders, in which case they may influence a vote in favor of a proposed business combination that you do not support.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we seek stockholder approval of our business combination and we do not conduct redemptions in connection with our business combination pursuant to the tender offer rules, our co-sponsors, directors, officers, advisors or their affiliates may purchase shares in privately negotiated transactions either prior to or following the consummation of our initial business combination. Such purchases will not be made if our co-sponsors, directors, officers, advisors or their affiliates are in possession of any material non-public information that has not been disclosed to the selling stockholder. Such a purchase would include a contractual acknowledgement that such stockholder, although still the record holder of our shares, is no longer the beneficial owner thereof and therefore agrees not to exercise its redemption rights. In the event that our co-sponsors, directors, officers, advisors or their affiliates purchase shares in privately negotiated transactions from public stockholders who have already elected to exercise their redemption rights, such selling stockholders would be required to revoke their prior elections to redeem their shares. To the extent that Rule 10b-18 would apply to purchases by our co-sponsors, directors, officers, advisors or their affiliates, such purchases will need to comply with Rule 10b-18, including the safe harbor for purchases made under certain conditions, including with respect to timing, pricing and volume of purchases.</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purpose of such purchases would be to (1) increase the likelihood of obtaining stockholder approval of the business combination or (2) satisfy a closing condition in an agreement with a target that requires us to have a minimum net worth or a certain amount of cash at the closing of the business combination, where it appears that such requirement would otherwise not be met. This may result in the consummation of an initial business combination that may not otherwise have been possible.</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Purchases of shares of common stock in the open market or in privately negotiated transactions by our co-sponsors, directors, officers, advisors or their affiliates may make it difficult for us to maintain the listing of our shares on a national securities exchange following the consummation of an initial business combination.</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our co-sponsors, directors, officers, advisors or their affiliates purchase shares of common stock in the open market or in privately negotiated transactions, the public “float” of our shares of common stock and the number of beneficial holders of our securities would both be reduced, possibly making it difficult to maintain the listing or trading of our securities on a national securities exchange following consummation of the business combination.</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25" w:name="page26"/>
    <w:bookmarkEnd w:id="25"/>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public stockholders are entitled to receive funds from the trust account only in the event of a redemption to public stockholders prior to any winding up in the event we do not consummate our initial business combination or our liquidation, if they redeem their shares in connection with an initial business combination that we consummate, or if we seek to amend our certificate of incorporation to affect the substance or timing of our redemption obligation to redeem all public shares if we cannot complete an initial business combination within 24 months of the closing of this offering. In no other circumstances will a stockholder have any right or interest of any kind to the funds in the trust account. Accordingly, to liquidate your investment, you may be forced to sell your public shares, potentially at a loss.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You will not be entitled to protections normally afforded to investors of many other blank check companies.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Because the net proceeds of this offering are intended to be used to complete our initial business combination with a target business that has not been identified, we may be deemed to be a “blank check” company under the United States securities laws. However, because we will have net tangible assets in excess of $5,000,000 upon the consummation of this offering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companies have that are subject to Rule 419. Moreover, offerings subject to Rule 419 would prohibit the release of any interest earned on funds held in the trust account to us. For a more detailed comparison of our offering to offerings that comply with Rule 419, please see “Proposed Business — Comparison to Offerings of Blank Check Companies Subject to Rule 419.”</w:t>
      </w:r>
    </w:p>
    <w:p>
      <w:pPr>
        <w:spacing w:after="0" w:line="18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seek stockholder approval of our business combination and we do not conduct redemptions pursuant to the tender offer rules, and if you or a “group” of stockholders are deemed to hold in excess of 20% of our shares of common stock, you will lose the ability to redeem all such shares in excess of 20% of our shares of common stock.</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seek stockholder approval of our initial business combination and we do not conduct redemptions in connection with our business combination pursuant to the tender offer rules, our certificate of incorporation provides that a public stockholder, individually or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Your inability to redeem more than an aggregate of 20% of the shares sold in this offering will reduce your influence over our ability to consummate our initial business combination and you could suffer a material loss on your investment in us if you sell such excess shares in open market transactions. As a result, you will continue to hold that number of shares exceeding 20% and, in order to dispose of such shares, you would be required to sell your shares in open market transaction, potentially at a loss.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the net proceeds of this offering not being held in the trust account are insufficient to allow us to operate for at least the next 24 months, we may be unable to complete our initial business combination.</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funds available to us outside of the trust account may not be sufficient to allow us to operate for at least the next 24 months, assuming that our initial business combination is not consummated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are unable to fund such down payments or “no shop” provisions, our ability to close a contemplated transaction could be impaired. Furthermore,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initial business combination, our public stockholders may only receive a pro rata portion of the amount then in the trust account (which may be less than $10.00 per share) (whether or not the underwriters’ over-allotment option is exercised in full) on our redemption, and our warrants will expire worthless.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Subsequent to our consummation of our initial business combination, we may be required to take write-downs or write-offs, restructuring and impairment or other charges.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Even if we conduct thorough due diligence on a target business with which we combine, this diligence may not surface all material issues that may be present inside a particular target business. Even with thorough due diligence, we may not be able to uncover all material issues, and there may be factors outside of the target business and outside of our control that may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directors may decide not to enforce indemnification obligations against our co-sponsors, resulting in a reduction in the amount of funds in the trust account available for distribution to our public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event that the proceeds in the trust account are reduced below $10.00 per share (whether or not the underwriters’ overallotment option is exercised in full) and either of our co-sponsors asserts that it is unable to satisfy its obligations or that it has no indemnification obligations related to a particular claim, our independent directors would determine on our behalf whether to take legal action against such co-sponsor to enforce its indemnification obligations. While we currently expect that our independent directors would take legal action on our behalf against either co-sponsor to enforce its indemnification obligations to us, it is possible that our independent directors in exercising their business judgment may choose not to do so in any particular instance. If our independent directors choose not to enforce these indemnification obligations on our behalf, the amount of funds in the trust account available for distribution to our public stockholders may be reduced below $10.00 per share.</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our activities may be restricted, including restrictions on the nature of our investments and restrictions on the issuance of securities, each of which may make it difficult for us to complete our initial business combination. In addition, we may have imposed upon us burdensome requirements, including registration as an investment company, adoption of a specific form of corporate structure and reporting, record keeping, voting, proxy and disclosure requirements and other rules and regulations.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were deemed to be subject to the Investment Company Act, compliance with these additional regulatory burdens would require additional expenses for which we have not allotted funds and may hinder our ability to consummate our initial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Changes in laws or regulations, or a failure to comply with any laws and regulations, may adversely affect our business, investments and results of operations.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enacted by national, regional and local governments and agencies, in particular, the Securities Exchange and Commission. Compliance with, and monitoring of, applicable laws and regulations may be difficult, time consuming and costly. Those laws and regulations and their interpretation and application also may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consummate our initial business combination, our public stockholders may be forced to wait up to 24 months or longer before redemption from our trust account.</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our initial business combination within 24 months from the closing of this offering, we will, as promptly as reasonably possible but not more than five business days thereafter (subject to our certificate of incorporation and applicable law), distribute the aggregate amount then on deposit in the trust account (net of taxes payable), pro rata to our public stockholders by way of redemption and cease all operations except for the purposes of winding up of our affairs by way of a voluntary liquidation, as further described herein. Any redemption of public stockholders from the trust account shall be effected as required by our certificate of incorporation prior to our commencing any voluntary liquidation. Except as otherwise described herein, we have no obligation to return funds to investors prior to the date of any redemption required as a result of our failure to consummate our initial business combination within the period described above or our liquidation, unless we consummate our initial business combination prior thereto and only then in cases where investors have sought to redeem their shares of common stock. Only upon any such redemption of public shares as we are required to effect or any liquidation will public stockholders be entitled to distributions if we are unable to complete our initial business combination.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grant of registration rights to our initial stockholders may make it more difficult to complete our initial business combination, and the future exercise of such rights may adversely affect the market price of our shares of common stock.</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Pursuant to an agreement to be entered into on the date of this prospectus, our initial stockholders, our co-sponsors (and/or our co-sponsors’ designees) and their permitted transferees can demand that we register the founder shares and the private warrants and the underlying securities. We will bear the cost of registering these securities. The registration and availability of such a significant number of securities for trading in the public market may have an adverse effect on the market price of our shares of common stock. In addition, the existence of the registration rights may make our initial business combination more costly or difficult to conclude. This is because the stockholder of the target business may increase the equity stake they seek in the combined entity or ask for more cash consideration to offset the negative impact on the market price of our shares of common stock that is expected when the securities owned by our co-sponsors, holders of our private units or their respective permitted transferees are registered.</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Because we have not selected a particular business or specific geographic location or any specific target businesses with which to pursue our initial business combination, you will be unable to ascertain the merits or risks of any particular target business’ operations.</w:t>
      </w:r>
    </w:p>
    <w:p>
      <w:pPr>
        <w:spacing w:after="0" w:line="10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Although we have a stated focus on certain target businesses in a specific geographic location as indicated elsewhere in this prospectus, we may pursue acquisition opportunities in any geographic region. While we may pursue an acquisition opportunity in any business industry or sector, we intend to initially focus on those industries or sectors that complement our management team’s background. Except for the limitations that a target business have a fair market value of at least 80% of the value of the trust account (excluding any deferred underwriters’ fees and taxes payable on the income earned on the trust account) and that we are not permitted to effectuate our initial business combination with another blank check company or similar company with nominal operations, we will have virtually unrestricted flexibility in identifying and selecting a prospective acquisition candidate. Because we have not yet identified or approached any specific target business with respect to our initial business combination, there is no basis to evaluate the possible merits or risks of any particular target business’s operations, results of operations, cash flows, liquidity, financial condition or prospects. To the extent we consummate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we may not have adequate time to complete due diligence with respect to the target business and its industry. Furthermore, some of these risks may be outside of our control and leave us with no ability to control or reduce the chances that those risks will adversely impact a target business. In addition, investors will be relying on the business judgment of our board of directors, which will have significant discretion in choosing the standard used to establish the fair market value of a particular target business. An investment in our units may not ultimately prove to be more favorable to investors than a direct investment, if such opportunity were available, in an acquisition target.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 w:name="page29"/>
    <w:bookmarkEnd w:id="28"/>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seek investment opportunities outside our management’s area of expertise and our management may not be able to adequately ascertain or assess all significant risks associated with the target company.</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is no limitation on the industry or business sector we may consider when contemplating our initial business combination. We may therefore be presented with a business combination candidate in an industry unfamiliar to our management team, but determine that such candidate offers an attractive investment opportunity for our company. In the event we elect to pursue an investment outside of our management’s expertise, our management’s experience may not be directly applicable to the target business or the evaluation of its operations.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Although we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have identified specific criteria and guidelines for evaluating prospective target businesses, it is possible that a target business with which we enter into our initial business combination will not have all of these attributes. If we consummate our initial business combination with a target that does not meet some or all of these guidelines, such combination may not be as successful as a combination with a business that does meet all of our general criteria and guidelines. In addition, if we announce our initial business combination with a target that does not meet our general criteria and guidelines, a greater number of stockholders may exercise its redemption rights, which may make it difficult for us to meet any closing condition with a target business that requires us to have a minimum net worth or a certain amount of cash. In addition, if stockholder approval of the transaction is required by law or Nasdaq,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$10.00 per share or even less (whether or not the underwriters’ over-allotment option is exercised in full) on our redemption, and our warrants will expire worthless.</w:t>
      </w:r>
    </w:p>
    <w:p>
      <w:pPr>
        <w:spacing w:after="0" w:line="1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flexibility in identifying and selecting a prospective acquisition candidate, along with our management’s financial interest in consummating our initial business combination, may lead management to enter into an acquisition agreement that is not in the best interest of our stockholders.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deferred underwriters’ fees and taxes payable on the income earned on the trust account) at the time of the agreement to enter into such initial business combination, we will have virtually unrestricted flexibility in identifying and selecting a prospective acquisition candidate. Investors will be relying on management’s ability to identify business combinations, evaluate their merits, conduct or monitor diligence and conduct negotiations. Management’s flexibility in identifying and selecting a prospective acquisition candidate, along with management’s financial interest in consummating our initial business combination, may lead management to enter into an acquisition agreement that is not in the best interest of our stockholders, which would be the case if the trading price of our shares of common stock after giving effect to such business combination was less than the per-share trust liquidation value that our stockholders would have received if we had dissolved without consummating our initial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are not required to obtain an opinion from an independent investment banking firm in connection with a business combination, and consequently, an independent source may not confirm that the price we are paying for the business is fair to our stockholders from a financial point of view.</w:t>
      </w:r>
    </w:p>
    <w:p>
      <w:pPr>
        <w:spacing w:after="0" w:line="10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Unless we consummate our initial business combination with an affiliated entity, we are not required to obtain an opinion from an independent investment banking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b w:val="1"/>
          <w:bCs w:val="1"/>
          <w:color w:val="auto"/>
        </w:rPr>
        <w:t>Resources could be wasted in researching acquisitions that are not consummated.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consummate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only receive $10.00 per share or even less (whether or not the underwriters’ over-allotment option is exercised in full) on our redemption, and our warrants will expire worthless.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Our ability to successfully effect our initial business combination and to be successful thereafter will be largely dependent upon the efforts of our officers, directors and key personnel, some of whom may join us following our initial business combination.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consummated our initial business combination. In addition, our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We do not have an employment agreement with, or key-man insurance on the life of, any of our directors or officers. The unexpected loss of the services of one or more of our directors or officers could have a detrimental effect on us.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role of such persons in the target business, however, cannot presently be ascertained. Although some of such persons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our assessment of these individuals may not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key personnel may be able to remain with us after the consummation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consummation of the business combination. The personal and financial interests of such individuals may influence their motivation in identifying and selecting a target business. However, we believe the ability of such individuals to remain with us after the consummation of our initial business combination will not be the determining factor in our decision as to whether or not we will proceed with any potential business combination. There is no certainty, however, that any of our key personnel will remain with us after the consummation of our initial business combination. Our key personnel may not remain in senior management or advisory positions with us. The determination as to whether any of our key personnel will remain with us will be made at the time of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0" w:name="page31"/>
    <w:bookmarkEnd w:id="30"/>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have a limited ability to assess the management of a prospective target business and, as a result, may effectuate our initial business combination with a target business whose management may not have the skills, qualifications or abilities to manage a public company.</w:t>
      </w:r>
    </w:p>
    <w:p>
      <w:pPr>
        <w:spacing w:after="0" w:line="10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When evaluating the desirability of effecting our initial business combination with a prospective target business, our ability to assess the target business’ management may be limited due to a lack of time, resources or information. Our assessment of the capabilities of the target’s management, therefore, may prove to be incorrect, and such management may lack the expected skills, qualifications or abilities. Should the target’s management not possess the skills, qualifications or abilities necessary to manage a public company, the operations and profitability of the post-combination business may be negatively impacted.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officers and directors of an acquisition candidate may resign upon consummation of our initial business combination. The loss of an acquisition target’s key personnel could negatively impact the operations and profitability of our post-combination business.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role of an acquisition candidate’s key personnel upon the consummation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some members of the management team of an acquisition candidate will not wish to remain in place.</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of our officers and directors are affiliated with entities engaged in business activities similar to those intended to be conducted by us and, accordingly, may have conflicts of interest in allocating their time and determining to which entity a particular business opportunity should be presented.</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Following the completion of this offering and until we consummate our business combination, we intend to engage in the business of identifying and combining with one or more businesses. Certain of our executive officers and directors are affiliated with entities that are engaged in a similar business.</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officers may become aware of business opportunities which may be appropriate for presentation to us and the other entities to which they owe certain fiduciary duties. Accordingly, they may have conflicts of interest in determining to which entity a particular business opportunity should be presented.</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example, one of our directors is affiliated with Chardan Capital Markets LLC, which is also the underwriter in this offering. Such director owe a pre-existing fiduciary duty to Chardan Capital Markets LLC, meaning that such director may present opportunities to Chardan Capital Markets LLC prior to presenting them to us, if, for example, a potential target company is open to either raising funds in an offering or engaging in a transaction with a blank check company. This may limit the number of potential targets such director presents to us for purposes of completing a business combination.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Any conflict of interest may not be resolved in our favor, and potential target businesses may be presented to another entity prior to their presentation to us.</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Certain shares beneficially owned by our officers and directors will not participate in liquidation distributions and, therefore, our officers and directors may have a conflict of interest in determining whether a particular target business is appropriate for our initial business combination.</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officers and directors have waived their right to redeem any shares in connection with our initial business combination, or to receive distributions with respect to their founder shares upon our liquidation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We may engage in our initial business combination with one or more target businesses that have relationships with entities that may be affiliated with our executive officers, directors or existing holders, which may raise potential conflicts of interest.</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light of the involvement of our co-sponsors, officers and directors with other entities, we may decide to acquire one or more businesses affiliated with our co-sponsors, officers and directors. Our directors also serve as officers and board members for other entities. Our co-sponsors, officers and directors are not currently aware of any specific opportunities for us to consummate our initial business combination with any entities with which they are affiliated, and there have been no preliminary discussions concerning a business combination with any entity or entities. Although we will not be specifically focusing on, or targeting, any transaction with any affiliated entities, we would pursue such a transaction if we determined that such affiliated entity met our criteria for our initial business combination as set forth in “Proposed Business — Investment Criteria” and such transaction was approved by a majority of our disinterested directors. Despite our agreement to obtain an opinion in connection with such transaction from an independent investment banking firm, or another independent entity that commonly renders valuation opinions on the type of target business we seek to acquire, regarding the fairness to our stockholders from a financial point of view of a business combination with one or more domestic or international businesses affiliated with our executive officers, directors or existing holders, potential conflicts of interest still may exist and, as a result, the terms of the business combination may not be as advantageous to our public stockholders as they would be absent any conflicts of interest. Our directors have a fiduciary duty to act in the best interests of our stockholders, whether or not a conflict of interest may exist.</w:t>
      </w:r>
    </w:p>
    <w:p>
      <w:pPr>
        <w:spacing w:after="0" w:line="18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color w:val="auto"/>
        </w:rPr>
        <w:t>Because our co-sponsors will lose their entire initial investment in us if our initial business combination is not consummated and our officers and directors have significant financial interests in us, a conflict of interest may arise in determining whether a particular acquisition target is appropriate for our initial business combination.</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officers and directors prior to the consummation of the offering, resulting in Ventoux Acquisition holding a balance of 2,773,875 shares. The founder shares include an aggregate of up to 562,500 shares that are subject to forfeiture to the extent that the underwriters’ over-allotment option is not exercised in full or in part. The founder shares will be worthless if we do not consummate an initial business combination. In addition, Ventoux Acquisition has committed to purchase from us an aggregate of 3,000,000 warrants (or 3,300,000 warrants if the over-allotment option is exercised in full), and Chardan Investments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The founder shares, private warrants and warrants will be worthless if we do not consummate an initial business combination.</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issue notes or other debt securities, or otherwise incur substantial debt, to complete our initial business combination, which may adversely affect our financial condition and thus negatively impact the value of our stockholders’ investment in us.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Although we have no commitments as of the date of this prospectus to issue any notes or other debt securities, or to otherwise incur outstanding debt, we may choose to incur substantial debt to complete our initial business combination. If we incur any indebtedness without a waiver from any lender of any right, title, interest or claim of any kind in or to any monies held in the trust account, the incurrence of debt could have a variety of negative effects, including:</w:t>
      </w:r>
    </w:p>
    <w:p>
      <w:pPr>
        <w:spacing w:after="0" w:line="116" w:lineRule="exact"/>
        <w:rPr>
          <w:sz w:val="20"/>
          <w:szCs w:val="20"/>
          <w:color w:val="auto"/>
        </w:rPr>
      </w:pPr>
    </w:p>
    <w:p>
      <w:pPr>
        <w:ind w:left="1320" w:right="479" w:hanging="434"/>
        <w:spacing w:after="0" w:line="282" w:lineRule="auto"/>
        <w:tabs>
          <w:tab w:leader="none" w:pos="1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both"/>
        <w:ind w:left="1320" w:right="459" w:hanging="434"/>
        <w:spacing w:after="0" w:line="266" w:lineRule="auto"/>
        <w:tabs>
          <w:tab w:leader="none" w:pos="13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the debt security contains covenants restricting our ability to obtain such financing while the debt security is outstanding;</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shares of common stock;</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shares of common stock if declared, expenses, capital expenditures, acquisitions and other general corporate purposes;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7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only be able to complete one business combination with the proceeds of this offering, which will cause us to be solely dependent on a single business, which may have a limited number of products or services. This lack of diversification may negatively impact our operations and profitability.</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net proceeds from this offering together with the funds we will receive from the sale of the private warrants (excluding $1,000,000 of net proceeds that will not be held in the trust account) will provide us with approximately $150,000,000 (or approximately $172,500,000 if the underwriters’ over-allotment option is exercised in full) that we may use to complete our initial business combination.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We may effectuate our initial business combination with a single target business or multiple target businesses simultaneously.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consummating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 solely dependent upon the performance of a single business, property or asset, or dependent upon the development or market acceptance of a single or limited number of products or services. 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8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We may attempt to simultaneously consummate business combinations with multiple prospective targets, which may hinder our ability to consummate our initial business combination and give rise to increased costs and risks that could negatively impact our operations and profitability.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the initial business combination. With multiple business combinations, we could also face additional risks, including additional burdens and costs with respect to possible multiple negotiations and due diligence investigations (if there are multiple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We may attempt to consummate our initial business combination with a private company about which little information is available.</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pursuing our acquisition strategy, we may seek to effectuate our initial business combination with a privately held company. By definition, very little public information exists about private companies, and we could be required to make our decision on whether to pursue a potential initial business combination on the basis of limited information, which may result in our initial business combination with a company that is not as profitable as we suspected, if at all.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not be able to maintain control of a target business after our initial business combination.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structure our initial business combination to acquire less than 100% of the equity interests or assets of a target business, but we will only consummate such business combination if we will become the majority stockholder of the target (or control the target through contractual arrangements in limited circumstances for regulatory compliance purposes)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Even though we may own a majority interest in the target, our stockholders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acquire a 100% controlling interest in the target. However, as a result of the issuance of a substantial number of new shares, our stockholders immediately prior to such transaction could own less than a majority of our outstanding shares subsequent to such transaction. In addition, other minority stockholders may subsequently combine their holdings resulting in a single person or group obtaining a larger share of the company’s stock than we initially acquired. Accordingly, this may make it more likely that we will not be able to maintain our control of the target business.</w:t>
      </w:r>
    </w:p>
    <w:p>
      <w:pPr>
        <w:spacing w:after="0" w:line="19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Holders of warrants will not participate in liquidating distributions if we are unable to complete an initial business combination within the required time period.</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we are unable to complete an initial business combination within the required time period and we liquidate the funds held in the trust account, the warrants will expire and holders will not receive any of such proceeds with respect to the warrants. The foregoing may provide a financial incentive to public stockholders to vote in favor of any proposed initial business combination as each of their warrants would entitle the holder to receive or purchase additional shares of common stock, resulting in an increase in their overall economic stake in us. If a business combination is not approved, the warrants will expire and be worthless.</w:t>
      </w:r>
    </w:p>
    <w:p>
      <w:pPr>
        <w:spacing w:after="0" w:line="183"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If we do not maintain a current and effective prospectus relating to the shares of common stock issuable upon exercise of the warrants, public holders will only be able to exercise such warrants on a “cashless basis” which would result in a fewer number of shares being issued to the holder had such holder exercised the warrants for cash.</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do not maintain a current and effective prospectus relating to the shares of common stock issuable upon exercise of the public warrants at the time that holders wish to exercise such warrants, they will only be able to exercise them on a “cashless basis” provided that an exemption from registration is available. As a result, the number of shares of common stock that a holder will receive upon exercise of its public warrants will be fewer than it would have been had such holder exercised its warrant for cash. Further, if an exemption from registration is not available, holders would not be able to exercise their warrants on a cashless basis and would only be able to exercise their warrants for cash if a current and effective prospectus relating to the shares of common stock issuable upon exercise of the warrants is available. Under the terms of the warrant agreement, we have agreed to use our best efforts to meet these conditions and to maintain a current and effective prospectus relating to the shares of common stock issuable upon exercise of the warrants until the expiration of the warrants. However, we cannot assure you that we will be able to do so. If we are unable to do so, the potential benefit of the holder’s investment in us may be reduced or the warrants may expire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worthless. Notwithstanding the foregoing, the private warrants may be exercisable for unregistered shares of common stock for cash even if the prospectus relating to the shares of common stock issuable upon exercise of the warrants is not current and effective.</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An investor will only be able to exercise a warrant for cash if the issuance of common stock upon such exercise has been registered or qualified or is deemed exempt under the securities laws of the state of residence of the holder of the warrants.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 public warrants will be exercisable for cash, and we will not be obligated to issue shares of common stock unless the shares of common stock issuable upon such exercise has been registered or qualified or deemed to be exempt under the securities laws of the state of residence of the holder of the warrants. At the time that the warrants become exercisable, we expect to continue to be listed on a national securities exchange, which would provide an exemption from registration in every state. However, we cannot assure you of this fact. If the common shares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call our public warrants for redemption after the redemption criteria described elsewhere in this prospectus have been satisfied, our management will have the option to require any holder that wishes to exercise his warrant (including any warrants held by Ventoux Acquisition and/or its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benefit of the holder’s investment in our company.</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may amend the terms of the warrants in a way that may be adverse to holders with the approval by the holders of a majority of the then outstanding warrants.</w:t>
      </w:r>
    </w:p>
    <w:p>
      <w:pPr>
        <w:spacing w:after="0" w:line="9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 majority of the then outstanding warrants (including the private warrants) in order to make any change that adversely affects the interests of the registered 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have no obligation to net cash settle the warrants.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no event will we have any obligation to net cash settle the warrants. Accordingly, the warrants may expire worthless.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ability of our public stockholders to exercise their redemption rights may not allow us to effectuate the most desirable business combination or optimize our capital structure.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initial business combination requires us to use substantially all of our cash to pay the purchase price, because we will not know how many public stockholders may exercise redemption rights, we may either need to reserve part of the trust account for possible payment upon such redemption, or we may need to arrange third party financing to help fund our initial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In connection with any meeting held to approve an initial business combination, we will offer each public stockholder the option to vote in favor of the proposed business combination and still seek redemption of his, her or its shares.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any meeting held to approve an initial business combination, we will offer each public stockholder (but not our initial stockholders, officers or directors) the right to have his, her or its shares of common stock redeemed for cash (subject to the limitations described elsewhere in this prospectus) regardless of whether such stockholder votes for or against such proposed business combination; provided that a stockholder must in fact vote for or against a proposed business combination in order to have his, her or its shares of common stock redeemed for cash. If a stockholder fails to vote for or against a proposed business combination, that stockholder would not be able to have his, her or its shares of common stock redeemed. We will consummate our initial business combination only if we have net tangible assets of at least $5,000,001 upon such consummation and a majority of the outstanding shares of common stock voted are voted in favor of the business combination. This is different than other similarly structured blank check companies where stockholders are offered the right to redeem their shares only when they vote against a proposed business combination. This threshold and the ability to seek redemption while voting in favor of a proposed business combination may make it more likely that we will consummate our initial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 public stockholder who fails to vote either in favor of or against a proposed business combination will not be able to have his, her or its shares redeemed for cash.</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order for a public stockholder to have his, her or its shares redeemed for cash in connection with any proposed business combination, that public stockholder must vote either in favor of or against a proposed business combination. If a public stockholder fails to vote in favor of or against a proposed business combination, whether that stockholder abstains from the vote or simply does not vote, that stockholder would not be able to have his, her or its shares of common stock redeemed to cash in connection with such business combination.</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We will require public stockholders who wish to redeem their shares of common stock in connection with a proposed business combination or amendment to our certificate of incorporation to effect the substance or timing of their redemption obligation if we fail to timely complete a business combination to comply with specific requirements for redemption that may make it more difficult for them to exercise their redemption rights prior to the deadline for exercising their rights.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will require our public stockholders seeking to exercise their redemption rights, whether they are record holders or hold their shares in “street name,” to either tender their certificates to our transfer agent prior to the expiration date set forth in the tender offer documents mailed to such holders, or in the event we distribute proxy materials, up to two business days prior to the vote on the proposal to approve the business combination or amendment to our certificate of incorporation to affect the substance or timing of our redemption obligation to redeem all public shares if we cannot complete an initial business combination, or to deliver their shares to the transfer agent electronically using Depository Trust Company’s DWAC (Deposit/Withdrawal At Custodian) System, at the holder’s option.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we are required to provide at least 10 days’ advance notice of any stockholder meeting, which would be the minimum amount of time a stockholder would have to determine whether to exercise redemption rights. Accordingly, if it takes longer than we anticipate for stockholders to deliver their shares, stockholders who wish to redeem may be unable to meet the deadline for exercising their redemption rights and thus may be unable to redeem their shares.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Redeeming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require public stockholders who wish to redeem their shares of common stock in connection with any proposed business combination to comply with the delivery requirements discussed above for redemption. If such proposed business combination is not consummated, we will promptly return such certificates to the tendering public stockholders. Accordingly, investors who attempted to redeem their shares in such a circumstance will be unable to</w:t>
      </w:r>
    </w:p>
    <w:p>
      <w:pPr>
        <w:sectPr>
          <w:pgSz w:w="11900" w:h="16838" w:orient="portrait"/>
          <w:cols w:equalWidth="0" w:num="1">
            <w:col w:w="9019"/>
          </w:cols>
          <w:pgMar w:left="1440" w:top="333"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6" w:name="page37"/>
    <w:bookmarkEnd w:id="36"/>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sell their securities after the failed acquisition until we have returned their securities to them. The market price for our shares of common stock may decline during this time, and you may not be able to sell your securities when you wish, even while other stockholders that did not seek redemption may be able to sell their securities.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Because of our structure, other companies may have a competitive advantage and we may not be able to consummate an attractive business combination.</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acquiring certain sizable target businesses may be limited by our available financial resources. This inherent competitive limitation gives others an advantage in pursuing the acquisition of certain target businesses. Furthermore, seeking stockholder approval of our initial business combination may delay the consummation of a transaction. Any of the foregoing may place us at a competitive disadvantage in successfully negotiating our initial business combination.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Certificate of Incorporation contains provisions that prohibit our engaging in business combinations with interested stockholders in certain circumstances.</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12" w:lineRule="exact"/>
        <w:rPr>
          <w:sz w:val="20"/>
          <w:szCs w:val="20"/>
          <w:color w:val="auto"/>
        </w:rPr>
      </w:pPr>
    </w:p>
    <w:p>
      <w:pPr>
        <w:ind w:left="1320" w:right="459" w:hanging="434"/>
        <w:spacing w:after="0" w:line="282" w:lineRule="auto"/>
        <w:tabs>
          <w:tab w:leader="none" w:pos="16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66⅔% of the outstanding voting stock that is not owned by the interested stockholder.</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with the interested stockholder. Subject to certain exceptions, an “interested stockholder” is a person who, together with that person’s affiliates and associates, owns, or within the previous three years owned, 20% or more of our voting stock</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stockholders may only receive $10.00 per share or even less (whether or not the underwriters’ over-allotment option is exercised in full) on our redemption, and the warrants will expire worthless.</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Although we believe that the net proceeds of this offering will be sufficient to allow us to consummate our initial business combination, because we have not yet identified any prospective target business we cannot ascertain the capital requirements for any particular transaction or our costs to operate or locate a transaction. If the net proceeds of this offering prove to be insufficient, either because of the size of our initial business combination, the depletion of the available net proceeds in search of a target business, the obligation to repurchase for cash a significant number of shares from stockholders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Financing may not be available on acceptable terms, if at all. The current economic environment, including due to the effects of the COVID-19 pandemic, has made it especially difficult for companies to obtain acquisition financing. To the extent that additional financing proves to be unavailable when needed to consummate our initial business combination, we would be compelled to either restructure the transaction or abandon that particular initial business combination and seek an alternative target business candidate. If we are unable to complete our initial business combination, our public stockholders may only receive $10.00 per share or even less (whether or not the underwriters’ over-allotment option is exercised in full) on our redemption, and the warrants will expire worthless. In addition, even if we do not need additional financing to consummate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co-sponsors control a substantial interest in us and thus may exert a substantial influence on actions requiring a stockholder vote, potentially in a manner that you do not support.</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closing of this offering, our initial stockholders and co-sponsors (and/or their designees) collectively will own 20% of our issued and outstanding shares of common stock (assuming they do not purchase any units in this offering). Accordingly, they may exert a substantial influence on actions requiring a stockholder vote, potentially in a manner that you do not support, including amendments to our certificate of incorporation. If our co-sponsors purchase any units in this offering or if our co-sponsors purchase any additional shares of common stock in the aftermarket or in privately negotiated transactions, this would increase their control. Neither of our co-sponsors nor, to our knowledge, any of our officers or directors, has any current intention to purchase additional securities. Factors that would be considered in making such additional purchases would include consideration of the current trading price of our shares of common stock.</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Our initial stockholders paid an aggregate of $25,000, and, accordingly, you will experience immediate and substantial dilution from the purchase of our shares of common stock.</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(allocating all of the unit purchase price to the shares of common stock included in a unit and none to the warrants included in a unit) and the pro forma net tangible book value per share after this offering constitutes the dilution to you and the other investors in this offering. Our initial stockholders acquired the founder shares at a nominal price, significantly contributing to this dilution. Upon closing of this offering, you and the other public stockholders will incur an immediate and substantial dilution of approximately 89.3% or $8.93 per share (the difference between the pro forma net tangible book value per share of $1.07 and the initial offering price of $10.00 per share immediately upon the closing of this offering), or approximately 90.6% dilution or $9.06 per share (the difference between the pro forma net tangible book value per share of $0.94 and the initial offering price of $10.00 per share) if the over-allotment is fully exercised.</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A provision of our warrant agreement may make it more difficult for use to consummate an initial business combination.</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Unlike most blank check companies, if we issue additional shares of common stock or equity-linked securities for capital raising purposes in connection with the closing of our initial business combination at a newly issued price of less than $9.20 per share of common stock, then the exercise price of the warrants will be adjusted to be equal to</w:t>
      </w:r>
    </w:p>
    <w:p>
      <w:pPr>
        <w:sectPr>
          <w:pgSz w:w="11900" w:h="16838" w:orient="portrait"/>
          <w:cols w:equalWidth="0" w:num="1">
            <w:col w:w="9019"/>
          </w:cols>
          <w:pgMar w:left="1440" w:top="333"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8" w:name="page39"/>
    <w:bookmarkEnd w:id="38"/>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115% of the newly issued price and the $16.50 per share redemption trigger price will be adjusted (to the nearest cent) to be equal to 165% of the market value (the volume weighted average trading price of the common stock during the 20 trading day period starting on the trading day prior to the consummation of an initial business combination). This may make it more difficult for us to consummate an initial business combination with a target business.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determination of the offering price of our units and the size of this offering is more arbitrary than the pricing of securities and size of an offering of an operating company in a particular industry.</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shares of common stock and warrants underlying the units, include:</w:t>
      </w:r>
    </w:p>
    <w:p>
      <w:pPr>
        <w:spacing w:after="0" w:line="121" w:lineRule="exact"/>
        <w:rPr>
          <w:sz w:val="20"/>
          <w:szCs w:val="20"/>
          <w:color w:val="auto"/>
        </w:rPr>
      </w:pPr>
    </w:p>
    <w:p>
      <w:pPr>
        <w:ind w:left="1320" w:right="479" w:hanging="434"/>
        <w:spacing w:after="0" w:line="282" w:lineRule="auto"/>
        <w:tabs>
          <w:tab w:leader="none" w:pos="15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debt to equity ratios in leveraged transactions;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this offering including with respect to the impact from the COVID-19 pandemic;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There is currently no market for our securities and a market for our securities may not develop, which would adversely affect the liquidity and price of our securities.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there is currently no market for our securities. Prospective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Once listed on Nasdaq, an active trading market for our securities may never develop or, if developed, it may not be sustained. Additionally, if our securities become delisted from Nasdaq for any reason, and are quoted on the OTC Bulletin Board, an inter-dealer automated quotation system for equity securities not listed on a national exchange, the liquidity and price of our securities may be more limited than if we were listed on Nasdaq or another national exchange. You may be unable to sell your securities unless a market can be established and sustained.</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Once initially listed on Nasdaq, our securities may not continue to be listed on Nasdaq in the future, which could limit investors’ ability to make transactions in our securities and subject us to additional trading restrictions.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anticipate that our securities will be initially listed on Nasdaq upon consummation of this offering. However, we cannot assure you of this or that our securities will continue to be listed on Nasdaq in the future. Additionally, in connection with our business combination, Nasdaq may require us to file a new initial listing application and meet its initial listing requirements as opposed to its more lenient continued listing requirements. We cannot assure you that we will be able to meet those initial listing requirements at that time. If Nasdaq delists our securities from trading on its exchange, we could face significant material adverse consequences, including:</w:t>
      </w:r>
    </w:p>
    <w:p>
      <w:pPr>
        <w:spacing w:after="0" w:line="108" w:lineRule="exact"/>
        <w:rPr>
          <w:sz w:val="20"/>
          <w:szCs w:val="20"/>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liquidity with respect to our securities;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jc w:val="both"/>
        <w:ind w:left="1320" w:right="479" w:hanging="434"/>
        <w:spacing w:after="0" w:line="266" w:lineRule="auto"/>
        <w:tabs>
          <w:tab w:leader="none" w:pos="14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shares of common stock are a “penny stock,” which will require brokers trading in our shares of common stock to adhere to more stringent rules, possibly resulting in a reduced level of trading activity in the secondary trading market for our shares of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Because we must furnish our stockholders with target business financial statements prepared in accordance with United States generally accepted accounting principles or international financial reporting standards, we may lose the ability to complete an otherwise advantageous initial business combination with some prospective target businesses.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federal proxy rules, which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substantially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Compliance obligations under the Sarbanes-Oxley Act of 2002 may make it more difficult for us to effectuate our initial business combination, require substantial financial and management resources, and increase the time and costs of completing an acquisition.</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404 of the Sarbanes-Oxley Act of 2002, or the Sarbanes-Oxley Act, requires that we evaluate and report on our system of internal controls beginning with our Annual Report on Form 10-K for the year ending December 31, 2021. The fact that we are a blank check company makes compliance with the requirements of the Sarbanes-Oxley Act particularly burdensome on us because a target company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and we cannot be certain if the reduced disclosure requirements applicable to emerging growth companies will make our securities less attractive to investors.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for up to five years. However, if our non-convertible debt issued within a three-year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being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new accounting standard is issued or revised and it has different application dates for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public or private companies, we, as an emerging growth company, will not adopt the new or revised standard until the time private companies are required to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 As such, our financial statements may not be comparable to companies that comply with public company effective dates. We cannot predict if investors will find our shares less attractive because we may rely on the provisions of the JOBS Act. If some investors find our shares less attractive as a result of, there may be a less active trading market for our shares and our share price may be more volatile.</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our company or our company’s directors, officers or other employees.</w:t>
      </w:r>
    </w:p>
    <w:p>
      <w:pPr>
        <w:spacing w:after="0" w:line="99"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is not be deemed to be a waiver by our stockholders of our obligation to comply with federal securities laws, rules and regulations, and the provisions of this paragraph in our amended and restated certificate of incorporation will not apply to suits brought to enforce any liability or duty created by the Exchange Act or any other claim for which the federal district courts of the United States of America shall be the sole and exclusive forum. Any person or entity purchasing or otherwise acquiring any interest in any shares of our capital stock shall be deemed to have notice of and to have consented to the forum provisions in our amended and restated certificate of incorporation. If any action the subject matter of which is within the scope the forum provisions is filed in a court other than a court located within the State of Delaware (a “foreign action”) in the name of any stockholder, such stockholder shall be deemed to have consented to: (x) the personal jurisdiction of the state and federal courts located within the State of Delaware in connection with any action brought in any such court to enforce the forum provisions (an “enforcement action”), and (y) having service of process made upon such stockholder in any such enforcement action by service upon such stockholder’s counsel in the foreign action as agent for such stockholder.</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choice-of-forum provision may limit a stockholder’s ability to bring a claim in a judicial forum that it finds favorable for disputes with our company or its directors, officers or other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b w:val="1"/>
          <w:bCs w:val="1"/>
          <w:color w:val="auto"/>
        </w:rPr>
        <w:t>Risks Associated with Acquiring and Operating a Business outside of the United States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We may effect our initial business combination with a company located outside of the United States.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95" w:lineRule="exact"/>
        <w:rPr>
          <w:sz w:val="20"/>
          <w:szCs w:val="20"/>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or currency redemption or corporate withholding taxes on individuals;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governing the manner in which future business combinations may be effected;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listing and/or delisting requirements;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related to customs and import/export matters;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such as tax law changes and variations in tax laws as compared to the United States;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exchange controls;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inflation;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collecting accounts receivable;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regulations;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crime, strikes, riots, civil disturbances, terrorist attacks and wars;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political relations with the United States. We may not be able to adequately address these additional risks. If we were unable to do so, our operations might suffer.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There are costs and difficulties inherent in managing cross-border business operations.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Many countries have difficult and unpredictable legal systems and underdeveloped laws and regulations that are unclear and subject to corruption and inexperience.</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If relations between the United States and foreign governments deteriorate, it could cause potential target businesses or their goods and services to become less attractive.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relationship between the United States and foreign governments could be subject to sudden fluctuation and periodic tension. For instance, the United States may announce its intention to impose quotas on certain imports or become involved in trade wars with other nations. Such import quotas or trade wars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our management following our initial business combination is unfamiliar with United States securities laws, they may have to expend time and resources becoming familiar with such laws.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Currency policies may cause a target business’ ability to succeed in the international markets to be diminished.</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Because foreign law could govern our material agreements, we may not be able to enforce our rights within such jurisdiction or elsewhere.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Foreign law could govern our material agreements. The target business may not be able to enforce any of its material agreements or remedies may not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prospectus, which reflect our current views with respect to future events and financial performance, and any other statements of a future or forward-looking nature, constitute “forward-looking statements” for the purpose of the federal securities laws.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111" w:lineRule="exact"/>
        <w:rPr>
          <w:sz w:val="20"/>
          <w:szCs w:val="20"/>
          <w:color w:val="auto"/>
        </w:rPr>
      </w:pPr>
    </w:p>
    <w:p>
      <w:pPr>
        <w:ind w:left="1320" w:right="479" w:hanging="434"/>
        <w:spacing w:after="0" w:line="282" w:lineRule="auto"/>
        <w:tabs>
          <w:tab w:leader="none" w:pos="13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our initial business combination, particularly in light of disruption that may result from limitations imposed by the COVID-19 pandemic;</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following our initial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obtain additional financing to complete our initial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pool of prospective target businesses;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officers and directors to generate a number of potential investment opportunities;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our securities from Nasdaq or an inability to have our securities listed on Nasdaq following a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securities’ potential liquidity and trading;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 market for our securities; or</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following this offering.</w:t>
      </w:r>
    </w:p>
    <w:p>
      <w:pPr>
        <w:spacing w:after="0" w:line="158"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beginning on page 19.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are offering 15,000,000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Without</w:t>
            </w:r>
          </w:p>
        </w:tc>
        <w:tc>
          <w:tcPr>
            <w:tcW w:w="160" w:type="dxa"/>
            <w:vAlign w:val="bottom"/>
          </w:tcPr>
          <w:p>
            <w:pPr>
              <w:spacing w:after="0"/>
              <w:rPr>
                <w:sz w:val="17"/>
                <w:szCs w:val="17"/>
                <w:color w:val="auto"/>
              </w:rPr>
            </w:pPr>
          </w:p>
        </w:tc>
        <w:tc>
          <w:tcPr>
            <w:tcW w:w="1160" w:type="dxa"/>
            <w:vAlign w:val="bottom"/>
            <w:gridSpan w:val="2"/>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Over-</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Over-</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Allotment</w:t>
            </w:r>
          </w:p>
        </w:tc>
        <w:tc>
          <w:tcPr>
            <w:tcW w:w="160" w:type="dxa"/>
            <w:vAlign w:val="bottom"/>
          </w:tcPr>
          <w:p>
            <w:pPr>
              <w:spacing w:after="0"/>
              <w:rPr>
                <w:sz w:val="17"/>
                <w:szCs w:val="17"/>
                <w:color w:val="auto"/>
              </w:rPr>
            </w:pPr>
          </w:p>
        </w:tc>
        <w:tc>
          <w:tcPr>
            <w:tcW w:w="1160" w:type="dxa"/>
            <w:vAlign w:val="bottom"/>
            <w:gridSpan w:val="2"/>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0" w:type="dxa"/>
            <w:vAlign w:val="bottom"/>
          </w:tcPr>
          <w:p>
            <w:pPr>
              <w:spacing w:after="0"/>
              <w:rPr>
                <w:sz w:val="1"/>
                <w:szCs w:val="1"/>
                <w:color w:val="auto"/>
              </w:rPr>
            </w:pPr>
          </w:p>
        </w:tc>
      </w:tr>
      <w:tr>
        <w:trPr>
          <w:trHeight w:val="212"/>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0" w:type="dxa"/>
            <w:vAlign w:val="bottom"/>
          </w:tcPr>
          <w:p>
            <w:pPr>
              <w:spacing w:after="0"/>
              <w:rPr>
                <w:sz w:val="18"/>
                <w:szCs w:val="18"/>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Exercised</w:t>
            </w:r>
          </w:p>
        </w:tc>
        <w:tc>
          <w:tcPr>
            <w:tcW w:w="0" w:type="dxa"/>
            <w:vAlign w:val="bottom"/>
          </w:tcPr>
          <w:p>
            <w:pPr>
              <w:spacing w:after="0"/>
              <w:rPr>
                <w:sz w:val="1"/>
                <w:szCs w:val="1"/>
                <w:color w:val="auto"/>
              </w:rPr>
            </w:pPr>
          </w:p>
        </w:tc>
      </w:tr>
      <w:tr>
        <w:trPr>
          <w:trHeight w:val="47"/>
        </w:trPr>
        <w:tc>
          <w:tcPr>
            <w:tcW w:w="55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Gross proceeds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From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150,000,000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172,500,000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sale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4,950,000</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gross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154,500,000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177,450,000</w:t>
            </w:r>
          </w:p>
        </w:tc>
        <w:tc>
          <w:tcPr>
            <w:tcW w:w="0" w:type="dxa"/>
            <w:vAlign w:val="bottom"/>
          </w:tcPr>
          <w:p>
            <w:pPr>
              <w:spacing w:after="0"/>
              <w:rPr>
                <w:sz w:val="1"/>
                <w:szCs w:val="1"/>
                <w:color w:val="auto"/>
              </w:rPr>
            </w:pPr>
          </w:p>
        </w:tc>
      </w:tr>
      <w:tr>
        <w:trPr>
          <w:trHeight w:val="270"/>
        </w:trPr>
        <w:tc>
          <w:tcPr>
            <w:tcW w:w="55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Offering expenses</w:t>
            </w:r>
            <w:r>
              <w:rPr>
                <w:rFonts w:ascii="Times New Roman" w:cs="Times New Roman" w:eastAsia="Times New Roman" w:hAnsi="Times New Roman"/>
                <w:sz w:val="20"/>
                <w:szCs w:val="20"/>
                <w:i w:val="1"/>
                <w:iCs w:val="1"/>
                <w:color w:val="auto"/>
                <w:vertAlign w:val="superscript"/>
              </w:rPr>
              <w:t>(1)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3,450,000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Nasdaq listing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26,375</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22,391</w:t>
            </w: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74,734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74,734</w:t>
            </w:r>
          </w:p>
        </w:tc>
        <w:tc>
          <w:tcPr>
            <w:tcW w:w="0" w:type="dxa"/>
            <w:vAlign w:val="bottom"/>
          </w:tcPr>
          <w:p>
            <w:pPr>
              <w:spacing w:after="0"/>
              <w:rPr>
                <w:sz w:val="1"/>
                <w:szCs w:val="1"/>
                <w:color w:val="auto"/>
              </w:rPr>
            </w:pPr>
          </w:p>
        </w:tc>
      </w:tr>
      <w:tr>
        <w:trPr>
          <w:trHeight w:val="22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offering expenses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proceeds</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 in trust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150,000,000</w:t>
            </w:r>
            <w:r>
              <w:rPr>
                <w:rFonts w:ascii="Times New Roman" w:cs="Times New Roman" w:eastAsia="Times New Roman" w:hAnsi="Times New Roman"/>
                <w:sz w:val="20"/>
                <w:szCs w:val="20"/>
                <w:color w:val="auto"/>
                <w:w w:val="96"/>
                <w:vertAlign w:val="superscript"/>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172,500,000</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8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 held in trust</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r>
              <w:rPr>
                <w:rFonts w:ascii="Times New Roman" w:cs="Times New Roman" w:eastAsia="Times New Roman" w:hAnsi="Times New Roman"/>
                <w:sz w:val="20"/>
                <w:szCs w:val="20"/>
                <w:color w:val="auto"/>
                <w:vertAlign w:val="superscript"/>
              </w:rPr>
              <w:t>(3)</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proceeds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151,000,000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173,500,000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net proceeds not held in the trust account</w:t>
            </w:r>
            <w:r>
              <w:rPr>
                <w:rFonts w:ascii="Times New Roman" w:cs="Times New Roman" w:eastAsia="Times New Roman" w:hAnsi="Times New Roman"/>
                <w:sz w:val="20"/>
                <w:szCs w:val="20"/>
                <w:color w:val="auto"/>
                <w:vertAlign w:val="superscript"/>
              </w:rPr>
              <w:t>(3) (4)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Legal, accounting and other third party expenses attendant to the search</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target businesses and to the due diligence investigation, structuring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negotiation of a business combination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Due diligence of prospective target businesses by officers, directors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Legal and accounting fees relating to SEC reporting obligations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0"/>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Payment of administrative fee to Chardan Capital Markets LLC ($10,000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month for up to 24 months), subject to deferral as described herein</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Working capital to cover miscellaneous expenses, D&amp;O insurance, general</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purposes, liquidation obligations and reserves</w:t>
            </w: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98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portion of the offering expenses, including the SEC registration fee, the FINRA filing fee, the non-refundable portion of the Nasdaq listing fee and a portion of the legal and audit fees, have been paid from the funds we borrowed from our co-sponsors. These funds will be repaid out of the proceeds of this offering available to us.</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7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funds held in the trust account will be used to acquire a target business, to pay holders who wish to convert or sell their shares for a portion of the funds held in the trust account and potentially to pay our expenses relating thereto. Our expenses relating to the acquisition of a target business would either come from the funds held in the trust account or additional funds otherwise available to us outside of the trust account, including cash held by the target business. Any remaining funds will be disbursed to the combined company and be used as working capital to finance the operations of the target business.</w:t>
      </w:r>
    </w:p>
    <w:p>
      <w:pPr>
        <w:ind w:left="880" w:hanging="426"/>
        <w:spacing w:after="0"/>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proceeds not held in trust will remain constant at $1,000,000 even if the over-allotment is exercised.</w:t>
      </w:r>
    </w:p>
    <w:p>
      <w:pPr>
        <w:sectPr>
          <w:pgSz w:w="11900" w:h="16838" w:orient="portrait"/>
          <w:cols w:equalWidth="0" w:num="1">
            <w:col w:w="9019"/>
          </w:cols>
          <w:pgMar w:left="1440" w:top="333"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5" w:name="page46"/>
    <w:bookmarkEnd w:id="45"/>
    <w:p>
      <w:pPr>
        <w:jc w:val="both"/>
        <w:ind w:left="880" w:right="459" w:hanging="426"/>
        <w:spacing w:after="0" w:line="271" w:lineRule="auto"/>
        <w:tabs>
          <w:tab w:leader="none" w:pos="96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to Chardan Capital Markets LLC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Chardan Capital Markets LLC for our benefit. We believe that the fee charged by Chardan Capital Markets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1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total of $10.00 per unit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183 days or less or in money market funds meeting certain conditions under Rule 2a-7 under the Investment Company Act and which invest solely in U.S. Treasuries. Except for all interest income that may be released to us to pay our tax obligations, as 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6" w:name="page47"/>
    <w:bookmarkEnd w:id="46"/>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at the closing of a business combination. To date, the Company has drawn $150,000 under the promissory note.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co-sponsors or an affiliate of our co-sponsors or our officers and directors may, but are not obligated to, loan us funds as may be required. If we consummate our initial business combination, we would repay such loaned amounts.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no event will we redeem our public shares in an amount that would cause our net tangible assets to be less than $5,000,001. Furthermore, the redemption threshold may be further limited by the terms and conditions of our initial business combination. In such case, we would not proceed with the redemption of our public shares or the business combination, and instead may search for an alternate business combination.</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have purchased during or after the offering, if any. In addition, our initial stockholders have agreed to waive their rights to liquidating distributions with respect to its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the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June 30, 2020, our net tangible book value was $23,465 or approximately $0.01 per share. After giving effect to the sale of 15,000,000 shares of common stock included in the units we are offering by this prospectus and the proceeds received from the sale of the private warrants, the deduction of underwriting discounts and estimated expenses of this offering, our pro forma net tangible book value at June 30, 2020 would have been 5,000,005 or $1.07 per share, representing an immediate increase in net tangible book value of $1.06 per share to the initial stockholders and an immediate dilution of 89.3% per share or $8.93 to new investors not exercising their conversion/tender rights. For purposes of presentation, our pro forma net tangible book value after this offering is $140,773,460 less than it otherwise would have been because, if we effect a business combination, the ability of public stockholders to exercise conversion rights or sell their shares to us in any tender offer may result in the conversion or tender of up to 14,077,346 shares sold in this offering.</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dilution to the new investors on a per-share basis, assuming no value is attributed to the redeemable warrants, including the private warrants: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attributable to new investors, private sales and capital contribution</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tangible book value after this offering</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to new investors</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Percentage of dilution to new investors</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our initial stockholders and the new investors: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24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60" w:type="dxa"/>
            <w:vAlign w:val="bottom"/>
          </w:tcPr>
          <w:p>
            <w:pPr>
              <w:spacing w:after="0"/>
              <w:rPr>
                <w:sz w:val="17"/>
                <w:szCs w:val="17"/>
                <w:color w:val="auto"/>
              </w:rPr>
            </w:pPr>
          </w:p>
        </w:tc>
        <w:tc>
          <w:tcPr>
            <w:tcW w:w="224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2480" w:type="dxa"/>
            <w:vAlign w:val="bottom"/>
            <w:gridSpan w:val="5"/>
            <w:vMerge w:val="continue"/>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0" w:type="dxa"/>
            <w:vAlign w:val="bottom"/>
          </w:tcPr>
          <w:p>
            <w:pPr>
              <w:spacing w:after="0"/>
              <w:rPr>
                <w:sz w:val="1"/>
                <w:szCs w:val="1"/>
                <w:color w:val="auto"/>
              </w:rPr>
            </w:pP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0.007</w:t>
            </w:r>
          </w:p>
        </w:tc>
        <w:tc>
          <w:tcPr>
            <w:tcW w:w="0" w:type="dxa"/>
            <w:vAlign w:val="bottom"/>
          </w:tcPr>
          <w:p>
            <w:pPr>
              <w:spacing w:after="0"/>
              <w:rPr>
                <w:sz w:val="1"/>
                <w:szCs w:val="1"/>
                <w:color w:val="auto"/>
              </w:rPr>
            </w:pP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18,750,000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150,025,000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9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spacing w:after="0" w:line="92"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pro forma net tangible book value after the offering is calculated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before this offering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this offering and private placement of private warrants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151,000,000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underwriting commission payable</w:t>
            </w: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(5,250,000)</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Proceeds held in trust subject to conversion/tender</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(140,773,460)</w:t>
            </w:r>
          </w:p>
        </w:tc>
      </w:tr>
      <w:tr>
        <w:trPr>
          <w:trHeight w:val="284"/>
        </w:trPr>
        <w:tc>
          <w:tcPr>
            <w:tcW w:w="686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140" w:type="dxa"/>
            <w:vAlign w:val="bottom"/>
            <w:tcBorders>
              <w:bottom w:val="single" w:sz="8" w:color="CCEEFF"/>
            </w:tcBorders>
          </w:tcPr>
          <w:p>
            <w:pPr>
              <w:spacing w:after="0"/>
              <w:rPr>
                <w:sz w:val="24"/>
                <w:szCs w:val="24"/>
                <w:color w:val="auto"/>
              </w:rPr>
            </w:pPr>
          </w:p>
        </w:tc>
      </w:tr>
      <w:tr>
        <w:trPr>
          <w:trHeight w:val="270"/>
        </w:trPr>
        <w:tc>
          <w:tcPr>
            <w:tcW w:w="6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issued and outstanding prior to this offering</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to be sold in this offering</w:t>
            </w: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Shares subject to conversion/tender</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(14,077,346)</w:t>
            </w:r>
          </w:p>
        </w:tc>
      </w:tr>
      <w:tr>
        <w:trPr>
          <w:trHeight w:val="243"/>
        </w:trPr>
        <w:tc>
          <w:tcPr>
            <w:tcW w:w="68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4,672,654</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9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by us as a result thereof.</w:t>
      </w:r>
    </w:p>
    <w:p>
      <w:pPr>
        <w:sectPr>
          <w:pgSz w:w="11900" w:h="16838" w:orient="portrait"/>
          <w:cols w:equalWidth="0" w:num="1">
            <w:col w:w="9019"/>
          </w:cols>
          <w:pgMar w:left="1440" w:top="333" w:right="1440"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capitalization at June 30, 2020 and as adjusted to give effect to the sale of our units and the private warrants and the application of the estimated net proceeds derived from the sale of such securities.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June 30, 2020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6"/>
                <w:szCs w:val="16"/>
                <w:b w:val="1"/>
                <w:bCs w:val="1"/>
                <w:color w:val="auto"/>
              </w:rPr>
              <w:t>As</w:t>
            </w: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Adjusted</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6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Shares of common stock, $0.0001 par value, none and 14,077,346 shares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subject to possible conversion/tender, respectively</w:t>
            </w: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140,773,460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common stock, $0.0001 par value, 5,000,000 shares authorized,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 shares authorized; as adjusted, 4,312,500 shares issued and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outstanding, actual; 4,672,654 shares issued and outstanding</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(excluding</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14,077,346 shares subject to possible conversion/tender), as adjusted</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24,569</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5,001,073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5,000,005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23,465</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$ 151,023,465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0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$4,500,000 we will receive from the sale of the private warrants (assumes the over-allotment option has not been exercised).</w:t>
      </w:r>
    </w:p>
    <w:p>
      <w:pPr>
        <w:ind w:left="880" w:right="479" w:hanging="426"/>
        <w:spacing w:after="0" w:line="288" w:lineRule="auto"/>
        <w:tabs>
          <w:tab w:leader="none" w:pos="89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over-allotment option has not been exercised and an aggregate of 562,500 shares of common stock held by our initial stockholders have been forfeited as a result thereof.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were incorporated on July 10, 2019 as a Delaware corporation to serve as a vehicle to effect a merger, share exchange, asset acquisition, share purchase, recapitalization, reorganization or similar business combination with one or more target businesses. Our efforts to identify a prospective target business will not be limited to a particular industry or geographic location. We intend to utilize cash derived from the proceeds of this offering, our securities, debt or a combination of cash, securities and debt, in effecting a business combination. The issuance of additional shares in our business combination:</w:t>
      </w:r>
    </w:p>
    <w:p>
      <w:pPr>
        <w:spacing w:after="0" w:line="106" w:lineRule="exact"/>
        <w:rPr>
          <w:sz w:val="20"/>
          <w:szCs w:val="20"/>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reduce the equity interest of our stockholders;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we issue preferred shares with rights senior to those afforded to our shares of common stock;</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Similarly, if we issue debt securities, it could result in:</w:t>
      </w:r>
    </w:p>
    <w:p>
      <w:pPr>
        <w:spacing w:after="0" w:line="158" w:lineRule="exact"/>
        <w:rPr>
          <w:sz w:val="20"/>
          <w:szCs w:val="20"/>
          <w:color w:val="auto"/>
        </w:rPr>
      </w:pPr>
    </w:p>
    <w:p>
      <w:pPr>
        <w:ind w:left="1320" w:right="479" w:hanging="434"/>
        <w:spacing w:after="0" w:line="282" w:lineRule="auto"/>
        <w:tabs>
          <w:tab w:leader="none" w:pos="14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a business combination are insufficient to pay our debt obligations;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security is payable on demand;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additional financing, if necessary, if the debt security contains covenants restricting our ability to obtain additional financing while such security is outstanding.</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indicated in the accompanying financial statements, at June 30, 2020, we had $24,465 in cash and no deferred offering costs. Further, we expect to continue to incur significant costs in the pursuit of our acquisition plans. Our plans to raise capital or to consummate our initial business combination may not be successful.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As indicated in the accompanying financial statements, at June 30, 2020, we had $24,465 in cash and working capital of $23,465. Further, we have incurred and expect to continue to incur significant costs in pursuit of our financing and acquisition plans.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1" w:name="page52"/>
    <w:bookmarkEnd w:id="51"/>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liquidity needs have been satisfied to date through receipt of $25,000 from the sale of the insider shares. We estimate that the net proceeds from (1) the sale of the units in this offering, after deducting offering expenses of approximately $3,500,000 (or $3,950,000 if the over-allotment option is exercised in full) including non-deferred underwriting fees and qualified independent underwriter fees of $3,000,000 (or $3,450,000 if the over-allotment option is exercised in full) and (2) the sale of the private warrants for a purchase price of $4,500,000 will be $151,000,000 (or $173,500,000 if the over-allotment option is exercised in full). Of this amount, $150,000,000 (or $172,500,000 if the over-allotment option is exercised in full), or “the net offering proceeds,” will be held in the trust account. The remaining $1,000,000 (whether or not the over-allotment option is exercised in full) will not be held in the trust account.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21" w:lineRule="exact"/>
        <w:rPr>
          <w:sz w:val="20"/>
          <w:szCs w:val="20"/>
          <w:color w:val="auto"/>
        </w:rPr>
      </w:pPr>
    </w:p>
    <w:p>
      <w:pPr>
        <w:jc w:val="both"/>
        <w:ind w:left="1320" w:right="459" w:hanging="434"/>
        <w:spacing w:after="0" w:line="266"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 of expenses for the search for target businesses and for the legal, accounting and other third-party expenses attendant to the due diligence investigations, structuring and negotiating of a business combination;</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of expenses for the due diligence and investigation of a target business by our officers, directors and initial stockholders;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of expenses in legal and accounting fees relating to our SEC reporting obligations;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$240,000 for the payment of the administrative fee to Chardan Capital Markets LLC (of $10,000 per month for up to 24 months), subject to deferral as described herein;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$620,000 for general working capital that will be used for miscellaneous expenses, including director and officer liability insurance premiums.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at the closing of a business combination. To date, the Company has drawn $150,000 under the promissory note.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needed to finance transaction costs in connection with searching for a target business or consummating an intended initial business combination, our initial stockholders,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We believe the purchase price of these private warrants will approximate the fair value of such private warrants when issued. However, if it is determined, at the time of issuance, that the fair value of such private warrants exceeds the purchase price, we would record compensation expense for the excess of the fair value of the private warrants on the day of issuance over the purchase price in accordance with Accounting Standards Codification (“ASC”) 718 — Compensation — Stock Compensation. Loans made by Chardan Capital Markets LLC or any of its related persons will not be convertible into private warrants and Chardan Capital Markets LLC and its related persons will have no recourse with respect to their ability to convert their loans into private warrants.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As of the date of this prospectus, we have not completed an assessment, nor have our auditors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Target businesses we may consider for our initial business combination may have internal controls that need improvement in areas such as:</w:t>
      </w:r>
    </w:p>
    <w:p>
      <w:pPr>
        <w:spacing w:after="0" w:line="127" w:lineRule="exact"/>
        <w:rPr>
          <w:sz w:val="20"/>
          <w:szCs w:val="20"/>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for financial, accounting and external reporting areas, including segregation of duties;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of accounts;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recording of expenses and liabilities in the period to which they relate;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internal review and approval of accounting transactions;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processes, assumptions and conclusions underlying significant estimates;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of accounting policies and procedures.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Once our management’s report on internal controls is complete, we will retain our independent auditors to audit and render an opinion on such report when, or if, required by Section 404. The independent auditors may identify additional issues concerning a target business’s internal controls while performing their audit of internal control over financial reporting.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net proceeds of this offering, including amounts in the trust account, will be invested in United States government treasury bills, bonds or notes having a maturity of 183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 Commitments and Contractual Obligations; Quarterly Results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2020, we did not have any off-balance sheet arrangements as defined in Item 303(a)(4)</w:t>
      </w:r>
    </w:p>
    <w:p>
      <w:pPr>
        <w:spacing w:after="0" w:line="27" w:lineRule="exact"/>
        <w:rPr>
          <w:sz w:val="20"/>
          <w:szCs w:val="20"/>
          <w:color w:val="auto"/>
        </w:rPr>
      </w:pPr>
    </w:p>
    <w:p>
      <w:pPr>
        <w:ind w:left="460" w:right="479" w:hanging="6"/>
        <w:spacing w:after="0" w:line="260" w:lineRule="auto"/>
        <w:tabs>
          <w:tab w:leader="none" w:pos="7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Regulation S-K and did not have any commitments or contractual obligations. No unaudited quarterly operating data is included in this prospectus as we have conducted no operations to date.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 blank check company formed under the laws of the State of Delaware on July 10, 2019. We were formed for the purpose of effecting a merger, share exchange, asset acquisition, share purchase, reorganization or similar business combination with one or more businesses, which we refer to throughout this prospectus as our initial business combination. We have not identified any business combination target and we have not, nor has anyone on our behalf, initiated any substantive discussions, directly or indirectly, with any business combination target.</w:t>
      </w:r>
    </w:p>
    <w:p>
      <w:pPr>
        <w:spacing w:after="0" w:line="106" w:lineRule="exact"/>
        <w:rPr>
          <w:sz w:val="20"/>
          <w:szCs w:val="20"/>
          <w:color w:val="auto"/>
        </w:rPr>
      </w:pPr>
    </w:p>
    <w:p>
      <w:pPr>
        <w:jc w:val="both"/>
        <w:ind w:left="460" w:right="459" w:firstLine="432"/>
        <w:spacing w:after="0" w:line="277" w:lineRule="auto"/>
        <w:rPr>
          <w:sz w:val="20"/>
          <w:szCs w:val="20"/>
          <w:color w:val="auto"/>
        </w:rPr>
      </w:pPr>
      <w:r>
        <w:rPr>
          <w:rFonts w:ascii="Times New Roman" w:cs="Times New Roman" w:eastAsia="Times New Roman" w:hAnsi="Times New Roman"/>
          <w:sz w:val="17"/>
          <w:szCs w:val="17"/>
          <w:color w:val="auto"/>
        </w:rPr>
        <w:t>While we may pursue an initial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w:t>
      </w:r>
    </w:p>
    <w:p>
      <w:pPr>
        <w:spacing w:after="0" w:line="10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an initial business combination with the ultimate goal of pursuing attractive returns for our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Co-Sponsors, Management, Board of Directors and Competitive Advantages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we search for a prospective target company or business, we intend to leverage the multiple decades of combined investment experience, successful Special Purpose Acquisition Company, or SPAC, execution experience and the expansive network of relationships of the principals and affiliates of our co-sponsors, Ventoux Acquisitions and Chardan Investments. Our management team, led by co-founders Mr. Edward Scheetz and Mr. Matthew MacDonald, have a combined 40 years of hospitality and investment experience. Together with our management team, Chardan Investments and its affiliate, Chardan Capital Markets LLC, our board of directors and our Senior Advisor, Mr. R. Todd Ruppert, we are confident that the combined experience makes us well situated to identify, source, negotiate and execute an initial business combination in the hospitality, leisure, travel and dining sectors.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Scheetz is our co-founder, Chief Executive Officer and Chairman of the board of directors. Mr. Scheetz has over thirty years of experience as a leader and innovator in real estate, hospitality and leisure investments. He has been involved in numerous public companies including the leadership of several initial public offerings during his career. Mr. Scheetz was a partner at Apollo Management where he was the co-head of Apollo Real Estate Advisors and raised, invested and managed their first three real estate funds. Mr. Scheetz was co-founder and co-CEO of NorthStar Capital Investment Corporation, and he was also the co-founder and Executive Chairman of NorthStar Realty Finance (NYSE: NRF), which he successfully took public in 2004. In 2005, Mr. Scheetz became the CEO of Morgans Hotel Group (NASDAQ: MHGC), which he took public in 2006. Morgans was the developer, owner and operator of such iconic hotel properties as Delano and Shore Club in Miami, Mondrian in Los Angeles, Morgans, Royalton, Paramount and Hudson in New York, and Sanderson and St. Martin’s Lane in London.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2010, Mr. Scheetz founded Chelsea Hotels which had properties in Manhattan (including the renowned Hotel Chelsea), Brooklyn, Montauk, Miami, and Chicago. Mr. Scheetz successfully sold Chelsea Hotels in 2016. Throughout his career, Mr. Scheetz has acquired and invested in excess of $10 billion in private companies.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Mr. MacDonald is our co-founder, Chief Financial Officer and Secretary, and has over a decade of experience in real estate, hospitality and leisure investments at public companies and private equity-backed ventures. Mr. MacDonald was responsible for corporate M&amp;A transaction activity at Hyatt Hotel Corporation (NYSE: H), where, as part of Hyatt’s global platform, he oversaw M&amp;A investments and underwrote public and private companies within the broader hotel and leisure sectors. Mr. MacDonald joined Hyatt in 2017 through Hyatt’s acquisition of Miraval Group, a KSL Capital portfolio company. In 2018, Mr. MacDonald led the company’s $450 million acquisition of Two Roads Hospitality, which included management contracts for 75 hotel properties across five hotel brands in 23 global markets; the acquisition anchored Hyatt’s Global Lifestyle Division. Additionally, Mr. MacDonald led the development of two of Hyatt’s brands in the wellness space, Miraval and Exhale. With respect to Exhale, Mr. MacDonald led strategic consideration, due diligence and acquisition of the 25-unit spa and class-based fitness company for Hyatt’s Wellness</w:t>
      </w:r>
    </w:p>
    <w:p>
      <w:pPr>
        <w:sectPr>
          <w:pgSz w:w="11900" w:h="16838" w:orient="portrait"/>
          <w:cols w:equalWidth="0" w:num="1">
            <w:col w:w="9019"/>
          </w:cols>
          <w:pgMar w:left="1440" w:top="333"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5" w:name="page56"/>
    <w:bookmarkEnd w:id="55"/>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platform, and subsequently led integration of the company, units and 1,000 employees into Hyatt. Mr. MacDonald joined Miraval and KSL in 2016. Prior to 2016, Mr. MacDonald was in the Real Estate Investment Management and Acquisitions group at Starwood Hotels &amp; Resorts (NYSE: HOT).</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Mr. Strasbourger is our Head of Operations, and has over a decade of experience in venture and private equity backed entertainment, hospitality, travel and real estate technology companies as a founder, operator, and board member. Mr. Strasbourger most recently was responsible for strategic partnerships and corporate development at Convene and has overseen revenue, marketing, and digital at previous companies. Leveraging his financial background, Mr. Strasbourger takes a revenue and ROI generating lens across strategy, business development, product and growth marketing. Prior to his work as a technology executive, Mr. Strasbourger worked in the Emerging Markets Fixed Income group at Barclays Capital (NYSE: BCS).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management team is supported by Chardan Capital Markets’ team of investment banking professionals who each possess extensive experience in corporate finance, mergers and acquisitions, equity and debt capital markets, strategic consulting and operations. Mr. Jonas Grossman, Partner and President of Chardan Capital Markets, and Mr. Alex Weil, co-head of FinTech Investment Banking at Chardan Capital Markets, will each serve on our board of directors. We believe Chardan’s decades of successfully executing SPAC and M&amp;A transactions benefit us, complementing the deep sector expertise and expansive networks of Messrs. Scheetz and MacDonald, our board of directors and advisors.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Chardan has an extensive track record in the SPAC market as underwriter, sponsor and advisor. Since 2004, Chardan has been lead or co-lead underwriter on 79 SPAC IPOs. Since 2018, Chardan has been merger and acquisition advisor to nine SPACs, helping companies close transactions valued at approximately $4.0 billion. Chardan-advised SPACs have targeted a wide range of industries, including life sciences, healthcare services, technology hardware and software, financial technology, insurance, financial services, education, media &amp; entertainment, industrials, materials, consumer staples and energy. Chardan has advised SPACs targeting both global and regional markets as well as those with more defined areas of focus in emerging and other geographic markets, including in North America. No Chardan advised or lead underwritten SPAC has liquidated to-date. In addition to its active advisory and underwriting business, Chardan’s principals have founded six SPACs, five of which have closed successful business combinations and one of which is currently seeking an acquisition.</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Mr. Jonas Grossman is a partner, the President and Head of Capital Markets for Chardan Capital Markets LLC, a New York headquartered broker/dealer, established in 2003. Since 2003, Mr. Grossman has overseen the firm’s deal origination and syndication, execution, secondary market sales and trading and corporate access initiatives. He has extensive transactional experience having led or managed more than 400 transactions during his tenure at Chardan.</w:t>
      </w:r>
    </w:p>
    <w:p>
      <w:pPr>
        <w:spacing w:after="0" w:line="11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Mr. Grossman has nearly two decades of SPAC expertise. Mr. Grossman has provided underwriting and business combination advisory services to more than 75 SPACs in a variety of industries and has been a founder and CEO and President of two SPACs and a nonexecutive board member of an additional SPACs.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Since April 2020, Mr. Grossman has been the Chief Executive Officer and President of Chardan Healthcare Acquisition 2 Corp.</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Mr. Alex Weil is currently co-head of FinTech investment banking at Chardan. Mr. Weil has spent his career, which spans over two decades, providing strategic advisory services to global companies, senior executives, boards of directors, and investors. Mr. Weil’s background in strategic advisory work was built during his career at both global companies, as a leader in Citi’s corporate strategy and M&amp;A group, UBS Financial Institutions Group’s investment bank, and General Electric’s corporate development group, and at boutique investment banking advisors, such as Lazard Middle Market and William Blair.</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Mr. Weil has advised on billions of dollars of transactions ranging from corporate divestitures and spin offs, innovative technology company acquisitions to larger, more complex M&amp;A transactions. Mr. Weil has participated or led a variety of transactions, such as: Genworth’s spin-off IPO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CVC’s majority investment in Alix Partners. Mr. Weil’s extensive financial and M&amp;A expertise will help put us in a strong position to structure profitable investments.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the partnership between Ventoux Acquisition and Chardan offers investors a differentiated investment opportunity which brings together a management team with deep and proven industry focus with one of the leading and most successful SPAC advisors that provides deep sector expertise, an expansive network of relationships, and decades of M&amp;A transaction experience.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board of directors will include Julie Atkinson, Chief Marketing Officer for Founders Table Restaurant Group, which includes the Chopt and Dos Toros restaurant brands. She previously served as Senior Vice President, Global Digital at Tory Burch LLC from February 2017 to February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Ms. Atkinson is an accomplished digital, marketing, and technology executive with a 20-year track record of innovative and strategic leadership for multiple global consumer brands. She also sits on the board of directors of Bright Horizons Family Solutions Inc. (NYSE: BFAM).</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Mr. R. Todd Ruppert will serve as a Senior Advisor to the management team. He has had a 40-year career in financial services, and was formerly CEO and president of T. Rowe Price Global Investment Services, co-president, T. Rowe Price International, and a member of the operating steering committee of the T. Rowe Price Group. Mr. Ruppert is the founder and CEO of Ruppert International, a venture partner at Greenspring Associates, the president of London’s Royal Parks Foundation, a global ambassador for the Duke of Edinburgh’s International Award, and a board member of INSEAD Business School as well as the Rock and Roll Hall of Fame, among other activities.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the combined networks and relationships of our management, directors and advisors will allow us to identify, source, underwrite, negotiate and execute an initial business combination with a successful and fast-growing company within our target sector. Opportunities will be sourced through our established and proprietary networks of senior executives, investors, investment banks, and advisors. With our focus on value creation, we will be driven by a disciplined investment strategy that will conduct comprehensive due diligence, thorough underwriting and thoughtful strategic analysis, resulting in a thorough evaluation of each investment opportunity.</w:t>
      </w:r>
    </w:p>
    <w:p>
      <w:pPr>
        <w:spacing w:after="0" w:line="10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foregoing experiences of our management, directors, and Chardan, past performance is not a guarantee (i) that we will be able to identify a suitable candidate for our initial business combination or</w:t>
      </w:r>
    </w:p>
    <w:p>
      <w:pPr>
        <w:jc w:val="both"/>
        <w:ind w:left="460" w:right="479" w:hanging="6"/>
        <w:spacing w:after="0" w:line="255" w:lineRule="auto"/>
        <w:tabs>
          <w:tab w:leader="none" w:pos="7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success with respect to any business combination we may consummate. You should not rely on the historical record of our management’s, directors’, or Chardan’s performance as indicative of our future performance.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Opportunity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intend to identify and acquire a business within the hospitality, leisure, travel and dining sectors with an overall transaction value between approximately $500 million and $2.0 billion. We believe that these sectors represent attractive target markets given the size, breadth and prospects for growth, with travel and tourism having contributed nearly $8.8 trillion to global GDP in 2018, having been expected to grow an average of 7.1% annually through 2020 prior to COVID-19, which has adversely impacted the sector. Based on demographic and behavioral trends and a long-term demand for travel and leisure experiences, consumers are investing more in experiences than products, and we believe this will continue through a down-cycle in hospitality due to COVID-19.</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2019, domestic and international travelers spent $1.126 trillion in the U.S. and domestic travelers alone spent $972 billion in the U.S. (a 4.4% increase from 2018), according to the U.S. Travel Association. Moreover, domestic and international leisure travelers spent a total of $792 billion in 2019 in the U.S., up 4.1% from 2018, and domestic and international business traveler spending increased 2.2% to $334 billion in 2019. Other sectors, from entertainment to venues, tours and restaurants, also benefited as U.S. consumers invested in an inherent love for leisure, travel and dining experiences.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COVID-19 has created a temporary valuation dislocation, and has adversely impacted the ability of companies and business divisions to access to the public and/or private financing markets. We believe that COVID-19 will create a pervasive and permanent change in global consumer and business behavior similar to previous crises, such as 9/11’s impact on travel security and the global financial crisis’ impact on (increased) financial regulation.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Competition for consumers’ hospitality, travel, leisure and dining spending has remained high, and resulted in companies introducing innovative concepts, technologies and strategies to establish competitive market positioning. We believe the private market for hospitality, leisure, travel and dining companies will provide attractive opportunities for identifying a business combination target. We are confident that we will identify and capitalize on the many attractive and well-positioned companies whose operating models have, or will adapt, to the changing consumer and business behaviors in a COVID-19 or post-COVID-19 environment.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management team’s objective is to generate attractive returns and create long-term value for our shareholders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evaluation process will leverage our co-founders’, board’s and advisors’ network of industry, private equity sponsor, credit fund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management team, board and advisors have experience in:</w:t>
      </w:r>
    </w:p>
    <w:p>
      <w:pPr>
        <w:spacing w:after="0" w:line="144" w:lineRule="exact"/>
        <w:rPr>
          <w:sz w:val="20"/>
          <w:szCs w:val="20"/>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key activities of SPACs including, sponsoring, underwriting and M&amp;A advisory;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companies, setting and changing strategies, and identifying, monitoring and recruiting world-class talent;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growing companies, both organically and through acquisitions and strategic transactions and expanding the product range and geographic footprint of a number of target businesses;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structuring, acquiring and selling businesses,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accessing the capital markets, including financing businesses and helping companies transition to public ownership;</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relationships with sellers, capital providers and target management teams;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transactions in multiple geographies and under varying economic and financial market conditions.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Investment Criteria</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02" w:lineRule="exact"/>
        <w:rPr>
          <w:sz w:val="20"/>
          <w:szCs w:val="20"/>
          <w:color w:val="auto"/>
        </w:rPr>
      </w:pPr>
    </w:p>
    <w:p>
      <w:pPr>
        <w:ind w:left="1320" w:right="479" w:hanging="434"/>
        <w:spacing w:after="0" w:line="282" w:lineRule="auto"/>
        <w:tabs>
          <w:tab w:leader="none" w:pos="140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competitive industry position with demonstrated competitive advantages to maintain barriers to entry;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1320" w:right="479" w:hanging="434"/>
        <w:spacing w:after="0" w:line="282" w:lineRule="auto"/>
        <w:tabs>
          <w:tab w:leader="none" w:pos="14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historic record of above average growth and strong free cash flow characteristics with high returns on capital;</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positioned for continued organic growth and may grow through bolt-on acquisitions in these challenging times for the industry sectors;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fundamentally sound company with a proven track record;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 operating model that has adapted to meet the changing consumer or business behaviors in a post-COVID 19 environment;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offer an attractive risk-adjusted return for our stockholders;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benefit from being a publicly traded company, are prepared to be a publicly traded company and can utilize access to broader capital markets.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solicitation materials or tender offer documents that we would file with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Acquisition Process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Rigorous and comprehensive due diligence on prospective business targets is particularly important within the hospitality, travel, leisure and dining sectors in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identified any business combination target and we have not, nor has anyone on our behalf, initiated any substantive discussions, directly or indirectly, with any business combination target. Our co-sponsors, all of the members of our management team and our board, our advisors, including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Value Creation Post Merger</w:t>
      </w:r>
    </w:p>
    <w:p>
      <w:pPr>
        <w:spacing w:after="0" w:line="14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After the initial business combination, our management team intends to apply a rigorous approach to enhancing shareholder value, including evaluating the experience and expertise of incumbent management and making changes when appropriate, examining opportunities for revenue enhancement, cost savings, operating efficiencies and strategic acquisitions and divestitures, and accessing the financial markets to optimize the company’s capital structure. Our management team intends to pursue post-merger initiatives through participation on the board of directors, through direct involvement with company operations and/or calling upon a stable of former managers and advisors when necessary.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07"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not identified any acquisition targets. From the period prior to our formation through the date of this prospectus, there have been no communications, evaluations or discussions between any of our officers, directors or our co-sponsors and any of their contacts or relationships regarding a potential initial business combination. Additionally, we have not engaged or retained any agent or other representative to identify or locate any suitable acquisition candidate. Subject to the requirement that our initial business combination must be with one or more target businesses or assets having an aggregate fair market value of at least 80% of the value of the trust account (excluding any deferred underwriters’ fees and taxes payable on the income earned on the trust account)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2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Target Businesses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w:t>
      </w:r>
    </w:p>
    <w:p>
      <w:pPr>
        <w:sectPr>
          <w:pgSz w:w="11900" w:h="16838" w:orient="portrait"/>
          <w:cols w:equalWidth="0" w:num="1">
            <w:col w:w="9019"/>
          </w:cols>
          <w:pgMar w:left="1440" w:top="333"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0" w:name="page61"/>
    <w:bookmarkEnd w:id="60"/>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may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company that is affiliated with our co-sponsors, officers or directors. In the event we seek to complete our initial business combination with such a company, we, or a committee of independent directors, would obtain an opinion from an independent investment banking firm or another independent entity that commonly renders valuation opinions on the type of target business we seek to acquire that such an initial business combination is fair to our unaffiliated stockholders from a financial point of view.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Selection of a Target Business and Structuring of a Business Combination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Subject to the requirement that our initial business combination must be with one or more target businesses or assets having an aggregate fair market value of at least 80% of the value of the trust account (excluding any deferred underwriters’ fees and taxes payable on the income earned on the trust account) at the time of the agreement to enter into such initial business combination, our management will have virtually unrestricted flexibility in identifying and selecting one or more prospective target businesses. In any case, we will only consummate an initial business combination in which we become the majority shareholder of the target (or control the target through contractual arrangements in limited circumstances for regulatory compliance purposes as discussed below) or are otherwise not required to register as an investment company under the Investment Company Act, or to the extent permitted by law we may acquire interests in a variable interest entity, in which we may have less than a majority of the voting rights in such entity, but in which we are the primary beneficiary. There is no basis for investors in this offering to evaluate the possible merits or risks of any target business with which we may ultimately complete our initial business combination. To the extent we effect our initial business combination with a company or business that may be financially unstable or in its early stages of development or growth (such as a company that has begun operations but is not yet at the stage of commercial manufacturing and sales), we may be affected by numerous risks inherent in such company or business. Although our management will endeavor to evaluate the risks inherent in a particular target business, we may not properly ascertain or assess all significant risk factors.</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made available to us.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Market Value of Target Business or Businesses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target business or businesses or assets with which we effect our initial business combination must have a collective fair market value equal to at least 80% of the value of the trust account (excluding any deferred underwriters’ fees and taxes payable on the income earned on the trust account) at the time of the agreement to enter into such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initial business combination. If we acquire less than 100% of one or more target businesses in our initial business combination, the aggregate fair market value of the portion or portions we acquire must equal at least 80% of the value of the trust account at the time of the agreement to enter into such initial business combination. However, we will always acquire at least a controlling interest in a target business. The fair market value of a portion of a target business or assets will likely be calculated by multiplying the fair market value of the entire business by the percentage of the target we acquire. We may seek to consummate our initial business combination with an initial target business or businesses with a collective fair market value in excess of the balance in the trust account. In order to consummate such an initial business combination, we may issue a significant amount of debt, equity or other securities to the sellers of such business and/or seek to raise additional funds through a private offering of debt, equity or other securities. If we issue securities in order to consummate such an initial business combination, our stockholders could end up owning a minority of the combined company’s voting securities as there is no requirement that our stockholders own a certain percentage of our company (or, depending on the structure of the initial business combination, an ultimate parent company that may be formed) after our business combination. Because we have no specific business combination under consideration, we have not entered into any such arrangement to issue our debt or equity securities and have no current intention of doing so.</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market value of a target business or businesses or assets will be determined by our board of directors based upon standards generally accepted by the financial community, such as actual and potential gross margins, the values of comparable businesses, earnings and cash flow, book value, enterprise value and, where appropriate, upon the advice of appraisers or other professional consultants. Investors will be relying on the business judgment of our board of directors, which will have significant discretion in choosing the standard used to establish the fair market value of a particular target business. If our board of directors is not able to independently determine that the target business or assets has a sufficient fair market value to meet the threshold criterion, we will obtain an opinion from an unaffiliated, independent investment banking firm or another independent entity that commonly renders valuation opinions on the type of target business we seek to acquire with respect to the satisfaction of such criterion. Notwithstanding the foregoing, unless we consummate a business combination with an affiliated entity, we are not required to obtain an opinion from an independent investment banking firm, or another independent entity that commonly renders valuation opinions on the type of target business we seek to acquire, that the price we are paying is fair to our stockholders.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Lack of Business Diversification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20" w:lineRule="exact"/>
        <w:rPr>
          <w:sz w:val="20"/>
          <w:szCs w:val="20"/>
          <w:color w:val="auto"/>
        </w:rPr>
      </w:pPr>
    </w:p>
    <w:p>
      <w:pPr>
        <w:jc w:val="both"/>
        <w:ind w:left="1320" w:right="459" w:hanging="434"/>
        <w:spacing w:after="0" w:line="266" w:lineRule="auto"/>
        <w:tabs>
          <w:tab w:leader="none" w:pos="13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depend on the marketing and sale of a single product or limited number of products or services.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Limited Ability to Evaluate the Target’s Management Team</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our initial business combination, we may seek to recruit additional managers to supplement the incumbent management of the target business. We may not have the ability to recruit additional managers, or to ascertain that additional managers will have the requisite skills, knowledge or experience necessary to enhance the incumbent management.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Stockholders May Not Have the Ability to Approve an Initial Business Combination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connection with any proposed business combination, we will either (1) seek stockholder approval of our initial business combination at a meeting called for such purpose at which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or</w:t>
      </w:r>
    </w:p>
    <w:p>
      <w:pPr>
        <w:spacing w:after="0" w:line="3" w:lineRule="exact"/>
        <w:rPr>
          <w:sz w:val="20"/>
          <w:szCs w:val="20"/>
          <w:color w:val="auto"/>
        </w:rPr>
      </w:pPr>
    </w:p>
    <w:p>
      <w:pPr>
        <w:jc w:val="both"/>
        <w:ind w:left="460" w:right="459" w:hanging="6"/>
        <w:spacing w:after="0" w:line="251" w:lineRule="auto"/>
        <w:tabs>
          <w:tab w:leader="none" w:pos="72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our public stockholders with the opportunity to sell their public shares to us by means of a tender offer (and thereby avoid the need for a stockholder vote) for an amount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(net of taxes payable), in each case subject to the limitations described herein.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determine to engage in a tender offer, such tender offer will be structured so that each stockholder may tender any or all of his, her or its public shares rather than some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solely if we seek stockholder approval, a majority of the issued and outstanding shares of common stock voted are voted in favor of the business combination.</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chose our net tangible asset threshold of $5,000,001 to ensure that we are not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initial stockholders and our officers and directors have agreed (1) to vote any shares of common stock owned by them in favor of any proposed business combination, (2) not to convert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5,625,001 of our public shares (or approximately 37.5% of our public shares) to be voted in favor of the transaction in order to have such transaction approved (assuming that only a quorum was present at the meeting, that the over-allotment option is not exercised and that the initial stockholders do not purchase any units in this offering or units or shares in the after-market).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Conversion/Tender Rights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At any meeting called to approve an initial business combination, public stockholders may seek to convert their public shares, regardless of whether they vote for or against the proposed business combination, into their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share of the aggregate amount then on deposit in the trust account, less any taxes then due but not yet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paid. Notwithstanding the foregoing, our initial stockholders have agreed, pursuant to written letter agreements with us, not to convert any public shares held by them into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aggregate amount then on deposit in the trust account. If we hold a meeting to approve an initial business combination, a holder will always have the ability to vote against a proposed business combination and not seek conversion of his, her or its shares.</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we engage in a tender offer, each public stockholder will be provided the opportunity to sell its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initial stockholders, officers and directors will not have conversion rights with respect to any shares of common stock owned by them, directly or indirectly, whether acquired prior to this offering or purchased by them in this offering or in the aftermarket.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her or its shares if the holder wishes to seek to exercise his conversion rights. Under Delaware law, we are required to provide at least 10 days’ advance notice of any stockholder meeting, which would be the minimum amount of time a stockholder would have to determine whether to exercise conversion rights. As a result, if we require public stockholders who wish to convert their shares of common stock into the right to receive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funds in the trust account to comply with the foregoing delivery requirements, holders may not have sufficient time to receive the notice and deliver their shares for conversion. Accordingly, investors may not be able to exercise their conversion rights and may be forced to retain our securities when they otherwise would not want to. The conversion rights will include the requirement that a beneficial holder must identify itself in order to validly redeem its shares.</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seeking to exercise conversion rights.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Any request to convert or tender such shares, once made, may be withdrawn at any time up to the vote on the proposed business combination or expiration of the tender offer. Furthermore, if a holder of a public share delivered its certificate in connection with an election of their conversion or tender and subsequently decides prior to the vote on the business combination or the expiration of the tender offer not to elect to exercise such rights, it may simply request that the transfer agent return the certificate (physically or electronically).</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If the initial business combination is not approved or completed for any reason, then our public stockholders who elected to exercise their conversion or tender rights would not be entitled to convert their shares for the applicable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trust account. In such case, we will promptly return any shares delivered by public 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of Trust Account if No Business Combination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we do not complete a business combination within 24 months from the closing of this offering, we will</w:t>
      </w:r>
    </w:p>
    <w:p>
      <w:pPr>
        <w:spacing w:after="0" w:line="27" w:lineRule="exact"/>
        <w:rPr>
          <w:sz w:val="20"/>
          <w:szCs w:val="20"/>
          <w:color w:val="auto"/>
        </w:rPr>
      </w:pPr>
    </w:p>
    <w:p>
      <w:pPr>
        <w:jc w:val="both"/>
        <w:ind w:left="460" w:right="479" w:hanging="6"/>
        <w:spacing w:after="0" w:line="255" w:lineRule="auto"/>
        <w:tabs>
          <w:tab w:leader="none" w:pos="6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and (iii) as promptly as reasonably possible</w:t>
      </w:r>
    </w:p>
    <w:p>
      <w:pPr>
        <w:sectPr>
          <w:pgSz w:w="11900" w:h="16838" w:orient="portrait"/>
          <w:cols w:equalWidth="0" w:num="1">
            <w:col w:w="9019"/>
          </w:cols>
          <w:pgMar w:left="1440" w:top="333" w:right="1440"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4" w:name="page65"/>
    <w:bookmarkEnd w:id="64"/>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22"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refuses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refuses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third parties execute such agreements with us, they will not seek recourse against the trust account. Certain of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such insiders’ financial net worth</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and believes they will be able to satisfy any indemnification obligations that may arise. However, these insiders may not be able to satisfy their indemnification obligations, as we have not required them to retain any assets to provide for their indemnification obligations, nor have we taken any further steps to ensure that they will be able to satisfy any indemnification obligations that arise. Moreover, these insiders will not be liable to our public stockholders, and instead will only have liability to us. As a result, if we liquidate, the per-share distribution from the trust account could be less than the estimated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$50,000), and have agreed not to seek repayment of such expenses. Each holder of public shares will receive a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$10.00.</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in connection with any such vote. Our insiders have agreed to waive any conversion rights with respect to any insider shares and any public shares they may hold in connection with any vote to amend our certificate of incorporation. Specifically, our certificate of incorporation provides, among other things, that:</w:t>
      </w:r>
    </w:p>
    <w:p>
      <w:pPr>
        <w:spacing w:after="0" w:line="124" w:lineRule="exact"/>
        <w:rPr>
          <w:sz w:val="20"/>
          <w:szCs w:val="20"/>
          <w:color w:val="auto"/>
        </w:rPr>
      </w:pPr>
    </w:p>
    <w:p>
      <w:pPr>
        <w:jc w:val="both"/>
        <w:ind w:left="1320" w:right="479" w:hanging="434"/>
        <w:spacing w:after="0" w:line="266" w:lineRule="auto"/>
        <w:tabs>
          <w:tab w:leader="none" w:pos="13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consummation of our initial business combination, we shall either (1) seek stockholder approval of our initial business combination at a meeting called for such purpose at which public stockholders may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06" w:lineRule="exact"/>
        <w:rPr>
          <w:sz w:val="20"/>
          <w:szCs w:val="20"/>
          <w:color w:val="auto"/>
        </w:rPr>
      </w:pPr>
    </w:p>
    <w:p>
      <w:pPr>
        <w:jc w:val="both"/>
        <w:ind w:left="1320" w:right="459" w:hanging="434"/>
        <w:spacing w:after="0" w:line="261" w:lineRule="auto"/>
        <w:tabs>
          <w:tab w:leader="none" w:pos="14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consummation of this offering, $150,000,000, or $172,500,000 if the over-allotment option is exercised in full, shall be placed into the trust account;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Revisions to Agreements with Insiders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Each of our insiders has entered into a letter agreement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99" w:lineRule="exact"/>
        <w:rPr>
          <w:sz w:val="20"/>
          <w:szCs w:val="20"/>
          <w:color w:val="auto"/>
        </w:rPr>
      </w:pPr>
    </w:p>
    <w:p>
      <w:pPr>
        <w:jc w:val="both"/>
        <w:ind w:left="1320" w:right="459" w:hanging="434"/>
        <w:spacing w:after="0" w:line="266" w:lineRule="auto"/>
        <w:tabs>
          <w:tab w:leader="none" w:pos="15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of our securities could be amended to allow transfer to third parties who were not members of our original management team;</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our management team to not propose amendments to our organizational documents could be amended to allow them to propose such changes to our stockholders;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insiders to not receive any compensation in connection with a business combination could be modified in order to allow them to receive such compensation;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obtain a valuation for any target business affiliated with our insiders, in the event it was too expensive to do so.</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Except as specified above, stockholders would not be required to be given the opportunity to redeem their shares in connection with such changes. Such changes could result in:</w:t>
      </w:r>
    </w:p>
    <w:p>
      <w:pPr>
        <w:spacing w:after="0" w:line="94" w:lineRule="exact"/>
        <w:rPr>
          <w:sz w:val="20"/>
          <w:szCs w:val="20"/>
          <w:color w:val="auto"/>
        </w:rPr>
      </w:pPr>
    </w:p>
    <w:p>
      <w:pPr>
        <w:jc w:val="both"/>
        <w:ind w:left="1320" w:right="459" w:hanging="434"/>
        <w:spacing w:after="0" w:line="266" w:lineRule="auto"/>
        <w:tabs>
          <w:tab w:leader="none" w:pos="13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1320" w:right="479" w:hanging="434"/>
        <w:spacing w:after="0" w:line="282" w:lineRule="auto"/>
        <w:tabs>
          <w:tab w:leader="none" w:pos="15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being able to vote against a business combination or in favor of changes to our organizational documents;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being controlled by a new management team that our stockholders did not elect to invest with;</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receiving compensation in connection with a business combination;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insiders closing a transaction with one of their affiliates without receiving an independent valuation of such business.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deferred underwriters’ fees and taxes payable on the income earned on the trust account)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will pay to Chardan Capital Markets LLC, an affiliate of Chardan Investments, a fee of $10,000 per month for use of office space and certain office and secretarial services. The office space will be located at 1 East Putnam Avenue, Floor 4, Greenwich, CT 06830.</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currently have 3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and Audited Financial Statements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registered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will be required to comply with the internal control requirements of the Sarbanes-Oxley Act beginning for the fiscal year ending December 31, 2021.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460" w:right="459" w:hanging="6"/>
        <w:spacing w:after="0" w:line="25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to Offerings of Blank Check Companies Subject to Rule 419</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upon the consummation of this offering, and we will file a Current Report on Form 8-K, including an audited balance sheet demonstrating this fact.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spacing w:after="0" w:line="237"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ind w:left="800"/>
        <w:spacing w:after="0"/>
        <w:tabs>
          <w:tab w:leader="none" w:pos="36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jc w:val="both"/>
        <w:ind w:right="459"/>
        <w:spacing w:after="0" w:line="254" w:lineRule="auto"/>
        <w:rPr>
          <w:sz w:val="20"/>
          <w:szCs w:val="20"/>
          <w:color w:val="auto"/>
        </w:rPr>
      </w:pPr>
      <w:r>
        <w:rPr>
          <w:rFonts w:ascii="Times New Roman" w:cs="Times New Roman" w:eastAsia="Times New Roman" w:hAnsi="Times New Roman"/>
          <w:sz w:val="18"/>
          <w:szCs w:val="18"/>
          <w:color w:val="auto"/>
        </w:rPr>
        <w:t>$150,000,000 of the net offering proceeds $132,300,000 of the offering proceeds and proceeds from the sale of the private would be required to be deposited into warrants will be deposited into a trust either an escrow account with an insured account in the United States, maintained depositary institution or in a separate bank by Continental Stock Transfer &amp; Trust account established by a broker-dealer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-691515</wp:posOffset>
            </wp:positionV>
            <wp:extent cx="40633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tabs>
          <w:tab w:leader="none" w:pos="3180" w:val="left"/>
        </w:tabs>
        <w:rPr>
          <w:sz w:val="20"/>
          <w:szCs w:val="20"/>
          <w:color w:val="auto"/>
        </w:rPr>
      </w:pPr>
      <w:r>
        <w:rPr>
          <w:rFonts w:ascii="Times New Roman" w:cs="Times New Roman" w:eastAsia="Times New Roman" w:hAnsi="Times New Roman"/>
          <w:sz w:val="18"/>
          <w:szCs w:val="18"/>
          <w:color w:val="auto"/>
        </w:rPr>
        <w:t>Company, acting as trustee.</w:t>
      </w:r>
      <w:r>
        <w:rPr>
          <w:sz w:val="20"/>
          <w:szCs w:val="20"/>
          <w:color w:val="auto"/>
        </w:rPr>
        <w:tab/>
      </w:r>
      <w:r>
        <w:rPr>
          <w:rFonts w:ascii="Times New Roman" w:cs="Times New Roman" w:eastAsia="Times New Roman" w:hAnsi="Times New Roman"/>
          <w:sz w:val="18"/>
          <w:szCs w:val="18"/>
          <w:color w:val="auto"/>
        </w:rPr>
        <w:t>which the broker-dealer acts as trustee for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persons having the beneficial interests in the</w:t>
      </w:r>
    </w:p>
    <w:p>
      <w:pPr>
        <w:spacing w:after="0" w:line="2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account.</w:t>
      </w:r>
    </w:p>
    <w:p>
      <w:pPr>
        <w:spacing w:after="0" w:line="176" w:lineRule="exact"/>
        <w:rPr>
          <w:sz w:val="20"/>
          <w:szCs w:val="20"/>
          <w:color w:val="auto"/>
        </w:rPr>
      </w:pPr>
    </w:p>
    <w:p>
      <w:pPr>
        <w:sectPr>
          <w:pgSz w:w="11900" w:h="16838" w:orient="portrait"/>
          <w:cols w:equalWidth="0" w:num="2">
            <w:col w:w="1860" w:space="300"/>
            <w:col w:w="6859"/>
          </w:cols>
          <w:pgMar w:left="1440" w:top="340" w:right="1440" w:bottom="1440" w:gutter="0" w:footer="0" w:header="0"/>
        </w:sectPr>
      </w:pPr>
    </w:p>
    <w:p>
      <w:pPr>
        <w:ind w:left="4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Investment of net</w:t>
      </w:r>
      <w:r>
        <w:rPr>
          <w:sz w:val="20"/>
          <w:szCs w:val="20"/>
          <w:color w:val="auto"/>
        </w:rPr>
        <w:tab/>
      </w:r>
      <w:r>
        <w:rPr>
          <w:rFonts w:ascii="Times New Roman" w:cs="Times New Roman" w:eastAsia="Times New Roman" w:hAnsi="Times New Roman"/>
          <w:sz w:val="18"/>
          <w:szCs w:val="18"/>
          <w:color w:val="auto"/>
        </w:rPr>
        <w:t>The  $150,000,000  of  the  net  offering Proceeds could be invested only in specified</w:t>
      </w:r>
    </w:p>
    <w:p>
      <w:pPr>
        <w:spacing w:after="0" w:line="31" w:lineRule="exact"/>
        <w:rPr>
          <w:sz w:val="20"/>
          <w:szCs w:val="20"/>
          <w:color w:val="auto"/>
        </w:rPr>
      </w:pPr>
    </w:p>
    <w:p>
      <w:pPr>
        <w:jc w:val="both"/>
        <w:ind w:left="2160" w:right="459" w:hanging="1519"/>
        <w:spacing w:after="0" w:line="250" w:lineRule="auto"/>
        <w:tabs>
          <w:tab w:leader="none" w:pos="2140" w:val="left"/>
        </w:tabs>
        <w:rPr>
          <w:sz w:val="20"/>
          <w:szCs w:val="20"/>
          <w:color w:val="auto"/>
        </w:rPr>
      </w:pPr>
      <w:r>
        <w:rPr>
          <w:rFonts w:ascii="Times New Roman" w:cs="Times New Roman" w:eastAsia="Times New Roman" w:hAnsi="Times New Roman"/>
          <w:sz w:val="18"/>
          <w:szCs w:val="18"/>
          <w:b w:val="1"/>
          <w:bCs w:val="1"/>
          <w:color w:val="auto"/>
        </w:rPr>
        <w:t>proceeds</w:t>
      </w:r>
      <w:r>
        <w:rPr>
          <w:sz w:val="20"/>
          <w:szCs w:val="20"/>
          <w:color w:val="auto"/>
        </w:rPr>
        <w:tab/>
      </w:r>
      <w:r>
        <w:rPr>
          <w:rFonts w:ascii="Times New Roman" w:cs="Times New Roman" w:eastAsia="Times New Roman" w:hAnsi="Times New Roman"/>
          <w:sz w:val="18"/>
          <w:szCs w:val="18"/>
          <w:color w:val="auto"/>
        </w:rPr>
        <w:t>proceeds and proceeds from the sale of the securities such as a money market fund private warrants held in trust will only be meeting conditions of the Investment invested in United States government Company Act or in securities that are direct treasury bills, bonds or notes with a obligations of, or obligations guaranteed as maturity of 183 days or less or in money to principal or interest by, the United States. market funds meeting the applicable</w:t>
      </w:r>
    </w:p>
    <w:p>
      <w:pPr>
        <w:spacing w:after="0" w:line="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conditions under Rule 2a-7 promulgated</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under the Investment Company Act and</w:t>
      </w:r>
    </w:p>
    <w:p>
      <w:pPr>
        <w:spacing w:after="0" w:line="9" w:lineRule="exact"/>
        <w:rPr>
          <w:sz w:val="20"/>
          <w:szCs w:val="20"/>
          <w:color w:val="auto"/>
        </w:rPr>
      </w:pPr>
    </w:p>
    <w:p>
      <w:pPr>
        <w:ind w:left="2160"/>
        <w:spacing w:after="0"/>
        <w:tabs>
          <w:tab w:leader="none" w:pos="2580" w:val="left"/>
          <w:tab w:leader="none" w:pos="3200" w:val="left"/>
          <w:tab w:leader="none" w:pos="3820" w:val="left"/>
          <w:tab w:leader="none" w:pos="4140" w:val="left"/>
          <w:tab w:leader="none" w:pos="4800" w:val="left"/>
        </w:tabs>
        <w:rPr>
          <w:sz w:val="20"/>
          <w:szCs w:val="20"/>
          <w:color w:val="auto"/>
        </w:rPr>
      </w:pPr>
      <w:r>
        <w:rPr>
          <w:rFonts w:ascii="Times New Roman" w:cs="Times New Roman" w:eastAsia="Times New Roman" w:hAnsi="Times New Roman"/>
          <w:sz w:val="18"/>
          <w:szCs w:val="18"/>
          <w:color w:val="auto"/>
        </w:rPr>
        <w:t>that</w:t>
        <w:tab/>
        <w:t>invest</w:t>
        <w:tab/>
        <w:t>solely</w:t>
        <w:tab/>
        <w:t>in</w:t>
        <w:tab/>
        <w:t>United</w:t>
        <w:tab/>
        <w:t>States</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government treasuries.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on</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initial target business that we acquire</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would be restricted from acquiring a</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 or net</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must have a fair market value equal to at</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target business unless the fair value of such</w:t>
            </w:r>
          </w:p>
        </w:tc>
      </w:tr>
      <w:tr>
        <w:trPr>
          <w:trHeight w:val="216"/>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assets of target</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least 80% of the balance in our trust</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business  or  net  assets  to  be  acquired</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account net of taxes payable at the time of</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represent at least 80% of the maximum</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execution of a definitive agreement for</w:t>
            </w:r>
          </w:p>
        </w:tc>
        <w:tc>
          <w:tcPr>
            <w:tcW w:w="2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offering proceeds.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our initial business combination.</w:t>
            </w: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Trading of securities</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units may commence trading on or</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No trading of the units or the underlying</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promptly after the date of this prospectus.</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securities  would  be  permitted  until  the</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shares of common stock and warrants</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completion  of  a  business  combination.</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comprising the units will begin to trade</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During this period, the securities would be</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18"/>
                <w:szCs w:val="18"/>
                <w:color w:val="auto"/>
              </w:rPr>
              <w:t>separately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the date of</w:t>
            </w:r>
          </w:p>
        </w:tc>
        <w:tc>
          <w:tcPr>
            <w:tcW w:w="3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held in the escrow or trust account.</w:t>
            </w: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this prospectus unless Chardan informs us</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its decision to allow earlier separate</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trading (based upon its assessment of the</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relative strengths of the securities markets</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and small capitalization and blank check</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companies  in  general,  and  the  trading</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pattern of, and demand for, our securities</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particular), provided we have filed with</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SEC a Current Report on Form 8-K,</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which includes an audited balance sheet</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reflecting our receipt of the proceeds of</w:t>
            </w: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164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this offering.</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warrants cannot be exercised until the</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warrants could be exercised prior to the</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warrants</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completion of a business combination and,</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completion of a business combination, but</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accordingly, will be exercised only after</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securities  received  and  cash  paid  in</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trust account has been terminated and</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connection  with  the  exercise  would  be</w:t>
            </w:r>
          </w:p>
        </w:tc>
      </w:tr>
      <w:tr>
        <w:trPr>
          <w:trHeight w:val="234"/>
        </w:trPr>
        <w:tc>
          <w:tcPr>
            <w:tcW w:w="164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distributed.</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deposited in the escrow or trust account.</w:t>
            </w:r>
          </w:p>
        </w:tc>
        <w:tc>
          <w:tcPr>
            <w:tcW w:w="260" w:type="dxa"/>
            <w:vAlign w:val="bottom"/>
          </w:tcPr>
          <w:p>
            <w:pPr>
              <w:spacing w:after="0"/>
              <w:rPr>
                <w:sz w:val="20"/>
                <w:szCs w:val="20"/>
                <w:color w:val="auto"/>
              </w:rPr>
            </w:pPr>
          </w:p>
        </w:tc>
      </w:tr>
      <w:tr>
        <w:trPr>
          <w:trHeight w:val="383"/>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Election to remain</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We will either (1) give our stockholders</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prospectus   containing</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w:t>
            </w:r>
          </w:p>
        </w:tc>
      </w:tr>
      <w:tr>
        <w:trPr>
          <w:trHeight w:val="220"/>
        </w:trPr>
        <w:tc>
          <w:tcPr>
            <w:tcW w:w="16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 investor</w:t>
            </w: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opportunity to vote on the business</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required by the SEC would be sent to each</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combination  or  (2)  provide  our  public</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investor. Each investor would be given the</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stockholders with the opportunity to sell</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opportunity  to  notify  the  company,  in</w:t>
            </w:r>
          </w:p>
        </w:tc>
      </w:tr>
      <w:tr>
        <w:trPr>
          <w:trHeight w:val="214"/>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their public shares to us in a tender offer</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writing, within a period of no less than 20</w:t>
            </w:r>
          </w:p>
        </w:tc>
      </w:tr>
      <w:tr>
        <w:trPr>
          <w:trHeight w:val="218"/>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for cash equal to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business days and no more than 45 business</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amount then on deposit in the</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days from the effective date of the post-</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trust account, less taxes. If we hold a</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effective amendment, to decide whether he,</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meeting to approve a proposed business</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she or it elects to remain a stockholder of</w:t>
            </w:r>
          </w:p>
        </w:tc>
      </w:tr>
      <w:tr>
        <w:trPr>
          <w:trHeight w:val="216"/>
        </w:trPr>
        <w:tc>
          <w:tcPr>
            <w:tcW w:w="1640" w:type="dxa"/>
            <w:vAlign w:val="bottom"/>
          </w:tcPr>
          <w:p>
            <w:pPr>
              <w:spacing w:after="0"/>
              <w:rPr>
                <w:sz w:val="18"/>
                <w:szCs w:val="18"/>
                <w:color w:val="auto"/>
              </w:rPr>
            </w:pPr>
          </w:p>
        </w:tc>
        <w:tc>
          <w:tcPr>
            <w:tcW w:w="3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combination,   we   will   send   each</w:t>
            </w:r>
          </w:p>
        </w:tc>
        <w:tc>
          <w:tcPr>
            <w:tcW w:w="3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company or require the return of his or</w:t>
            </w:r>
          </w:p>
        </w:tc>
      </w:tr>
      <w:tr>
        <w:trPr>
          <w:trHeight w:val="234"/>
        </w:trPr>
        <w:tc>
          <w:tcPr>
            <w:tcW w:w="164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stockholder</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proxy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statement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her</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investment.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445"/>
        </w:trPr>
        <w:tc>
          <w:tcPr>
            <w:tcW w:w="1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0" w:right="1440" w:bottom="1440" w:gutter="0" w:footer="0" w:header="0"/>
          <w:type w:val="continuous"/>
        </w:sectPr>
      </w:pPr>
    </w:p>
    <w:bookmarkStart w:id="70" w:name="page71"/>
    <w:bookmarkEnd w:id="70"/>
    <w:p>
      <w:pPr>
        <w:ind w:left="3120"/>
        <w:spacing w:after="0"/>
        <w:tabs>
          <w:tab w:leader="none" w:pos="5820" w:val="left"/>
        </w:tabs>
        <w:rPr>
          <w:sz w:val="20"/>
          <w:szCs w:val="20"/>
          <w:color w:val="auto"/>
        </w:rPr>
      </w:pPr>
      <w:r>
        <w:rPr>
          <w:rFonts w:ascii="Times New Roman" w:cs="Times New Roman" w:eastAsia="Times New Roman" w:hAnsi="Times New Roman"/>
          <w:sz w:val="16"/>
          <w:szCs w:val="16"/>
          <w:b w:val="1"/>
          <w:bCs w:val="1"/>
          <w:color w:val="auto"/>
        </w:rPr>
        <w:t>Terms of the Offering</w:t>
      </w:r>
      <w:r>
        <w:rPr>
          <w:sz w:val="20"/>
          <w:szCs w:val="20"/>
          <w:color w:val="auto"/>
        </w:rPr>
        <w:tab/>
      </w:r>
      <w:r>
        <w:rPr>
          <w:rFonts w:ascii="Times New Roman" w:cs="Times New Roman" w:eastAsia="Times New Roman" w:hAnsi="Times New Roman"/>
          <w:sz w:val="16"/>
          <w:szCs w:val="16"/>
          <w:b w:val="1"/>
          <w:bCs w:val="1"/>
          <w:color w:val="auto"/>
        </w:rPr>
        <w:t>Terms Under a Rule 419 Offering</w:t>
      </w:r>
    </w:p>
    <w:p>
      <w:pPr>
        <w:spacing w:after="0" w:line="70" w:lineRule="exact"/>
        <w:rPr>
          <w:sz w:val="20"/>
          <w:szCs w:val="20"/>
          <w:color w:val="auto"/>
        </w:rPr>
      </w:pPr>
    </w:p>
    <w:p>
      <w:pPr>
        <w:ind w:left="2380" w:right="459"/>
        <w:spacing w:after="0" w:line="250" w:lineRule="auto"/>
        <w:rPr>
          <w:sz w:val="20"/>
          <w:szCs w:val="20"/>
          <w:color w:val="auto"/>
        </w:rPr>
      </w:pPr>
      <w:r>
        <w:rPr>
          <w:rFonts w:ascii="Times New Roman" w:cs="Times New Roman" w:eastAsia="Times New Roman" w:hAnsi="Times New Roman"/>
          <w:sz w:val="18"/>
          <w:szCs w:val="18"/>
          <w:color w:val="auto"/>
        </w:rPr>
        <w:t>containing information required by the company has not received the notification SEC. Under Delaware law, we must by the end of the 45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business day, funds provide at least 10 days’ advance notice and interest or dividends, if any, held in of any meeting of stockholders. the trust or escrow account would Accordingly, this is the minimum automatically be returned to the amount of time we would need to stockholder. Unless a sufficient number of provide holders to determine whether to investors elect to remain investors, all of exercise their rights to convert their the deposited funds in the escrow account shares into cash at such a meeting or to must be returned to all investors and none remain an investor in our company. of the securities will be issued. Alternatively, if we do not hold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-1380490</wp:posOffset>
            </wp:positionV>
            <wp:extent cx="39173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9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meeting and instead conduct a tender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offer, we will conduct such tender offer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in accordance with the tender offer rules</w:t>
      </w:r>
    </w:p>
    <w:p>
      <w:pPr>
        <w:spacing w:after="0" w:line="9" w:lineRule="exact"/>
        <w:rPr>
          <w:sz w:val="20"/>
          <w:szCs w:val="20"/>
          <w:color w:val="auto"/>
        </w:rPr>
      </w:pPr>
    </w:p>
    <w:p>
      <w:pPr>
        <w:ind w:left="2380"/>
        <w:spacing w:after="0"/>
        <w:tabs>
          <w:tab w:leader="none" w:pos="2680" w:val="left"/>
          <w:tab w:leader="none" w:pos="3060" w:val="left"/>
          <w:tab w:leader="none" w:pos="3560" w:val="left"/>
          <w:tab w:leader="none" w:pos="3980" w:val="left"/>
          <w:tab w:leader="none" w:pos="4380" w:val="left"/>
          <w:tab w:leader="none" w:pos="5000" w:val="left"/>
        </w:tabs>
        <w:rPr>
          <w:sz w:val="20"/>
          <w:szCs w:val="20"/>
          <w:color w:val="auto"/>
        </w:rPr>
      </w:pPr>
      <w:r>
        <w:rPr>
          <w:rFonts w:ascii="Times New Roman" w:cs="Times New Roman" w:eastAsia="Times New Roman" w:hAnsi="Times New Roman"/>
          <w:sz w:val="18"/>
          <w:szCs w:val="18"/>
          <w:color w:val="auto"/>
        </w:rPr>
        <w:t>of</w:t>
        <w:tab/>
        <w:t>the</w:t>
        <w:tab/>
        <w:t>SEC</w:t>
        <w:tab/>
        <w:t>and</w:t>
        <w:tab/>
        <w:t>file</w:t>
        <w:tab/>
        <w:t>tender</w:t>
      </w:r>
      <w:r>
        <w:rPr>
          <w:sz w:val="20"/>
          <w:szCs w:val="20"/>
          <w:color w:val="auto"/>
        </w:rPr>
        <w:tab/>
      </w:r>
      <w:r>
        <w:rPr>
          <w:rFonts w:ascii="Times New Roman" w:cs="Times New Roman" w:eastAsia="Times New Roman" w:hAnsi="Times New Roman"/>
          <w:sz w:val="17"/>
          <w:szCs w:val="17"/>
          <w:color w:val="auto"/>
        </w:rPr>
        <w:t>offer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documents  with  the  SEC  which  will</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contain substantially the same financial</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and other information about the initial</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business combination as we would have</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included in a proxy statement.</w:t>
      </w:r>
    </w:p>
    <w:p>
      <w:pPr>
        <w:spacing w:after="0" w:line="18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The tender offer rules require us to hold</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the tender offer open for at least 20</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business days. Accordingly, this is the</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minimum amount of time we would need</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to provide holders to determine whether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they want to sell their shares to us in the</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tender offer or remain an investor in our</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company.</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Pursuant</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an   acquisition   has   not   been</w:t>
            </w:r>
          </w:p>
        </w:tc>
      </w:tr>
      <w:tr>
        <w:trPr>
          <w:trHeight w:val="220"/>
        </w:trPr>
        <w:tc>
          <w:tcPr>
            <w:tcW w:w="1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deadline</w:t>
            </w: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incorporation, if we do not complete an</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consummated within 18 months after the</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initial business combination within 24</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date of the initial registration</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months from the consummation of this</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statement,  funds  held  in  the  trust  or</w:t>
            </w:r>
          </w:p>
        </w:tc>
      </w:tr>
      <w:tr>
        <w:trPr>
          <w:trHeight w:val="216"/>
        </w:trPr>
        <w:tc>
          <w:tcPr>
            <w:tcW w:w="180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offering, it will trigger our automatic</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escrow  account  would  be  returned  to</w:t>
            </w:r>
          </w:p>
        </w:tc>
      </w:tr>
      <w:tr>
        <w:trPr>
          <w:trHeight w:val="234"/>
        </w:trPr>
        <w:tc>
          <w:tcPr>
            <w:tcW w:w="1800" w:type="dxa"/>
            <w:vAlign w:val="bottom"/>
          </w:tcPr>
          <w:p>
            <w:pPr>
              <w:spacing w:after="0"/>
              <w:rPr>
                <w:sz w:val="20"/>
                <w:szCs w:val="20"/>
                <w:color w:val="auto"/>
              </w:rPr>
            </w:pPr>
          </w:p>
        </w:tc>
        <w:tc>
          <w:tcPr>
            <w:tcW w:w="31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winding up, dissolution and liquidation.</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investors.</w:t>
            </w:r>
          </w:p>
        </w:tc>
      </w:tr>
    </w:tbl>
    <w:p>
      <w:pPr>
        <w:spacing w:after="0" w:line="167" w:lineRule="exact"/>
        <w:rPr>
          <w:sz w:val="20"/>
          <w:szCs w:val="20"/>
          <w:color w:val="auto"/>
        </w:rPr>
      </w:pPr>
    </w:p>
    <w:p>
      <w:pPr>
        <w:ind w:left="46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Interest earned on the</w:t>
      </w:r>
      <w:r>
        <w:rPr>
          <w:sz w:val="20"/>
          <w:szCs w:val="20"/>
          <w:color w:val="auto"/>
        </w:rPr>
        <w:tab/>
      </w:r>
      <w:r>
        <w:rPr>
          <w:rFonts w:ascii="Times New Roman" w:cs="Times New Roman" w:eastAsia="Times New Roman" w:hAnsi="Times New Roman"/>
          <w:sz w:val="18"/>
          <w:szCs w:val="18"/>
          <w:color w:val="auto"/>
        </w:rPr>
        <w:t>There can be released to us, from time to All interest earned on the funds in the trust</w:t>
      </w:r>
    </w:p>
    <w:p>
      <w:pPr>
        <w:spacing w:after="0" w:line="31" w:lineRule="exact"/>
        <w:rPr>
          <w:sz w:val="20"/>
          <w:szCs w:val="20"/>
          <w:color w:val="auto"/>
        </w:rPr>
      </w:pPr>
    </w:p>
    <w:p>
      <w:pPr>
        <w:ind w:left="640"/>
        <w:spacing w:after="0"/>
        <w:tabs>
          <w:tab w:leader="none" w:pos="2360" w:val="left"/>
        </w:tabs>
        <w:rPr>
          <w:sz w:val="20"/>
          <w:szCs w:val="20"/>
          <w:color w:val="auto"/>
        </w:rPr>
      </w:pPr>
      <w:r>
        <w:rPr>
          <w:rFonts w:ascii="Times New Roman" w:cs="Times New Roman" w:eastAsia="Times New Roman" w:hAnsi="Times New Roman"/>
          <w:sz w:val="18"/>
          <w:szCs w:val="18"/>
          <w:b w:val="1"/>
          <w:bCs w:val="1"/>
          <w:color w:val="auto"/>
        </w:rPr>
        <w:t>funds in the trust</w:t>
      </w:r>
      <w:r>
        <w:rPr>
          <w:sz w:val="20"/>
          <w:szCs w:val="20"/>
          <w:color w:val="auto"/>
        </w:rPr>
        <w:tab/>
      </w:r>
      <w:r>
        <w:rPr>
          <w:rFonts w:ascii="Times New Roman" w:cs="Times New Roman" w:eastAsia="Times New Roman" w:hAnsi="Times New Roman"/>
          <w:sz w:val="18"/>
          <w:szCs w:val="18"/>
          <w:color w:val="auto"/>
        </w:rPr>
        <w:t>time, any interest earned on the funds in account will be held in trust for the benefit</w:t>
      </w:r>
    </w:p>
    <w:p>
      <w:pPr>
        <w:spacing w:after="0" w:line="9" w:lineRule="exact"/>
        <w:rPr>
          <w:sz w:val="20"/>
          <w:szCs w:val="20"/>
          <w:color w:val="auto"/>
        </w:rPr>
      </w:pPr>
    </w:p>
    <w:p>
      <w:pPr>
        <w:jc w:val="both"/>
        <w:ind w:left="2380" w:right="459" w:hanging="1739"/>
        <w:spacing w:after="0" w:line="250" w:lineRule="auto"/>
        <w:tabs>
          <w:tab w:leader="none" w:pos="2360" w:val="left"/>
        </w:tabs>
        <w:rPr>
          <w:sz w:val="20"/>
          <w:szCs w:val="20"/>
          <w:color w:val="auto"/>
        </w:rPr>
      </w:pPr>
      <w:r>
        <w:rPr>
          <w:rFonts w:ascii="Times New Roman" w:cs="Times New Roman" w:eastAsia="Times New Roman" w:hAnsi="Times New Roman"/>
          <w:sz w:val="18"/>
          <w:szCs w:val="18"/>
          <w:b w:val="1"/>
          <w:bCs w:val="1"/>
          <w:color w:val="auto"/>
        </w:rPr>
        <w:t>account</w:t>
      </w:r>
      <w:r>
        <w:rPr>
          <w:sz w:val="20"/>
          <w:szCs w:val="20"/>
          <w:color w:val="auto"/>
        </w:rPr>
        <w:tab/>
      </w:r>
      <w:r>
        <w:rPr>
          <w:rFonts w:ascii="Times New Roman" w:cs="Times New Roman" w:eastAsia="Times New Roman" w:hAnsi="Times New Roman"/>
          <w:sz w:val="18"/>
          <w:szCs w:val="18"/>
          <w:color w:val="auto"/>
        </w:rPr>
        <w:t>the trust account that we may need to of public stockholders until the earlier of pay our tax obligations. The remaining the completion of a business combination interest earned on the funds in the trust and our liquidation upon failure to effect a account will not be released until the business combination within the allotted earlier of the completion of a business time.</w:t>
      </w:r>
    </w:p>
    <w:p>
      <w:pPr>
        <w:spacing w:after="0" w:line="2" w:lineRule="exact"/>
        <w:rPr>
          <w:sz w:val="20"/>
          <w:szCs w:val="20"/>
          <w:color w:val="auto"/>
        </w:rPr>
      </w:pPr>
    </w:p>
    <w:p>
      <w:pPr>
        <w:ind w:left="2380"/>
        <w:spacing w:after="0"/>
        <w:tabs>
          <w:tab w:leader="none" w:pos="3500" w:val="left"/>
          <w:tab w:leader="none" w:pos="3980" w:val="left"/>
          <w:tab w:leader="none" w:pos="4460" w:val="left"/>
          <w:tab w:leader="none" w:pos="5060" w:val="left"/>
        </w:tabs>
        <w:rPr>
          <w:sz w:val="20"/>
          <w:szCs w:val="20"/>
          <w:color w:val="auto"/>
        </w:rPr>
      </w:pPr>
      <w:r>
        <w:rPr>
          <w:rFonts w:ascii="Times New Roman" w:cs="Times New Roman" w:eastAsia="Times New Roman" w:hAnsi="Times New Roman"/>
          <w:sz w:val="18"/>
          <w:szCs w:val="18"/>
          <w:color w:val="auto"/>
        </w:rPr>
        <w:t>combination</w:t>
        <w:tab/>
        <w:t>and</w:t>
        <w:tab/>
        <w:t>our</w:t>
        <w:tab/>
        <w:t>entry</w:t>
      </w:r>
      <w:r>
        <w:rPr>
          <w:sz w:val="20"/>
          <w:szCs w:val="20"/>
          <w:color w:val="auto"/>
        </w:rPr>
        <w:tab/>
      </w:r>
      <w:r>
        <w:rPr>
          <w:rFonts w:ascii="Times New Roman" w:cs="Times New Roman" w:eastAsia="Times New Roman" w:hAnsi="Times New Roman"/>
          <w:sz w:val="17"/>
          <w:szCs w:val="17"/>
          <w:color w:val="auto"/>
        </w:rPr>
        <w:t>into</w:t>
      </w:r>
    </w:p>
    <w:p>
      <w:pPr>
        <w:spacing w:after="0" w:line="9" w:lineRule="exact"/>
        <w:rPr>
          <w:sz w:val="20"/>
          <w:szCs w:val="20"/>
          <w:color w:val="auto"/>
        </w:rPr>
      </w:pPr>
    </w:p>
    <w:p>
      <w:pPr>
        <w:ind w:left="2380"/>
        <w:spacing w:after="0"/>
        <w:tabs>
          <w:tab w:leader="none" w:pos="3300" w:val="left"/>
          <w:tab w:leader="none" w:pos="3800" w:val="left"/>
          <w:tab w:leader="none" w:pos="4420" w:val="left"/>
          <w:tab w:leader="none" w:pos="4700" w:val="left"/>
          <w:tab w:leader="none" w:pos="5260" w:val="left"/>
        </w:tabs>
        <w:rPr>
          <w:sz w:val="20"/>
          <w:szCs w:val="20"/>
          <w:color w:val="auto"/>
        </w:rPr>
      </w:pPr>
      <w:r>
        <w:rPr>
          <w:rFonts w:ascii="Times New Roman" w:cs="Times New Roman" w:eastAsia="Times New Roman" w:hAnsi="Times New Roman"/>
          <w:sz w:val="18"/>
          <w:szCs w:val="18"/>
          <w:color w:val="auto"/>
        </w:rPr>
        <w:t>liquidation</w:t>
        <w:tab/>
        <w:t>upon</w:t>
        <w:tab/>
        <w:t>failure</w:t>
        <w:tab/>
        <w:t>to</w:t>
        <w:tab/>
        <w:t>effect</w:t>
        <w:tab/>
        <w:t>a</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business combination within the allotted</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time.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Release of funds</w:t>
            </w: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Except for interest earned on the funds</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proceeds held in the escrow account</w:t>
            </w: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held in the trust account that may be</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would not be released until the earlier of</w:t>
            </w: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released to us to pay our tax obligations,</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completion of a business combination</w:t>
            </w: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proceeds held in the trust account</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failure  to  effect  a  business</w:t>
            </w: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will not be released until the earlier of</w:t>
            </w: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combination within the allotted time.</w:t>
            </w:r>
          </w:p>
        </w:tc>
      </w:tr>
      <w:tr>
        <w:trPr>
          <w:trHeight w:val="216"/>
        </w:trPr>
        <w:tc>
          <w:tcPr>
            <w:tcW w:w="15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business</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combination (in which case, the proceeds</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released to us will be net of the funds</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used  to  pay  converting  or  tendering</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stockholders, as the trustee will directly</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send  the  appropriate  portion  of  the</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amount held in trust to the converting or</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tendering stockholders at the time of the</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business</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combination)</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and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liquidation of our trust account upon</w:t>
            </w:r>
          </w:p>
        </w:tc>
        <w:tc>
          <w:tcPr>
            <w:tcW w:w="314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failure to effect a business combination</w:t>
            </w:r>
          </w:p>
        </w:tc>
        <w:tc>
          <w:tcPr>
            <w:tcW w:w="314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23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within the allotted time.</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46"/>
        </w:trPr>
        <w:tc>
          <w:tcPr>
            <w:tcW w:w="1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0" w:right="1440" w:bottom="1054"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current directors, director nominees and executive officers are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5120" w:type="dxa"/>
            <w:vAlign w:val="bottom"/>
          </w:tcPr>
          <w:p>
            <w:pPr>
              <w:ind w:left="228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120" w:type="dxa"/>
            <w:vAlign w:val="bottom"/>
            <w:tcBorders>
              <w:bottom w:val="single" w:sz="8" w:color="auto"/>
            </w:tcBorders>
          </w:tcPr>
          <w:p>
            <w:pPr>
              <w:spacing w:after="0"/>
              <w:rPr>
                <w:sz w:val="4"/>
                <w:szCs w:val="4"/>
                <w:color w:val="auto"/>
              </w:rPr>
            </w:pPr>
          </w:p>
        </w:tc>
      </w:tr>
      <w:tr>
        <w:trPr>
          <w:trHeight w:val="24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Chief Executive Officer, Director</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 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4"/>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Head of Operations</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120" w:type="dxa"/>
            <w:vAlign w:val="bottom"/>
          </w:tcPr>
          <w:p>
            <w:pPr>
              <w:spacing w:after="0"/>
              <w:rPr>
                <w:sz w:val="4"/>
                <w:szCs w:val="4"/>
                <w:color w:val="auto"/>
              </w:rPr>
            </w:pPr>
          </w:p>
        </w:tc>
      </w:tr>
      <w:tr>
        <w:trPr>
          <w:trHeight w:val="263"/>
        </w:trPr>
        <w:tc>
          <w:tcPr>
            <w:tcW w:w="2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Weil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2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Edward Scheetz, 55, has been our CEO and Chairman since August 2020. He is also the co-founder, CEO and Chairman of Ventoux Acquisition.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CEO of Morgans Hotel Group. In 2006, he took Morgans public (NASDAQ:MHGC).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 involved with Wyndham Hotels, assisted the CFO in restructuring The Trammell Crow Company,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Matthew MacDonald, 36, has been our Chief Financial Officer and Secretary, and a director since August 2020. He is also the co-founder and Chief Financial Officer of Ventoux Acquisition. Prior to co-founding Ventoux Acquisition in August 2020, Mr. MacDonald worked at Hyatt Hotels Corporation as the Vice President of Capital Strategy and Wellness Development, where he focused on acquiring hospitality companies and brands. Mr. MacDonald joined Hyatt in January 2017 as a result of Hyatt’s acquisition of Miraval Group, a leading hospitality wellness company. Mr. MacDonald joined Miraval Group, a KSL Capital portfolio company, as Vice President of Development in May 2016 following four years at Starwood Hotels and Resorts. Mr. MacDonald is a graduate of the University of Denver and received a Master in Real Estate Finance from New York University. We believe Mr. MacDonald is qualified to serve on our board of directors because of his experience in sourcing, negotiating and executing merger transactions within the hospitality, leisure, travel and dining sectors.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Brock Strasbourger, 33, has been our Head of Operations since August 2020. He is also the Head of Operations for Ventoux Acquisition. Prior to his work at Ventoux Acquisition, Mr. Strasbourger worked for Convene since December 2018 as the Vice President and Head of Strategic Partnerships, focusing on corporate development, opening new revenue streams, and driving growth through external channels. Prior to Convene, Mr. Strasbourger was the Vice President of Digital at OTG Management, an airport hospitality and technology business, from March 2016 through November 2018 and spent nearly three years at Fancy.com as the Head of Business. To begin his career, Mr. Strasbourger spent nearly four years on the Emerging Markets Fixed Income Sales and Trading desk at Barclays Capital (NYSE: BCS). Mr. Strasbourger is a graduate from the University of Michigan with honors and distinction. Mr. Strasbourger’s experience in operating, strategy, marketing, and product within the hospitality, leisure, travel, and dining sectors, we believe qualifies him to serve as our Head of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2" w:name="page73"/>
    <w:bookmarkEnd w:id="72"/>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Jonas Grossman, 45, has been our Chief Executive Officer and a director since July 2019. Mr. Grossman was the Chief Executive Officer and President of Chardan Healthcare Acquisition Corp. from March 2018 until its merger in October 2019 with BiomX (NYSE: PHGE). Mr. Grossman is currently a director of BiomX and since March 2020 is also a director of LifeSci Acquisition Corp. Since April 2020, Mr. Grossman has been the Chief Executive Officer and President of Chardan Healthcare Acquisition 2 Corp. Mr. Grossman has served as Partner and Head of Capital Markets for Chardan Capital Markets, LLC, a New York headquartered broker/dealer, since December 2003, and has served as President of Chardan Capital Markets, LLC since September 2015. Since 2003, Mr. Grossman has overseen the firm’s deal origination and syndication, execution, secondary market sales and trading and corporate access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China Broadband (NASDAQ: IDEX) from January 2008 until November 2010. He holds a B.A. in Economics from Cornell University and an M.B.A. from NYU’s Stern School of Business. We believe Mr. Grossman is qualified to serve on our board of directors because of his long-running capital markets experience as well as his previous company board positions.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Alex Weil, 49, has agreed to become our director as of the effective date of the registration statement of which this prospectus is a part. Mr. Weil has served as Managing Director and Co-Head of Fintech Investment Banking at Chardan Capital Markets, LLC, a New York headquartered broker/dealer, since March 2020. From January 2018 to March 2020, Mr. Weil served as Managing Director and Head of Insurtech Investment banking at SenaHill Securities, LLC, a New York headquartered broker/dealer. From January 2013 to September 2017, Mr. Weil, was a Director at Pricewaterhouse Coopers,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based on his extensive capital markets and transaction management experience and network of relationships.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Julie Atkinson, 47, has agreed to become our director as of the effective date of the registration statement of which this prospectus is a part. Ms. Atkinson served as Chief Marketing Officer for Founders Table Restaurant Group since October 2019. She previously served as Senior Vice President, Global Digital at Tory Burch LLC from February 2017 to February 2018. Prior to joining Tory Burch, Ms. Atkinson served in various leadership roles at Starwood Hotels &amp; Resorts Worldwide, Inc., most recently as Senior Vice President, Global Digital from November 2014 to January 2017 and as Vice President of Global Online Distribution from September 2012 until November 2014. Prior to joining Starwood, Ms. Atkinson held multiple roles at Travelocity including marketing and operations. Since December 2017, Ms. Atkinson has served as a member of the Board of Directors of Bright Horizons Family Solutions Inc. (NYSE: BFAM). Ms. Atkinson holds a B.A. in English and Political Science from Amherst College. We believe Ms. Atkinson is qualified to serve on our board of directors because of her 20-year track record of executing innovative strategic and tactical leadership for global consumer brands.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and Terms of Office of Officers and Directors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Upon consummation of this offering, our board of directors will have [•] members, [•] of whom will be deemed “independent” under SEC and Nasdaq rules. We may not hold an annual meeting of stockholders until after we consummate our initial business combination.</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directors may consist of a chairman of the board, and that our officers may consist of chief executive officer, president, chief financial officer, executive vice president(s), vice president(s), secretary, treasurer and such other officers as may be determined by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No executive officer has received any cash compensation for services rendered to us. Commencing on the date of this prospectus through the completion of our initial business combination with a target business, we will pay to Chardan Capital Markets LLC, an affiliate of Chardan Investments, a fee of $10,000 per month for providing us with</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 are “independent directors” as defined in the Nasdaq listing standards and applicable SEC rules. Our independent directors will have regularly scheduled meetings at which only independent directors are present.</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 party transactions must be approved by our audit committee and a majority of disinterested directors.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Effective as of the date of this prospectus, we will establish an audit committee of the board of directors, which will consist of Mr. Weil, Ms. Atkinson, and [•] each of whom is an independent director. [•] will serve as chairman of the audit committee. The audit committee’s duties, which are specified in our Audit Committee Charter, include, but are not limited to:</w:t>
      </w:r>
    </w:p>
    <w:p>
      <w:pPr>
        <w:spacing w:after="0" w:line="112" w:lineRule="exact"/>
        <w:rPr>
          <w:sz w:val="20"/>
          <w:szCs w:val="20"/>
          <w:color w:val="auto"/>
        </w:rPr>
      </w:pPr>
    </w:p>
    <w:p>
      <w:pPr>
        <w:jc w:val="both"/>
        <w:ind w:left="1320" w:right="479" w:hanging="434"/>
        <w:spacing w:after="0" w:line="266" w:lineRule="auto"/>
        <w:tabs>
          <w:tab w:leader="none" w:pos="13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major risk assessment and risk management policies;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auditor;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related party transactions;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auditor;</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8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Experts on Audit Committee</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Weil qualifies as an “audit committee financial expert,” as defined under rules and regulations of the SEC.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Effective as of the date of this prospectus, we have established a nominating committee of the board of directors, which will consist of [•] and [•], each of whom is an independent director under Nasdaq’s listing standards. [•] is the Chairperson of the nominating committee.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Guidelines for Selecting Director Nominees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which are specified in the Nominating Committee Charter, generally provide that persons to be nominated:</w:t>
      </w:r>
    </w:p>
    <w:p>
      <w:pPr>
        <w:spacing w:after="0" w:line="94" w:lineRule="exact"/>
        <w:rPr>
          <w:sz w:val="20"/>
          <w:szCs w:val="20"/>
          <w:color w:val="auto"/>
        </w:rPr>
      </w:pPr>
    </w:p>
    <w:p>
      <w:pPr>
        <w:ind w:left="1320" w:right="479" w:hanging="434"/>
        <w:spacing w:after="0" w:line="282" w:lineRule="auto"/>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interests of the stockholders.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we will establish a compensation committee of the board of directors consisting of Mr. Weil and [•], each of whom is an independent director. Mr. Weil will serve as chairman of the compensation committee. We will adopt a compensation committee charter, which will detail the principal functions of the compensation committee, including:</w:t>
      </w:r>
    </w:p>
    <w:p>
      <w:pPr>
        <w:spacing w:after="0" w:line="102" w:lineRule="exact"/>
        <w:rPr>
          <w:sz w:val="20"/>
          <w:szCs w:val="20"/>
          <w:color w:val="auto"/>
        </w:rPr>
      </w:pPr>
    </w:p>
    <w:p>
      <w:pPr>
        <w:jc w:val="both"/>
        <w:ind w:left="1320" w:right="459" w:hanging="434"/>
        <w:spacing w:after="0" w:line="261" w:lineRule="auto"/>
        <w:tabs>
          <w:tab w:leader="none" w:pos="13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our proxy statement and annual report disclosure requirements;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executive officers and employees;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on executive compensation to be included in our annual proxy statement;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charter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Investors should be aware of the following potential conflicts of interest:</w:t>
      </w:r>
    </w:p>
    <w:p>
      <w:pPr>
        <w:spacing w:after="0" w:line="144" w:lineRule="exact"/>
        <w:rPr>
          <w:sz w:val="20"/>
          <w:szCs w:val="20"/>
          <w:color w:val="auto"/>
        </w:rPr>
      </w:pPr>
    </w:p>
    <w:p>
      <w:pPr>
        <w:jc w:val="both"/>
        <w:ind w:left="1320" w:right="479" w:hanging="434"/>
        <w:spacing w:after="0" w:line="266" w:lineRule="auto"/>
        <w:tabs>
          <w:tab w:leader="none" w:pos="15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4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6" w:name="page77"/>
    <w:bookmarkEnd w:id="76"/>
    <w:p>
      <w:pPr>
        <w:jc w:val="both"/>
        <w:ind w:left="1320" w:right="479" w:hanging="434"/>
        <w:spacing w:after="0" w:line="266" w:lineRule="auto"/>
        <w:tabs>
          <w:tab w:leader="none" w:pos="140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consummate our initial business combination, our officers, directors and other insiders will not receive reimbursement for any out-of-pocket expenses incurred by them to the extent that such expenses exceed the amount of available proceeds not deposited in the trust account.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warrants. Furthermore, Ventoux Acquisition and Chardan Investments have agreed that the private warrants will not be sold or transferred by it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21"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81" w:lineRule="exact"/>
        <w:rPr>
          <w:sz w:val="20"/>
          <w:szCs w:val="20"/>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the corporation and its stockholders for the opportunity not to be brought to the attention of the corporation.</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material pre-existing fiduciary or contractual obligations of our officers, directors and director nominees: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of Individual</w:t>
            </w:r>
          </w:p>
        </w:tc>
        <w:tc>
          <w:tcPr>
            <w:tcW w:w="100" w:type="dxa"/>
            <w:vAlign w:val="bottom"/>
          </w:tcPr>
          <w:p>
            <w:pPr>
              <w:spacing w:after="0"/>
              <w:rPr>
                <w:sz w:val="18"/>
                <w:szCs w:val="18"/>
                <w:color w:val="auto"/>
              </w:rPr>
            </w:pPr>
          </w:p>
        </w:tc>
        <w:tc>
          <w:tcPr>
            <w:tcW w:w="29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Name of Affiliated Company</w:t>
            </w:r>
          </w:p>
        </w:tc>
        <w:tc>
          <w:tcPr>
            <w:tcW w:w="100" w:type="dxa"/>
            <w:vAlign w:val="bottom"/>
          </w:tcPr>
          <w:p>
            <w:pPr>
              <w:spacing w:after="0"/>
              <w:rPr>
                <w:sz w:val="18"/>
                <w:szCs w:val="18"/>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168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4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vMerge w:val="continue"/>
          </w:tcPr>
          <w:p>
            <w:pPr>
              <w:spacing w:after="0"/>
              <w:rPr>
                <w:sz w:val="16"/>
                <w:szCs w:val="16"/>
                <w:color w:val="auto"/>
              </w:rPr>
            </w:pPr>
          </w:p>
        </w:tc>
        <w:tc>
          <w:tcPr>
            <w:tcW w:w="2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Ventoux Acquisition Holdings LLC</w:t>
            </w:r>
          </w:p>
        </w:tc>
        <w:tc>
          <w:tcPr>
            <w:tcW w:w="100" w:type="dxa"/>
            <w:vAlign w:val="bottom"/>
            <w:vMerge w:val="continue"/>
          </w:tcPr>
          <w:p>
            <w:pPr>
              <w:spacing w:after="0"/>
              <w:rPr>
                <w:sz w:val="16"/>
                <w:szCs w:val="16"/>
                <w:color w:val="auto"/>
              </w:rPr>
            </w:pPr>
          </w:p>
        </w:tc>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Co-Sponsor</w:t>
            </w:r>
          </w:p>
        </w:tc>
        <w:tc>
          <w:tcPr>
            <w:tcW w:w="100" w:type="dxa"/>
            <w:vAlign w:val="bottom"/>
            <w:vMerge w:val="continue"/>
          </w:tcPr>
          <w:p>
            <w:pPr>
              <w:spacing w:after="0"/>
              <w:rPr>
                <w:sz w:val="16"/>
                <w:szCs w:val="16"/>
                <w:color w:val="auto"/>
              </w:rPr>
            </w:pPr>
          </w:p>
        </w:tc>
        <w:tc>
          <w:tcPr>
            <w:tcW w:w="1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Co-Founder,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Chairman Officer</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Matthew</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Co-Founder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MacDonald</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Head of Operations</w:t>
            </w:r>
          </w:p>
        </w:tc>
        <w:tc>
          <w:tcPr>
            <w:tcW w:w="0" w:type="dxa"/>
            <w:vAlign w:val="bottom"/>
          </w:tcPr>
          <w:p>
            <w:pPr>
              <w:spacing w:after="0"/>
              <w:rPr>
                <w:sz w:val="1"/>
                <w:szCs w:val="1"/>
                <w:color w:val="auto"/>
              </w:rPr>
            </w:pPr>
          </w:p>
        </w:tc>
      </w:tr>
      <w:tr>
        <w:trPr>
          <w:trHeight w:val="283"/>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International Investments,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Co-Sponsor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President, Partner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Head of Capital</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Markets</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BiomX,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Pre-clinical</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microbiome company</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developing both natural</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engineered phage-</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based therapies for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acne and chronic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diseases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LifeSci Acquisition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3"/>
                <w:szCs w:val="23"/>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Chardan Healthcare Acquisition 2 Corp.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Blank check company</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 and President,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56"/>
        </w:trPr>
        <w:tc>
          <w:tcPr>
            <w:tcW w:w="1480" w:type="dxa"/>
            <w:vAlign w:val="bottom"/>
          </w:tcPr>
          <w:p>
            <w:pPr>
              <w:spacing w:after="0"/>
              <w:rPr>
                <w:sz w:val="22"/>
                <w:szCs w:val="22"/>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Cornix Advisors,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Hedge fund</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Founding Partner</w:t>
            </w:r>
          </w:p>
        </w:tc>
        <w:tc>
          <w:tcPr>
            <w:tcW w:w="0" w:type="dxa"/>
            <w:vAlign w:val="bottom"/>
          </w:tcPr>
          <w:p>
            <w:pPr>
              <w:spacing w:after="0"/>
              <w:rPr>
                <w:sz w:val="1"/>
                <w:szCs w:val="1"/>
                <w:color w:val="auto"/>
              </w:rPr>
            </w:pPr>
          </w:p>
        </w:tc>
      </w:tr>
      <w:tr>
        <w:trPr>
          <w:trHeight w:val="265"/>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Alex Weil</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Investment bank</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and Co-Head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Fintech Investment</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Banking</w:t>
            </w: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Founders Table Restaurant Group</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focused 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Chief Marketing</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creation, acquisition</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cultivation of</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founder led-restaurant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companies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80" w:type="dxa"/>
            <w:vAlign w:val="bottom"/>
          </w:tcPr>
          <w:p>
            <w:pPr>
              <w:spacing w:after="0"/>
              <w:rPr>
                <w:sz w:val="20"/>
                <w:szCs w:val="20"/>
                <w:color w:val="auto"/>
              </w:rPr>
            </w:pPr>
          </w:p>
        </w:tc>
        <w:tc>
          <w:tcPr>
            <w:tcW w:w="3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Provider of child care</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early education,</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dependent care, and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workforce education</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service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insiders, including our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8" w:name="page79"/>
    <w:bookmarkEnd w:id="78"/>
    <w:p>
      <w:pPr>
        <w:jc w:val="both"/>
        <w:ind w:left="460" w:right="459" w:firstLine="432"/>
        <w:spacing w:after="0" w:line="273" w:lineRule="auto"/>
        <w:rPr>
          <w:sz w:val="20"/>
          <w:szCs w:val="20"/>
          <w:color w:val="auto"/>
        </w:rPr>
      </w:pPr>
      <w:r>
        <w:rPr>
          <w:rFonts w:ascii="Times New Roman" w:cs="Times New Roman" w:eastAsia="Times New Roman" w:hAnsi="Times New Roman"/>
          <w:sz w:val="17"/>
          <w:szCs w:val="17"/>
          <w:color w:val="auto"/>
        </w:rPr>
        <w:t>To further minimize conflicts of interest, we have agreed not to consummate our initial business combination with an entity that is affiliated with any of our officers, directors or other insiders, unless we have obtained (i) an opinion from an independent investment banking firm that the business combination is fair to our unaffiliated stockholders from a financial point of view and (ii) the approval of a majority of our disinterested and independent directors.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accordance with the terms of such policy and insures us against our obligations to indemnify the directors and officers.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99" w:lineRule="exact"/>
        <w:rPr>
          <w:sz w:val="20"/>
          <w:szCs w:val="20"/>
          <w:color w:val="auto"/>
        </w:rPr>
      </w:pPr>
    </w:p>
    <w:p>
      <w:pPr>
        <w:ind w:left="1320" w:right="479" w:hanging="434"/>
        <w:spacing w:after="0" w:line="282" w:lineRule="auto"/>
        <w:tabs>
          <w:tab w:leader="none" w:pos="13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issued and outstanding shares of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officers and directors as a group.</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the date of this prospectus.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52"/>
        </w:trPr>
        <w:tc>
          <w:tcPr>
            <w:tcW w:w="2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2500" w:type="dxa"/>
            <w:vAlign w:val="bottom"/>
            <w:gridSpan w:val="3"/>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After Offering</w:t>
            </w:r>
            <w:r>
              <w:rPr>
                <w:rFonts w:ascii="Times New Roman" w:cs="Times New Roman" w:eastAsia="Times New Roman" w:hAnsi="Times New Roman"/>
                <w:sz w:val="18"/>
                <w:szCs w:val="18"/>
                <w:b w:val="1"/>
                <w:bCs w:val="1"/>
                <w:color w:val="auto"/>
                <w:vertAlign w:val="superscript"/>
              </w:rPr>
              <w:t>(2)</w:t>
            </w:r>
          </w:p>
        </w:tc>
      </w:tr>
      <w:tr>
        <w:trPr>
          <w:trHeight w:val="187"/>
        </w:trPr>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and Nature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55"/>
        </w:trPr>
        <w:tc>
          <w:tcPr>
            <w:tcW w:w="3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68"/>
        </w:trPr>
        <w:tc>
          <w:tcPr>
            <w:tcW w:w="2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2,773,875</w:t>
            </w:r>
            <w:r>
              <w:rPr>
                <w:rFonts w:ascii="Times New Roman" w:cs="Times New Roman" w:eastAsia="Times New Roman" w:hAnsi="Times New Roman"/>
                <w:sz w:val="20"/>
                <w:szCs w:val="20"/>
                <w:color w:val="auto"/>
                <w:vertAlign w:val="superscript"/>
              </w:rPr>
              <w:t>(3)(4)</w:t>
            </w:r>
          </w:p>
        </w:tc>
        <w:tc>
          <w:tcPr>
            <w:tcW w:w="100" w:type="dxa"/>
            <w:vAlign w:val="bottom"/>
            <w:tcBorders>
              <w:top w:val="single" w:sz="8" w:color="CCEEFF"/>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2,408,250</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8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MacDonald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2,773,875</w:t>
            </w:r>
            <w:r>
              <w:rPr>
                <w:rFonts w:ascii="Times New Roman" w:cs="Times New Roman" w:eastAsia="Times New Roman" w:hAnsi="Times New Roman"/>
                <w:sz w:val="20"/>
                <w:szCs w:val="20"/>
                <w:color w:val="auto"/>
                <w:vertAlign w:val="superscript"/>
              </w:rPr>
              <w:t>(3)(4)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2,408,250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8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20"/>
                <w:szCs w:val="20"/>
                <w:color w:val="auto"/>
                <w:vertAlign w:val="superscript"/>
              </w:rPr>
              <w:t>(5)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1,296,750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8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Weil</w:t>
            </w: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Atkinson</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11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officers and directors as a group</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5"/>
        </w:trPr>
        <w:tc>
          <w:tcPr>
            <w:tcW w:w="3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individuals)</w:t>
            </w:r>
          </w:p>
        </w:tc>
        <w:tc>
          <w:tcPr>
            <w:tcW w:w="116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4,312,500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8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Ventoux Acquisition Holdings LLC</w:t>
            </w:r>
            <w:r>
              <w:rPr>
                <w:rFonts w:ascii="Times New Roman" w:cs="Times New Roman" w:eastAsia="Times New Roman" w:hAnsi="Times New Roman"/>
                <w:sz w:val="20"/>
                <w:szCs w:val="20"/>
                <w:color w:val="auto"/>
                <w:vertAlign w:val="superscript"/>
              </w:rPr>
              <w:t>(6)</w:t>
            </w: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2,773,875</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2,408,250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8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International Investments, LLC</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1,493,625</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1,296,750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ind w:left="880" w:right="479" w:hanging="426"/>
        <w:spacing w:after="0" w:line="264" w:lineRule="auto"/>
        <w:tabs>
          <w:tab w:leader="none" w:pos="89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 individuals is c/o Ventoux CCM Acquisition Corp., 1 East Putnam Avenue, Floor 4, Greenwich, CT 06830.</w:t>
      </w:r>
    </w:p>
    <w:p>
      <w:pPr>
        <w:ind w:left="880" w:right="459" w:hanging="426"/>
        <w:spacing w:after="0" w:line="264" w:lineRule="auto"/>
        <w:tabs>
          <w:tab w:leader="none" w:pos="93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no exercise of the over-allotment option and, therefore, an aggregate of 562,500 shares of common stock held by our initial stockholders are forfeited.</w:t>
      </w:r>
    </w:p>
    <w:p>
      <w:pPr>
        <w:ind w:left="880" w:right="459" w:hanging="426"/>
        <w:spacing w:after="0" w:line="264" w:lineRule="auto"/>
        <w:tabs>
          <w:tab w:leader="none" w:pos="942"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Ventoux Acquisition Holdings LLC, for which Edward Scheetz and Matthew MacDonald are the managing members.</w:t>
      </w:r>
    </w:p>
    <w:p>
      <w:pPr>
        <w:ind w:left="880" w:right="479" w:hanging="426"/>
        <w:spacing w:after="0" w:line="264" w:lineRule="auto"/>
        <w:tabs>
          <w:tab w:leader="none" w:pos="886"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Ventoux Acquisition Holdings LLC distributed an aggregate of 45,000 shares to certain of our directors and officers.</w:t>
      </w:r>
    </w:p>
    <w:p>
      <w:pPr>
        <w:ind w:left="880" w:right="479" w:hanging="426"/>
        <w:spacing w:after="0" w:line="264" w:lineRule="auto"/>
        <w:tabs>
          <w:tab w:leader="none" w:pos="88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shares of common stock owned by Chardan International Investments, LLC, for which Jonas Grossman is the managing member.</w:t>
      </w:r>
    </w:p>
    <w:p>
      <w:pPr>
        <w:ind w:left="880" w:hanging="426"/>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Edward Scheetz and Matthew MacDonald are the managing members of Ventoux Acquisition Holdings LLC.</w:t>
      </w:r>
    </w:p>
    <w:p>
      <w:pPr>
        <w:spacing w:after="0" w:line="15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 over-allotment option, our initial stockholders will have up to an aggregate 562,500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ectPr>
          <w:pgSz w:w="11900" w:h="16838" w:orient="portrait"/>
          <w:cols w:equalWidth="0" w:num="1">
            <w:col w:w="9019"/>
          </w:cols>
          <w:pgMar w:left="1440" w:top="333"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0" w:name="page81"/>
    <w:bookmarkEnd w:id="80"/>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All of the insider shares issued and outstanding prior to the date of this prospectus will be placed in escrow with Continental Stock Transfer &amp; Trust Company, as escrow agent, until (1) with respect to 50% of the insider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20 trading days within any 30-trading day period commencing after our initial business combination, and (2) with respect to the remaining 50% of the insider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562,500 of the insider shares may also be released from escrow earlier than this date for forfeiture and cancellation if the over-allotment option is not exercised in full as described above.</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escrow period, the holders of these shares will not be able to sell or transfer their securities except (1) to any persons (including their affiliates and stockholders) participating in the private placement of the private warrants, officers, directors, stockholders, employees and members of our co-sponsors and their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w:t>
      </w:r>
    </w:p>
    <w:p>
      <w:pPr>
        <w:spacing w:after="0" w:line="3" w:lineRule="exact"/>
        <w:rPr>
          <w:sz w:val="20"/>
          <w:szCs w:val="20"/>
          <w:color w:val="auto"/>
        </w:rPr>
      </w:pPr>
    </w:p>
    <w:p>
      <w:pPr>
        <w:jc w:val="both"/>
        <w:ind w:left="460" w:right="479" w:hanging="6"/>
        <w:spacing w:after="0" w:line="251" w:lineRule="auto"/>
        <w:tabs>
          <w:tab w:leader="none" w:pos="7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relations order, (7) by certain pledges to secure obligations incurred in connection with purchases of our securities, (8) by private sales at prices no greater than the price at which the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where the transferee agrees to the terms of the escrow agreement and the insider letter, but will retain all other rights as our stockholders, including, without limitation, the right to vote their shares of common stock and the right to receive cash dividends, if declared. If dividends are declared and payable in shares of common stock, such dividends will also be placed in escrow. If we are unable to effect a business combination and liquidate the trust account, none of our initial stockholders will receive any portion of the liquidation proceeds with respect to their insider shares.</w:t>
      </w:r>
    </w:p>
    <w:p>
      <w:pPr>
        <w:spacing w:after="0" w:line="12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private warrants and any shares of common stock issued upon conversion or exercise thereof are subject to transfer restrictions pursuant to lock-up provisions in a letter agreement with us to be entered into by Ventoux Acquisition, Chardan Investments, officers, directors and advisors of the Company. Those lock-up provisions provide that such securities are not transferable or salable until 30 days after the completion of our initial business combination, except (a) to our officers or directors, any affiliates or family members of any of our officers or directors, any members of Ventoux Acquisition or Chardan Investments, or any affiliates of Ventoux Acquisition or Chardan Investments;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Ventoux Acquisition or Chardan Investments, provided, however, that in the case of clauses</w:t>
      </w:r>
    </w:p>
    <w:p>
      <w:pPr>
        <w:spacing w:after="0" w:line="11" w:lineRule="exact"/>
        <w:rPr>
          <w:sz w:val="20"/>
          <w:szCs w:val="20"/>
          <w:color w:val="auto"/>
        </w:rPr>
      </w:pPr>
    </w:p>
    <w:p>
      <w:pPr>
        <w:jc w:val="both"/>
        <w:ind w:left="460" w:right="479" w:hanging="6"/>
        <w:spacing w:after="0" w:line="253" w:lineRule="auto"/>
        <w:tabs>
          <w:tab w:leader="none" w:pos="7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or (g), these permitted transferees must enter into a written agreement agreeing to be bound by these transfer restrictions and the other restrictions contained in the letter agreements and by the same agreements entered into by Ventoux Acquisition, Chardan Investments, officers, directors and advisors of the Company, as the case may be, with respect to such securities (including provisions relating to voting, the trust account and liquidation distributions described elsewhere in this prospectus).</w:t>
      </w:r>
    </w:p>
    <w:p>
      <w:pPr>
        <w:spacing w:after="0" w:line="11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24 months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or their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will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2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Each of Ventoux Acquisition Holdings LLC and Chardan International Investments, LLC is a “promoter,” as that term is defined under the federal securities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CERTAIN TRANSACTIONS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of common stock from us for $25,000. On July 23, 2020, Chardan Investments sold 3,250,000 shares of common stock back to us for</w:t>
      </w: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$16,250. On August 25, 2020, Chardan Investments transferred 256,375 shares of common stock back to us for nominal consideration, which shares were cancelled, resulting in Chardan Investments holding a balance of 1,493,625 shares of common stock. On July 23, 2020, Ventoux Acquisition purchased 3,250,000 shares of common stock from us for $16,250. On August 25, 2020, Ventoux Acquisition transferred 431,125 shares of common stock back to us for nominal considerations, which shares were cancelled. As of the date hereof, Ventoux Acquisition holds 2,818,875 shares of common stock of which 45,000 shares Ventoux Acquisition intends to distribute to certain of our officers and directors prior to the consummation of the offering, resulting in Ventoux Acquisition holding a balance of 2,773,875 shares. The founder shares include an aggregate of up to 562,500 shares that are subject to forfeiture to the extent that the underwriters’ over-allotment option is not exercised in full or in part.</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underwriters do not exercise all or a portion of their over-allotment option, our initial stockholders have agreed that up to an aggregate of 562,500 shares of common stock in proportion to the portion of the over-allotment option that was not exercised are subject to forfeiture and would be immediately cancelled.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underwriters determine the size of the offering should be increased (including pursuant to Rule 462(b) under the Securities Act) or decreased, a share capitalizations or a contribution back to capital, as applicable, would be effectuated in order to maintain our initial stockholder’s ownership at 20% of the number of shares issued and outstanding after the closing of this offering.</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Ventoux Acquisition, our co-sponsor and an affiliate of certain of our directors and officers, has committed to purchase from us an aggregate of 3,000,000 warrants (or 3,300,000 warrants if the over-allotment option is exercised in full), and Chardan Investments, our co-sponsor and an affiliate of one of our directors and Chardan Capital Markets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Of the $4,500,000 (or $4,950,000 if the over-allotment option is exercised in full) we will receive from the sale of the private warrants, $3,500,000 (or $3,950,000 if the over-allotment option is exercised in full) will be used for offering expenses and $1,000,000 will be used for working capital. If we do not complete our initial business combination within 24 months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meet our working capital needs following the consummation of this offering, our initial stockholders, officers and directors and their respective affiliates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$500,000 of the notes may be converted upon consummation of our business combination into additional private warrants to purchase shares of common stock at a conversion price of $0.50 per private warrant (which, for example, would result in the holders being issued private warrants to purchase 1,000,000 shares of common stock if $500,000 of notes were so converted). Such private warrants will be identical to the private warrants to be issued at the closing of this offering. Our stockholders have approved the issuance of the private warrants and underlying securities upon conversion of such notes, to the extent the holder wishes to so convert them at the time of the consummation of our initial business combination. If we do not complete a business combination, the loans would not be repaid. Loans made by Chardan Capital Markets LLC or any of its related persons will not be convertible into private warrants and Chardan Capital Markets LLC or any of its related persons will have no recourse with respect to their ability to convert their loans into private warrants.</w:t>
      </w:r>
    </w:p>
    <w:p>
      <w:pPr>
        <w:spacing w:after="0" w:line="12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holders of our insider shares issued and outstanding on the date of this prospectus, as well as the holders of the private warrants (and all underlying securities), will be entitled to registration and stockholder rights pursuant to an agreement to be signed prior to or on the effective date of this offering. The holders of a majority of these securities are</w:t>
      </w:r>
    </w:p>
    <w:p>
      <w:pPr>
        <w:sectPr>
          <w:pgSz w:w="11900" w:h="16838" w:orient="portrait"/>
          <w:cols w:equalWidth="0" w:num="1">
            <w:col w:w="9019"/>
          </w:cols>
          <w:pgMar w:left="1440" w:top="333"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3" w:name="page84"/>
    <w:bookmarkEnd w:id="83"/>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 of any such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we issued an unsecured promissory note to Ventoux Acquisition, pursuant to which the Company may borrow up to an aggregate principal amount of $250,000. The promissory note is non-interest bearing and will be payable at the closing of a business combination. To date, the Company has drawn $150,000 under the promissory note.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99"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disinterested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Code of Ethics, which we will adopt upon consummation of this offering, will require us to avoid, wherever possible, all related party transactions that could result in actual or potential conflicts of interests, except under guidelines approved by the board of directors (or the audit committee). Related 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personal benefits as a result of his or her position.</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committee, pursuant to its written charter, will be responsible for reviewing and approving related party transactions to the extent we enter into such transactions. 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disinterested independent directors, or the members of our board who do not have an interest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4" w:name="page85"/>
    <w:bookmarkEnd w:id="84"/>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 Additionally, we require each of our directors and executive officers to complete a directors’ and officers’ questionnaire that elicits information about related party transactions.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further minimize potential conflicts of interest, we have agreed not to consummate a business combination with an entity which is affiliated with any of our initial stockholders unless we obtain an opinion from an independent investment banking firm that the business combination is fair to our unaffiliated stockholders from a financial point of view. Furthermore, in no event will any of our existing officers, directors or initial stockholders, or any entity with which they are affiliated, be paid any finder’s fee, consulting fee or other compensation prior to, or for any services they render in order to effectuate, the consummation of a business combination.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our amended certificate of incorporation, our authorized capital stock consists of [•],000,000 shares of common stock, par value $0.0001, and [•],000,000 shares of preferred stock, par value $0.0001. As of the date of this prospectus, 4,312,500 shares of common stock are issued and outstanding, held by our co-sponsors, our directors, and affiliates of our management team. No preferred shares are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unit consists of one share of common stock and one warrant. Each warrant entitles the holder thereof to purchase one-half of one share of common stock at a price of $11.50 per whole share, subject to adjustment as described in this prospectus. Each warrant will become exercisable on the later of one year after the closing of this offering or the consummation of an initial business combination, and will expire five years after the completion of an initial business combination, or earlier upon redemption.</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shares of common stock and warrants comprising the units will not be separately traded until 90 days after the effective date of this prospectus unless Chardan informs us of its decision to allow earlier separate trading, but in no event will the shares of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consummation of this offering, which is anticipated to take place three business days after the date of this prospectus. The audited balance sheet will reflect proceeds we received from the exercise of the over-allotment option if such option is exercised prior to the filing of the Current Report on Form 8-K.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any shares acquired in this offering or following this offering in the open market, in favor of the proposed business combination.</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our certificate of incorporation, if we do not consummate our initial business combination within 24 months from the closing of this offering,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6" w:name="page87"/>
    <w:bookmarkEnd w:id="86"/>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stock upon approval of any such amendment at a per-share price, payable in cash, equal to the aggregate amount then on deposit in the trust account, including interest earned on the funds held in the trust account and not previously released to us to pay our taxes or for working capital purposes,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There are no shares of preferred stock outstanding.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No warrants are currently outstanding. Each public warrant entitles the registered holder to purchase one-half of one share of common stock at a price of $11.50 per whole share, subject to adjustment as described below, at any time commencing on the later of one year after the closing of this offering or the consummation of an initial business combination. However, no public warrants will be exercisable for cash unless we have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120 days from the closing of our initial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warrants will expire five years from the closing of our initial business combination at 5:00 p.m., New York City time.</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offered by this prospectus except that (i) each private warrant is exercisable for one share of common stock at an exercise price of $11.50 per share, and (ii) such private warrants will be exercisable for cash (even if a registration statement covering the shares of common stock issuable upon exercise of such warrants is not effective) or on a cashless basis, at the holder’s option, and will not be redeemable by us, in each case so long as they are still held by the initial purchasers or their affiliates.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may call the outstanding warrants for redemption (excluding the private warrants but including any warrants already issued upon exercise of the unit purchase option), in whole and not in part, at a price of $0.01 per warrant:</w:t>
      </w:r>
    </w:p>
    <w:p>
      <w:pPr>
        <w:spacing w:after="0" w:line="108" w:lineRule="exact"/>
        <w:rPr>
          <w:sz w:val="20"/>
          <w:szCs w:val="20"/>
          <w:color w:val="auto"/>
        </w:rPr>
      </w:pPr>
    </w:p>
    <w:p>
      <w:pPr>
        <w:ind w:left="1300" w:hanging="41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$16.50 per share, for any 20 trading days within a 30-day trading period ending on the third business day prior to the notice of redemption to warrant holders,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9"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shall mean the average reported last sale price of our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common shares at the time the warrants are called for redemption, our cash needs at such time and concerns regarding dilutive share issuances.</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on exercise of the warrants may be adjusted in certain circumstances including in the event of a share dividend, extraordinary dividend or our recapitalization, reorganization, merger or consolidation. In addition, if we issue additional shares of common stock or equity-linked securities for capital raising purposes in connection with the closing of our initial business combination at a newly issued price of less than $9.20 per share of common stock (with such issue price or effective issue price to be determined in good faith by our board of directors and, in the case of any such issuance to our initial stockholders or their affiliates, without taking into account any founder shares or private warrants held by them, as applicable, prior to such issuance), the exercise price of the warrants will be adjusted (to the nearest cent) to be equal to 115% of the newly issued price and the $16.50 per share redemption trigger price described below under will be adjusted (to the nearest cent) to be equal to 165% of the market value (the volume weighted average trading price of the common stock during the 20 trading day period starting on the trading day prior to the consummation of an initial business combination).</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we will not be obligated to issue shares of common stock unless at the time a holder seeks to exercise such warrant, a prospectus relating to the shares of common stock issuable upon exercise of the warrants is current and the shares of common stock have been registered or qualified or deemed to be exempt under the securities laws of the state of residence of the holder of the warrants. Under the terms of the warrant agreement, we have agreed to use our best efforts to meet these conditions and to maintain a current prospectus relating to the shares of common stock issuable upon exercise of the warrants until the expiration of the warrants. However, we cannot assure you that we will be able to do so and, if we do not maintain a current prospectus relating to the shares of common stock issuable upon exercise of the warrants, holders will be unable to exercise their warrants, and we will not be required to settle any such warrant exercise. If the prospectus relating to the shares of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4.99% or 9.99% (or such other amount as a holder may specify) of common stock outstanding.</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common stock to be issued to the warrant holder.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the Certain Warrants</w:t>
      </w:r>
    </w:p>
    <w:p>
      <w:pPr>
        <w:spacing w:after="0" w:line="16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have agreed that so long as the private warrants are still held by the initial purchasers or their affiliates, we will not redeem such warrants, and we will allow the holders to exercise such warrants on a cashless basis (even if a registration statement covering the shares of common stock issuable upon exercise of such warrants is not effective). However, once any of the foregoing warrants are transferred from the initial purchasers or their affiliates, these arrangements will no longer apply. Furthermore, because the private warrants will be issued in a private transaction, the holders and their transferees will be allowed to exercise the private warrants for cash even if a registration statement covering the shares of common stock issuable upon exercise of such warrants is not effective and receive unregistered shares of common stock.</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148" w:lineRule="exact"/>
        <w:rPr>
          <w:sz w:val="20"/>
          <w:szCs w:val="20"/>
          <w:color w:val="auto"/>
        </w:rPr>
      </w:pPr>
    </w:p>
    <w:p>
      <w:pPr>
        <w:jc w:val="both"/>
        <w:ind w:left="460" w:right="479" w:firstLine="432"/>
        <w:spacing w:after="0" w:line="304"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Continental Stock Transfer &amp; Trust Company,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Certificate of Incorporation and Bylaws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5" w:lineRule="exact"/>
        <w:rPr>
          <w:sz w:val="20"/>
          <w:szCs w:val="20"/>
          <w:color w:val="auto"/>
        </w:rPr>
      </w:pPr>
    </w:p>
    <w:p>
      <w:pPr>
        <w:ind w:left="1320" w:right="459" w:hanging="434"/>
        <w:spacing w:after="0" w:line="282" w:lineRule="auto"/>
        <w:tabs>
          <w:tab w:leader="none" w:pos="16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stockholder becoming an interested stockholder;</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co-sponsors and their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our stockholders may be called only by a majority vote of our board of directors, by our chief executive officer or by our chairman.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 and director nominations</w:t>
      </w:r>
    </w:p>
    <w:p>
      <w:pPr>
        <w:spacing w:after="0" w:line="148" w:lineRule="exact"/>
        <w:rPr>
          <w:sz w:val="20"/>
          <w:szCs w:val="20"/>
          <w:color w:val="auto"/>
        </w:rPr>
      </w:pPr>
    </w:p>
    <w:p>
      <w:pPr>
        <w:jc w:val="both"/>
        <w:ind w:left="460" w:right="459" w:firstLine="432"/>
        <w:spacing w:after="0" w:line="247"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opening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for certain lawsuits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SECURITIES ELIGIBLE FOR FUTURE SALE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Immediately after this offering, we will have 18,750,000 shares of common stock issued and outstanding, or 21,562,500 shares of common stock if the over-allotment option is exercised in full. Of these shares, the 15,000,000 shares sold in this offering, or 17,250,000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 All of those shares will not be transferable except in limited circumstances described elsewhere in this prospectus.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Rule 144</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24" w:lineRule="exact"/>
        <w:rPr>
          <w:sz w:val="20"/>
          <w:szCs w:val="20"/>
          <w:color w:val="auto"/>
        </w:rPr>
      </w:pPr>
    </w:p>
    <w:p>
      <w:pPr>
        <w:jc w:val="both"/>
        <w:ind w:left="1320" w:right="459" w:hanging="434"/>
        <w:spacing w:after="0" w:line="266" w:lineRule="auto"/>
        <w:tabs>
          <w:tab w:leader="none" w:pos="13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issued and outstanding, which will equal 187,500 shares immediately after this offering (or 215,625 if the over-allotment option is exercised in full);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shares of common stock during the four calendar weeks preceding the filing of a notice on Form 144 with respect to the sale.</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Sales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Historically, the SEC staff had taken the position that Rule 144 is not available for the resale of securities initially issued by companies that are, or previously were, blank check companies, like us. The SEC has codified and expanded this position in the amendments discussed above by prohibiting the use of Rule 144 for resale of securities issued by any shell companies (other than business combination related shell companies) or any issuer that has been at any time previously a shell company. The SEC has provided an important exception to this prohibition, however, if the following conditions are met:</w:t>
      </w:r>
    </w:p>
    <w:p>
      <w:pPr>
        <w:spacing w:after="0" w:line="120" w:lineRule="exact"/>
        <w:rPr>
          <w:sz w:val="20"/>
          <w:szCs w:val="20"/>
          <w:color w:val="auto"/>
        </w:rPr>
      </w:pPr>
    </w:p>
    <w:p>
      <w:pPr>
        <w:ind w:left="1300" w:hanging="41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a result, it is likely that pursuant to Rule 144, our initial stockholders will be able to sell their insider shares freely without registration one year after we have completed our initial business combination assuming they are not an affiliate of ours at that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Stockholder 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holders of our insider shares issued and outstanding on the date of this prospectus, as well as the holders of the private warrants (and underlying securities), will be entitled to registration and stockholder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t>
      </w:r>
      <w:r>
        <w:rPr>
          <w:rFonts w:ascii="Times New Roman" w:cs="Times New Roman" w:eastAsia="Times New Roman" w:hAnsi="Times New Roman"/>
          <w:sz w:val="18"/>
          <w:szCs w:val="18"/>
          <w:i w:val="1"/>
          <w:iCs w:val="1"/>
          <w:color w:val="auto"/>
        </w:rPr>
        <w:t>We will bear the expenses incurred in connection with the filing of any such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offer our securities described in this prospectus through the underwriters named below. Chardan Capital Markets LLC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of Units</w:t>
            </w:r>
          </w:p>
        </w:tc>
      </w:tr>
      <w:tr>
        <w:trPr>
          <w:trHeight w:val="47"/>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copy of the underwriting agreement has been filed as an exhibit to the registration statement of which this prospectus forms a part.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units, shares of common stock and warrants will be quoted on Nasdaq under the symbols “[•],” “[•],” and “[•],” respectively. Our units will be listed on Nasdaq on or promptly after the effective date of the registration statement. Following the date that our shares of common stock and warrants are eligible to trade separately, we anticipate that our shares of common stock and warrants will be listed separately and as a unit on Nasdaq. We cannot guarantee that our securities will continue to be listed on Nasdaq after this offering.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buy up to 2,250,000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Units sold by the underwriters to the public will initially be offered at the offering price set forth on the cover of this prospectus.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underwriters have agreed to reimburse certain of our expenses. We have agreed to reimburse the underwriters for all expenses and fees related to the review by FINRA, which will not exceed $26,375.</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2,250,000 units.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Without</w:t>
            </w:r>
          </w:p>
        </w:tc>
        <w:tc>
          <w:tcPr>
            <w:tcW w:w="10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With</w:t>
            </w: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6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Over-allotment</w:t>
            </w:r>
          </w:p>
        </w:tc>
        <w:tc>
          <w:tcPr>
            <w:tcW w:w="10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Over-allotment</w:t>
            </w:r>
          </w:p>
        </w:tc>
      </w:tr>
      <w:tr>
        <w:trPr>
          <w:trHeight w:val="46"/>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172,500,000</w:t>
            </w:r>
          </w:p>
        </w:tc>
      </w:tr>
      <w:tr>
        <w:trPr>
          <w:trHeight w:val="28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Discount</w:t>
            </w:r>
            <w:r>
              <w:rPr>
                <w:rFonts w:ascii="Times New Roman" w:cs="Times New Roman" w:eastAsia="Times New Roman" w:hAnsi="Times New Roman"/>
                <w:sz w:val="20"/>
                <w:szCs w:val="20"/>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3,450,000</w:t>
            </w:r>
          </w:p>
        </w:tc>
      </w:tr>
      <w:tr>
        <w:trPr>
          <w:trHeight w:val="28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w:t>
            </w:r>
            <w:r>
              <w:rPr>
                <w:rFonts w:ascii="Times New Roman" w:cs="Times New Roman" w:eastAsia="Times New Roman" w:hAnsi="Times New Roman"/>
                <w:sz w:val="20"/>
                <w:szCs w:val="20"/>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169,050,000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7" w:lineRule="auto"/>
        <w:tabs>
          <w:tab w:leader="none" w:pos="99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amount includes $5,250,000, or $0.35 per unit (or $6,037,500 if the underwriters’ over-allotment option is exercised in full) payable to the underwriters for deferred underwriting commissions upon completion of a business combination.</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expenses are estimated at $500,000.</w:t>
      </w:r>
    </w:p>
    <w:p>
      <w:pPr>
        <w:sectPr>
          <w:pgSz w:w="11900" w:h="16838" w:orient="portrait"/>
          <w:cols w:equalWidth="0" w:num="1">
            <w:col w:w="9019"/>
          </w:cols>
          <w:pgMar w:left="1440" w:top="333"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b w:val="1"/>
          <w:bCs w:val="1"/>
          <w:color w:val="auto"/>
        </w:rPr>
        <w:t>Pricing of Securities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have been advised by the representative of the underwriters that the underwriters propose to offer the units to the public at the offering price set forth on the cover page of this prospectus.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12" w:lineRule="exact"/>
        <w:rPr>
          <w:sz w:val="20"/>
          <w:szCs w:val="20"/>
          <w:color w:val="auto"/>
        </w:rPr>
      </w:pPr>
    </w:p>
    <w:p>
      <w:pPr>
        <w:ind w:left="1320" w:right="479" w:hanging="434"/>
        <w:spacing w:after="0" w:line="282" w:lineRule="auto"/>
        <w:tabs>
          <w:tab w:leader="none" w:pos="158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of companies whose principal business is the acquisition of other companies;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offerings of those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acquiring an operating business at attractive values;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amount of net proceeds being placed into the trust account;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and their experience in identifying operating companies;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of the securities markets at the time of the offering;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Restrictions on Purchase of Securities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08" w:lineRule="exact"/>
        <w:rPr>
          <w:sz w:val="20"/>
          <w:szCs w:val="20"/>
          <w:color w:val="auto"/>
        </w:rPr>
      </w:pPr>
    </w:p>
    <w:p>
      <w:pPr>
        <w:jc w:val="both"/>
        <w:ind w:left="1320" w:right="459" w:hanging="434"/>
        <w:spacing w:after="0" w:line="266" w:lineRule="auto"/>
        <w:tabs>
          <w:tab w:leader="none" w:pos="152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Stabilizing Transactions</w:t>
      </w:r>
      <w:r>
        <w:rPr>
          <w:rFonts w:ascii="Times New Roman" w:cs="Times New Roman" w:eastAsia="Times New Roman" w:hAnsi="Times New Roman"/>
          <w:sz w:val="18"/>
          <w:szCs w:val="18"/>
          <w:color w:val="auto"/>
        </w:rPr>
        <w:t>. The underwriters may make bids or purchases for the purpose of preventing or retarding a decline in the price of our units, as long as stabilizing bids do not exceed the offering price of $10.00 and the underwriters comply with all other applicable rules.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47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Over-Allotments and Syndicate Coverage Transactions</w:t>
      </w:r>
      <w:r>
        <w:rPr>
          <w:rFonts w:ascii="Times New Roman" w:cs="Times New Roman" w:eastAsia="Times New Roman" w:hAnsi="Times New Roman"/>
          <w:sz w:val="18"/>
          <w:szCs w:val="18"/>
          <w:color w:val="auto"/>
        </w:rPr>
        <w:t>.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2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Penalty Bids</w:t>
      </w:r>
      <w:r>
        <w:rPr>
          <w:rFonts w:ascii="Times New Roman" w:cs="Times New Roman" w:eastAsia="Times New Roman" w:hAnsi="Times New Roman"/>
          <w:sz w:val="18"/>
          <w:szCs w:val="18"/>
          <w:color w:val="auto"/>
        </w:rPr>
        <w:t>. The representative may reclaim a selling concession from a syndicate member when the units originally sold by the syndicate member are purchased in a stabilizing or syndicate covering transaction to cover syndicate short positions.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4" w:name="page95"/>
    <w:bookmarkEnd w:id="94"/>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Chardan Investments, our co-sponsor, is an affiliate of Chardan Capital Markets LLC, the representative of the underwriters in this offering, and one of our directors is affiliated with Chardan Capital Markets LLC. As a result, Chardan Capital Markets LLC is deemed to have a “conflict of interest” within the meaning of Rule 5121.</w:t>
      </w:r>
    </w:p>
    <w:p>
      <w:pPr>
        <w:spacing w:after="0" w:line="11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FBR, Inc. has agreed to act as a “qualified independent underwriter” for this offering. B. Riley FBR, Inc. will receive $100,000 for acting as a qualified independent underwriter. We have agreed to indemnify B. Riley FBR,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Terms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of Purchasers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Canadian purchaser will be required to represent to us and the dealer from whom the purchase confirmation is received that:</w:t>
      </w:r>
    </w:p>
    <w:p>
      <w:pPr>
        <w:spacing w:after="0" w:line="81" w:lineRule="exact"/>
        <w:rPr>
          <w:sz w:val="20"/>
          <w:szCs w:val="20"/>
          <w:color w:val="auto"/>
        </w:rPr>
      </w:pPr>
    </w:p>
    <w:p>
      <w:pPr>
        <w:ind w:left="1320" w:right="459" w:hanging="434"/>
        <w:spacing w:after="0" w:line="282" w:lineRule="auto"/>
        <w:tabs>
          <w:tab w:leader="none" w:pos="152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our securities without the benefit of a prospectus qualified under those securities laws;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that the purchaser is purchasing as principal and not as agent;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Rights of Action — Ontario Purchasers Only</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Enforcement of Legal Rights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Collection of Personal Information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Loeb &amp; Loeb LLP, is acting as United States counsel in connection with the registration of our securities under the Securities Act and will pass on the validity of the securities offered in the prospectus. Greenberg Traurig, LLP, is acting as counsel for the underwriters in this offering.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financial statements of Ventoux CCM Acquisition Corp. as December 31, 2019, and for the period from July 10, 2019 (inception) through December 31, 2019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which contains the Form S-1 and other reports, proxy and information statements and information regarding issuers that file electronically with the SEC.</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7" w:name="page98"/>
    <w:bookmarkEnd w:id="97"/>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15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74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4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Report of Independent Registered Public Accounting Firm</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83"/>
        </w:trPr>
        <w:tc>
          <w:tcPr>
            <w:tcW w:w="7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Balance Sheets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40"/>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Statements of Operations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F-4</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Statements of Changes in Stockholder’s Equity</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r>
      <w:tr>
        <w:trPr>
          <w:trHeight w:val="41"/>
        </w:trPr>
        <w:tc>
          <w:tcPr>
            <w:tcW w:w="74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3"/>
        </w:trPr>
        <w:tc>
          <w:tcPr>
            <w:tcW w:w="744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Statements of Cash Flows</w:t>
              </w:r>
            </w:hyperlink>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F-6</w:t>
            </w:r>
          </w:p>
        </w:tc>
      </w:tr>
      <w:tr>
        <w:trPr>
          <w:trHeight w:val="243"/>
        </w:trPr>
        <w:tc>
          <w:tcPr>
            <w:tcW w:w="7440" w:type="dxa"/>
            <w:vAlign w:val="bottom"/>
          </w:tcPr>
          <w:p>
            <w:pPr>
              <w:spacing w:after="0"/>
              <w:rPr>
                <w:rFonts w:ascii="Times New Roman" w:cs="Times New Roman" w:eastAsia="Times New Roman" w:hAnsi="Times New Roman"/>
                <w:sz w:val="18"/>
                <w:szCs w:val="18"/>
                <w:u w:val="single" w:color="auto"/>
                <w:color w:val="0000EE"/>
              </w:rPr>
            </w:pPr>
            <w:hyperlink w:anchor="page104">
              <w:r>
                <w:rPr>
                  <w:rFonts w:ascii="Times New Roman" w:cs="Times New Roman" w:eastAsia="Times New Roman" w:hAnsi="Times New Roman"/>
                  <w:sz w:val="18"/>
                  <w:szCs w:val="18"/>
                  <w:u w:val="single" w:color="auto"/>
                  <w:color w:val="0000EE"/>
                </w:rPr>
                <w:t>Notes to Financial Statements</w:t>
              </w:r>
            </w:hyperlink>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r>
      <w:tr>
        <w:trPr>
          <w:trHeight w:val="432"/>
        </w:trPr>
        <w:tc>
          <w:tcPr>
            <w:tcW w:w="744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color w:val="auto"/>
              </w:rPr>
              <w:t>F-1</w:t>
            </w: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98" w:name="page99"/>
    <w:bookmarkEnd w:id="98"/>
    <w:p>
      <w:pPr>
        <w:ind w:left="460" w:right="1439" w:firstLine="969"/>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 and the Board of Directors of</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(the “Company”) as of December 31, 2019, the related statements of operations, changes in stockholder’s equity and cash flows for the period from July 10,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July 10, 2019 (inception) through December 31, 2019,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27,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 –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24,465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24,465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 shares authorized;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4,312,500 shares issued and outstanding</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23,465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23,550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24,465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(audited)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r>
              <w:rPr>
                <w:rFonts w:ascii="Times New Roman" w:cs="Times New Roman" w:eastAsia="Times New Roman" w:hAnsi="Times New Roman"/>
                <w:sz w:val="20"/>
                <w:szCs w:val="20"/>
                <w:color w:val="auto"/>
                <w:vertAlign w:val="superscript"/>
              </w:rPr>
              <w:t>(1)</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21"/>
        </w:trPr>
        <w:tc>
          <w:tcPr>
            <w:tcW w:w="560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an aggregate of up to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7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77"/>
        </w:trPr>
        <w:tc>
          <w:tcPr>
            <w:tcW w:w="324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6"/>
                <w:szCs w:val="6"/>
                <w:color w:val="auto"/>
              </w:rPr>
            </w:pPr>
          </w:p>
        </w:tc>
        <w:tc>
          <w:tcPr>
            <w:tcW w:w="10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6"/>
                <w:szCs w:val="6"/>
                <w:color w:val="auto"/>
              </w:rPr>
            </w:pPr>
          </w:p>
        </w:tc>
        <w:tc>
          <w:tcPr>
            <w:tcW w:w="10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46"/>
        </w:trPr>
        <w:tc>
          <w:tcPr>
            <w:tcW w:w="32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6"/>
        </w:trPr>
        <w:tc>
          <w:tcPr>
            <w:tcW w:w="3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July 10, 2019 (inception)</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3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to Initial</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0"/>
                <w:szCs w:val="20"/>
                <w:color w:val="auto"/>
                <w:vertAlign w:val="superscript"/>
              </w:rPr>
              <w:t>(1)</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4,312,500</w:t>
            </w:r>
          </w:p>
        </w:tc>
        <w:tc>
          <w:tcPr>
            <w:tcW w:w="10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24,569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 (audited)</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2020 (unaudited)</w:t>
            </w: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40" w:type="dxa"/>
            <w:vAlign w:val="bottom"/>
            <w:vMerge w:val="continue"/>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4,312,500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24,569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c>
          <w:tcPr>
            <w:tcW w:w="12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23,465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972"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562,500 shares subject to forfeiture if the over-allotment option is not exercised in full or in part by the underwriters (see Note 5). See Note 5 for subsequent share transfers and cancellations, which have been retroactively reflected in these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July 10,</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40" w:type="dxa"/>
            <w:vAlign w:val="bottom"/>
          </w:tcPr>
          <w:p>
            <w:pPr>
              <w:spacing w:after="0"/>
              <w:rPr>
                <w:sz w:val="22"/>
                <w:szCs w:val="22"/>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5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24,465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3" w:name="page104"/>
    <w:bookmarkEnd w:id="103"/>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2020 (unaudited) and December 31, 2019, the Company had not commenced any operations. All activity through June 30, 2020 relates to the Company’s formation and the proposed initial public offering (“Proposed Public Offering”), which is described below. The Company will not generate any operating revenues until after the completion of a Business Combination, at the earliest. The Company will generate non-operating income in the form of interest income from the proceeds derived from the Proposed Public Offering. The Company has selected December 31 as its fiscal year end.</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ability to commence operations is contingent upon obtaining adequate financial resources through a Proposed Public Offering of 15,000,000 units at $10.00 per unit (or 17,250,000 units if the underwriters’ over-allotment option is exercised in full) (the “Units”), which is discussed in Note 3, and the sale of 4,500,000 warrants (or 4,950,000 warrants if the underwriters’ over-allotment option is exercised in full) (the “Private Warrants”), at a price of $1.00 per warrant, in a private placement to Ventoux Acquisition Holdings LLC (“Ventoux Acquisition”), the co-sponsor and an affiliate of certain of the Company’s directors, and Chardan International Investments, LLC (“Chardan Investments”), the co-sponsor and an affiliate of certain of the Company’s directors of Chardan Capital Markets LLC, that will close simultaneously with the Proposed Public Offering.</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(as defined below) (less any deferred underwriting commissions and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There is no assurance that the Company will be able to successfully effect a Business Combination. Upon the closing of the Proposed Public Offering, management has agreed that $10.00 per Unit sold in the Proposed Public Offering and the proceeds from the sale of the Private Warrants will be held in a trust account (“Trust Account”) and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will provide its stockholders with the opportunity to redeem all or a portion of their shares included in the Units sold in the Proposed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(initially approximately $10.00 per share, plus any pro rata interest earned on the funds held in the Trust Account and not previously released to the Company to pay its tax obligations). The per-share amount to be distributed to stockholders who redeem their shares will not be reduced by the deferred underwriting commission the Company will pay to the underwriters (as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4" w:name="page105"/>
    <w:bookmarkEnd w:id="104"/>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discussed in Note 6). There will be no redemption rights upon the completion of a Business Combination with respect to the Company’s warrants. The common stock subject to redemption will be recorded at a redemption value and classified as temporary equity upon the completion of the Proposed Public Offering, in accordance with Accounting Standards Codification (“ASC”) Topic 480 “Distinguishing Liabilities from Equity.”</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Company has agreed not to enter into a definitive agreement regarding an initial Business Combination without the prior consent of the Sponsor. Further, 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Proposed Public Offering (collectively, the “Initial Stockholders”) have agreed to</w:t>
      </w:r>
    </w:p>
    <w:p>
      <w:pPr>
        <w:spacing w:after="0" w:line="12" w:lineRule="exact"/>
        <w:rPr>
          <w:sz w:val="20"/>
          <w:szCs w:val="20"/>
          <w:color w:val="auto"/>
        </w:rPr>
      </w:pPr>
    </w:p>
    <w:p>
      <w:pPr>
        <w:jc w:val="both"/>
        <w:ind w:left="460" w:right="459" w:hanging="6"/>
        <w:spacing w:after="0" w:line="253" w:lineRule="auto"/>
        <w:tabs>
          <w:tab w:leader="none" w:pos="7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their Founder Shares (as defined in Note 5)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1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will have until 24 months from the closing of the Proposed Public Offering to consummate a Business Combination (the “Combination Period”). 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Therefore, the actual per-share redemption amount could be less than $10.00.</w:t>
      </w:r>
    </w:p>
    <w:p>
      <w:pPr>
        <w:spacing w:after="0" w:line="12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5" w:name="page106"/>
    <w:bookmarkEnd w:id="105"/>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and Business Operations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order to protect the amounts held in the Trust Account, certain affiliates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$10.00 per share, except as to any claims by a third party who executed a waiver of any right, title, interest or claim of any kind in or to any monies held in the Trust Account or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 Company has access to funds from the Sponsors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accompanying unaudited financial statements as of and for the six months ended June 30, 2020 have been prepared in accordance with GAAP for interim financial information and Article 8 of Regulation S-X. In the opinion of management of the Company, all adjustment (consisting of normal accruals) considered for a fair presentation have been included. Operating results for the six months ended June 30, 2020 are not necessarily indicative of the results that may be expected for the year ending December 31, 2020.</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6" w:name="page107"/>
    <w:bookmarkEnd w:id="106"/>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June 30, 2020 and December 31, 2019.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2020 and December 31, 2019. The Company is currently not aware of any issues under review that could result in significant payments, accruals or material deviation from its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7" w:name="page108"/>
    <w:bookmarkEnd w:id="107"/>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deemed to be de minimis for the six months ended June 30, 2020 and for the period from July 10, 2019 (inception) through December 31,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Common Share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Net loss per share is computed by dividing net loss by the weighted average number of shares of common stock outstanding during the period, excluding shares of common stock subject to forfeiture. Weighted average shares were reduced for the effect of an aggregate of 562,500 shares of common stock that are subject to forfeiture if the over-allotment option is not exercised by the underwriters (see Note 5). At June 30, 2020 and December 31, 2019, the Company did not have any dilutive securities or other contracts that could, potentially, be exercised or converted into shares of common stock and then share in the earnings of the Company. As a result, diluted loss per share is the same as basic loss per share for the periods presented.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June 30, 2020 and December 31, 2019, the Company has not experienced losses on this account and management believes the Company is not exposed to significant risks on such account.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820, “Fair Value Measurement,” approximates the carrying amounts represented in the accompanying balance sheets, primarily due to their short-term nature.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Public Offering</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Proposed Public Offering, the Company will offer for sale 15,000,000 Units (or 17,250,000 Units if the underwriters’ over-allotment option is exercised in full), at a purchase price of $10.00 per Unit. Each Unit will consist of one share of common stock and one warrant (“Public Warrant”). Each Public Warrant entitles the holder to purchase one-half of one share of common stock at an exercise price of $11.50 per share (see Note 7).</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Proposed Public Offering, Ventoux Acquisition and Chardan Investments have to committed to an investment in the Private Warrants. Ventoux Acquisition has committed to purchase an aggregate of 3,000,000 Private Warrants (or 3,300,000 Private Warrants if the over-allotment option is exercised in full), and Chardan Investments has committed to purchase an aggregate of 1,500,000 Private Warrants (or 1,650,000 Private Warrants if the over-allotment option is exercised in full), at $1.00 per Private Warrant resulting in s combined aggregate purchase price of $4,500,000 (or $4,950,000 is the over-allotment option is exercised in full), in a private placement that will occur simultaneously with the consummation of the Proposed Public Offering. Each Private Warrant is exercisable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8" w:name="page109"/>
    <w:bookmarkEnd w:id="108"/>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Private Placement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As of the date hereof, Ventoux Acquisition holds 2,818,875 Founder Shares, of which 45,000 shares Ventoux Acquisition intends to distribute to certain of the Company’s officers and directors prior to the consummation of the Proposed Public Offering, resulting in Ventoux Acquisition holding a balance of 2,773,875 Founder Shares (see Note 8). All share and per-share amounts have been retroactively restated to reflect the share cancellations.</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4,312,500 Founder Shares include an aggregate of up to 562,500 shares subject to forfeiture by the Initial Stockholders to the extent that the underwriters’ over-allotment is not exercised in full or in part, so that the Initial Stockholders will collectively own approximately 20% of the Company’s issued and outstanding shares after the Proposed Public Offering (assuming the Initial Stockholders does not purchase any Public Shares in the Proposed Public Offering). All share and per-share amounts have been retroactively restated.</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Subsequent to June 30, 2020, on August 20, 2020, the Company issued an unsecured promissory note to the Ventoux Acquisition (the “Promissory Note”), pursuant to which the Company may borrow up to an aggregate principal amount of $250,000. The Promissory Note is non-interest bearing and payable promptly after (i) the date on which the consummation of the Proposed Public Offering or (ii) the date on which it is determined not to consummate the Proposed Public offering (see Note 8).</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intends to enter into an agreement, commencing on the effective date of the Proposed Public Offering through the earlier of the Company’s consummation of a Business Combination or its liquidation, to pay Chardan Capital Markets LLC a total of $10,000 per month for office space, utilities and secretarial support.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9" w:name="page110"/>
    <w:bookmarkEnd w:id="109"/>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5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$0.50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Commitments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r>
        <w:rPr>
          <w:rFonts w:ascii="Times New Roman" w:cs="Times New Roman" w:eastAsia="Times New Roman" w:hAnsi="Times New Roman"/>
          <w:sz w:val="18"/>
          <w:szCs w:val="18"/>
          <w:b w:val="1"/>
          <w:bCs w:val="1"/>
          <w:color w:val="auto"/>
        </w:rPr>
        <w:t>_</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and Stockholder Rights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and the Private Warrants and securities that may be issued upon conversion of Working Capital Loans will be entitled to registration and stockholder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Proposed Public Offering to purchase up to 2,250,000 additional Units to cover over-allotments, if any, at the Proposed Public Offering price less the underwriting discounts and commissions.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underwriters will be entitled to a cash underwriting discount of $0.20 per Unit, or $3,000,000 in the aggregate (or $3,450,000 if the over-allotment option is exercised in full), payable upon the closing of the Proposed Public Offering. In addition, the underwriters will be entitled to a deferred fee of $0.35 per Unit, or $5,250,000 (or $6,037,500 if the over-allotment option in exercised in full). The deferred fee will become payable to the underwriters from the amounts held in the Trust Account solely in the event that the Company completes a Business Combination, subject to the terms of the underwriting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0" w:name="page111"/>
    <w:bookmarkEnd w:id="110"/>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plans on filing an Amended and Restated Certificate of Incorporation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closing date of the Proposed Public Offering such that the Company will be authorized to issue preferred stock. As of June 30, 2020, and December 31, 2019, the Company has no authorized shares of preferred stock.</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 shares of common stock with a par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$0.0001 per share. The Company plans on filing an Amended and Restated Certificate of Incorporation prior to the closing date of the Proposed Public Offering such that the Company will increase the number of shares of common stock authorized to be issued. Holders of the Company’s common stock are entitled to one vote for each share. At June 30, 2020 and December 31, 2019, there were 4,312,500 shares of common stock issued and outstanding, of which 562,500 shares are subject to forfeiture to the extent that the underwriters’ over-allotment option is not exercised in full so that the Initial Stockholders will own 20% of the issued and outstanding shares after the Proposed Public Offering (assuming the Initial Stockholders do not purchase any Public Shares in the Proposed Public Offering).</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—The Public Warrants will become exercisable at any time commencing on the later of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after the closing of the proposed Public Offering 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may redeem the Public Warrants:</w:t>
      </w:r>
    </w:p>
    <w:p>
      <w:pPr>
        <w:spacing w:after="0" w:line="144" w:lineRule="exact"/>
        <w:rPr>
          <w:sz w:val="20"/>
          <w:szCs w:val="20"/>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1" w:name="page112"/>
    <w:bookmarkEnd w:id="111"/>
    <w:p>
      <w:pPr>
        <w:ind w:left="288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Private Warrants will be identical to the Public Warrants underlying the Units being sold in the Proposed Public Offering except that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August 27, 2020, the date that the financial statements were available to be issued. Other than as described below, the Company did not identify any subsequent events that would have required adjustment or disclosure in the financial statements.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As of the date hereof, Ventoux Acquisition holds 2,818,875 Founder Shares, of which 45,000 shares Ventoux Acquisition intends to distribute to certain of the Company’s officers and directors prior to the consummation of the Proposed Public Offering, resulting in Ventoux Acquisition holding a balance of 2,773,875 Founder Shares. All share and per-share amounts have been retroactively restated to reflect the share cancellations.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20, 2020, the Company issued a $250,000 unsecured promissory note to the Ventoux Acquisition. The Promissory Note is non-interest bearing and payable promptly after (i) the date on which the consummation of the Proposed Public Offering or (2) the date on which it is determined not to consummate the Proposed Public Offering. To date, the Company has drawn $150,000 under the Promissory Note.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2" w:name="page113"/>
    <w:bookmarkEnd w:id="112"/>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131445</wp:posOffset>
            </wp:positionV>
            <wp:extent cx="514350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$150,000,000</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Ventoux CCM Acquisition Corp.</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14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Chardan</w:t>
      </w: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1091565</wp:posOffset>
            </wp:positionV>
            <wp:extent cx="514350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1134110</wp:posOffset>
            </wp:positionV>
            <wp:extent cx="514350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1417320</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estimated expenses payable by us in connection with the offering described in this registration statement (other than the underwriting discount and commissions) will be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Trustee fee</w:t>
            </w: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22,391</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26,375</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listing fees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filing expenses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0"/>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74,734</w:t>
            </w: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 or the DGCL.</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concerning indemnification of officers, directors, employees and agents is set forth below.</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58" w:lineRule="exact"/>
        <w:rPr>
          <w:sz w:val="20"/>
          <w:szCs w:val="20"/>
          <w:color w:val="auto"/>
        </w:rPr>
      </w:pPr>
    </w:p>
    <w:p>
      <w:pPr>
        <w:jc w:val="both"/>
        <w:ind w:left="1320" w:right="459" w:hanging="434"/>
        <w:spacing w:after="0" w:line="252" w:lineRule="auto"/>
        <w:tabs>
          <w:tab w:leader="none" w:pos="13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4" w:name="page115"/>
    <w:bookmarkEnd w:id="114"/>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but in view of all the circumstances of the case, such person is fairly and reasonably entitled to indemnity for such expenses which the Court of Chancery or such other court shall deem proper.</w:t>
      </w:r>
    </w:p>
    <w:p>
      <w:pPr>
        <w:spacing w:after="0" w:line="81" w:lineRule="exact"/>
        <w:rPr>
          <w:sz w:val="20"/>
          <w:szCs w:val="20"/>
          <w:color w:val="auto"/>
        </w:rPr>
      </w:pPr>
    </w:p>
    <w:p>
      <w:pPr>
        <w:jc w:val="both"/>
        <w:ind w:left="1320" w:right="459" w:hanging="434"/>
        <w:spacing w:after="0" w:line="258" w:lineRule="auto"/>
        <w:tabs>
          <w:tab w:leader="none" w:pos="133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w:t>
      </w:r>
    </w:p>
    <w:p>
      <w:pPr>
        <w:spacing w:after="0" w:line="1" w:lineRule="exact"/>
        <w:rPr>
          <w:rFonts w:ascii="Times New Roman" w:cs="Times New Roman" w:eastAsia="Times New Roman" w:hAnsi="Times New Roman"/>
          <w:sz w:val="18"/>
          <w:szCs w:val="18"/>
          <w:color w:val="auto"/>
        </w:rPr>
      </w:pPr>
    </w:p>
    <w:p>
      <w:pPr>
        <w:jc w:val="both"/>
        <w:ind w:left="132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1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06" w:lineRule="exact"/>
        <w:rPr>
          <w:sz w:val="20"/>
          <w:szCs w:val="20"/>
          <w:color w:val="auto"/>
        </w:rPr>
      </w:pPr>
    </w:p>
    <w:p>
      <w:pPr>
        <w:jc w:val="both"/>
        <w:ind w:left="1320" w:right="479" w:hanging="434"/>
        <w:spacing w:after="0" w:line="261" w:lineRule="auto"/>
        <w:tabs>
          <w:tab w:leader="none" w:pos="131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accordance with Section 102(b)(7) of the DGCL, our certificate of incorporation provides that our directors will not be personally liable for monetary damages resulting from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jc w:val="both"/>
        <w:ind w:left="1320" w:right="459" w:hanging="434"/>
        <w:spacing w:after="0" w:line="252" w:lineRule="auto"/>
        <w:tabs>
          <w:tab w:leader="none" w:pos="14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2019, Chardan International Investments, LLC purchased 5,000,000 shares of common stock from us for $25,000. On July 23, 2020, Chardan International Investments, LLC sold 3,250,000 shares of common stock back to us for $16,250. On August 25, 2020, Chardan International Investments, LLC transferred 256,375 shares of common stock back to us for nominal consideration, which shares were cancelled, resulting in Chardan International Investments, LLC holding a balance of 1,493,625 shares of common stock. On July 23, 2020, Ventoux Acquisition Holdings LLC purchased 3,250,000 shares of common stock from us for $16,250. On August 25, 2020, Ventoux Acquisition Holdings LLC transferred 431,125 shares of common stock back to us for nominal considerations, which shares were cancelled. As of the date hereof, Ventoux Acquisition Holdings LLC holds 2,818,875 shares of common stock of which 45,000 shares Ventoux Acquisition Holdings LLC intends to distribute to certain of our officers and directors prior to the consummation of the offering, resulting in Ventoux Acquisition Holdings LLC holding a balance of 2,773,875 shares. We refer to these shares held by our co-sponsors, officers and directors as “founder” shares or “insider shares. The founder shares include an aggregate of up to 562,500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jc w:val="both"/>
        <w:ind w:left="1320" w:right="459" w:hanging="434"/>
        <w:spacing w:after="0" w:line="253" w:lineRule="auto"/>
        <w:tabs>
          <w:tab w:leader="none" w:pos="13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Acquisition Holdings LLC has committed to purchase from us an aggregate of 3,000,000 warrants (or 3,300,000 warrants if the over-allotment option is exercised in full), and Chardan International Investments, LLC has committed to purchase from us an aggregate of 1,500,000 warrants (or 1,650,000 warrants if the over-allotment option is exercised in full), or “private warrants,” at $1.00 per private warrant for a total purchase price of $4,500,000 (or $4,950,000 if the over-allotment option is exercised in full). Each private warrant is exercisable for one (1)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62" w:lineRule="exact"/>
        <w:rPr>
          <w:sz w:val="20"/>
          <w:szCs w:val="20"/>
          <w:color w:val="auto"/>
        </w:rPr>
      </w:pPr>
    </w:p>
    <w:p>
      <w:pPr>
        <w:ind w:left="1300" w:hanging="41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8" w:lineRule="exact"/>
        <w:rPr>
          <w:sz w:val="20"/>
          <w:szCs w:val="20"/>
          <w:color w:val="auto"/>
        </w:rPr>
      </w:pPr>
    </w:p>
    <w:p>
      <w:pPr>
        <w:ind w:left="460"/>
        <w:spacing w:after="0"/>
        <w:tabs>
          <w:tab w:leader="none" w:pos="4420" w:val="left"/>
        </w:tabs>
        <w:rPr>
          <w:sz w:val="20"/>
          <w:szCs w:val="20"/>
          <w:color w:val="auto"/>
        </w:rPr>
      </w:pPr>
      <w:r>
        <w:rPr>
          <w:rFonts w:ascii="Times New Roman" w:cs="Times New Roman" w:eastAsia="Times New Roman" w:hAnsi="Times New Roman"/>
          <w:sz w:val="16"/>
          <w:szCs w:val="16"/>
          <w:b w:val="1"/>
          <w:bCs w:val="1"/>
          <w:color w:val="auto"/>
        </w:rPr>
        <w:t>No.</w:t>
      </w:r>
      <w:r>
        <w:rPr>
          <w:sz w:val="20"/>
          <w:szCs w:val="20"/>
          <w:color w:val="auto"/>
        </w:rPr>
        <w:tab/>
      </w:r>
      <w:r>
        <w:rPr>
          <w:rFonts w:ascii="Times New Roman" w:cs="Times New Roman" w:eastAsia="Times New Roman" w:hAnsi="Times New Roman"/>
          <w:sz w:val="16"/>
          <w:szCs w:val="16"/>
          <w:b w:val="1"/>
          <w:bCs w:val="1"/>
          <w:color w:val="auto"/>
        </w:rPr>
        <w:t>Description</w:t>
      </w:r>
    </w:p>
    <w:p>
      <w:pPr>
        <w:sectPr>
          <w:pgSz w:w="11900" w:h="16838" w:orient="portrait"/>
          <w:cols w:equalWidth="0" w:num="1">
            <w:col w:w="9019"/>
          </w:cols>
          <w:pgMar w:left="1440" w:top="270" w:right="1440" w:bottom="1440" w:gutter="0" w:footer="0" w:header="0"/>
        </w:sectPr>
      </w:pP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3.5*</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10.1*</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10.2*</w:t>
      </w: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-136525</wp:posOffset>
            </wp:positionV>
            <wp:extent cx="514350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797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Specimen Unit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Specimen Common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43180</wp:posOffset>
            </wp:positionV>
            <wp:extent cx="5143500" cy="1803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Specimen Warrant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Warrant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50165</wp:posOffset>
            </wp:positionV>
            <wp:extent cx="514350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Opinion of Loeb &amp; Loeb LLP.</w:t>
      </w:r>
    </w:p>
    <w:p>
      <w:pPr>
        <w:spacing w:after="0" w:line="50" w:lineRule="exact"/>
        <w:rPr>
          <w:sz w:val="20"/>
          <w:szCs w:val="20"/>
          <w:color w:val="auto"/>
        </w:rPr>
      </w:pPr>
    </w:p>
    <w:p>
      <w:pPr>
        <w:ind w:right="459"/>
        <w:spacing w:after="0" w:line="273" w:lineRule="auto"/>
        <w:rPr>
          <w:sz w:val="20"/>
          <w:szCs w:val="20"/>
          <w:color w:val="auto"/>
        </w:rPr>
      </w:pPr>
      <w:r>
        <w:rPr>
          <w:rFonts w:ascii="Times New Roman" w:cs="Times New Roman" w:eastAsia="Times New Roman" w:hAnsi="Times New Roman"/>
          <w:sz w:val="18"/>
          <w:szCs w:val="18"/>
          <w:color w:val="auto"/>
        </w:rPr>
        <w:t>Form of Letter Agreement among the Registrant, Chardan Capital Markets LLC and the Company’s officers, directors and stockholders.</w:t>
      </w:r>
    </w:p>
    <w:p>
      <w:pPr>
        <w:spacing w:after="0" w:line="2" w:lineRule="exact"/>
        <w:rPr>
          <w:sz w:val="20"/>
          <w:szCs w:val="20"/>
          <w:color w:val="auto"/>
        </w:rPr>
      </w:pPr>
    </w:p>
    <w:p>
      <w:pPr>
        <w:ind w:right="459"/>
        <w:spacing w:after="0" w:line="273" w:lineRule="auto"/>
        <w:rPr>
          <w:sz w:val="20"/>
          <w:szCs w:val="20"/>
          <w:color w:val="auto"/>
        </w:rPr>
      </w:pPr>
      <w:r>
        <w:rPr>
          <w:rFonts w:ascii="Times New Roman" w:cs="Times New Roman" w:eastAsia="Times New Roman" w:hAnsi="Times New Roman"/>
          <w:sz w:val="18"/>
          <w:szCs w:val="18"/>
          <w:color w:val="auto"/>
        </w:rPr>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-287020</wp:posOffset>
            </wp:positionV>
            <wp:extent cx="5143500" cy="300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right="479"/>
        <w:spacing w:after="0" w:line="282" w:lineRule="auto"/>
        <w:rPr>
          <w:sz w:val="20"/>
          <w:szCs w:val="20"/>
          <w:color w:val="auto"/>
        </w:rPr>
      </w:pPr>
      <w:r>
        <w:rPr>
          <w:rFonts w:ascii="Times New Roman" w:cs="Times New Roman" w:eastAsia="Times New Roman" w:hAnsi="Times New Roman"/>
          <w:sz w:val="18"/>
          <w:szCs w:val="18"/>
          <w:color w:val="auto"/>
        </w:rPr>
        <w:t>Form of Escrow Agreement between the Registrant, Continental Stock Transfer &amp; Trust Company and the Initial Stockholders.</w:t>
      </w:r>
    </w:p>
    <w:p>
      <w:pPr>
        <w:spacing w:after="0" w:line="1" w:lineRule="exact"/>
        <w:rPr>
          <w:sz w:val="20"/>
          <w:szCs w:val="20"/>
          <w:color w:val="auto"/>
        </w:rPr>
      </w:pPr>
    </w:p>
    <w:p>
      <w:pPr>
        <w:sectPr>
          <w:pgSz w:w="11900" w:h="16838" w:orient="portrait"/>
          <w:cols w:equalWidth="0" w:num="2">
            <w:col w:w="860" w:space="260"/>
            <w:col w:w="789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2"/>
        </w:trPr>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75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Form of Registration Rights Agreement among the Registrant, the Initial Stockholders and Continental</w:t>
            </w:r>
          </w:p>
        </w:tc>
      </w:tr>
      <w:tr>
        <w:trPr>
          <w:trHeight w:val="255"/>
        </w:trPr>
        <w:tc>
          <w:tcPr>
            <w:tcW w:w="520" w:type="dxa"/>
            <w:vAlign w:val="bottom"/>
            <w:tcBorders>
              <w:bottom w:val="single" w:sz="8" w:color="CCEEFF"/>
            </w:tcBorders>
            <w:shd w:val="clear" w:color="auto" w:fill="CCEEFF"/>
          </w:tcPr>
          <w:p>
            <w:pPr>
              <w:spacing w:after="0"/>
              <w:rPr>
                <w:sz w:val="22"/>
                <w:szCs w:val="22"/>
                <w:color w:val="auto"/>
              </w:rPr>
            </w:pPr>
          </w:p>
        </w:tc>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Transfer &amp; Trust Company.</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10.5*</w:t>
            </w:r>
          </w:p>
        </w:tc>
        <w:tc>
          <w:tcPr>
            <w:tcW w:w="75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Form of Subscription Agreement among the Registrant, the Initial Stockholders and Chardan Capital</w:t>
            </w:r>
          </w:p>
        </w:tc>
      </w:tr>
      <w:tr>
        <w:trPr>
          <w:trHeight w:val="234"/>
        </w:trPr>
        <w:tc>
          <w:tcPr>
            <w:tcW w:w="520" w:type="dxa"/>
            <w:vAlign w:val="bottom"/>
          </w:tcPr>
          <w:p>
            <w:pPr>
              <w:spacing w:after="0"/>
              <w:rPr>
                <w:sz w:val="20"/>
                <w:szCs w:val="20"/>
                <w:color w:val="auto"/>
              </w:rPr>
            </w:pP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Markets LLC.</w:t>
            </w:r>
          </w:p>
        </w:tc>
      </w:tr>
      <w:tr>
        <w:trPr>
          <w:trHeight w:val="40"/>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3"/>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Code of Ethics.</w:t>
            </w:r>
          </w:p>
        </w:tc>
      </w:tr>
      <w:tr>
        <w:trPr>
          <w:trHeight w:val="40"/>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3"/>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Consent of WithumSmith+Brown, P.C.</w:t>
            </w: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of Loeb &amp; Loeb LLP (included in Exhibit 5.1).</w:t>
            </w:r>
          </w:p>
        </w:tc>
      </w:tr>
      <w:tr>
        <w:trPr>
          <w:trHeight w:val="40"/>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4"/>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24.1</w:t>
            </w:r>
          </w:p>
        </w:tc>
        <w:tc>
          <w:tcPr>
            <w:tcW w:w="7580" w:type="dxa"/>
            <w:vAlign w:val="bottom"/>
            <w:tcBorders>
              <w:bottom w:val="single" w:sz="8" w:color="CCEEFF"/>
            </w:tcBorders>
            <w:shd w:val="clear" w:color="auto" w:fill="CCEEFF"/>
          </w:tcPr>
          <w:p>
            <w:pPr>
              <w:ind w:left="140"/>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Power of Attorney (included on the signature page of the original filing hereof).</w:t>
              </w:r>
            </w:hyperlink>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Nominating Committee Charter..</w:t>
            </w:r>
          </w:p>
        </w:tc>
      </w:tr>
      <w:tr>
        <w:trPr>
          <w:trHeight w:val="40"/>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3"/>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99.2*</w:t>
            </w:r>
          </w:p>
        </w:tc>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of Audit Committee Charter.</w:t>
            </w: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Compensation Committee Charter.</w:t>
            </w:r>
          </w:p>
        </w:tc>
      </w:tr>
      <w:tr>
        <w:trPr>
          <w:trHeight w:val="41"/>
        </w:trPr>
        <w:tc>
          <w:tcPr>
            <w:tcW w:w="520" w:type="dxa"/>
            <w:vAlign w:val="bottom"/>
          </w:tcPr>
          <w:p>
            <w:pPr>
              <w:spacing w:after="0"/>
              <w:rPr>
                <w:sz w:val="3"/>
                <w:szCs w:val="3"/>
                <w:color w:val="auto"/>
              </w:rPr>
            </w:pPr>
          </w:p>
        </w:tc>
        <w:tc>
          <w:tcPr>
            <w:tcW w:w="7580" w:type="dxa"/>
            <w:vAlign w:val="bottom"/>
          </w:tcPr>
          <w:p>
            <w:pPr>
              <w:spacing w:after="0"/>
              <w:rPr>
                <w:sz w:val="3"/>
                <w:szCs w:val="3"/>
                <w:color w:val="auto"/>
              </w:rPr>
            </w:pPr>
          </w:p>
        </w:tc>
      </w:tr>
      <w:tr>
        <w:trPr>
          <w:trHeight w:val="263"/>
        </w:trPr>
        <w:tc>
          <w:tcPr>
            <w:tcW w:w="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99.4*</w:t>
            </w:r>
          </w:p>
        </w:tc>
        <w:tc>
          <w:tcPr>
            <w:tcW w:w="7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Consent of Alex Weil.</w:t>
            </w: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of Julie Atkinson.</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62" w:lineRule="exact"/>
        <w:rPr>
          <w:sz w:val="20"/>
          <w:szCs w:val="20"/>
          <w:color w:val="auto"/>
        </w:rPr>
      </w:pPr>
    </w:p>
    <w:p>
      <w:pPr>
        <w:jc w:val="both"/>
        <w:ind w:left="1320" w:right="479" w:hanging="434"/>
        <w:spacing w:after="0" w:line="266" w:lineRule="auto"/>
        <w:tabs>
          <w:tab w:leader="none" w:pos="13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8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57"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5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3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09"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an undersigned registrant;</w:t>
      </w:r>
    </w:p>
    <w:p>
      <w:pPr>
        <w:spacing w:after="0" w:line="80"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241"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79" w:hanging="430"/>
        <w:spacing w:after="0" w:line="282" w:lineRule="auto"/>
        <w:tabs>
          <w:tab w:leader="none" w:pos="2229"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9" w:name="page120"/>
    <w:bookmarkEnd w:id="119"/>
    <w:p>
      <w:pPr>
        <w:ind w:left="1280" w:hanging="394"/>
        <w:spacing w:after="0"/>
        <w:tabs>
          <w:tab w:leader="none" w:pos="1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8" w:lineRule="auto"/>
        <w:tabs>
          <w:tab w:leader="none" w:pos="178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8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New York, on the [__] day of _________, 2020.</w:t>
      </w:r>
    </w:p>
    <w:p>
      <w:pPr>
        <w:spacing w:after="0" w:line="15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0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22720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57"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Edward Scheetz</w:t>
      </w:r>
    </w:p>
    <w:p>
      <w:pPr>
        <w:spacing w:after="0" w:line="77"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[__] and [__]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4240" w:type="dxa"/>
            <w:vAlign w:val="bottom"/>
            <w:gridSpan w:val="2"/>
          </w:tcPr>
          <w:p>
            <w:pPr>
              <w:ind w:left="180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120" w:type="dxa"/>
            <w:vAlign w:val="bottom"/>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Chief Executive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4340" w:type="dxa"/>
            <w:vAlign w:val="bottom"/>
            <w:gridSpan w:val="3"/>
            <w:vMerge w:val="continue"/>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120" w:type="dxa"/>
            <w:vAlign w:val="bottom"/>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43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 Secretary</w:t>
            </w: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1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Matthew MacDonald</w:t>
            </w:r>
          </w:p>
        </w:tc>
        <w:tc>
          <w:tcPr>
            <w:tcW w:w="4340" w:type="dxa"/>
            <w:vAlign w:val="bottom"/>
            <w:gridSpan w:val="3"/>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Director</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Head of Operations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Brock Strasbourger</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120" w:type="dxa"/>
            <w:vAlign w:val="bottom"/>
          </w:tcPr>
          <w:p>
            <w:pPr>
              <w:spacing w:after="0"/>
              <w:rPr>
                <w:sz w:val="24"/>
                <w:szCs w:val="24"/>
                <w:color w:val="auto"/>
              </w:rPr>
            </w:pPr>
          </w:p>
        </w:tc>
        <w:tc>
          <w:tcPr>
            <w:tcW w:w="43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_________, 2020</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Jonas Grossman</w:t>
            </w:r>
          </w:p>
        </w:tc>
        <w:tc>
          <w:tcPr>
            <w:tcW w:w="1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II-8</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upperLetter"/>
      <w:start w:val="1"/>
    </w:lvl>
  </w:abstractNum>
  <w:abstractNum w:abstractNumId="7">
    <w:nsid w:val="6A2342EC"/>
    <w:multiLevelType w:val="hybridMultilevel"/>
    <w:lvl w:ilvl="0">
      <w:lvlJc w:val="left"/>
      <w:lvlText w:val="(%1)"/>
      <w:numFmt w:val="upperLetter"/>
      <w:start w:val="4"/>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upperLetter"/>
      <w:start w:val="2"/>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
    </w:lvl>
  </w:abstractNum>
  <w:abstractNum w:abstractNumId="21">
    <w:nsid w:val="579478FE"/>
    <w:multiLevelType w:val="hybridMultilevel"/>
    <w:lvl w:ilvl="0">
      <w:lvlJc w:val="left"/>
      <w:lvlText w:val="(%1)"/>
      <w:numFmt w:val="decimal"/>
      <w:start w:val="4"/>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1)"/>
      <w:numFmt w:val="lowerRoman"/>
      <w:start w:val="2"/>
    </w:lvl>
  </w:abstractNum>
  <w:abstractNum w:abstractNumId="30">
    <w:nsid w:val="374A3FE6"/>
    <w:multiLevelType w:val="hybridMultilevel"/>
    <w:lvl w:ilvl="0">
      <w:lvlJc w:val="left"/>
      <w:lvlText w:val="(%1)"/>
      <w:numFmt w:val="lowerRoman"/>
      <w:start w:val="2"/>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2"/>
    </w:lvl>
  </w:abstractNum>
  <w:abstractNum w:abstractNumId="36">
    <w:nsid w:val="1CF10FD8"/>
    <w:multiLevelType w:val="hybridMultilevel"/>
    <w:lvl w:ilvl="0">
      <w:lvlJc w:val="left"/>
      <w:lvlText w:val="(%1)"/>
      <w:numFmt w:val="lowerRoman"/>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1)"/>
      <w:numFmt w:val="lowerLetter"/>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6"/>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lowerLetter"/>
      <w:start w:val="3"/>
    </w:lvl>
    <w:lvl w:ilvl="1">
      <w:lvlJc w:val="left"/>
      <w:lvlText w:val="(%2)"/>
      <w:numFmt w:val="lowerLetter"/>
      <w:start w:val="1"/>
    </w:lvl>
  </w:abstractNum>
  <w:abstractNum w:abstractNumId="70">
    <w:nsid w:val="5DC79EA8"/>
    <w:multiLevelType w:val="hybridMultilevel"/>
    <w:lvl w:ilvl="0">
      <w:lvlJc w:val="left"/>
      <w:lvlText w:val="(%1)"/>
      <w:numFmt w:val="lowerLetter"/>
      <w:start w:val="10"/>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1)"/>
      <w:numFmt w:val="lowerLetter"/>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6">
    <w:nsid w:val="11447B73"/>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2020-12-07T23:07:22Z</dcterms:created>
  <dcterms:modified xsi:type="dcterms:W3CDTF">2020-12-07T23:07:22Z</dcterms:modified>
</cp:coreProperties>
</file>