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color w:val="auto"/>
        </w:rPr>
        <w:t>Date of Report (Date of earliest event reported): March 31, 2023</w:t>
      </w:r>
    </w:p>
    <w:p>
      <w:pPr>
        <w:spacing w:after="0" w:line="1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Warrants, each whole warrant exercisable</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3" w:lineRule="exact"/>
        <w:rPr>
          <w:sz w:val="24"/>
          <w:szCs w:val="24"/>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485140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jc w:val="center"/>
        <w:ind w:right="4719"/>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Credit Agreement</w:t>
      </w:r>
    </w:p>
    <w:p>
      <w:pPr>
        <w:spacing w:after="0" w:line="229" w:lineRule="exact"/>
        <w:rPr>
          <w:sz w:val="20"/>
          <w:szCs w:val="20"/>
          <w:color w:val="auto"/>
        </w:rPr>
      </w:pPr>
    </w:p>
    <w:p>
      <w:pPr>
        <w:jc w:val="both"/>
        <w:ind w:left="60" w:right="59" w:firstLine="59"/>
        <w:spacing w:after="0" w:line="258" w:lineRule="auto"/>
        <w:rPr>
          <w:sz w:val="20"/>
          <w:szCs w:val="20"/>
          <w:color w:val="auto"/>
        </w:rPr>
      </w:pPr>
      <w:r>
        <w:rPr>
          <w:rFonts w:ascii="Times New Roman" w:cs="Times New Roman" w:eastAsia="Times New Roman" w:hAnsi="Times New Roman"/>
          <w:sz w:val="18"/>
          <w:szCs w:val="18"/>
          <w:color w:val="auto"/>
        </w:rPr>
        <w:t>On March 31, 2023, Presto Automation Inc. (“Presto”) entered into a First Amendment to Credit Agreement (the “First Amendment”) with Metropolitan Partners Group Administration, LLC (“Metropolitan”), the administrative, payment and collateral agent for the lenders, in which the parties amended certain covenants and payment provisions of the existing credit agreement, dated as of September 21, 2022 (the “Credit Agreement”). A copy of the First Amendment is attached to this report as Exhibit 10.2.</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Credit Agreement does not purport to be complete and is subject to, and qualified in its entirety by, the full text of the First Amendment filed as Exhibit 10.1 to this Current Report on Form 8-K and incorporated herein by reference.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Fee Letter</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March 31, 2023, Presto, in connection with the First Amendment and in consideration for Metropolitan’s entering into the First Amendment, entered into the Amended and Restated Fee Letter (the “Fee Letter”) with Metropolitan, pursuant to which Presto paid an amendment fee equal to $200,000 and granted warrants to purchase 400,000 shares of common stock, par value $0.0001 per share (“Common Stock”) of Presto, with an exercise price of $0.01 per share (the “Warrants”), to Metropolitan Levered Partners Fund VII, LP, Metropolitan Partners Fund VII, LP, Metropolitan Offshore Partners Fund VII, LP and CEOF Holdings LP (the “Metropolitan Entities”). A copy of the Fee Letter is attached to this report as Exhibit 10.2.</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Fee Letter does not purport to be complete and is subject to, and qualified in its entirety by, the full text of the Fee Letter filed as Exhibit 10.2 to this Current Report on Form 8-K and incorporated herein by reference.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Warrant to Purchase Common Stock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31, 2023, in accordance with the terms of the First Amendment and the Fee Letter, Presto executed certain Warrants to Purchase Common Stock (the “Warrant Agreements”) with each of the Metropolitan Entities. The Warrants were granted in connection with Metropolitan entering into the First Amendment and the Fee Letter.</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Warrants does not purport to be complete and is subject to, and qualified in its entirety by, the full text of the Warrant Agreements filed as Exhibits 10.3, 10.4, 10.5 and 10.6 to this Current Report on Form 8-K and incorporated herein by reference.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March 31, 2023, in accordance with the terms of the First Amendment, Presto entered into the Registration Rights Agreement (the “Registration Rights Agreement”) with the Metropolitan Entities, pursuant to which Presto agreed to provide customary registration rights to the Metropolitan Entities with respect to the shares of Common Stock issuable upon exercise of the Warrants described above.</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Registration Rights Agreement does not purport to be complete and is subject to, and qualified in its entirety by, the full text of the Registration Rights Agreement filed as Exhibit 10.7 to this Current Report on Form 8-K and incorporated herein by reference.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 the extent required by Item 2.03 of Form 8-K, the information set forth under Item 1.01 above hereby is incorporated into this Item 2.03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499745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ind w:left="700"/>
        <w:spacing w:after="0"/>
        <w:rPr>
          <w:sz w:val="20"/>
          <w:szCs w:val="20"/>
          <w:color w:val="auto"/>
        </w:rPr>
      </w:pPr>
      <w:r>
        <w:rPr>
          <w:rFonts w:ascii="Times New Roman" w:cs="Times New Roman" w:eastAsia="Times New Roman" w:hAnsi="Times New Roman"/>
          <w:sz w:val="18"/>
          <w:szCs w:val="18"/>
          <w:color w:val="auto"/>
        </w:rPr>
        <w:t>See the disclosure in Item 1.01 of this Current Report on Form 8-K as it relates to the Warrants.</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75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9"/>
        </w:trPr>
        <w:tc>
          <w:tcPr>
            <w:tcW w:w="880" w:type="dxa"/>
            <w:vAlign w:val="bottom"/>
            <w:tcBorders>
              <w:top w:val="single" w:sz="8" w:color="auto"/>
              <w:bottom w:val="single" w:sz="8" w:color="auto"/>
            </w:tcBorders>
          </w:tcPr>
          <w:p>
            <w:pPr>
              <w:spacing w:after="0"/>
              <w:rPr>
                <w:sz w:val="18"/>
                <w:szCs w:val="18"/>
                <w:color w:val="auto"/>
              </w:rPr>
            </w:pPr>
          </w:p>
        </w:tc>
        <w:tc>
          <w:tcPr>
            <w:tcW w:w="380" w:type="dxa"/>
            <w:vAlign w:val="bottom"/>
            <w:vMerge w:val="restart"/>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940" w:type="dxa"/>
            <w:vAlign w:val="bottom"/>
            <w:tcBorders>
              <w:bottom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w w:val="99"/>
              </w:rPr>
              <w:t>Waiver and First Amendment to Credit Agreement, dated March 31, 2023, by and among Presto</w:t>
            </w:r>
          </w:p>
        </w:tc>
        <w:tc>
          <w:tcPr>
            <w:tcW w:w="620" w:type="dxa"/>
            <w:vAlign w:val="bottom"/>
            <w:gridSpan w:val="5"/>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Automation Inc., E La Carte, LLC, Metropolitan Partners Group Administration, LLC and certain</w:t>
            </w:r>
          </w:p>
        </w:tc>
        <w:tc>
          <w:tcPr>
            <w:tcW w:w="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lenders party thereto.</w:t>
            </w:r>
          </w:p>
        </w:tc>
        <w:tc>
          <w:tcPr>
            <w:tcW w:w="6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Fee Letter, dated March 31, 2023, by and among Presto Automation Inc., E La</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Carte, LLC, Metropolitan Partners Group Administration LLC and certain lenders party thereto.</w:t>
            </w: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Warrant to Purchase Common Stock, dated March 31, 2023, by and between Presto Automation Inc.</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and Metropolitan Levered Partners Fund VII, LP</w:t>
            </w:r>
          </w:p>
        </w:tc>
        <w:tc>
          <w:tcPr>
            <w:tcW w:w="3700" w:type="dxa"/>
            <w:vAlign w:val="bottom"/>
            <w:tcBorders>
              <w:top w:val="single" w:sz="8" w:color="0000EE"/>
            </w:tcBorders>
            <w:gridSpan w:val="6"/>
          </w:tcPr>
          <w:p>
            <w:pPr>
              <w:spacing w:after="0"/>
              <w:rPr>
                <w:sz w:val="17"/>
                <w:szCs w:val="17"/>
                <w:color w:val="auto"/>
              </w:rPr>
            </w:pPr>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Warrant to Purchase Common Stock, dated March 31, 2023, by and between Presto Automation Inc.</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and Metropolitan Partners Fund VII, LP</w:t>
            </w:r>
          </w:p>
        </w:tc>
        <w:tc>
          <w:tcPr>
            <w:tcW w:w="4340" w:type="dxa"/>
            <w:vAlign w:val="bottom"/>
            <w:tcBorders>
              <w:top w:val="single" w:sz="8" w:color="0000EE"/>
            </w:tcBorders>
            <w:gridSpan w:val="7"/>
          </w:tcPr>
          <w:p>
            <w:pPr>
              <w:spacing w:after="0"/>
              <w:rPr>
                <w:sz w:val="17"/>
                <w:szCs w:val="17"/>
                <w:color w:val="auto"/>
              </w:rPr>
            </w:pPr>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Warrant to Purchase Common Stock, dated March 31, 2023, by and between Presto Automation Inc.</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and Metropolitan Offshore Partners Fund VII, LP</w:t>
            </w:r>
          </w:p>
        </w:tc>
        <w:tc>
          <w:tcPr>
            <w:tcW w:w="3660" w:type="dxa"/>
            <w:vAlign w:val="bottom"/>
            <w:tcBorders>
              <w:top w:val="single" w:sz="8" w:color="0000EE"/>
            </w:tcBorders>
            <w:gridSpan w:val="5"/>
          </w:tcPr>
          <w:p>
            <w:pPr>
              <w:spacing w:after="0"/>
              <w:rPr>
                <w:sz w:val="17"/>
                <w:szCs w:val="17"/>
                <w:color w:val="auto"/>
              </w:rPr>
            </w:pPr>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Warrant to Purchase Common Stock, dated March 31, 2023, by and between Presto Automation Inc.</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CEOF Holdings, LP</w:t>
            </w:r>
          </w:p>
        </w:tc>
        <w:tc>
          <w:tcPr>
            <w:tcW w:w="5460" w:type="dxa"/>
            <w:vAlign w:val="bottom"/>
            <w:tcBorders>
              <w:top w:val="single" w:sz="8" w:color="0000EE"/>
            </w:tcBorders>
            <w:gridSpan w:val="9"/>
          </w:tcPr>
          <w:p>
            <w:pPr>
              <w:spacing w:after="0"/>
              <w:rPr>
                <w:sz w:val="17"/>
                <w:szCs w:val="17"/>
                <w:color w:val="auto"/>
              </w:rPr>
            </w:pPr>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 dated as of July 1, 2022, by and among Presto Automation Inc. and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persons listed therein.</w:t>
            </w:r>
          </w:p>
        </w:tc>
        <w:tc>
          <w:tcPr>
            <w:tcW w:w="5060" w:type="dxa"/>
            <w:vAlign w:val="bottom"/>
            <w:tcBorders>
              <w:top w:val="single" w:sz="8" w:color="0000EE"/>
            </w:tcBorders>
            <w:gridSpan w:val="7"/>
          </w:tcPr>
          <w:p>
            <w:pPr>
              <w:spacing w:after="0"/>
              <w:rPr>
                <w:sz w:val="17"/>
                <w:szCs w:val="17"/>
                <w:color w:val="auto"/>
              </w:rPr>
            </w:pPr>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790"/>
        </w:trPr>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480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Dated: 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506095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39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FIRST AMENDMENT TO CREDIT AGREEMENT</w:t>
      </w:r>
    </w:p>
    <w:p>
      <w:pPr>
        <w:spacing w:after="0" w:line="224" w:lineRule="exact"/>
        <w:rPr>
          <w:sz w:val="20"/>
          <w:szCs w:val="20"/>
          <w:color w:val="auto"/>
        </w:rPr>
      </w:pPr>
    </w:p>
    <w:p>
      <w:pPr>
        <w:jc w:val="both"/>
        <w:ind w:left="640" w:firstLine="648"/>
        <w:spacing w:after="0" w:line="232" w:lineRule="auto"/>
        <w:rPr>
          <w:sz w:val="20"/>
          <w:szCs w:val="20"/>
          <w:color w:val="auto"/>
        </w:rPr>
      </w:pPr>
      <w:r>
        <w:rPr>
          <w:rFonts w:ascii="Times New Roman" w:cs="Times New Roman" w:eastAsia="Times New Roman" w:hAnsi="Times New Roman"/>
          <w:sz w:val="22"/>
          <w:szCs w:val="22"/>
          <w:color w:val="auto"/>
        </w:rPr>
        <w:t>This Waiver and First Amendment to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March 31, 2023 (the “</w:t>
      </w:r>
      <w:r>
        <w:rPr>
          <w:rFonts w:ascii="Times New Roman" w:cs="Times New Roman" w:eastAsia="Times New Roman" w:hAnsi="Times New Roman"/>
          <w:sz w:val="22"/>
          <w:szCs w:val="22"/>
          <w:u w:val="single" w:color="auto"/>
          <w:color w:val="auto"/>
        </w:rPr>
        <w:t>First Amendment Effective Date</w:t>
      </w:r>
      <w:r>
        <w:rPr>
          <w:rFonts w:ascii="Times New Roman" w:cs="Times New Roman" w:eastAsia="Times New Roman" w:hAnsi="Times New Roman"/>
          <w:sz w:val="22"/>
          <w:szCs w:val="22"/>
          <w:color w:val="auto"/>
        </w:rPr>
        <w:t>”), is by and among E LA CARTE, LLC (f/k/a Ventoux Merger Sub II LLC) a Delaware limited liability company (“</w:t>
      </w:r>
      <w:r>
        <w:rPr>
          <w:rFonts w:ascii="Times New Roman" w:cs="Times New Roman" w:eastAsia="Times New Roman" w:hAnsi="Times New Roman"/>
          <w:sz w:val="22"/>
          <w:szCs w:val="22"/>
          <w:u w:val="single" w:color="auto"/>
          <w:color w:val="auto"/>
        </w:rPr>
        <w:t>Presto</w:t>
      </w:r>
      <w:r>
        <w:rPr>
          <w:rFonts w:ascii="Times New Roman" w:cs="Times New Roman" w:eastAsia="Times New Roman" w:hAnsi="Times New Roman"/>
          <w:sz w:val="22"/>
          <w:szCs w:val="22"/>
          <w:color w:val="auto"/>
        </w:rPr>
        <w:t>”), each other Person party hereto as a “Borrower” from time to time (each such Person, together with Presto, individually and collectively,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PRESTO AUTOMATION INC.</w:t>
      </w:r>
      <w:r>
        <w:rPr>
          <w:rFonts w:ascii="Times New Roman" w:cs="Times New Roman" w:eastAsia="Times New Roman" w:hAnsi="Times New Roman"/>
          <w:sz w:val="22"/>
          <w:szCs w:val="22"/>
          <w:color w:val="auto"/>
        </w:rPr>
        <w:t xml:space="preserve"> (f/k/a Ventoux CCM Acquisition Corp.), a Delaware corporation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together with each other Guarantor from time to time party hereto,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and together with Borrower, each a “</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each of the financial institutions from time to time party hereto (individually each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METROPOLITAN PARTNERS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ADMINISTRATION, LLC</w:t>
      </w:r>
      <w:r>
        <w:rPr>
          <w:rFonts w:ascii="Times New Roman" w:cs="Times New Roman" w:eastAsia="Times New Roman" w:hAnsi="Times New Roman"/>
          <w:sz w:val="22"/>
          <w:szCs w:val="22"/>
          <w:color w:val="auto"/>
        </w:rPr>
        <w:t>, a Delaware limited</w:t>
      </w:r>
    </w:p>
    <w:p>
      <w:pPr>
        <w:spacing w:after="0" w:line="9" w:lineRule="exact"/>
        <w:rPr>
          <w:sz w:val="20"/>
          <w:szCs w:val="20"/>
          <w:color w:val="auto"/>
        </w:rPr>
      </w:pPr>
    </w:p>
    <w:p>
      <w:pPr>
        <w:ind w:left="640" w:right="60"/>
        <w:spacing w:after="0" w:line="237" w:lineRule="auto"/>
        <w:rPr>
          <w:sz w:val="20"/>
          <w:szCs w:val="20"/>
          <w:color w:val="auto"/>
        </w:rPr>
      </w:pPr>
      <w:r>
        <w:rPr>
          <w:rFonts w:ascii="Times New Roman" w:cs="Times New Roman" w:eastAsia="Times New Roman" w:hAnsi="Times New Roman"/>
          <w:sz w:val="22"/>
          <w:szCs w:val="22"/>
          <w:color w:val="auto"/>
        </w:rPr>
        <w:t>liability company, as administrative, payment and collateral agent for the Lenders (in such capacities,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47"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Parent, Agent, and the Lenders are party to that certain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as of September 21, 2022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has requested a three (3) month extension of the period during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PIK Limit under the Credit Agreement may be up to one hundred percent (100%) of the payment of interest due;</w:t>
      </w:r>
    </w:p>
    <w:p>
      <w:pPr>
        <w:spacing w:after="0" w:line="194" w:lineRule="exact"/>
        <w:rPr>
          <w:sz w:val="20"/>
          <w:szCs w:val="20"/>
          <w:color w:val="auto"/>
        </w:rPr>
      </w:pPr>
    </w:p>
    <w:p>
      <w:pPr>
        <w:jc w:val="both"/>
        <w:ind w:left="6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has requested that Lenders waive compliance with (a)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Unrestricted Cash covenant in Section 6.17(a) of the Credit Agreement for the months ending on February 28, 2023 and March 31, 2023, and (b) the Net Leverage Ratio covenant in Section 6.17(b) of the Credit Agreement for the months ending on February 28, 2023, March 31, 2023, April 30, 2023, and May 31, 2023;</w:t>
      </w:r>
    </w:p>
    <w:p>
      <w:pPr>
        <w:spacing w:after="0" w:line="204" w:lineRule="exact"/>
        <w:rPr>
          <w:sz w:val="20"/>
          <w:szCs w:val="20"/>
          <w:color w:val="auto"/>
        </w:rPr>
      </w:pPr>
    </w:p>
    <w:p>
      <w:pPr>
        <w:jc w:val="both"/>
        <w:ind w:left="6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has requested that Lender waive any Default occurring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of Rajat Suri from the Parent’s Board of Directors; and</w:t>
      </w:r>
    </w:p>
    <w:p>
      <w:pPr>
        <w:spacing w:after="0" w:line="177" w:lineRule="exact"/>
        <w:rPr>
          <w:sz w:val="20"/>
          <w:szCs w:val="20"/>
          <w:color w:val="auto"/>
        </w:rPr>
      </w:pPr>
    </w:p>
    <w:p>
      <w:pPr>
        <w:jc w:val="both"/>
        <w:ind w:left="6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desire to enter into this Amendment to, among other things</w:t>
      </w:r>
      <w:r>
        <w:rPr>
          <w:rFonts w:ascii="Times New Roman" w:cs="Times New Roman" w:eastAsia="Times New Roman" w:hAnsi="Times New Roman"/>
          <w:sz w:val="22"/>
          <w:szCs w:val="22"/>
          <w:color w:val="221E1E"/>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221E1E"/>
        </w:rPr>
        <w:t>amend and restate certain provisions of the Credit Agreement as further described below.</w:t>
      </w:r>
    </w:p>
    <w:p>
      <w:pPr>
        <w:spacing w:after="0" w:line="177" w:lineRule="exact"/>
        <w:rPr>
          <w:sz w:val="20"/>
          <w:szCs w:val="20"/>
          <w:color w:val="auto"/>
        </w:rPr>
      </w:pPr>
    </w:p>
    <w:p>
      <w:pPr>
        <w:jc w:val="both"/>
        <w:ind w:left="6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terms, conditions and covenants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and other good and valuable consideration, the receipt of which is hereby acknowledged, the parties, intending to be legally bound hereby, promise and agree as follows. Capitalized terms used but not otherwise defined herein shall have the meanings given to such terms in the Credit Agreement as amended hereby.</w:t>
      </w:r>
    </w:p>
    <w:p>
      <w:pPr>
        <w:spacing w:after="0" w:line="208" w:lineRule="exact"/>
        <w:rPr>
          <w:sz w:val="20"/>
          <w:szCs w:val="20"/>
          <w:color w:val="auto"/>
        </w:rPr>
      </w:pPr>
    </w:p>
    <w:p>
      <w:pPr>
        <w:jc w:val="both"/>
        <w:ind w:left="640" w:firstLine="653"/>
        <w:spacing w:after="0" w:line="261" w:lineRule="auto"/>
        <w:tabs>
          <w:tab w:leader="none" w:pos="193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to Loan Documents</w:t>
      </w:r>
      <w:r>
        <w:rPr>
          <w:rFonts w:ascii="Times New Roman" w:cs="Times New Roman" w:eastAsia="Times New Roman" w:hAnsi="Times New Roman"/>
          <w:sz w:val="21"/>
          <w:szCs w:val="21"/>
          <w:color w:val="auto"/>
        </w:rPr>
        <w:t xml:space="preserve">. Upon satisfaction of the conditions set forth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hereof, and in reliance upon the Loan Parties’ representations and warranties set forth in the Credit Agreement and this Amendment, the Loan Parties, Agent and the Lenders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477520</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5" w:name="page6"/>
    <w:bookmarkEnd w:id="5"/>
    <w:p>
      <w:pPr>
        <w:jc w:val="both"/>
        <w:ind w:left="640" w:firstLine="654"/>
        <w:spacing w:after="0" w:line="238" w:lineRule="auto"/>
        <w:tabs>
          <w:tab w:leader="none" w:pos="1612"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Agreement, other than the Schedules and Exhibits thereto,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text</w:t>
      </w:r>
      <w:r>
        <w:rPr>
          <w:rFonts w:ascii="Times New Roman" w:cs="Times New Roman" w:eastAsia="Times New Roman" w:hAnsi="Times New Roman"/>
          <w:sz w:val="22"/>
          <w:szCs w:val="22"/>
          <w:color w:val="000000"/>
        </w:rPr>
        <w:t>) and to add the bolded and underlined text (indicated textually in the same manner as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following example: </w:t>
      </w:r>
      <w:r>
        <w:rPr>
          <w:rFonts w:ascii="Times New Roman" w:cs="Times New Roman" w:eastAsia="Times New Roman" w:hAnsi="Times New Roman"/>
          <w:sz w:val="22"/>
          <w:szCs w:val="22"/>
          <w:b w:val="1"/>
          <w:bCs w:val="1"/>
          <w:u w:val="single" w:color="auto"/>
          <w:color w:val="0000FF"/>
        </w:rPr>
        <w:t>bolded and underlined text</w:t>
      </w:r>
      <w:r>
        <w:rPr>
          <w:rFonts w:ascii="Times New Roman" w:cs="Times New Roman" w:eastAsia="Times New Roman" w:hAnsi="Times New Roman"/>
          <w:sz w:val="22"/>
          <w:szCs w:val="22"/>
          <w:color w:val="000000"/>
        </w:rPr>
        <w:t xml:space="preserve">) as set forth in the Credit Agreement attached hereto as </w:t>
      </w:r>
      <w:r>
        <w:rPr>
          <w:rFonts w:ascii="Times New Roman" w:cs="Times New Roman" w:eastAsia="Times New Roman" w:hAnsi="Times New Roman"/>
          <w:sz w:val="22"/>
          <w:szCs w:val="22"/>
          <w:u w:val="single" w:color="auto"/>
          <w:color w:val="000000"/>
        </w:rPr>
        <w:t>Annex I</w:t>
      </w:r>
      <w:r>
        <w:rPr>
          <w:rFonts w:ascii="Times New Roman" w:cs="Times New Roman" w:eastAsia="Times New Roman" w:hAnsi="Times New Roman"/>
          <w:sz w:val="22"/>
          <w:szCs w:val="22"/>
          <w:color w:val="000000"/>
        </w:rPr>
        <w:t>;</w:t>
      </w:r>
    </w:p>
    <w:p>
      <w:pPr>
        <w:spacing w:after="0" w:line="190" w:lineRule="exact"/>
        <w:rPr>
          <w:rFonts w:ascii="Times New Roman" w:cs="Times New Roman" w:eastAsia="Times New Roman" w:hAnsi="Times New Roman"/>
          <w:sz w:val="22"/>
          <w:szCs w:val="22"/>
          <w:color w:val="auto"/>
        </w:rPr>
      </w:pPr>
    </w:p>
    <w:p>
      <w:pPr>
        <w:jc w:val="both"/>
        <w:ind w:left="640" w:firstLine="654"/>
        <w:spacing w:after="0" w:line="244" w:lineRule="auto"/>
        <w:tabs>
          <w:tab w:leader="none" w:pos="1612"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Tax consequences of the transactions contemplated by this Amendment, the aggregate fair market value of the First Amendment Warrants (as defined below) is $592,000; and</w:t>
      </w:r>
    </w:p>
    <w:p>
      <w:pPr>
        <w:spacing w:after="0" w:line="186" w:lineRule="exact"/>
        <w:rPr>
          <w:rFonts w:ascii="Times New Roman" w:cs="Times New Roman" w:eastAsia="Times New Roman" w:hAnsi="Times New Roman"/>
          <w:sz w:val="22"/>
          <w:szCs w:val="22"/>
          <w:color w:val="auto"/>
        </w:rPr>
      </w:pPr>
    </w:p>
    <w:p>
      <w:pPr>
        <w:ind w:left="640" w:right="20" w:firstLine="654"/>
        <w:spacing w:after="0" w:line="258" w:lineRule="auto"/>
        <w:tabs>
          <w:tab w:leader="none" w:pos="166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1.1(a) to the Credit Agreement is hereby amended and restated in its entirety as set forth in </w:t>
      </w:r>
      <w:r>
        <w:rPr>
          <w:rFonts w:ascii="Times New Roman" w:cs="Times New Roman" w:eastAsia="Times New Roman" w:hAnsi="Times New Roman"/>
          <w:sz w:val="22"/>
          <w:szCs w:val="22"/>
          <w:u w:val="single" w:color="auto"/>
          <w:color w:val="auto"/>
        </w:rPr>
        <w:t>Annex II</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640" w:firstLine="653"/>
        <w:spacing w:after="0" w:line="233" w:lineRule="auto"/>
        <w:tabs>
          <w:tab w:leader="none" w:pos="193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Subject to the satisfaction of the conditions precedent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Amendment, and in reliance upon the representations and warranties of the Loan Parties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below, the Agent and the Lenders hereby waive each and any Default or </w:t>
      </w:r>
      <w:r>
        <w:rPr>
          <w:rFonts w:ascii="Times New Roman" w:cs="Times New Roman" w:eastAsia="Times New Roman" w:hAnsi="Times New Roman"/>
          <w:sz w:val="20"/>
          <w:szCs w:val="20"/>
          <w:color w:val="auto"/>
        </w:rPr>
        <w:t>Event of Default</w:t>
      </w:r>
      <w:r>
        <w:rPr>
          <w:rFonts w:ascii="Times New Roman" w:cs="Times New Roman" w:eastAsia="Times New Roman" w:hAnsi="Times New Roman"/>
          <w:sz w:val="22"/>
          <w:szCs w:val="22"/>
          <w:color w:val="auto"/>
        </w:rPr>
        <w:t xml:space="preserve"> occurring due to the separation of Rajat Suri from the Parent’s Board of Directors and their right to take any action under the Credit Agreement or the other Loan Documents that they may otherwise have had solely as a result of the occurrence of such Default or Event of Default (the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The Waiver is a limited, one time waiver for each such aforementioned Default or </w:t>
      </w:r>
      <w:r>
        <w:rPr>
          <w:rFonts w:ascii="Times New Roman" w:cs="Times New Roman" w:eastAsia="Times New Roman" w:hAnsi="Times New Roman"/>
          <w:sz w:val="20"/>
          <w:szCs w:val="20"/>
          <w:color w:val="auto"/>
        </w:rPr>
        <w:t>Event of Default</w:t>
      </w:r>
      <w:r>
        <w:rPr>
          <w:rFonts w:ascii="Times New Roman" w:cs="Times New Roman" w:eastAsia="Times New Roman" w:hAnsi="Times New Roman"/>
          <w:sz w:val="22"/>
          <w:szCs w:val="22"/>
          <w:color w:val="auto"/>
        </w:rPr>
        <w:t xml:space="preserve"> and, except as expressly set forth herein, shall not be deemed to: (a) constitute a waiver of or consent to any other Default or Event of Default or any other breach of the Credit Agreement or any of the other Loan Documents, whether now existing or hereafter arising, (b) constitute a waiver of any right or remedy of the Agent or any of the Lenders under the Loan Documents which does not arise as a result of such Default or Event of Default (all such rights and remedies being expressly reserved by the Agent and the Lenders), or (c) establish a custom or course of dealing or conduct between the Agent and the Lenders, on the one hand, and the Borrower or any other Loan Party, on the other hand.</w:t>
      </w:r>
    </w:p>
    <w:p>
      <w:pPr>
        <w:spacing w:after="0" w:line="190" w:lineRule="exact"/>
        <w:rPr>
          <w:rFonts w:ascii="Times New Roman" w:cs="Times New Roman" w:eastAsia="Times New Roman" w:hAnsi="Times New Roman"/>
          <w:sz w:val="22"/>
          <w:szCs w:val="22"/>
          <w:color w:val="auto"/>
        </w:rPr>
      </w:pPr>
    </w:p>
    <w:p>
      <w:pPr>
        <w:jc w:val="both"/>
        <w:ind w:left="640" w:firstLine="654"/>
        <w:spacing w:after="0" w:line="244" w:lineRule="auto"/>
        <w:tabs>
          <w:tab w:leader="none" w:pos="19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Fees</w:t>
      </w:r>
      <w:r>
        <w:rPr>
          <w:rFonts w:ascii="Times New Roman" w:cs="Times New Roman" w:eastAsia="Times New Roman" w:hAnsi="Times New Roman"/>
          <w:sz w:val="22"/>
          <w:szCs w:val="22"/>
          <w:color w:val="auto"/>
        </w:rPr>
        <w:t>. On the First Amendment Effective Date, the Loan Parties agree to pay to the Agent and the Lenders the fees set forth in Section 3 of the Amended and Restated Fee Letter of even date herewith (the “</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640" w:firstLine="654"/>
        <w:spacing w:after="0" w:line="239" w:lineRule="auto"/>
        <w:tabs>
          <w:tab w:leader="none" w:pos="19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21E1E"/>
        </w:rPr>
        <w:t>Incorporation</w:t>
      </w:r>
      <w:r>
        <w:rPr>
          <w:rFonts w:ascii="Times New Roman" w:cs="Times New Roman" w:eastAsia="Times New Roman" w:hAnsi="Times New Roman"/>
          <w:sz w:val="22"/>
          <w:szCs w:val="22"/>
          <w:color w:val="221E1E"/>
        </w:rPr>
        <w:t>. This Amendment shall be a Loan Document (within the meaning of such term under the Credit Agreement), and shall inure to the benefit of and be enforceable by the Agent and its successors and assigns. This Amendment and its attachments are hereby incorporated into the applicable Loan Document and made a part thereof.</w:t>
      </w:r>
    </w:p>
    <w:p>
      <w:pPr>
        <w:spacing w:after="0" w:line="180" w:lineRule="exact"/>
        <w:rPr>
          <w:rFonts w:ascii="Times New Roman" w:cs="Times New Roman" w:eastAsia="Times New Roman" w:hAnsi="Times New Roman"/>
          <w:sz w:val="22"/>
          <w:szCs w:val="22"/>
          <w:color w:val="auto"/>
        </w:rPr>
      </w:pPr>
    </w:p>
    <w:p>
      <w:pPr>
        <w:jc w:val="both"/>
        <w:ind w:left="640" w:firstLine="653"/>
        <w:spacing w:after="0" w:line="234" w:lineRule="auto"/>
        <w:tabs>
          <w:tab w:leader="none" w:pos="193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and Reaffirmation</w:t>
      </w:r>
      <w:r>
        <w:rPr>
          <w:rFonts w:ascii="Times New Roman" w:cs="Times New Roman" w:eastAsia="Times New Roman" w:hAnsi="Times New Roman"/>
          <w:sz w:val="22"/>
          <w:szCs w:val="22"/>
          <w:color w:val="auto"/>
        </w:rPr>
        <w:t>. The Loan Parties confirm that the Credit Agreement and each Loan Document is, and shall continue to be, in full force and effect. The Loan Parties further confirm and represents that the Collateral (within the meaning of such term under the Credit Agreement as amended hereby) remains free and clear of all Liens other than those in favor of Agent or as otherwise permitted in the Loan Documents. Nothing contained herein is intended to in any way impair or limit the validity, priority or extent of Agent’s security interest in and Liens upon the Collateral of any Loan Party. The Loan Parties acknowledge that certain of the Lenders assigned to one of their Affiliates, Metropolitan Offshore Partners Fund VII, LP, a portion of the assigning Lenders’ right, title and interest in and to the Term Loan, the</w:t>
      </w:r>
    </w:p>
    <w:p>
      <w:pPr>
        <w:spacing w:after="0" w:line="200" w:lineRule="exact"/>
        <w:rPr>
          <w:sz w:val="20"/>
          <w:szCs w:val="20"/>
          <w:color w:val="auto"/>
        </w:rPr>
      </w:pPr>
    </w:p>
    <w:p>
      <w:pPr>
        <w:spacing w:after="0" w:line="2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422" w:right="999" w:bottom="1440" w:gutter="0" w:footer="0" w:header="0"/>
        </w:sectPr>
      </w:pPr>
    </w:p>
    <w:bookmarkStart w:id="6" w:name="page7"/>
    <w:bookmarkEnd w:id="6"/>
    <w:p>
      <w:pPr>
        <w:ind w:left="640" w:right="820"/>
        <w:spacing w:after="0" w:line="258" w:lineRule="auto"/>
        <w:rPr>
          <w:sz w:val="20"/>
          <w:szCs w:val="20"/>
          <w:color w:val="auto"/>
        </w:rPr>
      </w:pPr>
      <w:r>
        <w:rPr>
          <w:rFonts w:ascii="Times New Roman" w:cs="Times New Roman" w:eastAsia="Times New Roman" w:hAnsi="Times New Roman"/>
          <w:sz w:val="22"/>
          <w:szCs w:val="22"/>
          <w:color w:val="auto"/>
        </w:rPr>
        <w:t>Warrants, the Founder Shares and the Loan Documents, and the Loan Parties agree that such assignment did not require the consent of any Loan Party.</w:t>
      </w:r>
    </w:p>
    <w:p>
      <w:pPr>
        <w:spacing w:after="0" w:line="172" w:lineRule="exact"/>
        <w:rPr>
          <w:sz w:val="20"/>
          <w:szCs w:val="20"/>
          <w:color w:val="auto"/>
        </w:rPr>
      </w:pPr>
    </w:p>
    <w:p>
      <w:pPr>
        <w:jc w:val="both"/>
        <w:ind w:left="640" w:firstLine="653"/>
        <w:spacing w:after="0" w:line="236" w:lineRule="auto"/>
        <w:tabs>
          <w:tab w:leader="none" w:pos="193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or any other Loan Document. Except as expressly modified and superseded by this Amendment, the terms and provisions of the Credit Agreement and the other Loan Documents are ratified and confirmed and shall continue in full force and effect.</w:t>
      </w:r>
    </w:p>
    <w:p>
      <w:pPr>
        <w:spacing w:after="0" w:line="194" w:lineRule="exact"/>
        <w:rPr>
          <w:rFonts w:ascii="Times New Roman" w:cs="Times New Roman" w:eastAsia="Times New Roman" w:hAnsi="Times New Roman"/>
          <w:sz w:val="22"/>
          <w:szCs w:val="22"/>
          <w:color w:val="auto"/>
        </w:rPr>
      </w:pPr>
    </w:p>
    <w:p>
      <w:pPr>
        <w:ind w:left="640" w:firstLine="654"/>
        <w:spacing w:after="0" w:line="258" w:lineRule="auto"/>
        <w:tabs>
          <w:tab w:leader="none" w:pos="19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This Amendment shall be effective as of the First Amendment Effective Date upon the satisfaction or waiver of each of the following conditions precedent:</w:t>
      </w:r>
    </w:p>
    <w:p>
      <w:pPr>
        <w:spacing w:after="0" w:line="158" w:lineRule="exact"/>
        <w:rPr>
          <w:rFonts w:ascii="Times New Roman" w:cs="Times New Roman" w:eastAsia="Times New Roman" w:hAnsi="Times New Roman"/>
          <w:sz w:val="22"/>
          <w:szCs w:val="22"/>
          <w:color w:val="auto"/>
        </w:rPr>
      </w:pPr>
    </w:p>
    <w:p>
      <w:pPr>
        <w:ind w:left="640" w:right="680" w:firstLine="978"/>
        <w:spacing w:after="0" w:line="282" w:lineRule="auto"/>
        <w:tabs>
          <w:tab w:leader="none" w:pos="1937"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Transaction Documents</w:t>
      </w:r>
      <w:r>
        <w:rPr>
          <w:rFonts w:ascii="Times New Roman" w:cs="Times New Roman" w:eastAsia="Times New Roman" w:hAnsi="Times New Roman"/>
          <w:sz w:val="21"/>
          <w:szCs w:val="21"/>
          <w:color w:val="auto"/>
        </w:rPr>
        <w:t>. Agent and the Lenders shall have received each of the following, each of which shall be in form and substance satisfactory to Agent and Lenders:</w:t>
      </w:r>
    </w:p>
    <w:p>
      <w:pPr>
        <w:spacing w:after="0" w:line="134" w:lineRule="exact"/>
        <w:rPr>
          <w:rFonts w:ascii="Times New Roman" w:cs="Times New Roman" w:eastAsia="Times New Roman" w:hAnsi="Times New Roman"/>
          <w:sz w:val="21"/>
          <w:szCs w:val="21"/>
          <w:color w:val="auto"/>
        </w:rPr>
      </w:pPr>
    </w:p>
    <w:p>
      <w:pPr>
        <w:ind w:left="640" w:firstLine="1302"/>
        <w:spacing w:after="0" w:line="258" w:lineRule="auto"/>
        <w:tabs>
          <w:tab w:leader="none" w:pos="224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executed and delivered by Agent, each Lender and each Loan Party as applicable;</w:t>
      </w:r>
    </w:p>
    <w:p>
      <w:pPr>
        <w:spacing w:after="0" w:line="171" w:lineRule="exact"/>
        <w:rPr>
          <w:rFonts w:ascii="Times New Roman" w:cs="Times New Roman" w:eastAsia="Times New Roman" w:hAnsi="Times New Roman"/>
          <w:sz w:val="22"/>
          <w:szCs w:val="22"/>
          <w:color w:val="auto"/>
        </w:rPr>
      </w:pPr>
    </w:p>
    <w:p>
      <w:pPr>
        <w:ind w:left="640" w:right="20" w:firstLine="1302"/>
        <w:spacing w:after="0" w:line="258" w:lineRule="auto"/>
        <w:tabs>
          <w:tab w:leader="none" w:pos="2328"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Registration Rights Agreement, dated as of the First Amendment Effective Date, by and between Parent and the Lenders, executed and delivered by Parent;</w:t>
      </w:r>
    </w:p>
    <w:p>
      <w:pPr>
        <w:spacing w:after="0" w:line="171" w:lineRule="exact"/>
        <w:rPr>
          <w:rFonts w:ascii="Times New Roman" w:cs="Times New Roman" w:eastAsia="Times New Roman" w:hAnsi="Times New Roman"/>
          <w:sz w:val="22"/>
          <w:szCs w:val="22"/>
          <w:color w:val="auto"/>
        </w:rPr>
      </w:pPr>
    </w:p>
    <w:p>
      <w:pPr>
        <w:jc w:val="both"/>
        <w:ind w:left="640" w:firstLine="1302"/>
        <w:spacing w:after="0" w:line="251" w:lineRule="auto"/>
        <w:tabs>
          <w:tab w:leader="none" w:pos="2361" w:val="left"/>
        </w:tabs>
        <w:numPr>
          <w:ilvl w:val="2"/>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those certain warrants to purchase 400,000 shares of Parent Common Stock at a purchase price of $0.01 per share issued by Parent pursuant to the Fee Letter to the Lenders on the First Amendment Effective Date, as may be amended, restated, supplemented or otherwise modified from time to time (the “</w:t>
      </w:r>
      <w:r>
        <w:rPr>
          <w:rFonts w:ascii="Times New Roman" w:cs="Times New Roman" w:eastAsia="Times New Roman" w:hAnsi="Times New Roman"/>
          <w:sz w:val="21"/>
          <w:szCs w:val="21"/>
          <w:u w:val="single" w:color="auto"/>
          <w:color w:val="auto"/>
        </w:rPr>
        <w:t>First Amendment Warrants</w:t>
      </w:r>
      <w:r>
        <w:rPr>
          <w:rFonts w:ascii="Times New Roman" w:cs="Times New Roman" w:eastAsia="Times New Roman" w:hAnsi="Times New Roman"/>
          <w:sz w:val="21"/>
          <w:szCs w:val="21"/>
          <w:color w:val="auto"/>
        </w:rPr>
        <w:t xml:space="preserve">”) apportioned to the Lenders in accordance with their Term Loan Commitments as reflected on </w:t>
      </w:r>
      <w:r>
        <w:rPr>
          <w:rFonts w:ascii="Times New Roman" w:cs="Times New Roman" w:eastAsia="Times New Roman" w:hAnsi="Times New Roman"/>
          <w:sz w:val="21"/>
          <w:szCs w:val="21"/>
          <w:u w:val="single" w:color="auto"/>
          <w:color w:val="auto"/>
        </w:rPr>
        <w:t>Annex II</w:t>
      </w:r>
      <w:r>
        <w:rPr>
          <w:rFonts w:ascii="Times New Roman" w:cs="Times New Roman" w:eastAsia="Times New Roman" w:hAnsi="Times New Roman"/>
          <w:sz w:val="21"/>
          <w:szCs w:val="21"/>
          <w:color w:val="auto"/>
        </w:rPr>
        <w:t>, executed and delivered by Parent;</w:t>
      </w:r>
    </w:p>
    <w:p>
      <w:pPr>
        <w:spacing w:after="0" w:line="168" w:lineRule="exact"/>
        <w:rPr>
          <w:rFonts w:ascii="Times New Roman" w:cs="Times New Roman" w:eastAsia="Times New Roman" w:hAnsi="Times New Roman"/>
          <w:sz w:val="21"/>
          <w:szCs w:val="21"/>
          <w:color w:val="auto"/>
        </w:rPr>
      </w:pPr>
    </w:p>
    <w:p>
      <w:pPr>
        <w:ind w:left="2360" w:hanging="422"/>
        <w:spacing w:after="0"/>
        <w:tabs>
          <w:tab w:leader="none" w:pos="236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 Letter, executed and delivered by the Loan Parties;</w:t>
      </w:r>
    </w:p>
    <w:p>
      <w:pPr>
        <w:spacing w:after="0" w:line="219" w:lineRule="exact"/>
        <w:rPr>
          <w:rFonts w:ascii="Times New Roman" w:cs="Times New Roman" w:eastAsia="Times New Roman" w:hAnsi="Times New Roman"/>
          <w:sz w:val="22"/>
          <w:szCs w:val="22"/>
          <w:color w:val="auto"/>
        </w:rPr>
      </w:pPr>
    </w:p>
    <w:p>
      <w:pPr>
        <w:jc w:val="both"/>
        <w:ind w:left="640" w:firstLine="1302"/>
        <w:spacing w:after="0" w:line="244" w:lineRule="auto"/>
        <w:tabs>
          <w:tab w:leader="none" w:pos="224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delivered to Agent the financial reporting and Compliance Certificate for the month of January 2023 as required by Section 5.1(c) and 5.2(a) of the Credit Agreement; and</w:t>
      </w:r>
    </w:p>
    <w:p>
      <w:pPr>
        <w:spacing w:after="0" w:line="173" w:lineRule="exact"/>
        <w:rPr>
          <w:rFonts w:ascii="Times New Roman" w:cs="Times New Roman" w:eastAsia="Times New Roman" w:hAnsi="Times New Roman"/>
          <w:sz w:val="22"/>
          <w:szCs w:val="22"/>
          <w:color w:val="auto"/>
        </w:rPr>
      </w:pPr>
    </w:p>
    <w:p>
      <w:pPr>
        <w:jc w:val="both"/>
        <w:ind w:left="640" w:firstLine="1302"/>
        <w:spacing w:after="0" w:line="261" w:lineRule="auto"/>
        <w:tabs>
          <w:tab w:leader="none" w:pos="2316" w:val="left"/>
        </w:tabs>
        <w:numPr>
          <w:ilvl w:val="2"/>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proof that Parent has obtained a written waiver of Section 2(h) of that certain Amended and Restated Registration Rights Agreement, dated September 21, 2022, signed by holders of a majority of the Registrable Securities (as defined in such agreement).</w:t>
      </w:r>
    </w:p>
    <w:p>
      <w:pPr>
        <w:spacing w:after="0" w:line="170" w:lineRule="exact"/>
        <w:rPr>
          <w:rFonts w:ascii="Times New Roman" w:cs="Times New Roman" w:eastAsia="Times New Roman" w:hAnsi="Times New Roman"/>
          <w:sz w:val="21"/>
          <w:szCs w:val="21"/>
          <w:color w:val="auto"/>
        </w:rPr>
      </w:pPr>
    </w:p>
    <w:p>
      <w:pPr>
        <w:jc w:val="both"/>
        <w:ind w:left="640" w:firstLine="977"/>
        <w:spacing w:after="0" w:line="238" w:lineRule="auto"/>
        <w:tabs>
          <w:tab w:leader="none" w:pos="193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Loan Parties shall have (i) paid all fees due as set forth in the Fee Letter to Agent and the reasonable expenses of the Agent and the Lenders, including, without limitation, the fees, costs and expenses of K&amp;L Gates LLP, as counsel to the Agent and the Lenders, by wire transfer of immediately available funds; and (ii) the Lenders shall have received the First Amendment Warrants;</w:t>
      </w:r>
    </w:p>
    <w:p>
      <w:pPr>
        <w:spacing w:after="0" w:line="200" w:lineRule="exact"/>
        <w:rPr>
          <w:sz w:val="20"/>
          <w:szCs w:val="20"/>
          <w:color w:val="auto"/>
        </w:rPr>
      </w:pPr>
    </w:p>
    <w:p>
      <w:pPr>
        <w:spacing w:after="0" w:line="25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9" w:right="999" w:bottom="1440" w:gutter="0" w:footer="0" w:header="0"/>
        </w:sectPr>
      </w:pPr>
    </w:p>
    <w:bookmarkStart w:id="7" w:name="page8"/>
    <w:bookmarkEnd w:id="7"/>
    <w:p>
      <w:pPr>
        <w:jc w:val="both"/>
        <w:ind w:left="640" w:firstLine="977"/>
        <w:spacing w:after="0" w:line="235" w:lineRule="auto"/>
        <w:tabs>
          <w:tab w:leader="none" w:pos="193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the representations and warranties made by each Loan Party in or pursuant to any Loan Document (i) that is qualified by materiality shall be true and correct in all respects,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or true and correct in all material respects, as applicable, as of such earlier date;</w:t>
      </w:r>
    </w:p>
    <w:p>
      <w:pPr>
        <w:spacing w:after="0" w:line="196" w:lineRule="exact"/>
        <w:rPr>
          <w:rFonts w:ascii="Times New Roman" w:cs="Times New Roman" w:eastAsia="Times New Roman" w:hAnsi="Times New Roman"/>
          <w:sz w:val="22"/>
          <w:szCs w:val="22"/>
          <w:color w:val="auto"/>
        </w:rPr>
      </w:pPr>
    </w:p>
    <w:p>
      <w:pPr>
        <w:jc w:val="both"/>
        <w:ind w:left="640" w:firstLine="978"/>
        <w:spacing w:after="0" w:line="244" w:lineRule="auto"/>
        <w:tabs>
          <w:tab w:leader="none" w:pos="193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Immediately after giving effect to this Amendment, no Default or Event of Default shall have occurred and be continuing as of or on such date that has not been waived by the Agent and the Lenders;</w:t>
      </w:r>
    </w:p>
    <w:p>
      <w:pPr>
        <w:spacing w:after="0" w:line="186" w:lineRule="exact"/>
        <w:rPr>
          <w:rFonts w:ascii="Times New Roman" w:cs="Times New Roman" w:eastAsia="Times New Roman" w:hAnsi="Times New Roman"/>
          <w:sz w:val="22"/>
          <w:szCs w:val="22"/>
          <w:color w:val="auto"/>
        </w:rPr>
      </w:pPr>
    </w:p>
    <w:p>
      <w:pPr>
        <w:jc w:val="both"/>
        <w:ind w:left="640" w:firstLine="978"/>
        <w:spacing w:after="0" w:line="244" w:lineRule="auto"/>
        <w:tabs>
          <w:tab w:leader="none" w:pos="193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There shall not have occurred since the Closing Date, any event or circumstance that has had or could be reasonably expected to have, individually or in the aggregate, a Material Adverse Effect; and</w:t>
      </w:r>
    </w:p>
    <w:p>
      <w:pPr>
        <w:spacing w:after="0" w:line="173" w:lineRule="exact"/>
        <w:rPr>
          <w:rFonts w:ascii="Times New Roman" w:cs="Times New Roman" w:eastAsia="Times New Roman" w:hAnsi="Times New Roman"/>
          <w:sz w:val="22"/>
          <w:szCs w:val="22"/>
          <w:color w:val="auto"/>
        </w:rPr>
      </w:pPr>
    </w:p>
    <w:p>
      <w:pPr>
        <w:ind w:left="640" w:firstLine="978"/>
        <w:spacing w:after="0" w:line="258" w:lineRule="auto"/>
        <w:tabs>
          <w:tab w:leader="none" w:pos="193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The Lenders shall have received such documentation as any Lender shall reasonably request, all in form and substance satisfactory to the Lenders.</w:t>
      </w:r>
    </w:p>
    <w:p>
      <w:pPr>
        <w:spacing w:after="0" w:line="171" w:lineRule="exact"/>
        <w:rPr>
          <w:rFonts w:ascii="Times New Roman" w:cs="Times New Roman" w:eastAsia="Times New Roman" w:hAnsi="Times New Roman"/>
          <w:sz w:val="22"/>
          <w:szCs w:val="22"/>
          <w:color w:val="auto"/>
        </w:rPr>
      </w:pPr>
    </w:p>
    <w:p>
      <w:pPr>
        <w:ind w:left="640" w:right="180" w:firstLine="654"/>
        <w:spacing w:after="0" w:line="258" w:lineRule="auto"/>
        <w:tabs>
          <w:tab w:leader="none" w:pos="19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Post-First Amendment Effective Date Obligations</w:t>
      </w:r>
      <w:r>
        <w:rPr>
          <w:rFonts w:ascii="Times New Roman" w:cs="Times New Roman" w:eastAsia="Times New Roman" w:hAnsi="Times New Roman"/>
          <w:sz w:val="22"/>
          <w:szCs w:val="22"/>
          <w:color w:val="auto"/>
        </w:rPr>
        <w:t>: Within forty-five (45) days of the First Amendment Effective Date, the Borrower shall cause the following to occur:</w:t>
      </w:r>
    </w:p>
    <w:p>
      <w:pPr>
        <w:spacing w:after="0" w:line="179" w:lineRule="exact"/>
        <w:rPr>
          <w:rFonts w:ascii="Times New Roman" w:cs="Times New Roman" w:eastAsia="Times New Roman" w:hAnsi="Times New Roman"/>
          <w:sz w:val="22"/>
          <w:szCs w:val="22"/>
          <w:color w:val="auto"/>
        </w:rPr>
      </w:pPr>
    </w:p>
    <w:p>
      <w:pPr>
        <w:jc w:val="both"/>
        <w:ind w:left="640" w:firstLine="978"/>
        <w:spacing w:after="0" w:line="247" w:lineRule="auto"/>
        <w:tabs>
          <w:tab w:leader="none" w:pos="193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Loan Parties shall have delivered updated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w:t>
      </w:r>
    </w:p>
    <w:p>
      <w:pPr>
        <w:spacing w:after="0" w:line="182" w:lineRule="exact"/>
        <w:rPr>
          <w:rFonts w:ascii="Times New Roman" w:cs="Times New Roman" w:eastAsia="Times New Roman" w:hAnsi="Times New Roman"/>
          <w:sz w:val="22"/>
          <w:szCs w:val="22"/>
          <w:color w:val="auto"/>
        </w:rPr>
      </w:pPr>
    </w:p>
    <w:p>
      <w:pPr>
        <w:jc w:val="both"/>
        <w:ind w:left="640" w:firstLine="978"/>
        <w:spacing w:after="0" w:line="249" w:lineRule="auto"/>
        <w:tabs>
          <w:tab w:leader="none" w:pos="193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Loan Parties shall have delivered Control Agreements, executed by the applicable Loan Party, Lender and the applicable depository institution with respect to any Deposit Account opened after the Closing Date, together with an updated </w:t>
      </w:r>
      <w:r>
        <w:rPr>
          <w:rFonts w:ascii="Times New Roman" w:cs="Times New Roman" w:eastAsia="Times New Roman" w:hAnsi="Times New Roman"/>
          <w:sz w:val="21"/>
          <w:szCs w:val="21"/>
          <w:u w:val="single" w:color="auto"/>
          <w:color w:val="auto"/>
        </w:rPr>
        <w:t>Schedule 1.1(b)</w:t>
      </w:r>
      <w:r>
        <w:rPr>
          <w:rFonts w:ascii="Times New Roman" w:cs="Times New Roman" w:eastAsia="Times New Roman" w:hAnsi="Times New Roman"/>
          <w:sz w:val="21"/>
          <w:szCs w:val="21"/>
          <w:color w:val="auto"/>
        </w:rPr>
        <w:t xml:space="preserve"> to the Credit Agreement; and</w:t>
      </w:r>
    </w:p>
    <w:p>
      <w:pPr>
        <w:spacing w:after="0" w:line="194" w:lineRule="exact"/>
        <w:rPr>
          <w:rFonts w:ascii="Times New Roman" w:cs="Times New Roman" w:eastAsia="Times New Roman" w:hAnsi="Times New Roman"/>
          <w:sz w:val="22"/>
          <w:szCs w:val="22"/>
          <w:color w:val="auto"/>
        </w:rPr>
      </w:pPr>
    </w:p>
    <w:p>
      <w:pPr>
        <w:jc w:val="both"/>
        <w:ind w:left="640" w:firstLine="978"/>
        <w:spacing w:after="0" w:line="247" w:lineRule="auto"/>
        <w:tabs>
          <w:tab w:leader="none" w:pos="193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Agent shall receive all certificates evidencing the outstanding Equity Interests and other Collateral evidenced by certificates owned by the Loan Parties, including any such Collateral obtained after the Closing Date, together with duly executed stock powers or other transfer powers in form and substance reasonably satisfactory to Agent.</w:t>
      </w:r>
    </w:p>
    <w:p>
      <w:pPr>
        <w:spacing w:after="0" w:line="174" w:lineRule="exact"/>
        <w:rPr>
          <w:rFonts w:ascii="Times New Roman" w:cs="Times New Roman" w:eastAsia="Times New Roman" w:hAnsi="Times New Roman"/>
          <w:sz w:val="22"/>
          <w:szCs w:val="22"/>
          <w:color w:val="auto"/>
        </w:rPr>
      </w:pPr>
    </w:p>
    <w:p>
      <w:pPr>
        <w:ind w:left="1920" w:hanging="630"/>
        <w:spacing w:after="0"/>
        <w:tabs>
          <w:tab w:leader="none" w:pos="1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977"/>
        <w:spacing w:after="0" w:line="235" w:lineRule="auto"/>
        <w:tabs>
          <w:tab w:leader="none" w:pos="1937"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Loan Party hereby represents and warrants in connection herewith that as of the date hereof (after giving effect hereto) the representations and warranties set forth in the Credit Agreement are true and correct in all material respects except to the extent such representation or warranty (i) is qualified by materiality or Material Adverse Effect, in which case such representation or warranty shall be true and correct in any respect, or (ii) expressly relates to an earlier date in which case such representation or warranty shall be true and correct in all material respects (without duplication of any materiality qualifier contained therein) as of such earlier date;</w:t>
      </w: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9" w:right="999" w:bottom="1440" w:gutter="0" w:footer="0" w:header="0"/>
        </w:sectPr>
      </w:pPr>
    </w:p>
    <w:bookmarkStart w:id="8" w:name="page9"/>
    <w:bookmarkEnd w:id="8"/>
    <w:p>
      <w:pPr>
        <w:jc w:val="both"/>
        <w:ind w:left="640" w:firstLine="977"/>
        <w:spacing w:after="0" w:line="244" w:lineRule="auto"/>
        <w:tabs>
          <w:tab w:leader="none" w:pos="193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consummation of the transactions contemplated by this </w:t>
      </w:r>
      <w:r>
        <w:rPr>
          <w:rFonts w:ascii="Times New Roman" w:cs="Times New Roman" w:eastAsia="Times New Roman" w:hAnsi="Times New Roman"/>
          <w:sz w:val="22"/>
          <w:szCs w:val="22"/>
          <w:color w:val="221E1E"/>
        </w:rPr>
        <w:t>Amendment</w:t>
      </w:r>
      <w:r>
        <w:rPr>
          <w:rFonts w:ascii="Times New Roman" w:cs="Times New Roman" w:eastAsia="Times New Roman" w:hAnsi="Times New Roman"/>
          <w:sz w:val="22"/>
          <w:szCs w:val="22"/>
          <w:color w:val="auto"/>
        </w:rPr>
        <w:t xml:space="preserve"> are within each Loan Party’s organizational powers and have been duly authorized by all necessary organizational actions and, if required, actions by equity holders;</w:t>
      </w:r>
    </w:p>
    <w:p>
      <w:pPr>
        <w:spacing w:after="0" w:line="186" w:lineRule="exact"/>
        <w:rPr>
          <w:rFonts w:ascii="Times New Roman" w:cs="Times New Roman" w:eastAsia="Times New Roman" w:hAnsi="Times New Roman"/>
          <w:sz w:val="20"/>
          <w:szCs w:val="20"/>
          <w:color w:val="auto"/>
        </w:rPr>
      </w:pPr>
    </w:p>
    <w:p>
      <w:pPr>
        <w:jc w:val="both"/>
        <w:ind w:left="640" w:firstLine="978"/>
        <w:spacing w:after="0" w:line="235" w:lineRule="auto"/>
        <w:tabs>
          <w:tab w:leader="none" w:pos="193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consummation of this Amendment does not and will not (i)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violate any requirements of law applicable to any Loan Party or any of its Subsidiaries except for such violations that would not reasonably be expected to result in a Material Adverse Effect, or (iii) violate the Operating Documents of any Loan Party or any of their respective Subsidiaries;</w:t>
      </w:r>
    </w:p>
    <w:p>
      <w:pPr>
        <w:spacing w:after="0" w:line="196" w:lineRule="exact"/>
        <w:rPr>
          <w:rFonts w:ascii="Times New Roman" w:cs="Times New Roman" w:eastAsia="Times New Roman" w:hAnsi="Times New Roman"/>
          <w:sz w:val="20"/>
          <w:szCs w:val="20"/>
          <w:color w:val="auto"/>
        </w:rPr>
      </w:pPr>
    </w:p>
    <w:p>
      <w:pPr>
        <w:jc w:val="both"/>
        <w:ind w:left="640" w:firstLine="978"/>
        <w:spacing w:after="0" w:line="238" w:lineRule="auto"/>
        <w:tabs>
          <w:tab w:leader="none" w:pos="193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Amendment has been duly executed and delivered by each Loan Party and is a legally valid and binding obligation of the Loan Parties party hereto, each enforceable against each of such parties, as applicable, in accordance with their respective terms, except as may be limited by bankruptcy, insolvency, reorganization, moratorium or other laws affecting, creditors’ rights generally and the effects of general principles of equity; and</w:t>
      </w:r>
    </w:p>
    <w:p>
      <w:pPr>
        <w:spacing w:after="0" w:line="176" w:lineRule="exact"/>
        <w:rPr>
          <w:rFonts w:ascii="Times New Roman" w:cs="Times New Roman" w:eastAsia="Times New Roman" w:hAnsi="Times New Roman"/>
          <w:sz w:val="20"/>
          <w:szCs w:val="20"/>
          <w:color w:val="auto"/>
        </w:rPr>
      </w:pPr>
    </w:p>
    <w:p>
      <w:pPr>
        <w:ind w:left="1940" w:hanging="326"/>
        <w:spacing w:after="0"/>
        <w:tabs>
          <w:tab w:leader="none" w:pos="19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Default or Event of Default has occurred or is continuing.</w:t>
      </w:r>
    </w:p>
    <w:p>
      <w:pPr>
        <w:spacing w:after="0" w:line="219" w:lineRule="exact"/>
        <w:rPr>
          <w:rFonts w:ascii="Times New Roman" w:cs="Times New Roman" w:eastAsia="Times New Roman" w:hAnsi="Times New Roman"/>
          <w:sz w:val="20"/>
          <w:szCs w:val="20"/>
          <w:color w:val="auto"/>
        </w:rPr>
      </w:pPr>
    </w:p>
    <w:p>
      <w:pPr>
        <w:jc w:val="both"/>
        <w:ind w:left="640" w:firstLine="654"/>
        <w:spacing w:after="0" w:line="244" w:lineRule="auto"/>
        <w:tabs>
          <w:tab w:leader="none" w:pos="193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Loan Parties agree to pay all reasonable costs and expenses in connection with the preparation, execution and delivery of this Amendment, including the fees and expenses of Agent’s legal counsel.</w:t>
      </w:r>
    </w:p>
    <w:p>
      <w:pPr>
        <w:spacing w:after="0" w:line="186" w:lineRule="exact"/>
        <w:rPr>
          <w:rFonts w:ascii="Times New Roman" w:cs="Times New Roman" w:eastAsia="Times New Roman" w:hAnsi="Times New Roman"/>
          <w:sz w:val="22"/>
          <w:szCs w:val="22"/>
          <w:color w:val="auto"/>
        </w:rPr>
      </w:pPr>
    </w:p>
    <w:p>
      <w:pPr>
        <w:jc w:val="both"/>
        <w:ind w:left="640" w:firstLine="653"/>
        <w:spacing w:after="0" w:line="232" w:lineRule="auto"/>
        <w:tabs>
          <w:tab w:leader="none" w:pos="192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In consideration of, among other things, the Agent’s and each Lender’s execution and delivery of this Amendment, the Borrower and each other Loan Party, on behalf of itself and its agents, representatives, officers, directors, advisors, employees, subsidiaries, affiliates, successors and assigns (collectively,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hereby forever agrees and covenants not to sue or prosecute against any Releasee (as hereinafter defined) and hereby forever waives, releases and discharges, to the fullest extent permitted by law, each Releasee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arising at law or in equity (collectively,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against the Agent and any Lender in any capacity and their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based in whole or in part on facts, whether or not now known, existing on or before the date hereof, that relate to, arise out of or otherwise are in connection with: (i) any or all of the Loan Documents or transactions contemplated thereby or any actions or omissions in connection therewith, (ii) any aspect of the dealings or relationships between or among the Borrower and the other Loan Parties, on the one hand, and the Agent and/or the Lenders, on the other hand, relating to any or all of the documents, transactions, actions or omissions referenced in clause (i) hereof, or (iii) any aspect of the dealings or relationships between or among any or all of the Loan Parties, on the one hand, and the Agent</w:t>
      </w:r>
    </w:p>
    <w:p>
      <w:pPr>
        <w:spacing w:after="0" w:line="200" w:lineRule="exact"/>
        <w:rPr>
          <w:sz w:val="20"/>
          <w:szCs w:val="20"/>
          <w:color w:val="auto"/>
        </w:rPr>
      </w:pPr>
    </w:p>
    <w:p>
      <w:pPr>
        <w:spacing w:after="0" w:line="2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65" w:right="999" w:bottom="1440" w:gutter="0" w:footer="0" w:header="0"/>
        </w:sectPr>
      </w:pPr>
    </w:p>
    <w:bookmarkStart w:id="9" w:name="page10"/>
    <w:bookmarkEnd w:id="9"/>
    <w:p>
      <w:pPr>
        <w:jc w:val="both"/>
        <w:ind w:left="640"/>
        <w:spacing w:after="0" w:line="233" w:lineRule="auto"/>
        <w:rPr>
          <w:sz w:val="20"/>
          <w:szCs w:val="20"/>
          <w:color w:val="auto"/>
        </w:rPr>
      </w:pPr>
      <w:r>
        <w:rPr>
          <w:rFonts w:ascii="Times New Roman" w:cs="Times New Roman" w:eastAsia="Times New Roman" w:hAnsi="Times New Roman"/>
          <w:sz w:val="22"/>
          <w:szCs w:val="22"/>
          <w:color w:val="auto"/>
        </w:rPr>
        <w:t>and/or the Lenders, on the other hand, but only to the extent such dealings or relationships relate to any or all of the documents, transactions, actions or omissions referenced in clause (i) hereof. The receipt by the Borrower or any other Loan Party of the proceeds of any loans or other financial accommodations made by the Agent and the Lenders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such proceeds or other financial accommodations. In entering into this Amendment, the Borrower and each other Loan Party consulted with, and has been represented by, legal counsel and expressly disclaim any reliance on any representations, acts or omissions by any of the Releasees and hereby agree and acknowledge that the validity and effectiveness of the releases set forth above do not depend in any way on any such representations, acts and/or omissions or the accuracy, completeness or validity thereof. The provisions of this Section shall survive the termination of this Amendment, the Credit Agreement, the other Loan Documents and payment in full of the Obligations.</w:t>
      </w:r>
    </w:p>
    <w:p>
      <w:pPr>
        <w:spacing w:after="0" w:line="193" w:lineRule="exact"/>
        <w:rPr>
          <w:sz w:val="20"/>
          <w:szCs w:val="20"/>
          <w:color w:val="auto"/>
        </w:rPr>
      </w:pPr>
    </w:p>
    <w:p>
      <w:pPr>
        <w:jc w:val="both"/>
        <w:ind w:left="640" w:firstLine="654"/>
        <w:spacing w:after="0" w:line="234" w:lineRule="auto"/>
        <w:tabs>
          <w:tab w:leader="none" w:pos="19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xml:space="preserve">. Each Loan Party, on behalf of itself and its successors, assigns and other legal representatives, hereby absolutely, unconditionally and irrevocably covenants and agrees with and in favor of each Releasee that such Loan Party will not sue (at law, in equity, in any regulatory proceeding or otherwise) any Releasee on the basis of any Claim released, remised and discharged by the Loan Parties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If the Loan Parties or any of their respective successors, assigns or other legal representatives violate the foregoing covenant, each Loan Party, for itself and its successors, assigns and legal representatives, agrees to pay, in addition to such other damages as any Releasee may sustain as a result of such violation, all reasonable attorneys’ fees and costs incurred by any Releasee as a result of such violation.</w:t>
      </w:r>
    </w:p>
    <w:p>
      <w:pPr>
        <w:spacing w:after="0" w:line="196" w:lineRule="exact"/>
        <w:rPr>
          <w:rFonts w:ascii="Times New Roman" w:cs="Times New Roman" w:eastAsia="Times New Roman" w:hAnsi="Times New Roman"/>
          <w:sz w:val="22"/>
          <w:szCs w:val="22"/>
          <w:color w:val="auto"/>
        </w:rPr>
      </w:pPr>
    </w:p>
    <w:p>
      <w:pPr>
        <w:jc w:val="both"/>
        <w:ind w:left="640" w:firstLine="653"/>
        <w:spacing w:after="0" w:line="235" w:lineRule="auto"/>
        <w:tabs>
          <w:tab w:leader="none" w:pos="193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Except as expressly provided herein including under Section 2 of this Amendment, nothing contained herein shall be construed as a waiver by any Lender or the Agent of any covenant or provision of the Loan Documents. Failure of Agent or any Lender at any time or times hereafter to require strict performance by the Loan Parties of any provision of the Loan Documents shall not waive, affect or diminish any right of Agent or any Lender to thereafter demand strict compliance therewith. Agent and Lenders hereby reserve all rights granted under the Credit Agreement, the other Loan Documents, this Amendment and any other contract or instrument between any Loan Party, on the one hand, and Agent or any Lender, on the other hand.</w:t>
      </w:r>
    </w:p>
    <w:p>
      <w:pPr>
        <w:spacing w:after="0" w:line="178" w:lineRule="exact"/>
        <w:rPr>
          <w:rFonts w:ascii="Times New Roman" w:cs="Times New Roman" w:eastAsia="Times New Roman" w:hAnsi="Times New Roman"/>
          <w:sz w:val="22"/>
          <w:szCs w:val="22"/>
          <w:color w:val="auto"/>
        </w:rPr>
      </w:pPr>
    </w:p>
    <w:p>
      <w:pPr>
        <w:jc w:val="both"/>
        <w:ind w:left="640" w:firstLine="654"/>
        <w:spacing w:after="0" w:line="238" w:lineRule="auto"/>
        <w:tabs>
          <w:tab w:leader="none" w:pos="19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Novation, etc.</w:t>
      </w:r>
      <w:r>
        <w:rPr>
          <w:rFonts w:ascii="Times New Roman" w:cs="Times New Roman" w:eastAsia="Times New Roman" w:hAnsi="Times New Roman"/>
          <w:sz w:val="22"/>
          <w:szCs w:val="22"/>
          <w:color w:val="auto"/>
        </w:rPr>
        <w:t xml:space="preserve"> This Amendment is not intended to be, nor shall it be construed to create, a novation or accord and satisfaction, and the Credit Agreement, as amended hereby, shall remain in full force and effect. Notwithstanding any prior mutual temporary disregard of any of the terms of the Credit Agreement, the parties agree that the terms of the Credit Agreement shall be strictly adhered to on and after the date hereof, except as expressly modified by this Amendment.</w:t>
      </w:r>
    </w:p>
    <w:p>
      <w:pPr>
        <w:spacing w:after="0" w:line="190" w:lineRule="exact"/>
        <w:rPr>
          <w:rFonts w:ascii="Times New Roman" w:cs="Times New Roman" w:eastAsia="Times New Roman" w:hAnsi="Times New Roman"/>
          <w:sz w:val="22"/>
          <w:szCs w:val="22"/>
          <w:color w:val="auto"/>
        </w:rPr>
      </w:pPr>
    </w:p>
    <w:p>
      <w:pPr>
        <w:jc w:val="both"/>
        <w:ind w:left="640" w:firstLine="654"/>
        <w:spacing w:after="0" w:line="236" w:lineRule="auto"/>
        <w:tabs>
          <w:tab w:leader="none" w:pos="19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21E1E"/>
        </w:rPr>
        <w:t>Counterparts, Email and .pdf</w:t>
      </w:r>
      <w:r>
        <w:rPr>
          <w:rFonts w:ascii="Times New Roman" w:cs="Times New Roman" w:eastAsia="Times New Roman" w:hAnsi="Times New Roman"/>
          <w:sz w:val="22"/>
          <w:szCs w:val="22"/>
          <w:color w:val="221E1E"/>
        </w:rPr>
        <w:t xml:space="preserve">. Each of the Loan Parties agree that at any time and from time to time, upon the written request of the Agent, it will execute and deliver such further documents and do such further acts as the Agent may reasonably request in accordance with the terms and conditions of the Loan Documents in order to effect the purposes of this Amendment. </w:t>
      </w:r>
      <w:r>
        <w:rPr>
          <w:rFonts w:ascii="Times New Roman" w:cs="Times New Roman" w:eastAsia="Times New Roman" w:hAnsi="Times New Roman"/>
          <w:sz w:val="22"/>
          <w:szCs w:val="22"/>
          <w:color w:val="000000"/>
        </w:rPr>
        <w:t>This</w:t>
      </w:r>
      <w:r>
        <w:rPr>
          <w:rFonts w:ascii="Times New Roman" w:cs="Times New Roman" w:eastAsia="Times New Roman" w:hAnsi="Times New Roman"/>
          <w:sz w:val="22"/>
          <w:szCs w:val="22"/>
          <w:color w:val="221E1E"/>
        </w:rPr>
        <w:t xml:space="preserve"> </w:t>
      </w:r>
      <w:r>
        <w:rPr>
          <w:rFonts w:ascii="Times New Roman" w:cs="Times New Roman" w:eastAsia="Times New Roman" w:hAnsi="Times New Roman"/>
          <w:sz w:val="22"/>
          <w:szCs w:val="22"/>
          <w:color w:val="000000"/>
        </w:rPr>
        <w:t>Amendment (a) may be executed in two or more counterparts, each of which shall constitute an original but all of which when taken together shall constitute one contract and (b) may, upon</w:t>
      </w:r>
    </w:p>
    <w:p>
      <w:pPr>
        <w:spacing w:after="0" w:line="200" w:lineRule="exact"/>
        <w:rPr>
          <w:sz w:val="20"/>
          <w:szCs w:val="20"/>
          <w:color w:val="auto"/>
        </w:rPr>
      </w:pPr>
    </w:p>
    <w:p>
      <w:pPr>
        <w:spacing w:after="0" w:line="26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9" w:right="999" w:bottom="1440" w:gutter="0" w:footer="0" w:header="0"/>
        </w:sectPr>
      </w:pPr>
    </w:p>
    <w:bookmarkStart w:id="10" w:name="page11"/>
    <w:bookmarkEnd w:id="10"/>
    <w:p>
      <w:pPr>
        <w:jc w:val="both"/>
        <w:ind w:left="640"/>
        <w:spacing w:after="0" w:line="236" w:lineRule="auto"/>
        <w:rPr>
          <w:sz w:val="20"/>
          <w:szCs w:val="20"/>
          <w:color w:val="auto"/>
        </w:rPr>
      </w:pPr>
      <w:r>
        <w:rPr>
          <w:rFonts w:ascii="Times New Roman" w:cs="Times New Roman" w:eastAsia="Times New Roman" w:hAnsi="Times New Roman"/>
          <w:sz w:val="22"/>
          <w:szCs w:val="22"/>
          <w:color w:val="auto"/>
        </w:rPr>
        <w:t>execution, be delivered by facsimile, electronic mail (including pdf)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w:t>
      </w:r>
    </w:p>
    <w:p>
      <w:pPr>
        <w:spacing w:after="0" w:line="195" w:lineRule="exact"/>
        <w:rPr>
          <w:sz w:val="20"/>
          <w:szCs w:val="20"/>
          <w:color w:val="auto"/>
        </w:rPr>
      </w:pPr>
    </w:p>
    <w:p>
      <w:pPr>
        <w:jc w:val="both"/>
        <w:ind w:left="640" w:firstLine="653"/>
        <w:spacing w:after="0" w:line="236" w:lineRule="auto"/>
        <w:tabs>
          <w:tab w:leader="none" w:pos="193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of Parties; No Third Party Beneficiaries</w:t>
      </w:r>
      <w:r>
        <w:rPr>
          <w:rFonts w:ascii="Times New Roman" w:cs="Times New Roman" w:eastAsia="Times New Roman" w:hAnsi="Times New Roman"/>
          <w:sz w:val="22"/>
          <w:szCs w:val="22"/>
          <w:color w:val="auto"/>
        </w:rPr>
        <w:t>. Nothing in this Amendment shall be construed to alter the existing debtor-creditor relationship between any Loan Party and any Lender. This Amendment is not intended, nor shall it be construed, to create a partnership or joint venture relationship between or among any of the parties hereto. No Person other than a party hereto is intended to be a beneficiary hereof and no Person other than a party hereto shall be authorized to rely upon or enforce the contents of this Amendment.</w:t>
      </w:r>
    </w:p>
    <w:p>
      <w:pPr>
        <w:spacing w:after="0" w:line="194" w:lineRule="exact"/>
        <w:rPr>
          <w:rFonts w:ascii="Times New Roman" w:cs="Times New Roman" w:eastAsia="Times New Roman" w:hAnsi="Times New Roman"/>
          <w:sz w:val="22"/>
          <w:szCs w:val="22"/>
          <w:color w:val="auto"/>
        </w:rPr>
      </w:pPr>
    </w:p>
    <w:p>
      <w:pPr>
        <w:ind w:left="640" w:firstLine="654"/>
        <w:spacing w:after="0" w:line="258" w:lineRule="auto"/>
        <w:tabs>
          <w:tab w:leader="none" w:pos="19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will be binding upon and inure to the benefit of the parties hereto and their respective successors and assigns.</w:t>
      </w:r>
    </w:p>
    <w:p>
      <w:pPr>
        <w:spacing w:after="0" w:line="158" w:lineRule="exact"/>
        <w:rPr>
          <w:rFonts w:ascii="Times New Roman" w:cs="Times New Roman" w:eastAsia="Times New Roman" w:hAnsi="Times New Roman"/>
          <w:sz w:val="22"/>
          <w:szCs w:val="22"/>
          <w:color w:val="auto"/>
        </w:rPr>
      </w:pPr>
    </w:p>
    <w:p>
      <w:pPr>
        <w:jc w:val="both"/>
        <w:ind w:left="640" w:firstLine="653"/>
        <w:spacing w:after="0" w:line="239" w:lineRule="auto"/>
        <w:tabs>
          <w:tab w:leader="none" w:pos="193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21E1E"/>
        </w:rPr>
        <w:t>Governing Law</w:t>
      </w:r>
      <w:r>
        <w:rPr>
          <w:rFonts w:ascii="Times New Roman" w:cs="Times New Roman" w:eastAsia="Times New Roman" w:hAnsi="Times New Roman"/>
          <w:sz w:val="22"/>
          <w:szCs w:val="22"/>
          <w:color w:val="221E1E"/>
        </w:rPr>
        <w:t xml:space="preserve">. This Amendment shall be governed by and construed and enforced in accordance with the laws of the State of New York. The terms of </w:t>
      </w:r>
      <w:r>
        <w:rPr>
          <w:rFonts w:ascii="Times New Roman" w:cs="Times New Roman" w:eastAsia="Times New Roman" w:hAnsi="Times New Roman"/>
          <w:sz w:val="22"/>
          <w:szCs w:val="22"/>
          <w:u w:val="single" w:color="auto"/>
          <w:color w:val="221E1E"/>
        </w:rPr>
        <w:t>Section 8.12</w:t>
      </w:r>
      <w:r>
        <w:rPr>
          <w:rFonts w:ascii="Times New Roman" w:cs="Times New Roman" w:eastAsia="Times New Roman" w:hAnsi="Times New Roman"/>
          <w:sz w:val="22"/>
          <w:szCs w:val="22"/>
          <w:color w:val="221E1E"/>
        </w:rPr>
        <w:t xml:space="preserve"> of the Credit Agreement are incorporated herein by reference, </w:t>
      </w:r>
      <w:r>
        <w:rPr>
          <w:rFonts w:ascii="Times New Roman" w:cs="Times New Roman" w:eastAsia="Times New Roman" w:hAnsi="Times New Roman"/>
          <w:sz w:val="22"/>
          <w:szCs w:val="22"/>
          <w:i w:val="1"/>
          <w:iCs w:val="1"/>
          <w:color w:val="221E1E"/>
        </w:rPr>
        <w:t>mutatis mutandis</w:t>
      </w:r>
      <w:r>
        <w:rPr>
          <w:rFonts w:ascii="Times New Roman" w:cs="Times New Roman" w:eastAsia="Times New Roman" w:hAnsi="Times New Roman"/>
          <w:sz w:val="22"/>
          <w:szCs w:val="22"/>
          <w:color w:val="221E1E"/>
        </w:rPr>
        <w:t>, and the parties hereto agree to such terms.</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4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9"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231F20"/>
        </w:rPr>
        <w:t>DocuSign Envelope ID: ECD60328-DB0F-4730-B6E9-083DF5216F25</w:t>
      </w:r>
    </w:p>
    <w:p>
      <w:pPr>
        <w:spacing w:after="0" w:line="131" w:lineRule="exact"/>
        <w:rPr>
          <w:sz w:val="20"/>
          <w:szCs w:val="20"/>
          <w:color w:val="auto"/>
        </w:rPr>
      </w:pPr>
    </w:p>
    <w:p>
      <w:pPr>
        <w:jc w:val="both"/>
        <w:ind w:left="1000" w:firstLine="1296"/>
        <w:spacing w:after="0" w:line="244" w:lineRule="auto"/>
        <w:rPr>
          <w:sz w:val="20"/>
          <w:szCs w:val="20"/>
          <w:color w:val="auto"/>
        </w:rPr>
      </w:pPr>
      <w:r>
        <w:rPr>
          <w:rFonts w:ascii="Times New Roman" w:cs="Times New Roman" w:eastAsia="Times New Roman" w:hAnsi="Times New Roman"/>
          <w:sz w:val="22"/>
          <w:szCs w:val="22"/>
          <w:color w:val="231F20"/>
        </w:rPr>
        <w:t>IN WITNESS WHEREOF, each party hereto has caused this Amendment to be duly executed and delivered by its proper and duly authorized officer(s) as of the day and year first above written.</w:t>
      </w:r>
    </w:p>
    <w:p>
      <w:pPr>
        <w:spacing w:after="0" w:line="10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231F20"/>
        </w:rPr>
        <w:t>BORROWER:</w:t>
      </w:r>
    </w:p>
    <w:p>
      <w:pPr>
        <w:spacing w:after="0" w:line="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231F20"/>
        </w:rPr>
        <w:t>E LA CARTE, LLC</w:t>
      </w:r>
    </w:p>
    <w:p>
      <w:pPr>
        <w:ind w:left="4900"/>
        <w:spacing w:after="0"/>
        <w:rPr>
          <w:sz w:val="20"/>
          <w:szCs w:val="20"/>
          <w:color w:val="auto"/>
        </w:rPr>
      </w:pPr>
      <w:r>
        <w:rPr>
          <w:rFonts w:ascii="Times New Roman" w:cs="Times New Roman" w:eastAsia="Times New Roman" w:hAnsi="Times New Roman"/>
          <w:sz w:val="22"/>
          <w:szCs w:val="22"/>
          <w:color w:val="231F20"/>
        </w:rPr>
        <w:t>(F/K/A VENTOUX MERGER SUB II LLC)</w:t>
      </w:r>
    </w:p>
    <w:p>
      <w:pPr>
        <w:spacing w:after="0" w:line="385" w:lineRule="exact"/>
        <w:rPr>
          <w:sz w:val="20"/>
          <w:szCs w:val="20"/>
          <w:color w:val="auto"/>
        </w:rPr>
      </w:pPr>
    </w:p>
    <w:p>
      <w:pPr>
        <w:ind w:left="4900"/>
        <w:spacing w:after="0"/>
        <w:tabs>
          <w:tab w:leader="none" w:pos="5520" w:val="left"/>
        </w:tabs>
        <w:rPr>
          <w:sz w:val="20"/>
          <w:szCs w:val="20"/>
          <w:color w:val="auto"/>
        </w:rPr>
      </w:pPr>
      <w:r>
        <w:rPr>
          <w:rFonts w:ascii="Times New Roman" w:cs="Times New Roman" w:eastAsia="Times New Roman" w:hAnsi="Times New Roman"/>
          <w:sz w:val="22"/>
          <w:szCs w:val="22"/>
          <w:color w:val="231F20"/>
        </w:rPr>
        <w:t>By:</w:t>
      </w:r>
      <w:r>
        <w:rPr>
          <w:sz w:val="20"/>
          <w:szCs w:val="20"/>
          <w:color w:val="auto"/>
        </w:rPr>
        <w:tab/>
      </w:r>
      <w:r>
        <w:rPr>
          <w:rFonts w:ascii="Times New Roman" w:cs="Times New Roman" w:eastAsia="Times New Roman" w:hAnsi="Times New Roman"/>
          <w:sz w:val="22"/>
          <w:szCs w:val="22"/>
          <w:u w:val="single" w:color="auto"/>
          <w:color w:val="231F20"/>
        </w:rPr>
        <w:t>/s</w:t>
      </w:r>
      <w:r>
        <w:rPr>
          <w:rFonts w:ascii="Times New Roman" w:cs="Times New Roman" w:eastAsia="Times New Roman" w:hAnsi="Times New Roman"/>
          <w:sz w:val="19"/>
          <w:szCs w:val="19"/>
          <w:u w:val="single" w:color="auto"/>
          <w:color w:val="000000"/>
        </w:rPr>
        <w:t>/Krishna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-13970</wp:posOffset>
            </wp:positionV>
            <wp:extent cx="125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095"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231F20"/>
        </w:rPr>
        <w:t xml:space="preserve">Name: </w:t>
      </w:r>
      <w:r>
        <w:rPr>
          <w:rFonts w:ascii="Times New Roman" w:cs="Times New Roman" w:eastAsia="Times New Roman" w:hAnsi="Times New Roman"/>
          <w:sz w:val="17"/>
          <w:szCs w:val="17"/>
          <w:u w:val="single" w:color="auto"/>
          <w:color w:val="231F20"/>
        </w:rPr>
        <w:t>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-22860</wp:posOffset>
            </wp:positionV>
            <wp:extent cx="325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231F20"/>
        </w:rPr>
        <w:t xml:space="preserve">Title:  </w:t>
      </w:r>
      <w:r>
        <w:rPr>
          <w:rFonts w:ascii="Times New Roman" w:cs="Times New Roman" w:eastAsia="Times New Roman" w:hAnsi="Times New Roman"/>
          <w:sz w:val="17"/>
          <w:szCs w:val="17"/>
          <w:u w:val="single" w:color="auto"/>
          <w:color w:val="231F20"/>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4965700</wp:posOffset>
            </wp:positionH>
            <wp:positionV relativeFrom="paragraph">
              <wp:posOffset>-29210</wp:posOffset>
            </wp:positionV>
            <wp:extent cx="316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2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231F20"/>
        </w:rPr>
        <w:t>PARENT:</w:t>
      </w:r>
    </w:p>
    <w:p>
      <w:pPr>
        <w:spacing w:after="0" w:line="200" w:lineRule="exact"/>
        <w:rPr>
          <w:sz w:val="20"/>
          <w:szCs w:val="20"/>
          <w:color w:val="auto"/>
        </w:rPr>
      </w:pPr>
    </w:p>
    <w:p>
      <w:pPr>
        <w:spacing w:after="0" w:line="21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231F20"/>
        </w:rPr>
        <w:t>PRESTO AUTOMATION INC.</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231F20"/>
        </w:rPr>
        <w:t>(F/K/A VENTOUX CCM ACQUISITION CORP.)</w:t>
      </w:r>
    </w:p>
    <w:p>
      <w:pPr>
        <w:spacing w:after="0" w:line="394" w:lineRule="exact"/>
        <w:rPr>
          <w:sz w:val="20"/>
          <w:szCs w:val="20"/>
          <w:color w:val="auto"/>
        </w:rPr>
      </w:pPr>
    </w:p>
    <w:p>
      <w:pPr>
        <w:ind w:left="4900"/>
        <w:spacing w:after="0"/>
        <w:tabs>
          <w:tab w:leader="none" w:pos="5520" w:val="left"/>
        </w:tabs>
        <w:rPr>
          <w:sz w:val="20"/>
          <w:szCs w:val="20"/>
          <w:color w:val="auto"/>
        </w:rPr>
      </w:pPr>
      <w:r>
        <w:rPr>
          <w:rFonts w:ascii="Times New Roman" w:cs="Times New Roman" w:eastAsia="Times New Roman" w:hAnsi="Times New Roman"/>
          <w:sz w:val="22"/>
          <w:szCs w:val="22"/>
          <w:color w:val="231F20"/>
        </w:rPr>
        <w:t>By:</w:t>
      </w:r>
      <w:r>
        <w:rPr>
          <w:sz w:val="20"/>
          <w:szCs w:val="20"/>
          <w:color w:val="auto"/>
        </w:rPr>
        <w:tab/>
      </w:r>
      <w:r>
        <w:rPr>
          <w:rFonts w:ascii="Times New Roman" w:cs="Times New Roman" w:eastAsia="Times New Roman" w:hAnsi="Times New Roman"/>
          <w:sz w:val="18"/>
          <w:szCs w:val="18"/>
          <w:u w:val="single" w:color="auto"/>
          <w:color w:val="231F20"/>
        </w:rPr>
        <w:t>/s/</w:t>
      </w:r>
      <w:r>
        <w:rPr>
          <w:rFonts w:ascii="Times New Roman" w:cs="Times New Roman" w:eastAsia="Times New Roman" w:hAnsi="Times New Roman"/>
          <w:sz w:val="19"/>
          <w:szCs w:val="19"/>
          <w:u w:val="single" w:color="auto"/>
          <w:color w:val="000000"/>
        </w:rPr>
        <w:t>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-11430</wp:posOffset>
            </wp:positionV>
            <wp:extent cx="1409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231F20"/>
        </w:rPr>
        <w:t xml:space="preserve">Name: </w:t>
      </w:r>
      <w:r>
        <w:rPr>
          <w:rFonts w:ascii="Times New Roman" w:cs="Times New Roman" w:eastAsia="Times New Roman" w:hAnsi="Times New Roman"/>
          <w:sz w:val="17"/>
          <w:szCs w:val="17"/>
          <w:u w:val="single" w:color="auto"/>
          <w:color w:val="231F20"/>
        </w:rPr>
        <w:t>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-22860</wp:posOffset>
            </wp:positionV>
            <wp:extent cx="325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231F20"/>
        </w:rPr>
        <w:t xml:space="preserve">Title:  </w:t>
      </w:r>
      <w:r>
        <w:rPr>
          <w:rFonts w:ascii="Times New Roman" w:cs="Times New Roman" w:eastAsia="Times New Roman" w:hAnsi="Times New Roman"/>
          <w:sz w:val="17"/>
          <w:szCs w:val="17"/>
          <w:u w:val="single" w:color="auto"/>
          <w:color w:val="231F20"/>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4965700</wp:posOffset>
            </wp:positionH>
            <wp:positionV relativeFrom="paragraph">
              <wp:posOffset>-29210</wp:posOffset>
            </wp:positionV>
            <wp:extent cx="3168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3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12" w:name="page13"/>
    <w:bookmarkEnd w:id="12"/>
    <w:p>
      <w:pPr>
        <w:ind w:left="4540"/>
        <w:spacing w:after="0"/>
        <w:rPr>
          <w:sz w:val="20"/>
          <w:szCs w:val="20"/>
          <w:color w:val="auto"/>
        </w:rPr>
      </w:pPr>
      <w:r>
        <w:rPr>
          <w:rFonts w:ascii="Times New Roman" w:cs="Times New Roman" w:eastAsia="Times New Roman" w:hAnsi="Times New Roman"/>
          <w:sz w:val="22"/>
          <w:szCs w:val="22"/>
          <w:b w:val="1"/>
          <w:bCs w:val="1"/>
          <w:color w:val="auto"/>
        </w:rPr>
        <w:t>AGENT:</w:t>
      </w:r>
    </w:p>
    <w:p>
      <w:pPr>
        <w:spacing w:after="0" w:line="2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METROPOLITAN PARTNERS GROUP</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ADMINISTRATION, LLC</w:t>
      </w:r>
    </w:p>
    <w:p>
      <w:pPr>
        <w:spacing w:after="0" w:line="267" w:lineRule="exact"/>
        <w:rPr>
          <w:sz w:val="20"/>
          <w:szCs w:val="20"/>
          <w:color w:val="auto"/>
        </w:rPr>
      </w:pPr>
    </w:p>
    <w:tbl>
      <w:tblPr>
        <w:tblLayout w:type="fixed"/>
        <w:tblInd w:w="454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8"/>
              </w:rPr>
              <w:t>/s/ Paul K. Lisiak</w:t>
            </w:r>
          </w:p>
        </w:tc>
      </w:tr>
      <w:tr>
        <w:trPr>
          <w:trHeight w:val="250"/>
        </w:trPr>
        <w:tc>
          <w:tcPr>
            <w:tcW w:w="74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Paul K. Lisiak</w:t>
            </w:r>
          </w:p>
        </w:tc>
        <w:tc>
          <w:tcPr>
            <w:tcW w:w="20" w:type="dxa"/>
            <w:vAlign w:val="bottom"/>
          </w:tcPr>
          <w:p>
            <w:pPr>
              <w:spacing w:after="0"/>
              <w:rPr>
                <w:sz w:val="21"/>
                <w:szCs w:val="21"/>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Managing Partner</w:t>
            </w:r>
          </w:p>
        </w:tc>
      </w:tr>
    </w:tbl>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29" w:right="1440" w:bottom="1440" w:gutter="0" w:footer="0" w:header="0"/>
        </w:sectPr>
      </w:pPr>
    </w:p>
    <w:bookmarkStart w:id="13" w:name="page14"/>
    <w:bookmarkEnd w:id="13"/>
    <w:p>
      <w:pPr>
        <w:ind w:left="4540"/>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251" w:lineRule="exact"/>
        <w:rPr>
          <w:sz w:val="20"/>
          <w:szCs w:val="20"/>
          <w:color w:val="auto"/>
        </w:rPr>
      </w:pPr>
    </w:p>
    <w:p>
      <w:pPr>
        <w:ind w:left="4540"/>
        <w:spacing w:after="0" w:line="258" w:lineRule="auto"/>
        <w:rPr>
          <w:sz w:val="20"/>
          <w:szCs w:val="20"/>
          <w:color w:val="auto"/>
        </w:rPr>
      </w:pPr>
      <w:r>
        <w:rPr>
          <w:rFonts w:ascii="Times New Roman" w:cs="Times New Roman" w:eastAsia="Times New Roman" w:hAnsi="Times New Roman"/>
          <w:sz w:val="22"/>
          <w:szCs w:val="22"/>
          <w:color w:val="auto"/>
        </w:rPr>
        <w:t>METROPOLITAN LEVERED PARTNERS FUND VII, LP</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MPF VII GP, LLC its General Partner</w:t>
      </w:r>
    </w:p>
    <w:p>
      <w:pPr>
        <w:spacing w:after="0" w:line="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-13335</wp:posOffset>
            </wp:positionV>
            <wp:extent cx="1066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Paul K. Lisiak</w:t>
      </w:r>
    </w:p>
    <w:p>
      <w:pPr>
        <w:ind w:left="454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METROPOLITAN PARTNERS FUND VII, LP</w:t>
      </w:r>
    </w:p>
    <w:p>
      <w:pPr>
        <w:spacing w:after="0" w:line="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MPF VII GP, LLC its General Partner</w:t>
      </w:r>
    </w:p>
    <w:p>
      <w:pPr>
        <w:spacing w:after="0" w:line="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-13335</wp:posOffset>
            </wp:positionV>
            <wp:extent cx="1066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Paul K. Lisiak</w:t>
      </w:r>
    </w:p>
    <w:p>
      <w:pPr>
        <w:ind w:left="454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METROPOLITAN OFFSHORE PARTNERS FUND</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VII, LP</w:t>
      </w:r>
    </w:p>
    <w:p>
      <w:pPr>
        <w:spacing w:after="0" w:line="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MPF VII GP, LLC its General Partner</w:t>
      </w:r>
    </w:p>
    <w:p>
      <w:pPr>
        <w:spacing w:after="0" w:line="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-13335</wp:posOffset>
            </wp:positionV>
            <wp:extent cx="10668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Paul K. Lisiak</w:t>
      </w:r>
    </w:p>
    <w:p>
      <w:pPr>
        <w:ind w:left="454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CEOF HOLDINGS LP</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CORBIN CAPITAL PARTNERS, L.P., its</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-13335</wp:posOffset>
            </wp:positionV>
            <wp:extent cx="23228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w:t>
      </w:r>
    </w:p>
    <w:p>
      <w:pPr>
        <w:jc w:val="center"/>
        <w:ind w:right="-139"/>
        <w:spacing w:after="0"/>
        <w:rPr>
          <w:sz w:val="20"/>
          <w:szCs w:val="20"/>
          <w:color w:val="auto"/>
        </w:rPr>
      </w:pPr>
      <w:r>
        <w:rPr>
          <w:rFonts w:ascii="Times New Roman" w:cs="Times New Roman" w:eastAsia="Times New Roman" w:hAnsi="Times New Roman"/>
          <w:sz w:val="22"/>
          <w:szCs w:val="22"/>
          <w:color w:val="auto"/>
        </w:rPr>
        <w:t>Title:</w:t>
      </w:r>
    </w:p>
    <w:p>
      <w:pPr>
        <w:spacing w:after="0" w:line="36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00"/>
          </w:cols>
          <w:pgMar w:left="1440" w:top="1229" w:right="1059" w:bottom="1440" w:gutter="0" w:footer="0" w:header="0"/>
        </w:sectPr>
      </w:pPr>
    </w:p>
    <w:bookmarkStart w:id="14" w:name="page15"/>
    <w:bookmarkEnd w:id="14"/>
    <w:p>
      <w:pPr>
        <w:ind w:left="4540"/>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251" w:lineRule="exact"/>
        <w:rPr>
          <w:sz w:val="20"/>
          <w:szCs w:val="20"/>
          <w:color w:val="auto"/>
        </w:rPr>
      </w:pPr>
    </w:p>
    <w:p>
      <w:pPr>
        <w:ind w:left="4540"/>
        <w:spacing w:after="0" w:line="258" w:lineRule="auto"/>
        <w:rPr>
          <w:sz w:val="20"/>
          <w:szCs w:val="20"/>
          <w:color w:val="auto"/>
        </w:rPr>
      </w:pPr>
      <w:r>
        <w:rPr>
          <w:rFonts w:ascii="Times New Roman" w:cs="Times New Roman" w:eastAsia="Times New Roman" w:hAnsi="Times New Roman"/>
          <w:sz w:val="22"/>
          <w:szCs w:val="22"/>
          <w:color w:val="auto"/>
        </w:rPr>
        <w:t>METROPOLITAN LEVERED PARTNERS FUND VII, LP</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MPF VII GP, LLC its General Partner</w:t>
      </w:r>
    </w:p>
    <w:p>
      <w:pPr>
        <w:spacing w:after="0" w:line="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-13335</wp:posOffset>
            </wp:positionV>
            <wp:extent cx="1985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Paul K. Lisiak</w:t>
      </w:r>
    </w:p>
    <w:p>
      <w:pPr>
        <w:ind w:left="454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METROPOLITAN PARTNERS FUND VII, LP</w:t>
      </w:r>
    </w:p>
    <w:p>
      <w:pPr>
        <w:spacing w:after="0" w:line="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MPF VII GP, LLC its General Partner</w:t>
      </w:r>
    </w:p>
    <w:p>
      <w:pPr>
        <w:spacing w:after="0" w:line="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-13335</wp:posOffset>
            </wp:positionV>
            <wp:extent cx="1985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Paul K. Lisiak</w:t>
      </w:r>
    </w:p>
    <w:p>
      <w:pPr>
        <w:ind w:left="454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METROPOLITAN OFFSHORE PARTNERS FUND</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VII, LP</w:t>
      </w:r>
    </w:p>
    <w:p>
      <w:pPr>
        <w:spacing w:after="0" w:line="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MPF VII GP, LLC its General Partner</w:t>
      </w:r>
    </w:p>
    <w:p>
      <w:pPr>
        <w:spacing w:after="0" w:line="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-13335</wp:posOffset>
            </wp:positionV>
            <wp:extent cx="19856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Paul K. Lisiak</w:t>
      </w:r>
    </w:p>
    <w:p>
      <w:pPr>
        <w:ind w:left="454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CEOF HOLDINGS LP</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CORBIN CAPITAL PARTNERS, L.P., its</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 /s/ Daniel Friedman</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16"/>
          <w:szCs w:val="16"/>
          <w:color w:val="auto"/>
        </w:rPr>
        <w:t>Daniel Friedman</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16"/>
          <w:szCs w:val="16"/>
          <w:color w:val="auto"/>
        </w:rPr>
        <w:t>General Counsel</w:t>
      </w:r>
    </w:p>
    <w:p>
      <w:pPr>
        <w:spacing w:after="0" w:line="200" w:lineRule="exact"/>
        <w:rPr>
          <w:sz w:val="20"/>
          <w:szCs w:val="20"/>
          <w:color w:val="auto"/>
        </w:rPr>
      </w:pPr>
    </w:p>
    <w:p>
      <w:pPr>
        <w:spacing w:after="0" w:line="23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00"/>
          </w:cols>
          <w:pgMar w:left="1440" w:top="1229" w:right="10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Conformed Credit Agreement</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I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color w:val="FF0000"/>
          <w:strike w:val="1"/>
        </w:rPr>
        <w:t>EXECUTION VERSION</w:t>
      </w:r>
      <w:r>
        <w:rPr>
          <w:rFonts w:ascii="Times New Roman" w:cs="Times New Roman" w:eastAsia="Times New Roman" w:hAnsi="Times New Roman"/>
          <w:sz w:val="22"/>
          <w:szCs w:val="22"/>
          <w:u w:val="single" w:color="auto"/>
          <w:color w:val="0000FF"/>
          <w:strike w:val="1"/>
        </w:rPr>
        <w:t>Annex I</w:t>
      </w: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dated as of September 21, 2022, among</w:t>
      </w: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E LA CARTE, LLC</w:t>
      </w:r>
    </w:p>
    <w:p>
      <w:pPr>
        <w:spacing w:after="0" w:line="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(F/K/A VENTOUX MERGER SUB II LLC),</w:t>
      </w:r>
    </w:p>
    <w:p>
      <w:pPr>
        <w:jc w:val="center"/>
        <w:ind w:right="46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PRESTO AUTOMATION INC.</w:t>
      </w:r>
    </w:p>
    <w:p>
      <w:pPr>
        <w:spacing w:after="0" w:line="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(F/K/A VENTOUX CCM ACQUISITION CORP.),</w:t>
      </w:r>
    </w:p>
    <w:p>
      <w:pPr>
        <w:jc w:val="center"/>
        <w:ind w:right="460"/>
        <w:spacing w:after="0"/>
        <w:rPr>
          <w:sz w:val="20"/>
          <w:szCs w:val="20"/>
          <w:color w:val="auto"/>
        </w:rPr>
      </w:pPr>
      <w:r>
        <w:rPr>
          <w:rFonts w:ascii="Times New Roman" w:cs="Times New Roman" w:eastAsia="Times New Roman" w:hAnsi="Times New Roman"/>
          <w:sz w:val="22"/>
          <w:szCs w:val="22"/>
          <w:color w:val="auto"/>
        </w:rPr>
        <w:t>as Parent,</w:t>
      </w:r>
    </w:p>
    <w:p>
      <w:pPr>
        <w:spacing w:after="0" w:line="2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THE LENDERS FROM TIME TO TIME PARTY HERETO,</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as Lenders,</w:t>
      </w:r>
    </w:p>
    <w:p>
      <w:pPr>
        <w:spacing w:after="0" w:line="2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METROPOLITAN PARTNERS GROUP ADMINISTRATION, LLC,</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715645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86"/>
        </w:trPr>
        <w:tc>
          <w:tcPr>
            <w:tcW w:w="1800" w:type="dxa"/>
            <w:vAlign w:val="bottom"/>
          </w:tcPr>
          <w:p>
            <w:pPr>
              <w:spacing w:after="0"/>
              <w:rPr>
                <w:sz w:val="24"/>
                <w:szCs w:val="24"/>
                <w:color w:val="auto"/>
              </w:rPr>
            </w:pPr>
          </w:p>
        </w:tc>
        <w:tc>
          <w:tcPr>
            <w:tcW w:w="6340" w:type="dxa"/>
            <w:vAlign w:val="bottom"/>
          </w:tcPr>
          <w:p>
            <w:pPr>
              <w:ind w:left="23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8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780" w:type="dxa"/>
            <w:vAlign w:val="bottom"/>
            <w:gridSpan w:val="4"/>
          </w:tcPr>
          <w:p>
            <w:pPr>
              <w:jc w:val="right"/>
              <w:ind w:right="1360"/>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96"/>
        </w:trPr>
        <w:tc>
          <w:tcPr>
            <w:tcW w:w="8140" w:type="dxa"/>
            <w:vAlign w:val="bottom"/>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140" w:type="dxa"/>
            <w:vAlign w:val="bottom"/>
            <w:gridSpan w:val="2"/>
          </w:tcPr>
          <w:p>
            <w:pPr>
              <w:ind w:left="1300"/>
              <w:spacing w:after="0"/>
              <w:rPr>
                <w:sz w:val="20"/>
                <w:szCs w:val="20"/>
                <w:color w:val="auto"/>
              </w:rPr>
            </w:pPr>
            <w:r>
              <w:rPr>
                <w:rFonts w:ascii="Times New Roman" w:cs="Times New Roman" w:eastAsia="Times New Roman" w:hAnsi="Times New Roman"/>
                <w:sz w:val="22"/>
                <w:szCs w:val="22"/>
                <w:color w:val="010000"/>
              </w:rPr>
              <w:t xml:space="preserve">SECTION 1 </w:t>
            </w:r>
            <w:r>
              <w:rPr>
                <w:rFonts w:ascii="Times New Roman" w:cs="Times New Roman" w:eastAsia="Times New Roman" w:hAnsi="Times New Roman"/>
                <w:sz w:val="22"/>
                <w:szCs w:val="22"/>
                <w:color w:val="000000"/>
              </w:rPr>
              <w:t>DEFINITIONS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800" w:type="dxa"/>
            <w:vAlign w:val="bottom"/>
          </w:tcPr>
          <w:p>
            <w:pPr>
              <w:ind w:left="1440"/>
              <w:spacing w:after="0"/>
              <w:rPr>
                <w:sz w:val="20"/>
                <w:szCs w:val="20"/>
                <w:color w:val="auto"/>
              </w:rPr>
            </w:pPr>
            <w:r>
              <w:rPr>
                <w:rFonts w:ascii="Times New Roman" w:cs="Times New Roman" w:eastAsia="Times New Roman" w:hAnsi="Times New Roman"/>
                <w:sz w:val="22"/>
                <w:szCs w:val="22"/>
                <w:color w:val="010000"/>
              </w:rPr>
              <w:t>1.1</w:t>
            </w:r>
          </w:p>
        </w:tc>
        <w:tc>
          <w:tcPr>
            <w:tcW w:w="6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6"/>
                <w:szCs w:val="16"/>
                <w:color w:val="auto"/>
              </w:rPr>
              <w:t>EFINED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6"/>
                <w:szCs w:val="16"/>
                <w:color w:val="auto"/>
              </w:rPr>
              <w:t>ERMS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440"/>
              <w:spacing w:after="0" w:line="230" w:lineRule="exact"/>
              <w:rPr>
                <w:sz w:val="20"/>
                <w:szCs w:val="20"/>
                <w:color w:val="auto"/>
              </w:rPr>
            </w:pPr>
            <w:r>
              <w:rPr>
                <w:rFonts w:ascii="Times New Roman" w:cs="Times New Roman" w:eastAsia="Times New Roman" w:hAnsi="Times New Roman"/>
                <w:sz w:val="22"/>
                <w:szCs w:val="22"/>
                <w:color w:val="010000"/>
              </w:rPr>
              <w:t>1.2</w:t>
            </w:r>
          </w:p>
        </w:tc>
        <w:tc>
          <w:tcPr>
            <w:tcW w:w="6340" w:type="dxa"/>
            <w:vAlign w:val="bottom"/>
          </w:tcPr>
          <w:p>
            <w:pPr>
              <w:ind w:left="40"/>
              <w:spacing w:after="0" w:line="230" w:lineRule="exact"/>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6"/>
                <w:szCs w:val="16"/>
                <w:color w:val="auto"/>
              </w:rPr>
              <w:t>THER</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EFINITIONAL</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6"/>
                <w:szCs w:val="16"/>
                <w:color w:val="auto"/>
              </w:rPr>
              <w:t>ROVISIONS</w:t>
            </w:r>
          </w:p>
        </w:tc>
        <w:tc>
          <w:tcPr>
            <w:tcW w:w="2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FF0000"/>
                <w:strike w:val="1"/>
                <w:w w:val="90"/>
              </w:rPr>
              <w:t>24</w:t>
            </w:r>
          </w:p>
        </w:tc>
        <w:tc>
          <w:tcPr>
            <w:tcW w:w="20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25</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22"/>
                <w:szCs w:val="22"/>
                <w:color w:val="FF0000"/>
                <w:strike w:val="1"/>
                <w:w w:val="90"/>
              </w:rPr>
              <w:t>26</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gridSpan w:val="2"/>
            <w:vMerge w:val="restart"/>
          </w:tcPr>
          <w:p>
            <w:pPr>
              <w:ind w:left="1300"/>
              <w:spacing w:after="0" w:line="223" w:lineRule="exact"/>
              <w:rPr>
                <w:sz w:val="20"/>
                <w:szCs w:val="20"/>
                <w:color w:val="auto"/>
              </w:rPr>
            </w:pPr>
            <w:r>
              <w:rPr>
                <w:rFonts w:ascii="Times New Roman" w:cs="Times New Roman" w:eastAsia="Times New Roman" w:hAnsi="Times New Roman"/>
                <w:sz w:val="22"/>
                <w:szCs w:val="22"/>
                <w:color w:val="010000"/>
              </w:rPr>
              <w:t xml:space="preserve">SECTION 2 </w:t>
            </w:r>
            <w:r>
              <w:rPr>
                <w:rFonts w:ascii="Times New Roman" w:cs="Times New Roman" w:eastAsia="Times New Roman" w:hAnsi="Times New Roman"/>
                <w:sz w:val="22"/>
                <w:szCs w:val="22"/>
                <w:color w:val="000000"/>
              </w:rPr>
              <w:t>AMOUNT AND TERMS OF COMMITMENTS</w:t>
            </w: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w w:val="94"/>
              </w:rPr>
              <w:t>27</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0" w:type="dxa"/>
            <w:vAlign w:val="bottom"/>
          </w:tcPr>
          <w:p>
            <w:pPr>
              <w:ind w:left="1440"/>
              <w:spacing w:after="0"/>
              <w:rPr>
                <w:sz w:val="20"/>
                <w:szCs w:val="20"/>
                <w:color w:val="auto"/>
              </w:rPr>
            </w:pPr>
            <w:r>
              <w:rPr>
                <w:rFonts w:ascii="Times New Roman" w:cs="Times New Roman" w:eastAsia="Times New Roman" w:hAnsi="Times New Roman"/>
                <w:sz w:val="22"/>
                <w:szCs w:val="22"/>
                <w:color w:val="010000"/>
              </w:rPr>
              <w:t>2.1</w:t>
            </w:r>
          </w:p>
        </w:tc>
        <w:tc>
          <w:tcPr>
            <w:tcW w:w="6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6"/>
                <w:szCs w:val="16"/>
                <w:color w:val="auto"/>
              </w:rPr>
              <w:t>OMMITMENTS</w:t>
            </w:r>
            <w:r>
              <w:rPr>
                <w:rFonts w:ascii="Times New Roman" w:cs="Times New Roman" w:eastAsia="Times New Roman" w:hAnsi="Times New Roman"/>
                <w:sz w:val="22"/>
                <w:szCs w:val="22"/>
                <w:color w:val="auto"/>
              </w:rPr>
              <w:t>; R</w:t>
            </w:r>
            <w:r>
              <w:rPr>
                <w:rFonts w:ascii="Times New Roman" w:cs="Times New Roman" w:eastAsia="Times New Roman" w:hAnsi="Times New Roman"/>
                <w:sz w:val="16"/>
                <w:szCs w:val="16"/>
                <w:color w:val="auto"/>
              </w:rPr>
              <w:t>EPAYMENT</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FF0000"/>
                <w:strike w:val="1"/>
                <w:w w:val="90"/>
              </w:rPr>
              <w:t>26</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27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ind w:left="1440"/>
              <w:spacing w:after="0" w:line="236" w:lineRule="exact"/>
              <w:rPr>
                <w:sz w:val="20"/>
                <w:szCs w:val="20"/>
                <w:color w:val="auto"/>
              </w:rPr>
            </w:pPr>
            <w:r>
              <w:rPr>
                <w:rFonts w:ascii="Times New Roman" w:cs="Times New Roman" w:eastAsia="Times New Roman" w:hAnsi="Times New Roman"/>
                <w:sz w:val="22"/>
                <w:szCs w:val="22"/>
                <w:color w:val="010000"/>
              </w:rPr>
              <w:t>2.2</w:t>
            </w:r>
          </w:p>
        </w:tc>
        <w:tc>
          <w:tcPr>
            <w:tcW w:w="6340" w:type="dxa"/>
            <w:vAlign w:val="bottom"/>
            <w:vMerge w:val="restart"/>
          </w:tcPr>
          <w:p>
            <w:pPr>
              <w:ind w:left="40"/>
              <w:spacing w:after="0" w:line="236"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DVANCES</w:t>
            </w:r>
          </w:p>
        </w:tc>
        <w:tc>
          <w:tcPr>
            <w:tcW w:w="22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w w:val="90"/>
              </w:rPr>
              <w:t>28</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440"/>
              <w:spacing w:after="0" w:line="230" w:lineRule="exact"/>
              <w:rPr>
                <w:sz w:val="20"/>
                <w:szCs w:val="20"/>
                <w:color w:val="auto"/>
              </w:rPr>
            </w:pPr>
            <w:r>
              <w:rPr>
                <w:rFonts w:ascii="Times New Roman" w:cs="Times New Roman" w:eastAsia="Times New Roman" w:hAnsi="Times New Roman"/>
                <w:sz w:val="22"/>
                <w:szCs w:val="22"/>
                <w:color w:val="010000"/>
              </w:rPr>
              <w:t>2.3</w:t>
            </w:r>
          </w:p>
        </w:tc>
        <w:tc>
          <w:tcPr>
            <w:tcW w:w="6340" w:type="dxa"/>
            <w:vAlign w:val="bottom"/>
          </w:tcPr>
          <w:p>
            <w:pPr>
              <w:ind w:left="40"/>
              <w:spacing w:after="0" w:line="230" w:lineRule="exact"/>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6"/>
                <w:szCs w:val="16"/>
                <w:color w:val="auto"/>
              </w:rPr>
              <w:t>EES</w:t>
            </w:r>
          </w:p>
        </w:tc>
        <w:tc>
          <w:tcPr>
            <w:tcW w:w="2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FF0000"/>
                <w:strike w:val="1"/>
                <w:w w:val="90"/>
              </w:rPr>
              <w:t>29</w:t>
            </w:r>
          </w:p>
        </w:tc>
        <w:tc>
          <w:tcPr>
            <w:tcW w:w="20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30</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ind w:left="1440"/>
              <w:spacing w:after="0" w:line="223" w:lineRule="exact"/>
              <w:rPr>
                <w:sz w:val="20"/>
                <w:szCs w:val="20"/>
                <w:color w:val="auto"/>
              </w:rPr>
            </w:pPr>
            <w:r>
              <w:rPr>
                <w:rFonts w:ascii="Times New Roman" w:cs="Times New Roman" w:eastAsia="Times New Roman" w:hAnsi="Times New Roman"/>
                <w:sz w:val="22"/>
                <w:szCs w:val="22"/>
                <w:color w:val="010000"/>
              </w:rPr>
              <w:t>2.4</w:t>
            </w:r>
          </w:p>
        </w:tc>
        <w:tc>
          <w:tcPr>
            <w:tcW w:w="63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NTEREST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6"/>
                <w:szCs w:val="16"/>
                <w:color w:val="auto"/>
              </w:rPr>
              <w:t>ATES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6"/>
                <w:szCs w:val="16"/>
                <w:color w:val="auto"/>
              </w:rPr>
              <w:t>AYMENT</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ATES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strike w:val="1"/>
                <w:w w:val="90"/>
              </w:rPr>
              <w:t>29</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30</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ind w:left="1440"/>
              <w:spacing w:after="0" w:line="236" w:lineRule="exact"/>
              <w:rPr>
                <w:sz w:val="20"/>
                <w:szCs w:val="20"/>
                <w:color w:val="auto"/>
              </w:rPr>
            </w:pPr>
            <w:r>
              <w:rPr>
                <w:rFonts w:ascii="Times New Roman" w:cs="Times New Roman" w:eastAsia="Times New Roman" w:hAnsi="Times New Roman"/>
                <w:sz w:val="22"/>
                <w:szCs w:val="22"/>
                <w:color w:val="010000"/>
              </w:rPr>
              <w:t>2.5</w:t>
            </w:r>
          </w:p>
        </w:tc>
        <w:tc>
          <w:tcPr>
            <w:tcW w:w="6340" w:type="dxa"/>
            <w:vAlign w:val="bottom"/>
            <w:vMerge w:val="restart"/>
          </w:tcPr>
          <w:p>
            <w:pPr>
              <w:ind w:left="40"/>
              <w:spacing w:after="0" w:line="236" w:lineRule="exact"/>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6"/>
                <w:szCs w:val="16"/>
                <w:color w:val="auto"/>
              </w:rPr>
              <w:t>OMPUTATION</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6"/>
                <w:szCs w:val="16"/>
                <w:color w:val="auto"/>
              </w:rPr>
              <w:t>NTEREST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6"/>
                <w:szCs w:val="16"/>
                <w:color w:val="auto"/>
              </w:rPr>
              <w:t>EES</w:t>
            </w:r>
          </w:p>
        </w:tc>
        <w:tc>
          <w:tcPr>
            <w:tcW w:w="22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w w:val="90"/>
              </w:rPr>
              <w:t>30</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1440"/>
              <w:spacing w:after="0"/>
              <w:rPr>
                <w:sz w:val="20"/>
                <w:szCs w:val="20"/>
                <w:color w:val="auto"/>
              </w:rPr>
            </w:pPr>
            <w:r>
              <w:rPr>
                <w:rFonts w:ascii="Times New Roman" w:cs="Times New Roman" w:eastAsia="Times New Roman" w:hAnsi="Times New Roman"/>
                <w:sz w:val="22"/>
                <w:szCs w:val="22"/>
                <w:color w:val="010000"/>
              </w:rPr>
              <w:t>2.6</w:t>
            </w:r>
          </w:p>
        </w:tc>
        <w:tc>
          <w:tcPr>
            <w:tcW w:w="6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6"/>
                <w:szCs w:val="16"/>
                <w:color w:val="auto"/>
              </w:rPr>
              <w:t>AYMENTS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30</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010000"/>
              </w:rPr>
              <w:t>2.7</w:t>
            </w:r>
          </w:p>
        </w:tc>
        <w:tc>
          <w:tcPr>
            <w:tcW w:w="6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6"/>
                <w:szCs w:val="16"/>
                <w:color w:val="auto"/>
              </w:rPr>
              <w:t>ESERVED</w:t>
            </w:r>
            <w:r>
              <w:rPr>
                <w:rFonts w:ascii="Times New Roman" w:cs="Times New Roman" w:eastAsia="Times New Roman" w:hAnsi="Times New Roman"/>
                <w:sz w:val="22"/>
                <w:szCs w:val="22"/>
                <w:color w:val="auto"/>
              </w:rPr>
              <w:t>]</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32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010000"/>
              </w:rPr>
              <w:t>2.8</w:t>
            </w:r>
          </w:p>
        </w:tc>
        <w:tc>
          <w:tcPr>
            <w:tcW w:w="6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6"/>
                <w:szCs w:val="16"/>
                <w:color w:val="auto"/>
              </w:rPr>
              <w:t>AXES</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32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010000"/>
              </w:rPr>
              <w:t>2.9</w:t>
            </w:r>
          </w:p>
        </w:tc>
        <w:tc>
          <w:tcPr>
            <w:tcW w:w="6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6"/>
                <w:szCs w:val="16"/>
                <w:color w:val="auto"/>
              </w:rPr>
              <w:t>OLLECTIONS</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36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010000"/>
              </w:rPr>
              <w:t xml:space="preserve">2.10 </w:t>
            </w:r>
            <w:r>
              <w:rPr>
                <w:rFonts w:ascii="Times New Roman" w:cs="Times New Roman" w:eastAsia="Times New Roman" w:hAnsi="Times New Roman"/>
                <w:sz w:val="22"/>
                <w:szCs w:val="22"/>
                <w:color w:val="000000"/>
              </w:rPr>
              <w:t>I</w:t>
            </w:r>
            <w:r>
              <w:rPr>
                <w:rFonts w:ascii="Times New Roman" w:cs="Times New Roman" w:eastAsia="Times New Roman" w:hAnsi="Times New Roman"/>
                <w:sz w:val="16"/>
                <w:szCs w:val="16"/>
                <w:color w:val="000000"/>
              </w:rPr>
              <w:t>NCREASED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OSTS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36</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1440"/>
              <w:spacing w:after="0" w:line="230" w:lineRule="exact"/>
              <w:rPr>
                <w:sz w:val="20"/>
                <w:szCs w:val="20"/>
                <w:color w:val="auto"/>
              </w:rPr>
            </w:pPr>
            <w:r>
              <w:rPr>
                <w:rFonts w:ascii="Times New Roman" w:cs="Times New Roman" w:eastAsia="Times New Roman" w:hAnsi="Times New Roman"/>
                <w:sz w:val="22"/>
                <w:szCs w:val="22"/>
                <w:color w:val="010000"/>
              </w:rPr>
              <w:t xml:space="preserve">2.11 </w:t>
            </w:r>
            <w:r>
              <w:rPr>
                <w:rFonts w:ascii="Times New Roman" w:cs="Times New Roman" w:eastAsia="Times New Roman" w:hAnsi="Times New Roman"/>
                <w:sz w:val="22"/>
                <w:szCs w:val="22"/>
                <w:color w:val="000000"/>
              </w:rPr>
              <w:t>M</w:t>
            </w:r>
            <w:r>
              <w:rPr>
                <w:rFonts w:ascii="Times New Roman" w:cs="Times New Roman" w:eastAsia="Times New Roman" w:hAnsi="Times New Roman"/>
                <w:sz w:val="16"/>
                <w:szCs w:val="16"/>
                <w:color w:val="000000"/>
              </w:rPr>
              <w:t>ITIGATION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BLIGATIONS</w:t>
            </w:r>
          </w:p>
        </w:tc>
        <w:tc>
          <w:tcPr>
            <w:tcW w:w="2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FF0000"/>
                <w:strike w:val="1"/>
                <w:w w:val="90"/>
              </w:rPr>
              <w:t>37</w:t>
            </w:r>
          </w:p>
        </w:tc>
        <w:tc>
          <w:tcPr>
            <w:tcW w:w="20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38</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22"/>
                <w:szCs w:val="22"/>
                <w:color w:val="FF0000"/>
                <w:strike w:val="1"/>
                <w:w w:val="90"/>
              </w:rPr>
              <w:t>37</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gridSpan w:val="2"/>
            <w:vMerge w:val="restart"/>
          </w:tcPr>
          <w:p>
            <w:pPr>
              <w:ind w:left="1300"/>
              <w:spacing w:after="0" w:line="223" w:lineRule="exact"/>
              <w:rPr>
                <w:sz w:val="20"/>
                <w:szCs w:val="20"/>
                <w:color w:val="auto"/>
              </w:rPr>
            </w:pPr>
            <w:r>
              <w:rPr>
                <w:rFonts w:ascii="Times New Roman" w:cs="Times New Roman" w:eastAsia="Times New Roman" w:hAnsi="Times New Roman"/>
                <w:sz w:val="22"/>
                <w:szCs w:val="22"/>
                <w:color w:val="010000"/>
              </w:rPr>
              <w:t xml:space="preserve">SECTION 3 </w:t>
            </w:r>
            <w:r>
              <w:rPr>
                <w:rFonts w:ascii="Times New Roman" w:cs="Times New Roman" w:eastAsia="Times New Roman" w:hAnsi="Times New Roman"/>
                <w:sz w:val="22"/>
                <w:szCs w:val="22"/>
                <w:color w:val="000000"/>
              </w:rPr>
              <w:t>REPRESENTATIONS AND WARRANTIES</w:t>
            </w: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w w:val="94"/>
              </w:rPr>
              <w:t>38</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0" w:type="dxa"/>
            <w:vAlign w:val="bottom"/>
          </w:tcPr>
          <w:p>
            <w:pPr>
              <w:ind w:left="1440"/>
              <w:spacing w:after="0"/>
              <w:rPr>
                <w:sz w:val="20"/>
                <w:szCs w:val="20"/>
                <w:color w:val="auto"/>
              </w:rPr>
            </w:pPr>
            <w:r>
              <w:rPr>
                <w:rFonts w:ascii="Times New Roman" w:cs="Times New Roman" w:eastAsia="Times New Roman" w:hAnsi="Times New Roman"/>
                <w:sz w:val="22"/>
                <w:szCs w:val="22"/>
                <w:color w:val="010000"/>
              </w:rPr>
              <w:t>3.1</w:t>
            </w:r>
          </w:p>
        </w:tc>
        <w:tc>
          <w:tcPr>
            <w:tcW w:w="6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6"/>
                <w:szCs w:val="16"/>
                <w:color w:val="auto"/>
              </w:rPr>
              <w:t>INANCIAL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6"/>
                <w:szCs w:val="16"/>
                <w:color w:val="auto"/>
              </w:rPr>
              <w:t>ONDITION</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FF0000"/>
                <w:strike w:val="1"/>
                <w:w w:val="90"/>
              </w:rPr>
              <w:t>37</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38</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ind w:left="1440"/>
              <w:spacing w:after="0" w:line="236" w:lineRule="exact"/>
              <w:rPr>
                <w:sz w:val="20"/>
                <w:szCs w:val="20"/>
                <w:color w:val="auto"/>
              </w:rPr>
            </w:pPr>
            <w:r>
              <w:rPr>
                <w:rFonts w:ascii="Times New Roman" w:cs="Times New Roman" w:eastAsia="Times New Roman" w:hAnsi="Times New Roman"/>
                <w:sz w:val="22"/>
                <w:szCs w:val="22"/>
                <w:color w:val="010000"/>
              </w:rPr>
              <w:t>3.2</w:t>
            </w:r>
          </w:p>
        </w:tc>
        <w:tc>
          <w:tcPr>
            <w:tcW w:w="6340" w:type="dxa"/>
            <w:vAlign w:val="bottom"/>
            <w:vMerge w:val="restart"/>
          </w:tcPr>
          <w:p>
            <w:pPr>
              <w:ind w:left="40"/>
              <w:spacing w:after="0" w:line="236" w:lineRule="exact"/>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6"/>
                <w:szCs w:val="16"/>
                <w:color w:val="auto"/>
              </w:rPr>
              <w: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6"/>
                <w:szCs w:val="16"/>
                <w:color w:val="auto"/>
              </w:rPr>
              <w:t>HANGE</w:t>
            </w:r>
          </w:p>
        </w:tc>
        <w:tc>
          <w:tcPr>
            <w:tcW w:w="22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w w:val="90"/>
              </w:rPr>
              <w:t>38</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010000"/>
              </w:rPr>
              <w:t>3.3</w:t>
            </w:r>
          </w:p>
        </w:tc>
        <w:tc>
          <w:tcPr>
            <w:tcW w:w="6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6"/>
                <w:szCs w:val="16"/>
                <w:color w:val="auto"/>
              </w:rPr>
              <w:t>XISTENCE</w:t>
            </w:r>
            <w:r>
              <w:rPr>
                <w:rFonts w:ascii="Times New Roman" w:cs="Times New Roman" w:eastAsia="Times New Roman" w:hAnsi="Times New Roman"/>
                <w:sz w:val="22"/>
                <w:szCs w:val="22"/>
                <w:color w:val="auto"/>
              </w:rPr>
              <w:t>; C</w:t>
            </w:r>
            <w:r>
              <w:rPr>
                <w:rFonts w:ascii="Times New Roman" w:cs="Times New Roman" w:eastAsia="Times New Roman" w:hAnsi="Times New Roman"/>
                <w:sz w:val="16"/>
                <w:szCs w:val="16"/>
                <w:color w:val="auto"/>
              </w:rPr>
              <w:t>OMPLIANCE</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ITH</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6"/>
                <w:szCs w:val="16"/>
                <w:color w:val="auto"/>
              </w:rPr>
              <w:t>AW</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38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1440"/>
              <w:spacing w:after="0"/>
              <w:rPr>
                <w:sz w:val="20"/>
                <w:szCs w:val="20"/>
                <w:color w:val="auto"/>
              </w:rPr>
            </w:pPr>
            <w:r>
              <w:rPr>
                <w:rFonts w:ascii="Times New Roman" w:cs="Times New Roman" w:eastAsia="Times New Roman" w:hAnsi="Times New Roman"/>
                <w:sz w:val="22"/>
                <w:szCs w:val="22"/>
                <w:color w:val="010000"/>
              </w:rPr>
              <w:t>3.4</w:t>
            </w:r>
          </w:p>
        </w:tc>
        <w:tc>
          <w:tcPr>
            <w:tcW w:w="6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6"/>
                <w:szCs w:val="16"/>
                <w:color w:val="auto"/>
              </w:rPr>
              <w:t>OWER</w:t>
            </w:r>
            <w:r>
              <w:rPr>
                <w:rFonts w:ascii="Times New Roman" w:cs="Times New Roman" w:eastAsia="Times New Roman" w:hAnsi="Times New Roman"/>
                <w:sz w:val="22"/>
                <w:szCs w:val="22"/>
                <w:color w:val="auto"/>
              </w:rPr>
              <w:t>, A</w:t>
            </w:r>
            <w:r>
              <w:rPr>
                <w:rFonts w:ascii="Times New Roman" w:cs="Times New Roman" w:eastAsia="Times New Roman" w:hAnsi="Times New Roman"/>
                <w:sz w:val="16"/>
                <w:szCs w:val="16"/>
                <w:color w:val="auto"/>
              </w:rPr>
              <w:t>UTHORIZATION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6"/>
                <w:szCs w:val="16"/>
                <w:color w:val="auto"/>
              </w:rPr>
              <w:t>NFORCEABLE</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BLIGATIONS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38</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010000"/>
              </w:rPr>
              <w:t>3.5</w:t>
            </w:r>
          </w:p>
        </w:tc>
        <w:tc>
          <w:tcPr>
            <w:tcW w:w="6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6"/>
                <w:szCs w:val="16"/>
                <w:color w:val="auto"/>
              </w:rPr>
              <w:t>O</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6"/>
                <w:szCs w:val="16"/>
                <w:color w:val="auto"/>
              </w:rPr>
              <w:t>EGAL</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6"/>
                <w:szCs w:val="16"/>
                <w:color w:val="auto"/>
              </w:rPr>
              <w:t>AR</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39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010000"/>
              </w:rPr>
              <w:t>3.6</w:t>
            </w:r>
          </w:p>
        </w:tc>
        <w:tc>
          <w:tcPr>
            <w:tcW w:w="6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6"/>
                <w:szCs w:val="16"/>
                <w:color w:val="auto"/>
              </w:rPr>
              <w:t>ITIGATION</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39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010000"/>
              </w:rPr>
              <w:t>3.7</w:t>
            </w:r>
          </w:p>
        </w:tc>
        <w:tc>
          <w:tcPr>
            <w:tcW w:w="6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6"/>
                <w:szCs w:val="16"/>
                <w:color w:val="auto"/>
              </w:rPr>
              <w:t>O</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EFAULT</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39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1440"/>
              <w:spacing w:after="0"/>
              <w:rPr>
                <w:sz w:val="20"/>
                <w:szCs w:val="20"/>
                <w:color w:val="auto"/>
              </w:rPr>
            </w:pPr>
            <w:r>
              <w:rPr>
                <w:rFonts w:ascii="Times New Roman" w:cs="Times New Roman" w:eastAsia="Times New Roman" w:hAnsi="Times New Roman"/>
                <w:sz w:val="22"/>
                <w:szCs w:val="22"/>
                <w:color w:val="010000"/>
              </w:rPr>
              <w:t>3.8</w:t>
            </w:r>
          </w:p>
        </w:tc>
        <w:tc>
          <w:tcPr>
            <w:tcW w:w="6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6"/>
                <w:szCs w:val="16"/>
                <w:color w:val="auto"/>
              </w:rPr>
              <w:t>AXES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39</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440"/>
              <w:spacing w:after="0" w:line="230" w:lineRule="exact"/>
              <w:rPr>
                <w:sz w:val="20"/>
                <w:szCs w:val="20"/>
                <w:color w:val="auto"/>
              </w:rPr>
            </w:pPr>
            <w:r>
              <w:rPr>
                <w:rFonts w:ascii="Times New Roman" w:cs="Times New Roman" w:eastAsia="Times New Roman" w:hAnsi="Times New Roman"/>
                <w:sz w:val="22"/>
                <w:szCs w:val="22"/>
                <w:color w:val="010000"/>
              </w:rPr>
              <w:t>3.9</w:t>
            </w:r>
          </w:p>
        </w:tc>
        <w:tc>
          <w:tcPr>
            <w:tcW w:w="6340" w:type="dxa"/>
            <w:vAlign w:val="bottom"/>
          </w:tcPr>
          <w:p>
            <w:pPr>
              <w:ind w:left="40"/>
              <w:spacing w:after="0" w:line="230" w:lineRule="exact"/>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6"/>
                <w:szCs w:val="16"/>
                <w:color w:val="auto"/>
              </w:rPr>
              <w:t>ARGIN STOCK</w:t>
            </w:r>
          </w:p>
        </w:tc>
        <w:tc>
          <w:tcPr>
            <w:tcW w:w="2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FF0000"/>
                <w:strike w:val="1"/>
                <w:w w:val="90"/>
              </w:rPr>
              <w:t>39</w:t>
            </w:r>
          </w:p>
        </w:tc>
        <w:tc>
          <w:tcPr>
            <w:tcW w:w="20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40</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1440"/>
              <w:spacing w:after="0" w:line="237" w:lineRule="exact"/>
              <w:rPr>
                <w:sz w:val="20"/>
                <w:szCs w:val="20"/>
                <w:color w:val="auto"/>
              </w:rPr>
            </w:pPr>
            <w:r>
              <w:rPr>
                <w:rFonts w:ascii="Times New Roman" w:cs="Times New Roman" w:eastAsia="Times New Roman" w:hAnsi="Times New Roman"/>
                <w:sz w:val="22"/>
                <w:szCs w:val="22"/>
                <w:color w:val="010000"/>
              </w:rPr>
              <w:t xml:space="preserve">3.10 </w:t>
            </w:r>
            <w:r>
              <w:rPr>
                <w:rFonts w:ascii="Times New Roman" w:cs="Times New Roman" w:eastAsia="Times New Roman" w:hAnsi="Times New Roman"/>
                <w:sz w:val="22"/>
                <w:szCs w:val="22"/>
                <w:color w:val="000000"/>
              </w:rPr>
              <w:t>ERISA</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strike w:val="1"/>
                <w:w w:val="90"/>
              </w:rPr>
              <w:t>39</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Borders>
              <w:bottom w:val="single" w:sz="8" w:color="0000FF"/>
            </w:tcBorders>
          </w:tcPr>
          <w:p>
            <w:pPr>
              <w:jc w:val="right"/>
              <w:spacing w:after="0" w:line="197" w:lineRule="exact"/>
              <w:rPr>
                <w:sz w:val="20"/>
                <w:szCs w:val="20"/>
                <w:color w:val="auto"/>
              </w:rPr>
            </w:pPr>
            <w:r>
              <w:rPr>
                <w:rFonts w:ascii="Times New Roman" w:cs="Times New Roman" w:eastAsia="Times New Roman" w:hAnsi="Times New Roman"/>
                <w:sz w:val="22"/>
                <w:szCs w:val="22"/>
                <w:color w:val="0000FF"/>
                <w:w w:val="81"/>
              </w:rPr>
              <w:t>40</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1440"/>
              <w:spacing w:after="0" w:line="236" w:lineRule="exact"/>
              <w:rPr>
                <w:sz w:val="20"/>
                <w:szCs w:val="20"/>
                <w:color w:val="auto"/>
              </w:rPr>
            </w:pPr>
            <w:r>
              <w:rPr>
                <w:rFonts w:ascii="Times New Roman" w:cs="Times New Roman" w:eastAsia="Times New Roman" w:hAnsi="Times New Roman"/>
                <w:sz w:val="22"/>
                <w:szCs w:val="22"/>
                <w:color w:val="010000"/>
              </w:rPr>
              <w:t xml:space="preserve">3.11 </w:t>
            </w:r>
            <w:r>
              <w:rPr>
                <w:rFonts w:ascii="Times New Roman" w:cs="Times New Roman" w:eastAsia="Times New Roman" w:hAnsi="Times New Roman"/>
                <w:sz w:val="22"/>
                <w:szCs w:val="22"/>
                <w:color w:val="000000"/>
              </w:rPr>
              <w:t>I</w:t>
            </w:r>
            <w:r>
              <w:rPr>
                <w:rFonts w:ascii="Times New Roman" w:cs="Times New Roman" w:eastAsia="Times New Roman" w:hAnsi="Times New Roman"/>
                <w:sz w:val="16"/>
                <w:szCs w:val="16"/>
                <w:color w:val="000000"/>
              </w:rPr>
              <w:t>NVESTMENT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CT</w:t>
            </w:r>
          </w:p>
        </w:tc>
        <w:tc>
          <w:tcPr>
            <w:tcW w:w="22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w w:val="90"/>
              </w:rPr>
              <w:t>40</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3.12 </w:t>
            </w:r>
            <w:r>
              <w:rPr>
                <w:rFonts w:ascii="Times New Roman" w:cs="Times New Roman" w:eastAsia="Times New Roman" w:hAnsi="Times New Roman"/>
                <w:sz w:val="22"/>
                <w:szCs w:val="22"/>
                <w:color w:val="000000"/>
              </w:rPr>
              <w:t>U</w:t>
            </w:r>
            <w:r>
              <w:rPr>
                <w:rFonts w:ascii="Times New Roman" w:cs="Times New Roman" w:eastAsia="Times New Roman" w:hAnsi="Times New Roman"/>
                <w:sz w:val="16"/>
                <w:szCs w:val="16"/>
                <w:color w:val="000000"/>
              </w:rPr>
              <w:t>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ROCEEDS</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010000"/>
              </w:rPr>
              <w:t xml:space="preserve">3.13 </w:t>
            </w:r>
            <w:r>
              <w:rPr>
                <w:rFonts w:ascii="Times New Roman" w:cs="Times New Roman" w:eastAsia="Times New Roman" w:hAnsi="Times New Roman"/>
                <w:sz w:val="22"/>
                <w:szCs w:val="22"/>
                <w:color w:val="000000"/>
              </w:rPr>
              <w:t>E</w:t>
            </w:r>
            <w:r>
              <w:rPr>
                <w:rFonts w:ascii="Times New Roman" w:cs="Times New Roman" w:eastAsia="Times New Roman" w:hAnsi="Times New Roman"/>
                <w:sz w:val="16"/>
                <w:szCs w:val="16"/>
                <w:color w:val="000000"/>
              </w:rPr>
              <w:t>NVIRONMENTAL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w:t>
            </w:r>
            <w:r>
              <w:rPr>
                <w:rFonts w:ascii="Times New Roman" w:cs="Times New Roman" w:eastAsia="Times New Roman" w:hAnsi="Times New Roman"/>
                <w:sz w:val="16"/>
                <w:szCs w:val="16"/>
                <w:color w:val="000000"/>
              </w:rPr>
              <w:t>ATTERS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40</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3.14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CCURACY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w:t>
            </w:r>
            <w:r>
              <w:rPr>
                <w:rFonts w:ascii="Times New Roman" w:cs="Times New Roman" w:eastAsia="Times New Roman" w:hAnsi="Times New Roman"/>
                <w:sz w:val="16"/>
                <w:szCs w:val="16"/>
                <w:color w:val="000000"/>
              </w:rPr>
              <w:t>NFORMATION, ETC</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3.15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ECURITY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w:t>
            </w:r>
            <w:r>
              <w:rPr>
                <w:rFonts w:ascii="Times New Roman" w:cs="Times New Roman" w:eastAsia="Times New Roman" w:hAnsi="Times New Roman"/>
                <w:sz w:val="16"/>
                <w:szCs w:val="16"/>
                <w:color w:val="000000"/>
              </w:rPr>
              <w:t>OCUMENTS</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3.16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OLVENCY</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010000"/>
              </w:rPr>
              <w:t xml:space="preserve">3.17 </w:t>
            </w:r>
            <w:r>
              <w:rPr>
                <w:rFonts w:ascii="Times New Roman" w:cs="Times New Roman" w:eastAsia="Times New Roman" w:hAnsi="Times New Roman"/>
                <w:sz w:val="22"/>
                <w:szCs w:val="22"/>
                <w:color w:val="000000"/>
              </w:rPr>
              <w:t>I</w:t>
            </w:r>
            <w:r>
              <w:rPr>
                <w:rFonts w:ascii="Times New Roman" w:cs="Times New Roman" w:eastAsia="Times New Roman" w:hAnsi="Times New Roman"/>
                <w:sz w:val="16"/>
                <w:szCs w:val="16"/>
                <w:color w:val="000000"/>
              </w:rPr>
              <w:t>NSURANCE</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41</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3.18 </w:t>
            </w:r>
            <w:r>
              <w:rPr>
                <w:rFonts w:ascii="Times New Roman" w:cs="Times New Roman" w:eastAsia="Times New Roman" w:hAnsi="Times New Roman"/>
                <w:sz w:val="22"/>
                <w:szCs w:val="22"/>
                <w:color w:val="000000"/>
              </w:rPr>
              <w:t>T</w:t>
            </w:r>
            <w:r>
              <w:rPr>
                <w:rFonts w:ascii="Times New Roman" w:cs="Times New Roman" w:eastAsia="Times New Roman" w:hAnsi="Times New Roman"/>
                <w:sz w:val="16"/>
                <w:szCs w:val="16"/>
                <w:color w:val="000000"/>
              </w:rPr>
              <w:t>ITLE</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3.19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UBSIDIARIES</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3.20 </w:t>
            </w:r>
            <w:r>
              <w:rPr>
                <w:rFonts w:ascii="Times New Roman" w:cs="Times New Roman" w:eastAsia="Times New Roman" w:hAnsi="Times New Roman"/>
                <w:sz w:val="22"/>
                <w:szCs w:val="22"/>
                <w:color w:val="000000"/>
              </w:rPr>
              <w:t>E</w:t>
            </w:r>
            <w:r>
              <w:rPr>
                <w:rFonts w:ascii="Times New Roman" w:cs="Times New Roman" w:eastAsia="Times New Roman" w:hAnsi="Times New Roman"/>
                <w:sz w:val="16"/>
                <w:szCs w:val="16"/>
                <w:color w:val="000000"/>
              </w:rPr>
              <w:t>MPLOYEES</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1440"/>
              <w:spacing w:after="0" w:line="230" w:lineRule="exact"/>
              <w:rPr>
                <w:sz w:val="20"/>
                <w:szCs w:val="20"/>
                <w:color w:val="auto"/>
              </w:rPr>
            </w:pPr>
            <w:r>
              <w:rPr>
                <w:rFonts w:ascii="Times New Roman" w:cs="Times New Roman" w:eastAsia="Times New Roman" w:hAnsi="Times New Roman"/>
                <w:sz w:val="22"/>
                <w:szCs w:val="22"/>
                <w:color w:val="010000"/>
              </w:rPr>
              <w:t xml:space="preserve">3.21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OLLATERAL</w:t>
            </w:r>
          </w:p>
        </w:tc>
        <w:tc>
          <w:tcPr>
            <w:tcW w:w="2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FF0000"/>
                <w:strike w:val="1"/>
                <w:w w:val="90"/>
              </w:rPr>
              <w:t>41</w:t>
            </w:r>
          </w:p>
        </w:tc>
        <w:tc>
          <w:tcPr>
            <w:tcW w:w="20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42</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1440"/>
              <w:spacing w:after="0" w:line="249" w:lineRule="exact"/>
              <w:rPr>
                <w:sz w:val="20"/>
                <w:szCs w:val="20"/>
                <w:color w:val="auto"/>
              </w:rPr>
            </w:pPr>
            <w:r>
              <w:rPr>
                <w:rFonts w:ascii="Times New Roman" w:cs="Times New Roman" w:eastAsia="Times New Roman" w:hAnsi="Times New Roman"/>
                <w:sz w:val="22"/>
                <w:szCs w:val="22"/>
                <w:color w:val="010000"/>
              </w:rPr>
              <w:t xml:space="preserve">3.22 </w:t>
            </w:r>
            <w:r>
              <w:rPr>
                <w:rFonts w:ascii="Times New Roman" w:cs="Times New Roman" w:eastAsia="Times New Roman" w:hAnsi="Times New Roman"/>
                <w:sz w:val="22"/>
                <w:szCs w:val="22"/>
                <w:color w:val="000000"/>
              </w:rPr>
              <w:t>I</w:t>
            </w:r>
            <w:r>
              <w:rPr>
                <w:rFonts w:ascii="Times New Roman" w:cs="Times New Roman" w:eastAsia="Times New Roman" w:hAnsi="Times New Roman"/>
                <w:sz w:val="16"/>
                <w:szCs w:val="16"/>
                <w:color w:val="000000"/>
              </w:rPr>
              <w:t>NTELLECTUAL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ROPERTY</w:t>
            </w:r>
          </w:p>
        </w:tc>
        <w:tc>
          <w:tcPr>
            <w:tcW w:w="220" w:type="dxa"/>
            <w:vAlign w:val="bottom"/>
            <w:vMerge w:val="restart"/>
          </w:tcPr>
          <w:p>
            <w:pPr>
              <w:spacing w:after="0" w:line="249" w:lineRule="exact"/>
              <w:rPr>
                <w:sz w:val="20"/>
                <w:szCs w:val="20"/>
                <w:color w:val="auto"/>
              </w:rPr>
            </w:pPr>
            <w:r>
              <w:rPr>
                <w:rFonts w:ascii="Times New Roman" w:cs="Times New Roman" w:eastAsia="Times New Roman" w:hAnsi="Times New Roman"/>
                <w:sz w:val="22"/>
                <w:szCs w:val="22"/>
                <w:color w:val="auto"/>
                <w:w w:val="90"/>
              </w:rPr>
              <w:t>42</w:t>
            </w: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440"/>
              <w:spacing w:after="0" w:line="243" w:lineRule="exact"/>
              <w:rPr>
                <w:sz w:val="20"/>
                <w:szCs w:val="20"/>
                <w:color w:val="auto"/>
              </w:rPr>
            </w:pPr>
            <w:r>
              <w:rPr>
                <w:rFonts w:ascii="Times New Roman" w:cs="Times New Roman" w:eastAsia="Times New Roman" w:hAnsi="Times New Roman"/>
                <w:sz w:val="22"/>
                <w:szCs w:val="22"/>
                <w:color w:val="010000"/>
              </w:rPr>
              <w:t xml:space="preserve">3.23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APITALIZATION</w:t>
            </w:r>
          </w:p>
        </w:tc>
        <w:tc>
          <w:tcPr>
            <w:tcW w:w="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0"/>
              </w:rPr>
              <w:t>42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14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010000"/>
              </w:rPr>
              <w:t xml:space="preserve">3.24 </w:t>
            </w:r>
            <w:r>
              <w:rPr>
                <w:rFonts w:ascii="Times New Roman" w:cs="Times New Roman" w:eastAsia="Times New Roman" w:hAnsi="Times New Roman"/>
                <w:sz w:val="22"/>
                <w:szCs w:val="22"/>
                <w:color w:val="000000"/>
              </w:rPr>
              <w:t>T</w:t>
            </w:r>
            <w:r>
              <w:rPr>
                <w:rFonts w:ascii="Times New Roman" w:cs="Times New Roman" w:eastAsia="Times New Roman" w:hAnsi="Times New Roman"/>
                <w:sz w:val="16"/>
                <w:szCs w:val="16"/>
                <w:color w:val="000000"/>
              </w:rPr>
              <w:t>RANSACTIONS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w:t>
            </w:r>
            <w:r>
              <w:rPr>
                <w:rFonts w:ascii="Times New Roman" w:cs="Times New Roman" w:eastAsia="Times New Roman" w:hAnsi="Times New Roman"/>
                <w:sz w:val="16"/>
                <w:szCs w:val="16"/>
                <w:color w:val="000000"/>
              </w:rPr>
              <w:t>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FFILIATES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42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Presto Credit Agreement</w:t>
            </w:r>
          </w:p>
        </w:tc>
        <w:tc>
          <w:tcPr>
            <w:tcW w:w="63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i</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18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64" w:right="999" w:bottom="1440" w:gutter="0" w:footer="0" w:header="0"/>
        </w:sectPr>
      </w:pPr>
    </w:p>
    <w:bookmarkStart w:id="18" w:name="page19"/>
    <w:bookmarkEnd w:id="18"/>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010000"/>
              </w:rPr>
              <w:t xml:space="preserve">3.25 </w:t>
            </w:r>
            <w:r>
              <w:rPr>
                <w:rFonts w:ascii="Times New Roman" w:cs="Times New Roman" w:eastAsia="Times New Roman" w:hAnsi="Times New Roman"/>
                <w:sz w:val="22"/>
                <w:szCs w:val="22"/>
                <w:color w:val="000000"/>
              </w:rPr>
              <w:t>N</w:t>
            </w:r>
            <w:r>
              <w:rPr>
                <w:rFonts w:ascii="Times New Roman" w:cs="Times New Roman" w:eastAsia="Times New Roman" w:hAnsi="Times New Roman"/>
                <w:sz w:val="16"/>
                <w:szCs w:val="16"/>
                <w:color w:val="000000"/>
              </w:rPr>
              <w: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w:t>
            </w:r>
            <w:r>
              <w:rPr>
                <w:rFonts w:ascii="Times New Roman" w:cs="Times New Roman" w:eastAsia="Times New Roman" w:hAnsi="Times New Roman"/>
                <w:sz w:val="16"/>
                <w:szCs w:val="16"/>
                <w:color w:val="000000"/>
              </w:rPr>
              <w:t>URDENSOME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w:t>
            </w:r>
            <w:r>
              <w:rPr>
                <w:rFonts w:ascii="Times New Roman" w:cs="Times New Roman" w:eastAsia="Times New Roman" w:hAnsi="Times New Roman"/>
                <w:sz w:val="16"/>
                <w:szCs w:val="16"/>
                <w:color w:val="000000"/>
              </w:rPr>
              <w:t>ESTRICTIONS</w:t>
            </w:r>
          </w:p>
        </w:tc>
        <w:tc>
          <w:tcPr>
            <w:tcW w:w="440" w:type="dxa"/>
            <w:vAlign w:val="bottom"/>
            <w:gridSpan w:val="3"/>
          </w:tcPr>
          <w:p>
            <w:pPr>
              <w:spacing w:after="0"/>
              <w:rPr>
                <w:sz w:val="20"/>
                <w:szCs w:val="20"/>
                <w:color w:val="auto"/>
              </w:rPr>
            </w:pPr>
            <w:r>
              <w:rPr>
                <w:rFonts w:ascii="Times New Roman" w:cs="Times New Roman" w:eastAsia="Times New Roman" w:hAnsi="Times New Roman"/>
                <w:sz w:val="22"/>
                <w:szCs w:val="22"/>
                <w:color w:val="FF0000"/>
                <w:w w:val="95"/>
              </w:rPr>
              <w:t>42</w:t>
            </w:r>
            <w:r>
              <w:rPr>
                <w:rFonts w:ascii="Times New Roman" w:cs="Times New Roman" w:eastAsia="Times New Roman" w:hAnsi="Times New Roman"/>
                <w:sz w:val="22"/>
                <w:szCs w:val="22"/>
                <w:color w:val="0000FF"/>
                <w:w w:val="95"/>
              </w:rPr>
              <w:t>43</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37" w:lineRule="exact"/>
              <w:rPr>
                <w:sz w:val="20"/>
                <w:szCs w:val="20"/>
                <w:color w:val="auto"/>
              </w:rPr>
            </w:pPr>
            <w:r>
              <w:rPr>
                <w:rFonts w:ascii="Times New Roman" w:cs="Times New Roman" w:eastAsia="Times New Roman" w:hAnsi="Times New Roman"/>
                <w:sz w:val="22"/>
                <w:szCs w:val="22"/>
                <w:color w:val="010000"/>
              </w:rPr>
              <w:t xml:space="preserve">3.26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ATRIOT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CT</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w w:val="90"/>
              </w:rPr>
              <w:t>42</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tcPr>
          <w:p>
            <w:pPr>
              <w:jc w:val="right"/>
              <w:spacing w:after="0" w:line="197" w:lineRule="exact"/>
              <w:rPr>
                <w:sz w:val="20"/>
                <w:szCs w:val="20"/>
                <w:color w:val="auto"/>
              </w:rPr>
            </w:pPr>
            <w:r>
              <w:rPr>
                <w:rFonts w:ascii="Times New Roman" w:cs="Times New Roman" w:eastAsia="Times New Roman" w:hAnsi="Times New Roman"/>
                <w:sz w:val="22"/>
                <w:szCs w:val="22"/>
                <w:color w:val="0000FF"/>
                <w:w w:val="90"/>
              </w:rPr>
              <w:t>43</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22"/>
                <w:szCs w:val="22"/>
                <w:color w:val="010000"/>
                <w:w w:val="99"/>
              </w:rPr>
              <w:t xml:space="preserve">3.27 </w:t>
            </w:r>
            <w:r>
              <w:rPr>
                <w:rFonts w:ascii="Times New Roman" w:cs="Times New Roman" w:eastAsia="Times New Roman" w:hAnsi="Times New Roman"/>
                <w:sz w:val="22"/>
                <w:szCs w:val="22"/>
                <w:color w:val="000000"/>
                <w:w w:val="99"/>
              </w:rPr>
              <w:t>F</w:t>
            </w:r>
            <w:r>
              <w:rPr>
                <w:rFonts w:ascii="Times New Roman" w:cs="Times New Roman" w:eastAsia="Times New Roman" w:hAnsi="Times New Roman"/>
                <w:sz w:val="16"/>
                <w:szCs w:val="16"/>
                <w:color w:val="000000"/>
                <w:w w:val="99"/>
              </w:rPr>
              <w:t>OREIGN</w:t>
            </w:r>
            <w:r>
              <w:rPr>
                <w:rFonts w:ascii="Times New Roman" w:cs="Times New Roman" w:eastAsia="Times New Roman" w:hAnsi="Times New Roman"/>
                <w:sz w:val="22"/>
                <w:szCs w:val="22"/>
                <w:color w:val="010000"/>
                <w:w w:val="99"/>
              </w:rPr>
              <w:t xml:space="preserve"> </w:t>
            </w:r>
            <w:r>
              <w:rPr>
                <w:rFonts w:ascii="Times New Roman" w:cs="Times New Roman" w:eastAsia="Times New Roman" w:hAnsi="Times New Roman"/>
                <w:sz w:val="22"/>
                <w:szCs w:val="22"/>
                <w:color w:val="000000"/>
                <w:w w:val="99"/>
              </w:rPr>
              <w:t>A</w:t>
            </w:r>
            <w:r>
              <w:rPr>
                <w:rFonts w:ascii="Times New Roman" w:cs="Times New Roman" w:eastAsia="Times New Roman" w:hAnsi="Times New Roman"/>
                <w:sz w:val="16"/>
                <w:szCs w:val="16"/>
                <w:color w:val="000000"/>
                <w:w w:val="99"/>
              </w:rPr>
              <w:t>SSETS</w:t>
            </w:r>
            <w:r>
              <w:rPr>
                <w:rFonts w:ascii="Times New Roman" w:cs="Times New Roman" w:eastAsia="Times New Roman" w:hAnsi="Times New Roman"/>
                <w:sz w:val="22"/>
                <w:szCs w:val="22"/>
                <w:color w:val="010000"/>
                <w:w w:val="99"/>
              </w:rPr>
              <w:t xml:space="preserve"> </w:t>
            </w:r>
            <w:r>
              <w:rPr>
                <w:rFonts w:ascii="Times New Roman" w:cs="Times New Roman" w:eastAsia="Times New Roman" w:hAnsi="Times New Roman"/>
                <w:sz w:val="22"/>
                <w:szCs w:val="22"/>
                <w:color w:val="000000"/>
                <w:w w:val="99"/>
              </w:rPr>
              <w:t>C</w:t>
            </w:r>
            <w:r>
              <w:rPr>
                <w:rFonts w:ascii="Times New Roman" w:cs="Times New Roman" w:eastAsia="Times New Roman" w:hAnsi="Times New Roman"/>
                <w:sz w:val="16"/>
                <w:szCs w:val="16"/>
                <w:color w:val="000000"/>
                <w:w w:val="99"/>
              </w:rPr>
              <w:t>ONTROL</w:t>
            </w:r>
            <w:r>
              <w:rPr>
                <w:rFonts w:ascii="Times New Roman" w:cs="Times New Roman" w:eastAsia="Times New Roman" w:hAnsi="Times New Roman"/>
                <w:sz w:val="22"/>
                <w:szCs w:val="22"/>
                <w:color w:val="010000"/>
                <w:w w:val="99"/>
              </w:rPr>
              <w:t xml:space="preserve"> </w:t>
            </w:r>
            <w:r>
              <w:rPr>
                <w:rFonts w:ascii="Times New Roman" w:cs="Times New Roman" w:eastAsia="Times New Roman" w:hAnsi="Times New Roman"/>
                <w:sz w:val="22"/>
                <w:szCs w:val="22"/>
                <w:color w:val="000000"/>
                <w:w w:val="99"/>
              </w:rPr>
              <w:t>R</w:t>
            </w:r>
            <w:r>
              <w:rPr>
                <w:rFonts w:ascii="Times New Roman" w:cs="Times New Roman" w:eastAsia="Times New Roman" w:hAnsi="Times New Roman"/>
                <w:sz w:val="16"/>
                <w:szCs w:val="16"/>
                <w:color w:val="000000"/>
                <w:w w:val="99"/>
              </w:rPr>
              <w:t>EGULATIONS</w:t>
            </w:r>
            <w:r>
              <w:rPr>
                <w:rFonts w:ascii="Times New Roman" w:cs="Times New Roman" w:eastAsia="Times New Roman" w:hAnsi="Times New Roman"/>
                <w:sz w:val="22"/>
                <w:szCs w:val="22"/>
                <w:color w:val="010000"/>
                <w:w w:val="99"/>
              </w:rPr>
              <w:t xml:space="preserve"> </w:t>
            </w:r>
            <w:r>
              <w:rPr>
                <w:rFonts w:ascii="Times New Roman" w:cs="Times New Roman" w:eastAsia="Times New Roman" w:hAnsi="Times New Roman"/>
                <w:sz w:val="22"/>
                <w:szCs w:val="22"/>
                <w:color w:val="000000"/>
                <w:w w:val="99"/>
              </w:rPr>
              <w:t>A</w:t>
            </w:r>
            <w:r>
              <w:rPr>
                <w:rFonts w:ascii="Times New Roman" w:cs="Times New Roman" w:eastAsia="Times New Roman" w:hAnsi="Times New Roman"/>
                <w:sz w:val="16"/>
                <w:szCs w:val="16"/>
                <w:color w:val="000000"/>
                <w:w w:val="99"/>
              </w:rPr>
              <w:t>ND</w:t>
            </w:r>
            <w:r>
              <w:rPr>
                <w:rFonts w:ascii="Times New Roman" w:cs="Times New Roman" w:eastAsia="Times New Roman" w:hAnsi="Times New Roman"/>
                <w:sz w:val="22"/>
                <w:szCs w:val="22"/>
                <w:color w:val="010000"/>
                <w:w w:val="99"/>
              </w:rPr>
              <w:t xml:space="preserve"> </w:t>
            </w:r>
            <w:r>
              <w:rPr>
                <w:rFonts w:ascii="Times New Roman" w:cs="Times New Roman" w:eastAsia="Times New Roman" w:hAnsi="Times New Roman"/>
                <w:sz w:val="22"/>
                <w:szCs w:val="22"/>
                <w:color w:val="000000"/>
                <w:w w:val="99"/>
              </w:rPr>
              <w:t>A</w:t>
            </w:r>
            <w:r>
              <w:rPr>
                <w:rFonts w:ascii="Times New Roman" w:cs="Times New Roman" w:eastAsia="Times New Roman" w:hAnsi="Times New Roman"/>
                <w:sz w:val="16"/>
                <w:szCs w:val="16"/>
                <w:color w:val="000000"/>
                <w:w w:val="99"/>
              </w:rPr>
              <w:t>NTI</w:t>
            </w:r>
            <w:r>
              <w:rPr>
                <w:rFonts w:ascii="Times New Roman" w:cs="Times New Roman" w:eastAsia="Times New Roman" w:hAnsi="Times New Roman"/>
                <w:sz w:val="22"/>
                <w:szCs w:val="22"/>
                <w:color w:val="000000"/>
                <w:w w:val="99"/>
              </w:rPr>
              <w:t>-M</w:t>
            </w:r>
            <w:r>
              <w:rPr>
                <w:rFonts w:ascii="Times New Roman" w:cs="Times New Roman" w:eastAsia="Times New Roman" w:hAnsi="Times New Roman"/>
                <w:sz w:val="16"/>
                <w:szCs w:val="16"/>
                <w:color w:val="000000"/>
                <w:w w:val="99"/>
              </w:rPr>
              <w:t>ONEY</w:t>
            </w:r>
            <w:r>
              <w:rPr>
                <w:rFonts w:ascii="Times New Roman" w:cs="Times New Roman" w:eastAsia="Times New Roman" w:hAnsi="Times New Roman"/>
                <w:sz w:val="22"/>
                <w:szCs w:val="22"/>
                <w:color w:val="010000"/>
                <w:w w:val="99"/>
              </w:rPr>
              <w:t xml:space="preserve"> </w:t>
            </w:r>
            <w:r>
              <w:rPr>
                <w:rFonts w:ascii="Times New Roman" w:cs="Times New Roman" w:eastAsia="Times New Roman" w:hAnsi="Times New Roman"/>
                <w:sz w:val="22"/>
                <w:szCs w:val="22"/>
                <w:color w:val="000000"/>
                <w:w w:val="99"/>
              </w:rPr>
              <w:t>L</w:t>
            </w:r>
            <w:r>
              <w:rPr>
                <w:rFonts w:ascii="Times New Roman" w:cs="Times New Roman" w:eastAsia="Times New Roman" w:hAnsi="Times New Roman"/>
                <w:sz w:val="16"/>
                <w:szCs w:val="16"/>
                <w:color w:val="000000"/>
                <w:w w:val="99"/>
              </w:rPr>
              <w:t>AUNDERING</w:t>
            </w:r>
            <w:r>
              <w:rPr>
                <w:rFonts w:ascii="Times New Roman" w:cs="Times New Roman" w:eastAsia="Times New Roman" w:hAnsi="Times New Roman"/>
                <w:sz w:val="22"/>
                <w:szCs w:val="22"/>
                <w:color w:val="010000"/>
                <w:w w:val="99"/>
              </w:rPr>
              <w:t xml:space="preserve"> </w:t>
            </w:r>
            <w:r>
              <w:rPr>
                <w:rFonts w:ascii="Times New Roman" w:cs="Times New Roman" w:eastAsia="Times New Roman" w:hAnsi="Times New Roman"/>
                <w:sz w:val="22"/>
                <w:szCs w:val="22"/>
                <w:color w:val="000000"/>
                <w:w w:val="99"/>
              </w:rPr>
              <w:t>43</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gridSpan w:val="3"/>
            <w:vMerge w:val="continue"/>
          </w:tcPr>
          <w:p>
            <w:pPr>
              <w:spacing w:after="0"/>
              <w:rPr>
                <w:sz w:val="19"/>
                <w:szCs w:val="19"/>
                <w:color w:val="auto"/>
              </w:rPr>
            </w:pP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22"/>
                <w:szCs w:val="22"/>
                <w:color w:val="010000"/>
              </w:rPr>
              <w:t xml:space="preserve">3.28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ARENT</w:t>
            </w:r>
          </w:p>
        </w:tc>
        <w:tc>
          <w:tcPr>
            <w:tcW w:w="4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FF0000"/>
                <w:w w:val="95"/>
              </w:rPr>
              <w:t>43</w:t>
            </w:r>
            <w:r>
              <w:rPr>
                <w:rFonts w:ascii="Times New Roman" w:cs="Times New Roman" w:eastAsia="Times New Roman" w:hAnsi="Times New Roman"/>
                <w:sz w:val="22"/>
                <w:szCs w:val="22"/>
                <w:color w:val="0000FF"/>
                <w:w w:val="95"/>
              </w:rPr>
              <w:t>44</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3.29 </w:t>
            </w:r>
            <w:r>
              <w:rPr>
                <w:rFonts w:ascii="Times New Roman" w:cs="Times New Roman" w:eastAsia="Times New Roman" w:hAnsi="Times New Roman"/>
                <w:sz w:val="22"/>
                <w:szCs w:val="22"/>
                <w:color w:val="000000"/>
              </w:rPr>
              <w:t>PPP L</w:t>
            </w:r>
            <w:r>
              <w:rPr>
                <w:rFonts w:ascii="Times New Roman" w:cs="Times New Roman" w:eastAsia="Times New Roman" w:hAnsi="Times New Roman"/>
                <w:sz w:val="16"/>
                <w:szCs w:val="16"/>
                <w:color w:val="000000"/>
              </w:rPr>
              <w:t>OANS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43</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44</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3.30 </w:t>
            </w:r>
            <w:r>
              <w:rPr>
                <w:rFonts w:ascii="Times New Roman" w:cs="Times New Roman" w:eastAsia="Times New Roman" w:hAnsi="Times New Roman"/>
                <w:sz w:val="22"/>
                <w:szCs w:val="22"/>
                <w:color w:val="000000"/>
              </w:rPr>
              <w:t>SPAC T</w:t>
            </w:r>
            <w:r>
              <w:rPr>
                <w:rFonts w:ascii="Times New Roman" w:cs="Times New Roman" w:eastAsia="Times New Roman" w:hAnsi="Times New Roman"/>
                <w:sz w:val="16"/>
                <w:szCs w:val="16"/>
                <w:color w:val="000000"/>
              </w:rPr>
              <w:t>RANSACTION</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43</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44</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10000"/>
              </w:rPr>
              <w:t xml:space="preserve">SECTION 4 </w:t>
            </w:r>
            <w:r>
              <w:rPr>
                <w:rFonts w:ascii="Times New Roman" w:cs="Times New Roman" w:eastAsia="Times New Roman" w:hAnsi="Times New Roman"/>
                <w:sz w:val="22"/>
                <w:szCs w:val="22"/>
                <w:color w:val="000000"/>
              </w:rPr>
              <w:t>CONDITIONS PRECEDENT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0"/>
              </w:rPr>
              <w:t>44</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8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80" w:type="dxa"/>
            <w:vAlign w:val="bottom"/>
          </w:tcPr>
          <w:p>
            <w:pPr>
              <w:ind w:left="140"/>
              <w:spacing w:after="0"/>
              <w:rPr>
                <w:sz w:val="20"/>
                <w:szCs w:val="20"/>
                <w:color w:val="auto"/>
              </w:rPr>
            </w:pPr>
            <w:r>
              <w:rPr>
                <w:rFonts w:ascii="Times New Roman" w:cs="Times New Roman" w:eastAsia="Times New Roman" w:hAnsi="Times New Roman"/>
                <w:sz w:val="22"/>
                <w:szCs w:val="22"/>
                <w:color w:val="010000"/>
              </w:rPr>
              <w:t>4.1</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0"/>
                <w:szCs w:val="10"/>
                <w:color w:val="auto"/>
              </w:rPr>
              <w:t>ONDITIONS</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0"/>
                <w:szCs w:val="10"/>
                <w:color w:val="auto"/>
              </w:rPr>
              <w: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0"/>
                <w:szCs w:val="10"/>
                <w:color w:val="auto"/>
              </w:rPr>
              <w:t>LOSING</w:t>
            </w:r>
          </w:p>
        </w:tc>
        <w:tc>
          <w:tcPr>
            <w:tcW w:w="2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44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684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SECTION 5 </w:t>
            </w:r>
            <w:r>
              <w:rPr>
                <w:rFonts w:ascii="Times New Roman" w:cs="Times New Roman" w:eastAsia="Times New Roman" w:hAnsi="Times New Roman"/>
                <w:sz w:val="22"/>
                <w:szCs w:val="22"/>
                <w:color w:val="000000"/>
              </w:rPr>
              <w:t>AFFIRMATIVE COVENANTS</w:t>
            </w:r>
          </w:p>
        </w:tc>
        <w:tc>
          <w:tcPr>
            <w:tcW w:w="2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48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80" w:type="dxa"/>
            <w:vAlign w:val="bottom"/>
          </w:tcPr>
          <w:p>
            <w:pPr>
              <w:ind w:left="140"/>
              <w:spacing w:after="0"/>
              <w:rPr>
                <w:sz w:val="20"/>
                <w:szCs w:val="20"/>
                <w:color w:val="auto"/>
              </w:rPr>
            </w:pPr>
            <w:r>
              <w:rPr>
                <w:rFonts w:ascii="Times New Roman" w:cs="Times New Roman" w:eastAsia="Times New Roman" w:hAnsi="Times New Roman"/>
                <w:sz w:val="22"/>
                <w:szCs w:val="22"/>
                <w:color w:val="010000"/>
              </w:rPr>
              <w:t>5.1</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6"/>
                <w:szCs w:val="16"/>
                <w:color w:val="auto"/>
              </w:rPr>
              <w:t>INANCIAL</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6"/>
                <w:szCs w:val="16"/>
                <w:color w:val="auto"/>
              </w:rPr>
              <w:t>TATEMENTS</w:t>
            </w:r>
          </w:p>
        </w:tc>
        <w:tc>
          <w:tcPr>
            <w:tcW w:w="2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48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140"/>
              <w:spacing w:after="0" w:line="230" w:lineRule="exact"/>
              <w:rPr>
                <w:sz w:val="20"/>
                <w:szCs w:val="20"/>
                <w:color w:val="auto"/>
              </w:rPr>
            </w:pPr>
            <w:r>
              <w:rPr>
                <w:rFonts w:ascii="Times New Roman" w:cs="Times New Roman" w:eastAsia="Times New Roman" w:hAnsi="Times New Roman"/>
                <w:sz w:val="22"/>
                <w:szCs w:val="22"/>
                <w:color w:val="010000"/>
              </w:rPr>
              <w:t>5.2</w:t>
            </w:r>
          </w:p>
        </w:tc>
        <w:tc>
          <w:tcPr>
            <w:tcW w:w="6360" w:type="dxa"/>
            <w:vAlign w:val="bottom"/>
          </w:tcPr>
          <w:p>
            <w:pPr>
              <w:ind w:left="60"/>
              <w:spacing w:after="0" w:line="230" w:lineRule="exact"/>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6"/>
                <w:szCs w:val="16"/>
                <w:color w:val="auto"/>
              </w:rPr>
              <w:t>ERTIFICATES</w:t>
            </w:r>
            <w:r>
              <w:rPr>
                <w:rFonts w:ascii="Times New Roman" w:cs="Times New Roman" w:eastAsia="Times New Roman" w:hAnsi="Times New Roman"/>
                <w:sz w:val="22"/>
                <w:szCs w:val="22"/>
                <w:color w:val="auto"/>
              </w:rPr>
              <w:t>; R</w:t>
            </w:r>
            <w:r>
              <w:rPr>
                <w:rFonts w:ascii="Times New Roman" w:cs="Times New Roman" w:eastAsia="Times New Roman" w:hAnsi="Times New Roman"/>
                <w:sz w:val="16"/>
                <w:szCs w:val="16"/>
                <w:color w:val="auto"/>
              </w:rPr>
              <w:t>EPORTS</w:t>
            </w:r>
            <w:r>
              <w:rPr>
                <w:rFonts w:ascii="Times New Roman" w:cs="Times New Roman" w:eastAsia="Times New Roman" w:hAnsi="Times New Roman"/>
                <w:sz w:val="22"/>
                <w:szCs w:val="22"/>
                <w:color w:val="auto"/>
              </w:rPr>
              <w:t>; O</w:t>
            </w:r>
            <w:r>
              <w:rPr>
                <w:rFonts w:ascii="Times New Roman" w:cs="Times New Roman" w:eastAsia="Times New Roman" w:hAnsi="Times New Roman"/>
                <w:sz w:val="16"/>
                <w:szCs w:val="16"/>
                <w:color w:val="auto"/>
              </w:rPr>
              <w:t>THER</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6"/>
                <w:szCs w:val="16"/>
                <w:color w:val="auto"/>
              </w:rPr>
              <w:t>NFORMATION</w:t>
            </w:r>
          </w:p>
        </w:tc>
        <w:tc>
          <w:tcPr>
            <w:tcW w:w="4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FF0000"/>
                <w:w w:val="95"/>
              </w:rPr>
              <w:t>49</w:t>
            </w:r>
            <w:r>
              <w:rPr>
                <w:rFonts w:ascii="Times New Roman" w:cs="Times New Roman" w:eastAsia="Times New Roman" w:hAnsi="Times New Roman"/>
                <w:sz w:val="22"/>
                <w:szCs w:val="22"/>
                <w:color w:val="0000FF"/>
                <w:w w:val="95"/>
              </w:rPr>
              <w:t>50</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5.3</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6"/>
                <w:szCs w:val="16"/>
                <w:color w:val="auto"/>
              </w:rPr>
              <w:t>AYMENT</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BLIGATIONS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50</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51</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5.4</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6"/>
                <w:szCs w:val="16"/>
                <w:color w:val="auto"/>
              </w:rPr>
              <w:t>AINTENANCE</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6"/>
                <w:szCs w:val="16"/>
                <w:color w:val="auto"/>
              </w:rPr>
              <w:t>XISTENCE</w:t>
            </w:r>
            <w:r>
              <w:rPr>
                <w:rFonts w:ascii="Times New Roman" w:cs="Times New Roman" w:eastAsia="Times New Roman" w:hAnsi="Times New Roman"/>
                <w:sz w:val="22"/>
                <w:szCs w:val="22"/>
                <w:color w:val="auto"/>
              </w:rPr>
              <w:t>; C</w:t>
            </w:r>
            <w:r>
              <w:rPr>
                <w:rFonts w:ascii="Times New Roman" w:cs="Times New Roman" w:eastAsia="Times New Roman" w:hAnsi="Times New Roman"/>
                <w:sz w:val="16"/>
                <w:szCs w:val="16"/>
                <w:color w:val="auto"/>
              </w:rPr>
              <w:t>OMPLIANCE</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ITH</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6"/>
                <w:szCs w:val="16"/>
                <w:color w:val="auto"/>
              </w:rPr>
              <w:t>EQUIREMENTS</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strike w:val="1"/>
                <w:w w:val="90"/>
              </w:rPr>
              <w:t>50</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360" w:type="dxa"/>
            <w:vAlign w:val="bottom"/>
            <w:vMerge w:val="restart"/>
          </w:tcPr>
          <w:p>
            <w:pPr>
              <w:ind w:left="60"/>
              <w:spacing w:after="0" w:line="236" w:lineRule="exact"/>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6"/>
                <w:szCs w:val="16"/>
                <w:color w:val="auto"/>
              </w:rPr>
              <w:t>AW</w:t>
            </w:r>
          </w:p>
        </w:tc>
        <w:tc>
          <w:tcPr>
            <w:tcW w:w="2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140"/>
              <w:spacing w:after="0" w:line="230" w:lineRule="exact"/>
              <w:rPr>
                <w:sz w:val="20"/>
                <w:szCs w:val="20"/>
                <w:color w:val="auto"/>
              </w:rPr>
            </w:pPr>
            <w:r>
              <w:rPr>
                <w:rFonts w:ascii="Times New Roman" w:cs="Times New Roman" w:eastAsia="Times New Roman" w:hAnsi="Times New Roman"/>
                <w:sz w:val="22"/>
                <w:szCs w:val="22"/>
                <w:color w:val="010000"/>
              </w:rPr>
              <w:t>5.5</w:t>
            </w:r>
          </w:p>
        </w:tc>
        <w:tc>
          <w:tcPr>
            <w:tcW w:w="6360" w:type="dxa"/>
            <w:vAlign w:val="bottom"/>
          </w:tcPr>
          <w:p>
            <w:pPr>
              <w:ind w:left="60"/>
              <w:spacing w:after="0" w:line="230" w:lineRule="exact"/>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6"/>
                <w:szCs w:val="16"/>
                <w:color w:val="auto"/>
              </w:rPr>
              <w:t>AINTENANCE</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6"/>
                <w:szCs w:val="16"/>
                <w:color w:val="auto"/>
              </w:rPr>
              <w:t>ROPERTY</w:t>
            </w:r>
            <w:r>
              <w:rPr>
                <w:rFonts w:ascii="Times New Roman" w:cs="Times New Roman" w:eastAsia="Times New Roman" w:hAnsi="Times New Roman"/>
                <w:sz w:val="22"/>
                <w:szCs w:val="22"/>
                <w:color w:val="auto"/>
              </w:rPr>
              <w:t>; I</w:t>
            </w:r>
            <w:r>
              <w:rPr>
                <w:rFonts w:ascii="Times New Roman" w:cs="Times New Roman" w:eastAsia="Times New Roman" w:hAnsi="Times New Roman"/>
                <w:sz w:val="16"/>
                <w:szCs w:val="16"/>
                <w:color w:val="auto"/>
              </w:rPr>
              <w:t>NSURANCE</w:t>
            </w:r>
          </w:p>
        </w:tc>
        <w:tc>
          <w:tcPr>
            <w:tcW w:w="4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FF0000"/>
                <w:w w:val="95"/>
              </w:rPr>
              <w:t>51</w:t>
            </w:r>
            <w:r>
              <w:rPr>
                <w:rFonts w:ascii="Times New Roman" w:cs="Times New Roman" w:eastAsia="Times New Roman" w:hAnsi="Times New Roman"/>
                <w:sz w:val="22"/>
                <w:szCs w:val="22"/>
                <w:color w:val="0000FF"/>
                <w:w w:val="95"/>
              </w:rPr>
              <w:t>52</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37" w:lineRule="exact"/>
              <w:rPr>
                <w:sz w:val="20"/>
                <w:szCs w:val="20"/>
                <w:color w:val="auto"/>
              </w:rPr>
            </w:pPr>
            <w:r>
              <w:rPr>
                <w:rFonts w:ascii="Times New Roman" w:cs="Times New Roman" w:eastAsia="Times New Roman" w:hAnsi="Times New Roman"/>
                <w:sz w:val="22"/>
                <w:szCs w:val="22"/>
                <w:color w:val="010000"/>
              </w:rPr>
              <w:t>5.6</w:t>
            </w:r>
          </w:p>
        </w:tc>
        <w:tc>
          <w:tcPr>
            <w:tcW w:w="6360" w:type="dxa"/>
            <w:vAlign w:val="bottom"/>
            <w:vMerge w:val="restart"/>
          </w:tcPr>
          <w:p>
            <w:pPr>
              <w:ind w:left="60"/>
              <w:spacing w:after="0" w:line="237"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NSPECTION</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6"/>
                <w:szCs w:val="16"/>
                <w:color w:val="auto"/>
              </w:rPr>
              <w:t>ROPERTY</w:t>
            </w:r>
            <w:r>
              <w:rPr>
                <w:rFonts w:ascii="Times New Roman" w:cs="Times New Roman" w:eastAsia="Times New Roman" w:hAnsi="Times New Roman"/>
                <w:sz w:val="22"/>
                <w:szCs w:val="22"/>
                <w:color w:val="auto"/>
              </w:rPr>
              <w:t>; B</w:t>
            </w:r>
            <w:r>
              <w:rPr>
                <w:rFonts w:ascii="Times New Roman" w:cs="Times New Roman" w:eastAsia="Times New Roman" w:hAnsi="Times New Roman"/>
                <w:sz w:val="16"/>
                <w:szCs w:val="16"/>
                <w:color w:val="auto"/>
              </w:rPr>
              <w:t>OOKS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6"/>
                <w:szCs w:val="16"/>
                <w:color w:val="auto"/>
              </w:rPr>
              <w:t>ECORDS</w:t>
            </w:r>
            <w:r>
              <w:rPr>
                <w:rFonts w:ascii="Times New Roman" w:cs="Times New Roman" w:eastAsia="Times New Roman" w:hAnsi="Times New Roman"/>
                <w:sz w:val="22"/>
                <w:szCs w:val="22"/>
                <w:color w:val="auto"/>
              </w:rPr>
              <w:t>; D</w:t>
            </w:r>
            <w:r>
              <w:rPr>
                <w:rFonts w:ascii="Times New Roman" w:cs="Times New Roman" w:eastAsia="Times New Roman" w:hAnsi="Times New Roman"/>
                <w:sz w:val="16"/>
                <w:szCs w:val="16"/>
                <w:color w:val="auto"/>
              </w:rPr>
              <w:t>ISCUSSIONS</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strike w:val="1"/>
                <w:w w:val="90"/>
              </w:rPr>
              <w:t>52</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vMerge w:val="continue"/>
          </w:tcPr>
          <w:p>
            <w:pPr>
              <w:spacing w:after="0"/>
              <w:rPr>
                <w:sz w:val="17"/>
                <w:szCs w:val="17"/>
                <w:color w:val="auto"/>
              </w:rPr>
            </w:pPr>
          </w:p>
        </w:tc>
        <w:tc>
          <w:tcPr>
            <w:tcW w:w="63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tcPr>
          <w:p>
            <w:pPr>
              <w:jc w:val="right"/>
              <w:spacing w:after="0" w:line="197" w:lineRule="exact"/>
              <w:rPr>
                <w:sz w:val="20"/>
                <w:szCs w:val="20"/>
                <w:color w:val="auto"/>
              </w:rPr>
            </w:pPr>
            <w:r>
              <w:rPr>
                <w:rFonts w:ascii="Times New Roman" w:cs="Times New Roman" w:eastAsia="Times New Roman" w:hAnsi="Times New Roman"/>
                <w:sz w:val="22"/>
                <w:szCs w:val="22"/>
                <w:color w:val="0000FF"/>
                <w:w w:val="90"/>
              </w:rPr>
              <w:t>53</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5.7</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6"/>
                <w:szCs w:val="16"/>
                <w:color w:val="auto"/>
              </w:rPr>
              <w:t>OTICES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52</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53</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5.8</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6"/>
                <w:szCs w:val="16"/>
                <w:color w:val="auto"/>
              </w:rPr>
              <w:t>OMPLIANCE</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ITH</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6"/>
                <w:szCs w:val="16"/>
                <w:color w:val="auto"/>
              </w:rPr>
              <w:t>AWS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53</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54</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49" w:lineRule="exact"/>
              <w:rPr>
                <w:sz w:val="20"/>
                <w:szCs w:val="20"/>
                <w:color w:val="auto"/>
              </w:rPr>
            </w:pPr>
            <w:r>
              <w:rPr>
                <w:rFonts w:ascii="Times New Roman" w:cs="Times New Roman" w:eastAsia="Times New Roman" w:hAnsi="Times New Roman"/>
                <w:sz w:val="22"/>
                <w:szCs w:val="22"/>
                <w:color w:val="010000"/>
              </w:rPr>
              <w:t>5.9</w:t>
            </w:r>
          </w:p>
        </w:tc>
        <w:tc>
          <w:tcPr>
            <w:tcW w:w="6360" w:type="dxa"/>
            <w:vAlign w:val="bottom"/>
            <w:vMerge w:val="restart"/>
          </w:tcPr>
          <w:p>
            <w:pPr>
              <w:ind w:left="60"/>
              <w:spacing w:after="0" w:line="249"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UDITS</w:t>
            </w:r>
          </w:p>
        </w:tc>
        <w:tc>
          <w:tcPr>
            <w:tcW w:w="220" w:type="dxa"/>
            <w:vAlign w:val="bottom"/>
            <w:vMerge w:val="restart"/>
          </w:tcPr>
          <w:p>
            <w:pPr>
              <w:spacing w:after="0" w:line="249" w:lineRule="exact"/>
              <w:rPr>
                <w:sz w:val="20"/>
                <w:szCs w:val="20"/>
                <w:color w:val="auto"/>
              </w:rPr>
            </w:pPr>
            <w:r>
              <w:rPr>
                <w:rFonts w:ascii="Times New Roman" w:cs="Times New Roman" w:eastAsia="Times New Roman" w:hAnsi="Times New Roman"/>
                <w:sz w:val="22"/>
                <w:szCs w:val="22"/>
                <w:color w:val="auto"/>
                <w:w w:val="90"/>
              </w:rPr>
              <w:t>54</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vMerge w:val="continue"/>
          </w:tcPr>
          <w:p>
            <w:pPr>
              <w:spacing w:after="0"/>
              <w:rPr>
                <w:sz w:val="18"/>
                <w:szCs w:val="18"/>
                <w:color w:val="auto"/>
              </w:rPr>
            </w:pPr>
          </w:p>
        </w:tc>
        <w:tc>
          <w:tcPr>
            <w:tcW w:w="63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22"/>
                <w:szCs w:val="22"/>
                <w:color w:val="010000"/>
              </w:rPr>
              <w:t xml:space="preserve">5.10 </w:t>
            </w:r>
            <w:r>
              <w:rPr>
                <w:rFonts w:ascii="Times New Roman" w:cs="Times New Roman" w:eastAsia="Times New Roman" w:hAnsi="Times New Roman"/>
                <w:sz w:val="22"/>
                <w:szCs w:val="22"/>
                <w:color w:val="000000"/>
              </w:rPr>
              <w:t>F</w:t>
            </w:r>
            <w:r>
              <w:rPr>
                <w:rFonts w:ascii="Times New Roman" w:cs="Times New Roman" w:eastAsia="Times New Roman" w:hAnsi="Times New Roman"/>
                <w:sz w:val="16"/>
                <w:szCs w:val="16"/>
                <w:color w:val="000000"/>
              </w:rPr>
              <w:t>URTHER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SSURANCES</w:t>
            </w:r>
          </w:p>
        </w:tc>
        <w:tc>
          <w:tcPr>
            <w:tcW w:w="4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FF0000"/>
                <w:w w:val="95"/>
              </w:rPr>
              <w:t>54</w:t>
            </w:r>
            <w:r>
              <w:rPr>
                <w:rFonts w:ascii="Times New Roman" w:cs="Times New Roman" w:eastAsia="Times New Roman" w:hAnsi="Times New Roman"/>
                <w:sz w:val="22"/>
                <w:szCs w:val="22"/>
                <w:color w:val="0000FF"/>
                <w:w w:val="95"/>
              </w:rPr>
              <w:t>55</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5.11 </w:t>
            </w:r>
            <w:r>
              <w:rPr>
                <w:rFonts w:ascii="Times New Roman" w:cs="Times New Roman" w:eastAsia="Times New Roman" w:hAnsi="Times New Roman"/>
                <w:sz w:val="22"/>
                <w:szCs w:val="22"/>
                <w:color w:val="000000"/>
              </w:rPr>
              <w:t>U</w:t>
            </w:r>
            <w:r>
              <w:rPr>
                <w:rFonts w:ascii="Times New Roman" w:cs="Times New Roman" w:eastAsia="Times New Roman" w:hAnsi="Times New Roman"/>
                <w:sz w:val="16"/>
                <w:szCs w:val="16"/>
                <w:color w:val="000000"/>
              </w:rPr>
              <w:t>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ROCEEDS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54</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55</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5.12 </w:t>
            </w:r>
            <w:r>
              <w:rPr>
                <w:rFonts w:ascii="Times New Roman" w:cs="Times New Roman" w:eastAsia="Times New Roman" w:hAnsi="Times New Roman"/>
                <w:sz w:val="22"/>
                <w:szCs w:val="22"/>
                <w:color w:val="000000"/>
              </w:rPr>
              <w:t>T</w:t>
            </w:r>
            <w:r>
              <w:rPr>
                <w:rFonts w:ascii="Times New Roman" w:cs="Times New Roman" w:eastAsia="Times New Roman" w:hAnsi="Times New Roman"/>
                <w:sz w:val="16"/>
                <w:szCs w:val="16"/>
                <w:color w:val="000000"/>
              </w:rPr>
              <w:t>AXES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54</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55</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5.13 </w:t>
            </w:r>
            <w:r>
              <w:rPr>
                <w:rFonts w:ascii="Times New Roman" w:cs="Times New Roman" w:eastAsia="Times New Roman" w:hAnsi="Times New Roman"/>
                <w:sz w:val="22"/>
                <w:szCs w:val="22"/>
                <w:color w:val="000000"/>
              </w:rPr>
              <w:t>P</w:t>
            </w:r>
            <w:r>
              <w:rPr>
                <w:rFonts w:ascii="Times New Roman" w:cs="Times New Roman" w:eastAsia="Times New Roman" w:hAnsi="Times New Roman"/>
                <w:sz w:val="5"/>
                <w:szCs w:val="5"/>
                <w:color w:val="000000"/>
              </w:rPr>
              <w:t>OST</w:t>
            </w:r>
            <w:r>
              <w:rPr>
                <w:rFonts w:ascii="Times New Roman" w:cs="Times New Roman" w:eastAsia="Times New Roman" w:hAnsi="Times New Roman"/>
                <w:sz w:val="22"/>
                <w:szCs w:val="22"/>
                <w:color w:val="000000"/>
              </w:rPr>
              <w:t>-C</w:t>
            </w:r>
            <w:r>
              <w:rPr>
                <w:rFonts w:ascii="Times New Roman" w:cs="Times New Roman" w:eastAsia="Times New Roman" w:hAnsi="Times New Roman"/>
                <w:sz w:val="5"/>
                <w:szCs w:val="5"/>
                <w:color w:val="000000"/>
              </w:rPr>
              <w:t>LOSING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5"/>
                <w:szCs w:val="5"/>
                <w:color w:val="000000"/>
              </w:rPr>
              <w:t>BLIGATIONS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54</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55</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37" w:lineRule="exact"/>
              <w:rPr>
                <w:sz w:val="20"/>
                <w:szCs w:val="20"/>
                <w:color w:val="auto"/>
              </w:rPr>
            </w:pPr>
            <w:r>
              <w:rPr>
                <w:rFonts w:ascii="Times New Roman" w:cs="Times New Roman" w:eastAsia="Times New Roman" w:hAnsi="Times New Roman"/>
                <w:sz w:val="22"/>
                <w:szCs w:val="22"/>
                <w:color w:val="010000"/>
              </w:rPr>
              <w:t xml:space="preserve">5.14 </w:t>
            </w:r>
            <w:r>
              <w:rPr>
                <w:rFonts w:ascii="Times New Roman" w:cs="Times New Roman" w:eastAsia="Times New Roman" w:hAnsi="Times New Roman"/>
                <w:sz w:val="22"/>
                <w:szCs w:val="22"/>
                <w:color w:val="000000"/>
              </w:rPr>
              <w:t>L</w:t>
            </w:r>
            <w:r>
              <w:rPr>
                <w:rFonts w:ascii="Times New Roman" w:cs="Times New Roman" w:eastAsia="Times New Roman" w:hAnsi="Times New Roman"/>
                <w:sz w:val="10"/>
                <w:szCs w:val="10"/>
                <w:color w:val="000000"/>
              </w:rPr>
              <w:t>OCATION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0"/>
                <w:szCs w:val="10"/>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0"/>
                <w:szCs w:val="10"/>
                <w:color w:val="000000"/>
              </w:rPr>
              <w:t>SSETS</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w w:val="90"/>
              </w:rPr>
              <w:t>55</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tcPr>
          <w:p>
            <w:pPr>
              <w:jc w:val="right"/>
              <w:spacing w:after="0" w:line="197" w:lineRule="exact"/>
              <w:rPr>
                <w:sz w:val="20"/>
                <w:szCs w:val="20"/>
                <w:color w:val="auto"/>
              </w:rPr>
            </w:pPr>
            <w:r>
              <w:rPr>
                <w:rFonts w:ascii="Times New Roman" w:cs="Times New Roman" w:eastAsia="Times New Roman" w:hAnsi="Times New Roman"/>
                <w:sz w:val="22"/>
                <w:szCs w:val="22"/>
                <w:color w:val="0000FF"/>
                <w:w w:val="90"/>
              </w:rPr>
              <w:t>56</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5.15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DDITIONAL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UBSIDIARIES</w:t>
            </w:r>
            <w:r>
              <w:rPr>
                <w:rFonts w:ascii="Times New Roman" w:cs="Times New Roman" w:eastAsia="Times New Roman" w:hAnsi="Times New Roman"/>
                <w:sz w:val="22"/>
                <w:szCs w:val="22"/>
                <w:color w:val="000000"/>
              </w:rPr>
              <w:t>.</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55</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56</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5.16 </w:t>
            </w:r>
            <w:r>
              <w:rPr>
                <w:rFonts w:ascii="Times New Roman" w:cs="Times New Roman" w:eastAsia="Times New Roman" w:hAnsi="Times New Roman"/>
                <w:sz w:val="22"/>
                <w:szCs w:val="22"/>
                <w:color w:val="000000"/>
              </w:rPr>
              <w:t>B</w:t>
            </w:r>
            <w:r>
              <w:rPr>
                <w:rFonts w:ascii="Times New Roman" w:cs="Times New Roman" w:eastAsia="Times New Roman" w:hAnsi="Times New Roman"/>
                <w:sz w:val="16"/>
                <w:szCs w:val="16"/>
                <w:color w:val="000000"/>
              </w:rPr>
              <w:t>OARD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BSERVATION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w:t>
            </w:r>
            <w:r>
              <w:rPr>
                <w:rFonts w:ascii="Times New Roman" w:cs="Times New Roman" w:eastAsia="Times New Roman" w:hAnsi="Times New Roman"/>
                <w:sz w:val="16"/>
                <w:szCs w:val="16"/>
                <w:color w:val="000000"/>
              </w:rPr>
              <w:t>IGHTS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56</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5.17 </w:t>
            </w:r>
            <w:r>
              <w:rPr>
                <w:rFonts w:ascii="Times New Roman" w:cs="Times New Roman" w:eastAsia="Times New Roman" w:hAnsi="Times New Roman"/>
                <w:sz w:val="22"/>
                <w:szCs w:val="22"/>
                <w:color w:val="000000"/>
              </w:rPr>
              <w:t>MNPI</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56</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58</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22"/>
                <w:szCs w:val="22"/>
                <w:color w:val="FF0000"/>
                <w:w w:val="90"/>
              </w:rPr>
              <w:t>57</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10000"/>
              </w:rPr>
              <w:t xml:space="preserve">SECTION 6 </w:t>
            </w:r>
            <w:r>
              <w:rPr>
                <w:rFonts w:ascii="Times New Roman" w:cs="Times New Roman" w:eastAsia="Times New Roman" w:hAnsi="Times New Roman"/>
                <w:sz w:val="22"/>
                <w:szCs w:val="22"/>
                <w:color w:val="000000"/>
              </w:rPr>
              <w:t>NEGATIVE COVENANTS</w:t>
            </w: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59</w:t>
            </w:r>
          </w:p>
        </w:tc>
        <w:tc>
          <w:tcPr>
            <w:tcW w:w="0" w:type="dxa"/>
            <w:vAlign w:val="bottom"/>
          </w:tcPr>
          <w:p>
            <w:pPr>
              <w:spacing w:after="0"/>
              <w:rPr>
                <w:sz w:val="1"/>
                <w:szCs w:val="1"/>
                <w:color w:val="auto"/>
              </w:rPr>
            </w:pPr>
          </w:p>
        </w:tc>
      </w:tr>
      <w:tr>
        <w:trPr>
          <w:trHeight w:val="20"/>
        </w:trPr>
        <w:tc>
          <w:tcPr>
            <w:tcW w:w="68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tcPr>
          <w:p>
            <w:pPr>
              <w:ind w:left="140"/>
              <w:spacing w:after="0"/>
              <w:rPr>
                <w:sz w:val="20"/>
                <w:szCs w:val="20"/>
                <w:color w:val="auto"/>
              </w:rPr>
            </w:pPr>
            <w:r>
              <w:rPr>
                <w:rFonts w:ascii="Times New Roman" w:cs="Times New Roman" w:eastAsia="Times New Roman" w:hAnsi="Times New Roman"/>
                <w:sz w:val="22"/>
                <w:szCs w:val="22"/>
                <w:color w:val="010000"/>
              </w:rPr>
              <w:t>6.1</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NDEBTEDNESS</w:t>
            </w:r>
          </w:p>
        </w:tc>
        <w:tc>
          <w:tcPr>
            <w:tcW w:w="440" w:type="dxa"/>
            <w:vAlign w:val="bottom"/>
            <w:gridSpan w:val="3"/>
          </w:tcPr>
          <w:p>
            <w:pPr>
              <w:spacing w:after="0"/>
              <w:rPr>
                <w:sz w:val="20"/>
                <w:szCs w:val="20"/>
                <w:color w:val="auto"/>
              </w:rPr>
            </w:pPr>
            <w:r>
              <w:rPr>
                <w:rFonts w:ascii="Times New Roman" w:cs="Times New Roman" w:eastAsia="Times New Roman" w:hAnsi="Times New Roman"/>
                <w:sz w:val="22"/>
                <w:szCs w:val="22"/>
                <w:color w:val="FF0000"/>
                <w:w w:val="95"/>
              </w:rPr>
              <w:t>57</w:t>
            </w:r>
            <w:r>
              <w:rPr>
                <w:rFonts w:ascii="Times New Roman" w:cs="Times New Roman" w:eastAsia="Times New Roman" w:hAnsi="Times New Roman"/>
                <w:sz w:val="22"/>
                <w:szCs w:val="22"/>
                <w:color w:val="0000FF"/>
                <w:w w:val="95"/>
              </w:rPr>
              <w:t>59</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37" w:lineRule="exact"/>
              <w:rPr>
                <w:sz w:val="20"/>
                <w:szCs w:val="20"/>
                <w:color w:val="auto"/>
              </w:rPr>
            </w:pPr>
            <w:r>
              <w:rPr>
                <w:rFonts w:ascii="Times New Roman" w:cs="Times New Roman" w:eastAsia="Times New Roman" w:hAnsi="Times New Roman"/>
                <w:sz w:val="22"/>
                <w:szCs w:val="22"/>
                <w:color w:val="010000"/>
              </w:rPr>
              <w:t>6.2</w:t>
            </w:r>
          </w:p>
        </w:tc>
        <w:tc>
          <w:tcPr>
            <w:tcW w:w="6360" w:type="dxa"/>
            <w:vAlign w:val="bottom"/>
            <w:vMerge w:val="restart"/>
          </w:tcPr>
          <w:p>
            <w:pPr>
              <w:ind w:left="60"/>
              <w:spacing w:after="0" w:line="237" w:lineRule="exact"/>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6"/>
                <w:szCs w:val="16"/>
                <w:color w:val="auto"/>
              </w:rPr>
              <w:t>IENS</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w w:val="90"/>
              </w:rPr>
              <w:t>57</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vMerge w:val="continue"/>
          </w:tcPr>
          <w:p>
            <w:pPr>
              <w:spacing w:after="0"/>
              <w:rPr>
                <w:sz w:val="17"/>
                <w:szCs w:val="17"/>
                <w:color w:val="auto"/>
              </w:rPr>
            </w:pPr>
          </w:p>
        </w:tc>
        <w:tc>
          <w:tcPr>
            <w:tcW w:w="63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tcPr>
          <w:p>
            <w:pPr>
              <w:jc w:val="right"/>
              <w:spacing w:after="0" w:line="197" w:lineRule="exact"/>
              <w:rPr>
                <w:sz w:val="20"/>
                <w:szCs w:val="20"/>
                <w:color w:val="auto"/>
              </w:rPr>
            </w:pPr>
            <w:r>
              <w:rPr>
                <w:rFonts w:ascii="Times New Roman" w:cs="Times New Roman" w:eastAsia="Times New Roman" w:hAnsi="Times New Roman"/>
                <w:sz w:val="22"/>
                <w:szCs w:val="22"/>
                <w:color w:val="0000FF"/>
                <w:w w:val="90"/>
              </w:rPr>
              <w:t>59</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6.3</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6"/>
                <w:szCs w:val="16"/>
                <w:color w:val="auto"/>
              </w:rPr>
              <w:t>UNDAMENTAL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6"/>
                <w:szCs w:val="16"/>
                <w:color w:val="auto"/>
              </w:rPr>
              <w:t>HANGES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58</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59</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6.4</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6"/>
                <w:szCs w:val="16"/>
                <w:color w:val="auto"/>
              </w:rPr>
              <w:t>ISPOSITION</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6"/>
                <w:szCs w:val="16"/>
                <w:color w:val="auto"/>
              </w:rPr>
              <w:t>ROPERTY</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58</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59</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6.5</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6"/>
                <w:szCs w:val="16"/>
                <w:color w:val="auto"/>
              </w:rPr>
              <w:t>ESTRICTED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6"/>
                <w:szCs w:val="16"/>
                <w:color w:val="auto"/>
              </w:rPr>
              <w:t>AYMENTS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58</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60</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37" w:lineRule="exact"/>
              <w:rPr>
                <w:sz w:val="20"/>
                <w:szCs w:val="20"/>
                <w:color w:val="auto"/>
              </w:rPr>
            </w:pPr>
            <w:r>
              <w:rPr>
                <w:rFonts w:ascii="Times New Roman" w:cs="Times New Roman" w:eastAsia="Times New Roman" w:hAnsi="Times New Roman"/>
                <w:sz w:val="22"/>
                <w:szCs w:val="22"/>
                <w:color w:val="010000"/>
              </w:rPr>
              <w:t>6.6</w:t>
            </w:r>
          </w:p>
        </w:tc>
        <w:tc>
          <w:tcPr>
            <w:tcW w:w="6360" w:type="dxa"/>
            <w:vAlign w:val="bottom"/>
            <w:vMerge w:val="restart"/>
          </w:tcPr>
          <w:p>
            <w:pPr>
              <w:ind w:left="60"/>
              <w:spacing w:after="0" w:line="237"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NVESTMENTS</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w w:val="90"/>
              </w:rPr>
              <w:t>59</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vMerge w:val="continue"/>
          </w:tcPr>
          <w:p>
            <w:pPr>
              <w:spacing w:after="0"/>
              <w:rPr>
                <w:sz w:val="17"/>
                <w:szCs w:val="17"/>
                <w:color w:val="auto"/>
              </w:rPr>
            </w:pPr>
          </w:p>
        </w:tc>
        <w:tc>
          <w:tcPr>
            <w:tcW w:w="63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tcPr>
          <w:p>
            <w:pPr>
              <w:jc w:val="right"/>
              <w:spacing w:after="0" w:line="197" w:lineRule="exact"/>
              <w:rPr>
                <w:sz w:val="20"/>
                <w:szCs w:val="20"/>
                <w:color w:val="auto"/>
              </w:rPr>
            </w:pPr>
            <w:r>
              <w:rPr>
                <w:rFonts w:ascii="Times New Roman" w:cs="Times New Roman" w:eastAsia="Times New Roman" w:hAnsi="Times New Roman"/>
                <w:sz w:val="22"/>
                <w:szCs w:val="22"/>
                <w:color w:val="0000FF"/>
                <w:w w:val="90"/>
              </w:rPr>
              <w:t>60</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6.7</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ERISA</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60</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62</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6.8</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6"/>
                <w:szCs w:val="16"/>
                <w:color w:val="auto"/>
              </w:rPr>
              <w:t>RANSACTIONS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ITH</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FFILIATES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60</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62</w:t>
            </w:r>
          </w:p>
        </w:tc>
        <w:tc>
          <w:tcPr>
            <w:tcW w:w="0" w:type="dxa"/>
            <w:vAlign w:val="bottom"/>
          </w:tcPr>
          <w:p>
            <w:pPr>
              <w:spacing w:after="0"/>
              <w:rPr>
                <w:sz w:val="1"/>
                <w:szCs w:val="1"/>
                <w:color w:val="auto"/>
              </w:rPr>
            </w:pPr>
          </w:p>
        </w:tc>
      </w:tr>
      <w:tr>
        <w:trPr>
          <w:trHeight w:val="20"/>
        </w:trPr>
        <w:tc>
          <w:tcPr>
            <w:tcW w:w="48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6.9</w:t>
            </w:r>
          </w:p>
        </w:tc>
        <w:tc>
          <w:tcPr>
            <w:tcW w:w="636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0"/>
                <w:szCs w:val="10"/>
                <w:color w:val="auto"/>
              </w:rPr>
              <w:t>CCOUNTING</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0"/>
                <w:szCs w:val="10"/>
                <w:color w:val="auto"/>
              </w:rPr>
              <w:t>HANGES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61</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62</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6.10 </w:t>
            </w:r>
            <w:r>
              <w:rPr>
                <w:rFonts w:ascii="Times New Roman" w:cs="Times New Roman" w:eastAsia="Times New Roman" w:hAnsi="Times New Roman"/>
                <w:sz w:val="22"/>
                <w:szCs w:val="22"/>
                <w:color w:val="000000"/>
              </w:rPr>
              <w:t>N</w:t>
            </w:r>
            <w:r>
              <w:rPr>
                <w:rFonts w:ascii="Times New Roman" w:cs="Times New Roman" w:eastAsia="Times New Roman" w:hAnsi="Times New Roman"/>
                <w:sz w:val="16"/>
                <w:szCs w:val="16"/>
                <w:color w:val="000000"/>
              </w:rPr>
              <w:t>EGATIVE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LEDGE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LAUSES</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61</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62</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37" w:lineRule="exact"/>
              <w:rPr>
                <w:sz w:val="20"/>
                <w:szCs w:val="20"/>
                <w:color w:val="auto"/>
              </w:rPr>
            </w:pPr>
            <w:r>
              <w:rPr>
                <w:rFonts w:ascii="Times New Roman" w:cs="Times New Roman" w:eastAsia="Times New Roman" w:hAnsi="Times New Roman"/>
                <w:sz w:val="22"/>
                <w:szCs w:val="22"/>
                <w:color w:val="010000"/>
              </w:rPr>
              <w:t xml:space="preserve">6.11 </w:t>
            </w:r>
            <w:r>
              <w:rPr>
                <w:rFonts w:ascii="Times New Roman" w:cs="Times New Roman" w:eastAsia="Times New Roman" w:hAnsi="Times New Roman"/>
                <w:sz w:val="22"/>
                <w:szCs w:val="22"/>
                <w:color w:val="000000"/>
              </w:rPr>
              <w:t>L</w:t>
            </w:r>
            <w:r>
              <w:rPr>
                <w:rFonts w:ascii="Times New Roman" w:cs="Times New Roman" w:eastAsia="Times New Roman" w:hAnsi="Times New Roman"/>
                <w:sz w:val="16"/>
                <w:szCs w:val="16"/>
                <w:color w:val="000000"/>
              </w:rPr>
              <w:t>INES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w:t>
            </w:r>
            <w:r>
              <w:rPr>
                <w:rFonts w:ascii="Times New Roman" w:cs="Times New Roman" w:eastAsia="Times New Roman" w:hAnsi="Times New Roman"/>
                <w:sz w:val="16"/>
                <w:szCs w:val="16"/>
                <w:color w:val="000000"/>
              </w:rPr>
              <w:t>USINESS</w:t>
            </w:r>
            <w:r>
              <w:rPr>
                <w:rFonts w:ascii="Times New Roman" w:cs="Times New Roman" w:eastAsia="Times New Roman" w:hAnsi="Times New Roman"/>
                <w:sz w:val="22"/>
                <w:szCs w:val="22"/>
                <w:color w:val="000000"/>
              </w:rPr>
              <w:t>; S</w:t>
            </w:r>
            <w:r>
              <w:rPr>
                <w:rFonts w:ascii="Times New Roman" w:cs="Times New Roman" w:eastAsia="Times New Roman" w:hAnsi="Times New Roman"/>
                <w:sz w:val="16"/>
                <w:szCs w:val="16"/>
                <w:color w:val="000000"/>
              </w:rPr>
              <w:t>UBSIDIARIES</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w w:val="90"/>
              </w:rPr>
              <w:t>61</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tcPr>
          <w:p>
            <w:pPr>
              <w:jc w:val="right"/>
              <w:spacing w:after="0" w:line="197" w:lineRule="exact"/>
              <w:rPr>
                <w:sz w:val="20"/>
                <w:szCs w:val="20"/>
                <w:color w:val="auto"/>
              </w:rPr>
            </w:pPr>
            <w:r>
              <w:rPr>
                <w:rFonts w:ascii="Times New Roman" w:cs="Times New Roman" w:eastAsia="Times New Roman" w:hAnsi="Times New Roman"/>
                <w:sz w:val="22"/>
                <w:szCs w:val="22"/>
                <w:color w:val="0000FF"/>
                <w:w w:val="90"/>
              </w:rPr>
              <w:t>63</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6.12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AYMENT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w:t>
            </w:r>
            <w:r>
              <w:rPr>
                <w:rFonts w:ascii="Times New Roman" w:cs="Times New Roman" w:eastAsia="Times New Roman" w:hAnsi="Times New Roman"/>
                <w:sz w:val="16"/>
                <w:szCs w:val="16"/>
                <w:color w:val="000000"/>
              </w:rPr>
              <w:t>IRVANA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w:t>
            </w:r>
            <w:r>
              <w:rPr>
                <w:rFonts w:ascii="Times New Roman" w:cs="Times New Roman" w:eastAsia="Times New Roman" w:hAnsi="Times New Roman"/>
                <w:sz w:val="16"/>
                <w:szCs w:val="16"/>
                <w:color w:val="000000"/>
              </w:rPr>
              <w:t>EBT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UBORDINATED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w:t>
            </w:r>
            <w:r>
              <w:rPr>
                <w:rFonts w:ascii="Times New Roman" w:cs="Times New Roman" w:eastAsia="Times New Roman" w:hAnsi="Times New Roman"/>
                <w:sz w:val="16"/>
                <w:szCs w:val="16"/>
                <w:color w:val="000000"/>
              </w:rPr>
              <w:t>NDEBTEDNESS</w:t>
            </w:r>
            <w:r>
              <w:rPr>
                <w:rFonts w:ascii="Times New Roman" w:cs="Times New Roman" w:eastAsia="Times New Roman" w:hAnsi="Times New Roman"/>
                <w:sz w:val="22"/>
                <w:szCs w:val="22"/>
                <w:color w:val="000000"/>
              </w:rPr>
              <w:t>;</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62</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360" w:type="dxa"/>
            <w:vAlign w:val="bottom"/>
            <w:vMerge w:val="restart"/>
          </w:tcPr>
          <w:p>
            <w:pPr>
              <w:ind w:left="60"/>
              <w:spacing w:after="0" w:line="236"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MENDMENTS</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6"/>
                <w:szCs w:val="16"/>
                <w:color w:val="auto"/>
              </w:rPr>
              <w:t>O</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RGANIZATIONAL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GREEMENTS</w:t>
            </w:r>
            <w:r>
              <w:rPr>
                <w:rFonts w:ascii="Times New Roman" w:cs="Times New Roman" w:eastAsia="Times New Roman" w:hAnsi="Times New Roman"/>
                <w:sz w:val="22"/>
                <w:szCs w:val="22"/>
                <w:color w:val="auto"/>
              </w:rPr>
              <w:t>; M</w:t>
            </w:r>
            <w:r>
              <w:rPr>
                <w:rFonts w:ascii="Times New Roman" w:cs="Times New Roman" w:eastAsia="Times New Roman" w:hAnsi="Times New Roman"/>
                <w:sz w:val="16"/>
                <w:szCs w:val="16"/>
                <w:color w:val="auto"/>
              </w:rPr>
              <w:t>ATERIAL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6"/>
                <w:szCs w:val="16"/>
                <w:color w:val="auto"/>
              </w:rPr>
              <w:t>ONTRACTS</w:t>
            </w:r>
          </w:p>
        </w:tc>
        <w:tc>
          <w:tcPr>
            <w:tcW w:w="2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22"/>
                <w:szCs w:val="22"/>
                <w:color w:val="010000"/>
              </w:rPr>
              <w:t xml:space="preserve">6.13 </w:t>
            </w:r>
            <w:r>
              <w:rPr>
                <w:rFonts w:ascii="Times New Roman" w:cs="Times New Roman" w:eastAsia="Times New Roman" w:hAnsi="Times New Roman"/>
                <w:sz w:val="22"/>
                <w:szCs w:val="22"/>
                <w:color w:val="000000"/>
              </w:rPr>
              <w:t>U</w:t>
            </w:r>
            <w:r>
              <w:rPr>
                <w:rFonts w:ascii="Times New Roman" w:cs="Times New Roman" w:eastAsia="Times New Roman" w:hAnsi="Times New Roman"/>
                <w:sz w:val="16"/>
                <w:szCs w:val="16"/>
                <w:color w:val="000000"/>
              </w:rPr>
              <w:t>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ROCEEDS</w:t>
            </w:r>
          </w:p>
        </w:tc>
        <w:tc>
          <w:tcPr>
            <w:tcW w:w="4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FF0000"/>
                <w:w w:val="95"/>
              </w:rPr>
              <w:t>62</w:t>
            </w:r>
            <w:r>
              <w:rPr>
                <w:rFonts w:ascii="Times New Roman" w:cs="Times New Roman" w:eastAsia="Times New Roman" w:hAnsi="Times New Roman"/>
                <w:sz w:val="22"/>
                <w:szCs w:val="22"/>
                <w:color w:val="0000FF"/>
                <w:w w:val="95"/>
              </w:rPr>
              <w:t>64</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37" w:lineRule="exact"/>
              <w:rPr>
                <w:sz w:val="20"/>
                <w:szCs w:val="20"/>
                <w:color w:val="auto"/>
              </w:rPr>
            </w:pPr>
            <w:r>
              <w:rPr>
                <w:rFonts w:ascii="Times New Roman" w:cs="Times New Roman" w:eastAsia="Times New Roman" w:hAnsi="Times New Roman"/>
                <w:sz w:val="22"/>
                <w:szCs w:val="22"/>
                <w:color w:val="010000"/>
              </w:rPr>
              <w:t xml:space="preserve">6.14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ALE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w:t>
            </w:r>
            <w:r>
              <w:rPr>
                <w:rFonts w:ascii="Times New Roman" w:cs="Times New Roman" w:eastAsia="Times New Roman" w:hAnsi="Times New Roman"/>
                <w:sz w:val="16"/>
                <w:szCs w:val="16"/>
                <w:color w:val="000000"/>
              </w:rPr>
              <w:t>EASEBACK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w:t>
            </w:r>
            <w:r>
              <w:rPr>
                <w:rFonts w:ascii="Times New Roman" w:cs="Times New Roman" w:eastAsia="Times New Roman" w:hAnsi="Times New Roman"/>
                <w:sz w:val="16"/>
                <w:szCs w:val="16"/>
                <w:color w:val="000000"/>
              </w:rPr>
              <w:t>RANSACTIONS</w:t>
            </w:r>
          </w:p>
        </w:tc>
        <w:tc>
          <w:tcPr>
            <w:tcW w:w="220" w:type="dxa"/>
            <w:vAlign w:val="bottom"/>
            <w:vMerge w:val="restart"/>
          </w:tcPr>
          <w:p>
            <w:pPr>
              <w:spacing w:after="0" w:line="237" w:lineRule="exact"/>
              <w:rPr>
                <w:sz w:val="20"/>
                <w:szCs w:val="20"/>
                <w:color w:val="auto"/>
              </w:rPr>
            </w:pPr>
            <w:r>
              <w:rPr>
                <w:rFonts w:ascii="Times New Roman" w:cs="Times New Roman" w:eastAsia="Times New Roman" w:hAnsi="Times New Roman"/>
                <w:sz w:val="22"/>
                <w:szCs w:val="22"/>
                <w:color w:val="FF0000"/>
                <w:w w:val="90"/>
              </w:rPr>
              <w:t>63</w:t>
            </w: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tcPr>
          <w:p>
            <w:pPr>
              <w:jc w:val="right"/>
              <w:spacing w:after="0" w:line="197" w:lineRule="exact"/>
              <w:rPr>
                <w:sz w:val="20"/>
                <w:szCs w:val="20"/>
                <w:color w:val="auto"/>
              </w:rPr>
            </w:pPr>
            <w:r>
              <w:rPr>
                <w:rFonts w:ascii="Times New Roman" w:cs="Times New Roman" w:eastAsia="Times New Roman" w:hAnsi="Times New Roman"/>
                <w:sz w:val="22"/>
                <w:szCs w:val="22"/>
                <w:color w:val="0000FF"/>
                <w:w w:val="90"/>
              </w:rPr>
              <w:t>64</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6.15 </w:t>
            </w:r>
            <w:r>
              <w:rPr>
                <w:rFonts w:ascii="Times New Roman" w:cs="Times New Roman" w:eastAsia="Times New Roman" w:hAnsi="Times New Roman"/>
                <w:sz w:val="22"/>
                <w:szCs w:val="22"/>
                <w:color w:val="000000"/>
              </w:rPr>
              <w:t>G</w:t>
            </w:r>
            <w:r>
              <w:rPr>
                <w:rFonts w:ascii="Times New Roman" w:cs="Times New Roman" w:eastAsia="Times New Roman" w:hAnsi="Times New Roman"/>
                <w:sz w:val="16"/>
                <w:szCs w:val="16"/>
                <w:color w:val="000000"/>
              </w:rPr>
              <w:t>UARANTY</w:t>
            </w: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w w:val="90"/>
              </w:rPr>
              <w:t>63</w:t>
            </w:r>
          </w:p>
        </w:tc>
        <w:tc>
          <w:tcPr>
            <w:tcW w:w="2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Presto Credit Agreement</w:t>
      </w:r>
      <w:r>
        <w:rPr>
          <w:sz w:val="20"/>
          <w:szCs w:val="20"/>
          <w:color w:val="auto"/>
        </w:rPr>
        <w:tab/>
      </w: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420370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59" w:right="1440" w:bottom="1440" w:gutter="0" w:footer="0" w:header="0"/>
        </w:sectPr>
      </w:pPr>
    </w:p>
    <w:bookmarkStart w:id="19" w:name="page20"/>
    <w:bookmarkEnd w:id="19"/>
    <w:tbl>
      <w:tblPr>
        <w:tblLayout w:type="fixed"/>
        <w:tblInd w:w="1300" w:type="dxa"/>
        <w:tblCellMar>
          <w:top w:w="0" w:type="dxa"/>
          <w:left w:w="0" w:type="dxa"/>
          <w:bottom w:w="0" w:type="dxa"/>
          <w:right w:w="0" w:type="dxa"/>
        </w:tblCellMar>
      </w:tblPr>
      <w:tr>
        <w:trPr>
          <w:trHeight w:val="253"/>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010000"/>
              </w:rPr>
              <w:t xml:space="preserve">6.16 </w:t>
            </w:r>
            <w:r>
              <w:rPr>
                <w:rFonts w:ascii="Times New Roman" w:cs="Times New Roman" w:eastAsia="Times New Roman" w:hAnsi="Times New Roman"/>
                <w:sz w:val="22"/>
                <w:szCs w:val="22"/>
                <w:color w:val="000000"/>
              </w:rPr>
              <w:t>N</w:t>
            </w:r>
            <w:r>
              <w:rPr>
                <w:rFonts w:ascii="Times New Roman" w:cs="Times New Roman" w:eastAsia="Times New Roman" w:hAnsi="Times New Roman"/>
                <w:sz w:val="16"/>
                <w:szCs w:val="16"/>
                <w:color w:val="000000"/>
              </w:rPr>
              <w: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w:t>
            </w:r>
            <w:r>
              <w:rPr>
                <w:rFonts w:ascii="Times New Roman" w:cs="Times New Roman" w:eastAsia="Times New Roman" w:hAnsi="Times New Roman"/>
                <w:sz w:val="16"/>
                <w:szCs w:val="16"/>
                <w:color w:val="000000"/>
              </w:rPr>
              <w:t>URDENSOME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w:t>
            </w:r>
            <w:r>
              <w:rPr>
                <w:rFonts w:ascii="Times New Roman" w:cs="Times New Roman" w:eastAsia="Times New Roman" w:hAnsi="Times New Roman"/>
                <w:sz w:val="16"/>
                <w:szCs w:val="16"/>
                <w:color w:val="000000"/>
              </w:rPr>
              <w:t>ESTRICTIONS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w w:val="90"/>
              </w:rPr>
              <w:t>63</w:t>
            </w:r>
            <w:r>
              <w:rPr>
                <w:rFonts w:ascii="Times New Roman" w:cs="Times New Roman" w:eastAsia="Times New Roman" w:hAnsi="Times New Roman"/>
                <w:sz w:val="22"/>
                <w:szCs w:val="22"/>
                <w:color w:val="0000FF"/>
                <w:w w:val="90"/>
              </w:rPr>
              <w:t>64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6.17 </w:t>
            </w:r>
            <w:r>
              <w:rPr>
                <w:rFonts w:ascii="Times New Roman" w:cs="Times New Roman" w:eastAsia="Times New Roman" w:hAnsi="Times New Roman"/>
                <w:sz w:val="22"/>
                <w:szCs w:val="22"/>
                <w:color w:val="000000"/>
              </w:rPr>
              <w:t>F</w:t>
            </w:r>
            <w:r>
              <w:rPr>
                <w:rFonts w:ascii="Times New Roman" w:cs="Times New Roman" w:eastAsia="Times New Roman" w:hAnsi="Times New Roman"/>
                <w:sz w:val="16"/>
                <w:szCs w:val="16"/>
                <w:color w:val="000000"/>
              </w:rPr>
              <w:t>INANCIAL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OVENANTS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63</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65</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6.18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HANGE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ONTROL</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64</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66</w:t>
            </w:r>
          </w:p>
        </w:tc>
        <w:tc>
          <w:tcPr>
            <w:tcW w:w="0" w:type="dxa"/>
            <w:vAlign w:val="bottom"/>
          </w:tcPr>
          <w:p>
            <w:pPr>
              <w:spacing w:after="0"/>
              <w:rPr>
                <w:sz w:val="1"/>
                <w:szCs w:val="1"/>
                <w:color w:val="auto"/>
              </w:rPr>
            </w:pPr>
          </w:p>
        </w:tc>
      </w:tr>
      <w:tr>
        <w:trPr>
          <w:trHeight w:val="20"/>
        </w:trPr>
        <w:tc>
          <w:tcPr>
            <w:tcW w:w="6880" w:type="dxa"/>
            <w:vAlign w:val="bottom"/>
            <w:gridSpan w:val="2"/>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w w:val="90"/>
              </w:rPr>
              <w:t>64</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10000"/>
              </w:rPr>
              <w:t xml:space="preserve">SECTION 7 </w:t>
            </w:r>
            <w:r>
              <w:rPr>
                <w:rFonts w:ascii="Times New Roman" w:cs="Times New Roman" w:eastAsia="Times New Roman" w:hAnsi="Times New Roman"/>
                <w:sz w:val="22"/>
                <w:szCs w:val="22"/>
                <w:color w:val="000000"/>
              </w:rPr>
              <w:t>EVENTS OF DEFAULT</w:t>
            </w: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w w:val="94"/>
              </w:rPr>
              <w:t>66</w:t>
            </w: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tcPr>
          <w:p>
            <w:pPr>
              <w:ind w:left="140"/>
              <w:spacing w:after="0"/>
              <w:rPr>
                <w:sz w:val="20"/>
                <w:szCs w:val="20"/>
                <w:color w:val="auto"/>
              </w:rPr>
            </w:pPr>
            <w:r>
              <w:rPr>
                <w:rFonts w:ascii="Times New Roman" w:cs="Times New Roman" w:eastAsia="Times New Roman" w:hAnsi="Times New Roman"/>
                <w:sz w:val="22"/>
                <w:szCs w:val="22"/>
                <w:color w:val="010000"/>
              </w:rPr>
              <w:t>7.1</w:t>
            </w:r>
          </w:p>
        </w:tc>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6"/>
                <w:szCs w:val="16"/>
                <w:color w:val="auto"/>
              </w:rPr>
              <w:t>VENTS</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EFAULT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w w:val="90"/>
              </w:rPr>
              <w:t>64</w:t>
            </w:r>
            <w:r>
              <w:rPr>
                <w:rFonts w:ascii="Times New Roman" w:cs="Times New Roman" w:eastAsia="Times New Roman" w:hAnsi="Times New Roman"/>
                <w:sz w:val="22"/>
                <w:szCs w:val="22"/>
                <w:color w:val="0000FF"/>
                <w:w w:val="90"/>
              </w:rPr>
              <w:t>66</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7.2</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6"/>
                <w:szCs w:val="16"/>
                <w:color w:val="auto"/>
              </w:rPr>
              <w:t>EMEDIES</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6"/>
                <w:szCs w:val="16"/>
                <w:color w:val="auto"/>
              </w:rPr>
              <w:t>PON</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6"/>
                <w:szCs w:val="16"/>
                <w:color w:val="auto"/>
              </w:rPr>
              <w:t>VENT</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EFAULT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67</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69</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7.3</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PPLICATION</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6"/>
                <w:szCs w:val="16"/>
                <w:color w:val="auto"/>
              </w:rPr>
              <w:t>UNDS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69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71</w:t>
            </w:r>
          </w:p>
        </w:tc>
        <w:tc>
          <w:tcPr>
            <w:tcW w:w="0" w:type="dxa"/>
            <w:vAlign w:val="bottom"/>
          </w:tcPr>
          <w:p>
            <w:pPr>
              <w:spacing w:after="0"/>
              <w:rPr>
                <w:sz w:val="1"/>
                <w:szCs w:val="1"/>
                <w:color w:val="auto"/>
              </w:rPr>
            </w:pPr>
          </w:p>
        </w:tc>
      </w:tr>
      <w:tr>
        <w:trPr>
          <w:trHeight w:val="20"/>
        </w:trPr>
        <w:tc>
          <w:tcPr>
            <w:tcW w:w="6880" w:type="dxa"/>
            <w:vAlign w:val="bottom"/>
            <w:gridSpan w:val="2"/>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w w:val="90"/>
              </w:rPr>
              <w:t>69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10000"/>
              </w:rPr>
              <w:t xml:space="preserve">SECTION 8 </w:t>
            </w:r>
            <w:r>
              <w:rPr>
                <w:rFonts w:ascii="Times New Roman" w:cs="Times New Roman" w:eastAsia="Times New Roman" w:hAnsi="Times New Roman"/>
                <w:sz w:val="22"/>
                <w:szCs w:val="22"/>
                <w:color w:val="000000"/>
              </w:rPr>
              <w:t>MISCELLANEOUS</w:t>
            </w: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w w:val="94"/>
              </w:rPr>
              <w:t>71</w:t>
            </w: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tcPr>
          <w:p>
            <w:pPr>
              <w:ind w:left="140"/>
              <w:spacing w:after="0"/>
              <w:rPr>
                <w:sz w:val="20"/>
                <w:szCs w:val="20"/>
                <w:color w:val="auto"/>
              </w:rPr>
            </w:pPr>
            <w:r>
              <w:rPr>
                <w:rFonts w:ascii="Times New Roman" w:cs="Times New Roman" w:eastAsia="Times New Roman" w:hAnsi="Times New Roman"/>
                <w:sz w:val="22"/>
                <w:szCs w:val="22"/>
                <w:color w:val="010000"/>
              </w:rPr>
              <w:t>8.1</w:t>
            </w:r>
          </w:p>
        </w:tc>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MENDMENTS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AIVERS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w w:val="90"/>
              </w:rPr>
              <w:t>69</w:t>
            </w:r>
            <w:r>
              <w:rPr>
                <w:rFonts w:ascii="Times New Roman" w:cs="Times New Roman" w:eastAsia="Times New Roman" w:hAnsi="Times New Roman"/>
                <w:sz w:val="22"/>
                <w:szCs w:val="22"/>
                <w:color w:val="0000FF"/>
                <w:w w:val="90"/>
              </w:rPr>
              <w:t>71</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8.2</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6"/>
                <w:szCs w:val="16"/>
                <w:color w:val="auto"/>
              </w:rPr>
              <w:t>OTICES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71</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73</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8.3</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6"/>
                <w:szCs w:val="16"/>
                <w:color w:val="auto"/>
              </w:rPr>
              <w:t>O</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AIVER</w:t>
            </w:r>
            <w:r>
              <w:rPr>
                <w:rFonts w:ascii="Times New Roman" w:cs="Times New Roman" w:eastAsia="Times New Roman" w:hAnsi="Times New Roman"/>
                <w:sz w:val="22"/>
                <w:szCs w:val="22"/>
                <w:color w:val="auto"/>
              </w:rPr>
              <w:t>; C</w:t>
            </w:r>
            <w:r>
              <w:rPr>
                <w:rFonts w:ascii="Times New Roman" w:cs="Times New Roman" w:eastAsia="Times New Roman" w:hAnsi="Times New Roman"/>
                <w:sz w:val="16"/>
                <w:szCs w:val="16"/>
                <w:color w:val="auto"/>
              </w:rPr>
              <w:t>UMULATIVE</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6"/>
                <w:szCs w:val="16"/>
                <w:color w:val="auto"/>
              </w:rPr>
              <w:t>EMEDIES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72</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74</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8.4</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6"/>
                <w:szCs w:val="16"/>
                <w:color w:val="auto"/>
              </w:rPr>
              <w:t>URVIVAL</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6"/>
                <w:szCs w:val="16"/>
                <w:color w:val="auto"/>
              </w:rPr>
              <w:t>EPRESENTATIONS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ARRANTIES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74</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8.5</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6"/>
                <w:szCs w:val="16"/>
                <w:color w:val="auto"/>
              </w:rPr>
              <w:t>XPENSES</w:t>
            </w:r>
            <w:r>
              <w:rPr>
                <w:rFonts w:ascii="Times New Roman" w:cs="Times New Roman" w:eastAsia="Times New Roman" w:hAnsi="Times New Roman"/>
                <w:sz w:val="22"/>
                <w:szCs w:val="22"/>
                <w:color w:val="auto"/>
              </w:rPr>
              <w:t>; I</w:t>
            </w:r>
            <w:r>
              <w:rPr>
                <w:rFonts w:ascii="Times New Roman" w:cs="Times New Roman" w:eastAsia="Times New Roman" w:hAnsi="Times New Roman"/>
                <w:sz w:val="16"/>
                <w:szCs w:val="16"/>
                <w:color w:val="auto"/>
              </w:rPr>
              <w:t>NDEMNITY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6"/>
                <w:szCs w:val="16"/>
                <w:color w:val="auto"/>
              </w:rPr>
              <w:t>DAMAGE</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AIVER</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74</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8.6</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6"/>
                <w:szCs w:val="16"/>
                <w:color w:val="auto"/>
              </w:rPr>
              <w:t>UCCESSORS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SSIGNS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74</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76</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8.7</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6"/>
                <w:szCs w:val="16"/>
                <w:color w:val="auto"/>
              </w:rPr>
              <w:t>ESERVED</w:t>
            </w:r>
            <w:r>
              <w:rPr>
                <w:rFonts w:ascii="Times New Roman" w:cs="Times New Roman" w:eastAsia="Times New Roman" w:hAnsi="Times New Roman"/>
                <w:sz w:val="22"/>
                <w:szCs w:val="22"/>
                <w:color w:val="auto"/>
              </w:rPr>
              <w: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76</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78</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8.8</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NTEREST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6"/>
                <w:szCs w:val="16"/>
                <w:color w:val="auto"/>
              </w:rPr>
              <w:t>ATE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6"/>
                <w:szCs w:val="16"/>
                <w:color w:val="auto"/>
              </w:rPr>
              <w:t>IMITATION</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76</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78</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8.9</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6"/>
                <w:szCs w:val="16"/>
                <w:color w:val="auto"/>
              </w:rPr>
              <w:t>OUNTERPARTS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76</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78</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8.10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EVERABILITY</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77</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79</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w w:val="98"/>
              </w:rPr>
              <w:t>8.11</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NTEGRATION</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77</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79</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8.12 </w:t>
            </w:r>
            <w:r>
              <w:rPr>
                <w:rFonts w:ascii="Times New Roman" w:cs="Times New Roman" w:eastAsia="Times New Roman" w:hAnsi="Times New Roman"/>
                <w:sz w:val="22"/>
                <w:szCs w:val="22"/>
                <w:color w:val="000000"/>
              </w:rPr>
              <w:t>G</w:t>
            </w:r>
            <w:r>
              <w:rPr>
                <w:rFonts w:ascii="Times New Roman" w:cs="Times New Roman" w:eastAsia="Times New Roman" w:hAnsi="Times New Roman"/>
                <w:sz w:val="16"/>
                <w:szCs w:val="16"/>
                <w:color w:val="000000"/>
              </w:rPr>
              <w:t>OVERNING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w:t>
            </w:r>
            <w:r>
              <w:rPr>
                <w:rFonts w:ascii="Times New Roman" w:cs="Times New Roman" w:eastAsia="Times New Roman" w:hAnsi="Times New Roman"/>
                <w:sz w:val="16"/>
                <w:szCs w:val="16"/>
                <w:color w:val="000000"/>
              </w:rPr>
              <w:t>AW</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77</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79</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8.13 </w:t>
            </w:r>
            <w:r>
              <w:rPr>
                <w:rFonts w:ascii="Times New Roman" w:cs="Times New Roman" w:eastAsia="Times New Roman" w:hAnsi="Times New Roman"/>
                <w:sz w:val="22"/>
                <w:szCs w:val="22"/>
                <w:color w:val="000000"/>
              </w:rPr>
              <w:t>S</w:t>
            </w:r>
            <w:r>
              <w:rPr>
                <w:rFonts w:ascii="Times New Roman" w:cs="Times New Roman" w:eastAsia="Times New Roman" w:hAnsi="Times New Roman"/>
                <w:sz w:val="16"/>
                <w:szCs w:val="16"/>
                <w:color w:val="000000"/>
              </w:rPr>
              <w:t>UBMISSION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w:t>
            </w:r>
            <w:r>
              <w:rPr>
                <w:rFonts w:ascii="Times New Roman" w:cs="Times New Roman" w:eastAsia="Times New Roman" w:hAnsi="Times New Roman"/>
                <w:sz w:val="16"/>
                <w:szCs w:val="16"/>
                <w:color w:val="000000"/>
              </w:rPr>
              <w: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J</w:t>
            </w:r>
            <w:r>
              <w:rPr>
                <w:rFonts w:ascii="Times New Roman" w:cs="Times New Roman" w:eastAsia="Times New Roman" w:hAnsi="Times New Roman"/>
                <w:sz w:val="16"/>
                <w:szCs w:val="16"/>
                <w:color w:val="000000"/>
              </w:rPr>
              <w:t>URISDICTION</w:t>
            </w:r>
            <w:r>
              <w:rPr>
                <w:rFonts w:ascii="Times New Roman" w:cs="Times New Roman" w:eastAsia="Times New Roman" w:hAnsi="Times New Roman"/>
                <w:sz w:val="22"/>
                <w:szCs w:val="22"/>
                <w:color w:val="000000"/>
              </w:rPr>
              <w:t>; W</w:t>
            </w:r>
            <w:r>
              <w:rPr>
                <w:rFonts w:ascii="Times New Roman" w:cs="Times New Roman" w:eastAsia="Times New Roman" w:hAnsi="Times New Roman"/>
                <w:sz w:val="16"/>
                <w:szCs w:val="16"/>
                <w:color w:val="000000"/>
              </w:rPr>
              <w:t>AIVERS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77</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79</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8.14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CKNOWLEDGEMENTS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78</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80</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8.15 </w:t>
            </w:r>
            <w:r>
              <w:rPr>
                <w:rFonts w:ascii="Times New Roman" w:cs="Times New Roman" w:eastAsia="Times New Roman" w:hAnsi="Times New Roman"/>
                <w:sz w:val="22"/>
                <w:szCs w:val="22"/>
                <w:color w:val="000000"/>
              </w:rPr>
              <w:t>T</w:t>
            </w:r>
            <w:r>
              <w:rPr>
                <w:rFonts w:ascii="Times New Roman" w:cs="Times New Roman" w:eastAsia="Times New Roman" w:hAnsi="Times New Roman"/>
                <w:sz w:val="16"/>
                <w:szCs w:val="16"/>
                <w:color w:val="000000"/>
              </w:rPr>
              <w:t>REATMENT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ERTAIN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w:t>
            </w:r>
            <w:r>
              <w:rPr>
                <w:rFonts w:ascii="Times New Roman" w:cs="Times New Roman" w:eastAsia="Times New Roman" w:hAnsi="Times New Roman"/>
                <w:sz w:val="16"/>
                <w:szCs w:val="16"/>
                <w:color w:val="000000"/>
              </w:rPr>
              <w:t>NFORMATION</w:t>
            </w:r>
            <w:r>
              <w:rPr>
                <w:rFonts w:ascii="Times New Roman" w:cs="Times New Roman" w:eastAsia="Times New Roman" w:hAnsi="Times New Roman"/>
                <w:sz w:val="22"/>
                <w:szCs w:val="22"/>
                <w:color w:val="000000"/>
              </w:rPr>
              <w:t>; C</w:t>
            </w:r>
            <w:r>
              <w:rPr>
                <w:rFonts w:ascii="Times New Roman" w:cs="Times New Roman" w:eastAsia="Times New Roman" w:hAnsi="Times New Roman"/>
                <w:sz w:val="16"/>
                <w:szCs w:val="16"/>
                <w:color w:val="000000"/>
              </w:rPr>
              <w:t>ONFIDENTIALITY</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78</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80</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8.16 </w:t>
            </w:r>
            <w:r>
              <w:rPr>
                <w:rFonts w:ascii="Times New Roman" w:cs="Times New Roman" w:eastAsia="Times New Roman" w:hAnsi="Times New Roman"/>
                <w:sz w:val="22"/>
                <w:szCs w:val="22"/>
                <w:color w:val="000000"/>
              </w:rPr>
              <w:t>B</w:t>
            </w:r>
            <w:r>
              <w:rPr>
                <w:rFonts w:ascii="Times New Roman" w:cs="Times New Roman" w:eastAsia="Times New Roman" w:hAnsi="Times New Roman"/>
                <w:sz w:val="16"/>
                <w:szCs w:val="16"/>
                <w:color w:val="000000"/>
              </w:rPr>
              <w:t>ENEFICIAL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WNERSHIP</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w:t>
            </w:r>
            <w:r>
              <w:rPr>
                <w:rFonts w:ascii="Times New Roman" w:cs="Times New Roman" w:eastAsia="Times New Roman" w:hAnsi="Times New Roman"/>
                <w:sz w:val="16"/>
                <w:szCs w:val="16"/>
                <w:color w:val="000000"/>
              </w:rPr>
              <w:t>EGULATION</w:t>
            </w:r>
            <w:r>
              <w:rPr>
                <w:rFonts w:ascii="Times New Roman" w:cs="Times New Roman" w:eastAsia="Times New Roman" w:hAnsi="Times New Roman"/>
                <w:sz w:val="22"/>
                <w:szCs w:val="22"/>
                <w:color w:val="000000"/>
              </w:rPr>
              <w:t>; P</w:t>
            </w:r>
            <w:r>
              <w:rPr>
                <w:rFonts w:ascii="Times New Roman" w:cs="Times New Roman" w:eastAsia="Times New Roman" w:hAnsi="Times New Roman"/>
                <w:sz w:val="16"/>
                <w:szCs w:val="16"/>
                <w:color w:val="000000"/>
              </w:rPr>
              <w:t>ATRIOT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CT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81</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8.17 </w:t>
            </w:r>
            <w:r>
              <w:rPr>
                <w:rFonts w:ascii="Times New Roman" w:cs="Times New Roman" w:eastAsia="Times New Roman" w:hAnsi="Times New Roman"/>
                <w:sz w:val="22"/>
                <w:szCs w:val="22"/>
                <w:color w:val="000000"/>
              </w:rPr>
              <w:t>M</w:t>
            </w:r>
            <w:r>
              <w:rPr>
                <w:rFonts w:ascii="Times New Roman" w:cs="Times New Roman" w:eastAsia="Times New Roman" w:hAnsi="Times New Roman"/>
                <w:sz w:val="16"/>
                <w:szCs w:val="16"/>
                <w:color w:val="000000"/>
              </w:rPr>
              <w:t>ARSHALLING</w:t>
            </w:r>
            <w:r>
              <w:rPr>
                <w:rFonts w:ascii="Times New Roman" w:cs="Times New Roman" w:eastAsia="Times New Roman" w:hAnsi="Times New Roman"/>
                <w:sz w:val="22"/>
                <w:szCs w:val="22"/>
                <w:color w:val="000000"/>
              </w:rPr>
              <w:t>; S</w:t>
            </w:r>
            <w:r>
              <w:rPr>
                <w:rFonts w:ascii="Times New Roman" w:cs="Times New Roman" w:eastAsia="Times New Roman" w:hAnsi="Times New Roman"/>
                <w:sz w:val="16"/>
                <w:szCs w:val="16"/>
                <w:color w:val="000000"/>
              </w:rPr>
              <w:t>ETOFF</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79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81</w:t>
            </w:r>
          </w:p>
        </w:tc>
        <w:tc>
          <w:tcPr>
            <w:tcW w:w="0" w:type="dxa"/>
            <w:vAlign w:val="bottom"/>
          </w:tcPr>
          <w:p>
            <w:pPr>
              <w:spacing w:after="0"/>
              <w:rPr>
                <w:sz w:val="1"/>
                <w:szCs w:val="1"/>
                <w:color w:val="auto"/>
              </w:rPr>
            </w:pPr>
          </w:p>
        </w:tc>
      </w:tr>
      <w:tr>
        <w:trPr>
          <w:trHeight w:val="20"/>
        </w:trPr>
        <w:tc>
          <w:tcPr>
            <w:tcW w:w="6880" w:type="dxa"/>
            <w:vAlign w:val="bottom"/>
            <w:gridSpan w:val="2"/>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w w:val="90"/>
              </w:rPr>
              <w:t>80</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10000"/>
              </w:rPr>
              <w:t xml:space="preserve">SECTION 9 </w:t>
            </w:r>
            <w:r>
              <w:rPr>
                <w:rFonts w:ascii="Times New Roman" w:cs="Times New Roman" w:eastAsia="Times New Roman" w:hAnsi="Times New Roman"/>
                <w:sz w:val="22"/>
                <w:szCs w:val="22"/>
                <w:color w:val="000000"/>
              </w:rPr>
              <w:t>AGENCY PROVISIONS.</w:t>
            </w: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w w:val="94"/>
              </w:rPr>
              <w:t>81</w:t>
            </w: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tcPr>
          <w:p>
            <w:pPr>
              <w:ind w:left="140"/>
              <w:spacing w:after="0"/>
              <w:rPr>
                <w:sz w:val="20"/>
                <w:szCs w:val="20"/>
                <w:color w:val="auto"/>
              </w:rPr>
            </w:pPr>
            <w:r>
              <w:rPr>
                <w:rFonts w:ascii="Times New Roman" w:cs="Times New Roman" w:eastAsia="Times New Roman" w:hAnsi="Times New Roman"/>
                <w:sz w:val="22"/>
                <w:szCs w:val="22"/>
                <w:color w:val="010000"/>
              </w:rPr>
              <w:t>9.1</w:t>
            </w:r>
          </w:p>
        </w:tc>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PPOINTMENT</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GENT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w w:val="90"/>
              </w:rPr>
              <w:t>80</w:t>
            </w:r>
            <w:r>
              <w:rPr>
                <w:rFonts w:ascii="Times New Roman" w:cs="Times New Roman" w:eastAsia="Times New Roman" w:hAnsi="Times New Roman"/>
                <w:sz w:val="22"/>
                <w:szCs w:val="22"/>
                <w:color w:val="0000FF"/>
                <w:w w:val="90"/>
              </w:rPr>
              <w:t>81</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9.2</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6"/>
                <w:szCs w:val="16"/>
                <w:color w:val="auto"/>
              </w:rPr>
              <w:t>UTIES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GENT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80</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82</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9.3</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6"/>
                <w:szCs w:val="16"/>
                <w:color w:val="auto"/>
              </w:rPr>
              <w:t>IMITED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UTIES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80</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82</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9.4</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6"/>
                <w:szCs w:val="16"/>
                <w:color w:val="auto"/>
              </w:rPr>
              <w:t>O</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CTIONS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6"/>
                <w:szCs w:val="16"/>
                <w:color w:val="auto"/>
              </w:rPr>
              <w:t>ITHOUT</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6"/>
                <w:szCs w:val="16"/>
                <w:color w:val="auto"/>
              </w:rPr>
              <w:t>NSTRUCTIONS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81</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82</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9.5</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6"/>
                <w:szCs w:val="16"/>
                <w:color w:val="auto"/>
              </w:rPr>
              <w:t>ELEGATION</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6"/>
                <w:szCs w:val="16"/>
                <w:color w:val="auto"/>
              </w:rPr>
              <w:t>IGHTS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UTIES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81</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83</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9.6</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6"/>
                <w:szCs w:val="16"/>
                <w:color w:val="auto"/>
              </w:rPr>
              <w:t>ELIANCE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6"/>
                <w:szCs w:val="16"/>
                <w:color w:val="auto"/>
              </w:rPr>
              <w:t>IABILITY</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81</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83</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9.7</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GENT</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6"/>
                <w:szCs w:val="16"/>
                <w:color w:val="auto"/>
              </w:rPr>
              <w:t>NDIVIDUALLY</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82</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83</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9.8</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GENT</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6"/>
                <w:szCs w:val="16"/>
                <w:color w:val="auto"/>
              </w:rPr>
              <w:t>OSTS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6"/>
                <w:szCs w:val="16"/>
                <w:color w:val="auto"/>
              </w:rPr>
              <w:t>XPENSES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82</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84</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9.9</w:t>
            </w:r>
          </w:p>
        </w:tc>
        <w:tc>
          <w:tcPr>
            <w:tcW w:w="6340" w:type="dxa"/>
            <w:vAlign w:val="bottom"/>
            <w:vMerge w:val="restart"/>
          </w:tcPr>
          <w:p>
            <w:pPr>
              <w:ind w:left="20"/>
              <w:spacing w:after="0" w:line="223"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6"/>
                <w:szCs w:val="16"/>
                <w:color w:val="auto"/>
              </w:rPr>
              <w:t>NDEMNIFICATION</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6"/>
                <w:szCs w:val="16"/>
                <w:color w:val="auto"/>
              </w:rPr>
              <w:t>F</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6"/>
                <w:szCs w:val="16"/>
                <w:color w:val="auto"/>
              </w:rPr>
              <w:t>GENT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82</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9.10 </w:t>
            </w:r>
            <w:r>
              <w:rPr>
                <w:rFonts w:ascii="Times New Roman" w:cs="Times New Roman" w:eastAsia="Times New Roman" w:hAnsi="Times New Roman"/>
                <w:sz w:val="22"/>
                <w:szCs w:val="22"/>
                <w:color w:val="000000"/>
              </w:rPr>
              <w:t>R</w:t>
            </w:r>
            <w:r>
              <w:rPr>
                <w:rFonts w:ascii="Times New Roman" w:cs="Times New Roman" w:eastAsia="Times New Roman" w:hAnsi="Times New Roman"/>
                <w:sz w:val="16"/>
                <w:szCs w:val="16"/>
                <w:color w:val="000000"/>
              </w:rPr>
              <w:t>ESIGNATION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16"/>
                <w:szCs w:val="16"/>
                <w:color w:val="000000"/>
              </w:rPr>
              <w:t>GENT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82</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9.11 </w:t>
            </w:r>
            <w:r>
              <w:rPr>
                <w:rFonts w:ascii="Times New Roman" w:cs="Times New Roman" w:eastAsia="Times New Roman" w:hAnsi="Times New Roman"/>
                <w:sz w:val="22"/>
                <w:szCs w:val="22"/>
                <w:color w:val="000000"/>
              </w:rPr>
              <w:t>R</w:t>
            </w:r>
            <w:r>
              <w:rPr>
                <w:rFonts w:ascii="Times New Roman" w:cs="Times New Roman" w:eastAsia="Times New Roman" w:hAnsi="Times New Roman"/>
                <w:sz w:val="16"/>
                <w:szCs w:val="16"/>
                <w:color w:val="000000"/>
              </w:rPr>
              <w:t>ELEASE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w:t>
            </w:r>
            <w:r>
              <w:rPr>
                <w:rFonts w:ascii="Times New Roman" w:cs="Times New Roman" w:eastAsia="Times New Roman" w:hAnsi="Times New Roman"/>
                <w:sz w:val="16"/>
                <w:szCs w:val="16"/>
                <w:color w:val="000000"/>
              </w:rPr>
              <w:t>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w:t>
            </w:r>
            <w:r>
              <w:rPr>
                <w:rFonts w:ascii="Times New Roman" w:cs="Times New Roman" w:eastAsia="Times New Roman" w:hAnsi="Times New Roman"/>
                <w:sz w:val="16"/>
                <w:szCs w:val="16"/>
                <w:color w:val="000000"/>
              </w:rPr>
              <w:t>OLLATERAL</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010000"/>
              </w:rPr>
              <w:t xml:space="preserve">9.12 </w:t>
            </w:r>
            <w:r>
              <w:rPr>
                <w:rFonts w:ascii="Times New Roman" w:cs="Times New Roman" w:eastAsia="Times New Roman" w:hAnsi="Times New Roman"/>
                <w:sz w:val="22"/>
                <w:szCs w:val="22"/>
                <w:color w:val="000000"/>
              </w:rPr>
              <w:t>E</w:t>
            </w:r>
            <w:r>
              <w:rPr>
                <w:rFonts w:ascii="Times New Roman" w:cs="Times New Roman" w:eastAsia="Times New Roman" w:hAnsi="Times New Roman"/>
                <w:sz w:val="16"/>
                <w:szCs w:val="16"/>
                <w:color w:val="000000"/>
              </w:rPr>
              <w:t>RRONEOUS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w:t>
            </w:r>
            <w:r>
              <w:rPr>
                <w:rFonts w:ascii="Times New Roman" w:cs="Times New Roman" w:eastAsia="Times New Roman" w:hAnsi="Times New Roman"/>
                <w:sz w:val="16"/>
                <w:szCs w:val="16"/>
                <w:color w:val="000000"/>
              </w:rPr>
              <w:t>AYMENTS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w w:val="90"/>
              </w:rPr>
              <w:t>83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8"/>
          <w:szCs w:val="18"/>
          <w:color w:val="auto"/>
        </w:rPr>
        <w:t>Presto Credit Agreement</w:t>
      </w:r>
      <w:r>
        <w:rPr>
          <w:sz w:val="20"/>
          <w:szCs w:val="20"/>
          <w:color w:val="auto"/>
        </w:rPr>
        <w:tab/>
      </w: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420370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59" w:right="1440" w:bottom="1440" w:gutter="0" w:footer="0" w:header="0"/>
        </w:sectPr>
      </w:pPr>
    </w:p>
    <w:bookmarkStart w:id="20" w:name="page21"/>
    <w:bookmarkEnd w:id="20"/>
    <w:tbl>
      <w:tblPr>
        <w:tblLayout w:type="fixed"/>
        <w:tblInd w:w="1100" w:type="dxa"/>
        <w:tblCellMar>
          <w:top w:w="0" w:type="dxa"/>
          <w:left w:w="0" w:type="dxa"/>
          <w:bottom w:w="0" w:type="dxa"/>
          <w:right w:w="0" w:type="dxa"/>
        </w:tblCellMar>
      </w:tblPr>
      <w:tr>
        <w:trPr>
          <w:trHeight w:val="286"/>
        </w:trPr>
        <w:tc>
          <w:tcPr>
            <w:tcW w:w="1660" w:type="dxa"/>
            <w:vAlign w:val="bottom"/>
          </w:tcPr>
          <w:p>
            <w:pPr>
              <w:spacing w:after="0"/>
              <w:rPr>
                <w:sz w:val="24"/>
                <w:szCs w:val="24"/>
                <w:color w:val="auto"/>
              </w:rPr>
            </w:pPr>
          </w:p>
        </w:tc>
        <w:tc>
          <w:tcPr>
            <w:tcW w:w="428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3"/>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Schedule 1.1(a)</w:t>
            </w:r>
          </w:p>
        </w:tc>
        <w:tc>
          <w:tcPr>
            <w:tcW w:w="42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Term Loan Commitments Schedule 1.1(b)</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Deposit Accounts Schedule</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1.1(c)</w:t>
            </w:r>
          </w:p>
        </w:tc>
        <w:tc>
          <w:tcPr>
            <w:tcW w:w="4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Permitted Indebtedness</w:t>
            </w: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1.1(d)</w:t>
            </w:r>
          </w:p>
        </w:tc>
        <w:tc>
          <w:tcPr>
            <w:tcW w:w="4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8"/>
              </w:rPr>
              <w:t>SPAC Subscription Agreements Schedule 3.6</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Current Litigation</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3.7</w:t>
            </w:r>
          </w:p>
        </w:tc>
        <w:tc>
          <w:tcPr>
            <w:tcW w:w="4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Material Contracts</w:t>
            </w: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3.19</w:t>
            </w:r>
          </w:p>
        </w:tc>
        <w:tc>
          <w:tcPr>
            <w:tcW w:w="4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3.23</w:t>
            </w:r>
          </w:p>
        </w:tc>
        <w:tc>
          <w:tcPr>
            <w:tcW w:w="550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22"/>
                <w:szCs w:val="22"/>
                <w:color w:val="auto"/>
              </w:rPr>
              <w:t>Capitalization of Loan Parties; Subsidiaries Schedule 3.24</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Affiliate</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Transactions</w:t>
            </w:r>
          </w:p>
        </w:tc>
        <w:tc>
          <w:tcPr>
            <w:tcW w:w="4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Schedule 6.6</w:t>
            </w:r>
          </w:p>
        </w:tc>
        <w:tc>
          <w:tcPr>
            <w:tcW w:w="42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Permitted Investments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00" w:type="dxa"/>
            <w:vAlign w:val="bottom"/>
          </w:tcPr>
          <w:p>
            <w:pPr>
              <w:spacing w:after="0"/>
              <w:rPr>
                <w:sz w:val="24"/>
                <w:szCs w:val="24"/>
                <w:color w:val="auto"/>
              </w:rPr>
            </w:pPr>
          </w:p>
        </w:tc>
        <w:tc>
          <w:tcPr>
            <w:tcW w:w="7420" w:type="dxa"/>
            <w:vAlign w:val="bottom"/>
          </w:tcPr>
          <w:p>
            <w:pPr>
              <w:ind w:left="1940"/>
              <w:spacing w:after="0"/>
              <w:rPr>
                <w:sz w:val="20"/>
                <w:szCs w:val="20"/>
                <w:color w:val="auto"/>
              </w:rPr>
            </w:pPr>
            <w:r>
              <w:rPr>
                <w:rFonts w:ascii="Times New Roman" w:cs="Times New Roman" w:eastAsia="Times New Roman" w:hAnsi="Times New Roman"/>
                <w:sz w:val="22"/>
                <w:szCs w:val="22"/>
                <w:b w:val="1"/>
                <w:bCs w:val="1"/>
                <w:color w:val="auto"/>
              </w:rPr>
              <w:t>EXHIBITS</w:t>
            </w:r>
          </w:p>
        </w:tc>
      </w:tr>
      <w:tr>
        <w:trPr>
          <w:trHeight w:val="420"/>
        </w:trPr>
        <w:tc>
          <w:tcPr>
            <w:tcW w:w="25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Exhibit A</w:t>
            </w:r>
          </w:p>
        </w:tc>
        <w:tc>
          <w:tcPr>
            <w:tcW w:w="74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Form of Compliance Certificate</w:t>
            </w:r>
          </w:p>
        </w:tc>
      </w:tr>
      <w:tr>
        <w:trPr>
          <w:trHeight w:val="243"/>
        </w:trPr>
        <w:tc>
          <w:tcPr>
            <w:tcW w:w="250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74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Form of Notice of Borrowing</w:t>
            </w:r>
          </w:p>
        </w:tc>
      </w:tr>
      <w:tr>
        <w:trPr>
          <w:trHeight w:val="243"/>
        </w:trPr>
        <w:tc>
          <w:tcPr>
            <w:tcW w:w="250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74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Form of Payment Notice</w:t>
            </w:r>
          </w:p>
        </w:tc>
      </w:tr>
      <w:tr>
        <w:trPr>
          <w:trHeight w:val="243"/>
        </w:trPr>
        <w:tc>
          <w:tcPr>
            <w:tcW w:w="250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74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Form of Promissory Note</w:t>
            </w:r>
          </w:p>
        </w:tc>
      </w:tr>
      <w:tr>
        <w:trPr>
          <w:trHeight w:val="282"/>
        </w:trPr>
        <w:tc>
          <w:tcPr>
            <w:tcW w:w="25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Exhibit E</w:t>
            </w:r>
          </w:p>
        </w:tc>
        <w:tc>
          <w:tcPr>
            <w:tcW w:w="74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Form of Financial Covenant Calculations</w:t>
            </w:r>
          </w:p>
        </w:tc>
      </w:tr>
      <w:tr>
        <w:trPr>
          <w:trHeight w:val="44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74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i</w:t>
            </w:r>
          </w:p>
        </w:tc>
      </w:tr>
      <w:tr>
        <w:trPr>
          <w:trHeight w:val="655"/>
        </w:trPr>
        <w:tc>
          <w:tcPr>
            <w:tcW w:w="25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4" w:right="999" w:bottom="1440" w:gutter="0" w:footer="0" w:header="0"/>
        </w:sectPr>
      </w:pPr>
    </w:p>
    <w:bookmarkStart w:id="21" w:name="page22"/>
    <w:bookmarkEnd w:id="21"/>
    <w:p>
      <w:pPr>
        <w:ind w:left="334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18" w:lineRule="exact"/>
        <w:rPr>
          <w:sz w:val="20"/>
          <w:szCs w:val="20"/>
          <w:color w:val="auto"/>
        </w:rPr>
      </w:pPr>
    </w:p>
    <w:p>
      <w:pPr>
        <w:jc w:val="both"/>
        <w:ind w:left="640"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THIS CREDIT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September 21, 2022,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entered into by and among </w:t>
      </w:r>
      <w:r>
        <w:rPr>
          <w:rFonts w:ascii="Times New Roman" w:cs="Times New Roman" w:eastAsia="Times New Roman" w:hAnsi="Times New Roman"/>
          <w:sz w:val="22"/>
          <w:szCs w:val="22"/>
          <w:b w:val="1"/>
          <w:bCs w:val="1"/>
          <w:color w:val="auto"/>
        </w:rPr>
        <w:t>E LA CARTE, LLC</w:t>
      </w:r>
      <w:r>
        <w:rPr>
          <w:rFonts w:ascii="Times New Roman" w:cs="Times New Roman" w:eastAsia="Times New Roman" w:hAnsi="Times New Roman"/>
          <w:sz w:val="22"/>
          <w:szCs w:val="22"/>
          <w:color w:val="auto"/>
        </w:rPr>
        <w:t xml:space="preserve"> (f/k/a Ventoux Merger Sub II LLC) a Delaware limited liability company (“</w:t>
      </w:r>
      <w:r>
        <w:rPr>
          <w:rFonts w:ascii="Times New Roman" w:cs="Times New Roman" w:eastAsia="Times New Roman" w:hAnsi="Times New Roman"/>
          <w:sz w:val="22"/>
          <w:szCs w:val="22"/>
          <w:b w:val="1"/>
          <w:bCs w:val="1"/>
          <w:i w:val="1"/>
          <w:iCs w:val="1"/>
          <w:color w:val="auto"/>
        </w:rPr>
        <w:t>Presto</w:t>
      </w:r>
      <w:r>
        <w:rPr>
          <w:rFonts w:ascii="Times New Roman" w:cs="Times New Roman" w:eastAsia="Times New Roman" w:hAnsi="Times New Roman"/>
          <w:sz w:val="22"/>
          <w:szCs w:val="22"/>
          <w:color w:val="auto"/>
        </w:rPr>
        <w:t>”), each other Person party hereto as a “Borrower” from time to time (each such Person, together with Presto, individually and collectively,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PRESTO AUTOMATION INC. </w:t>
      </w:r>
      <w:r>
        <w:rPr>
          <w:rFonts w:ascii="Times New Roman" w:cs="Times New Roman" w:eastAsia="Times New Roman" w:hAnsi="Times New Roman"/>
          <w:sz w:val="22"/>
          <w:szCs w:val="22"/>
          <w:color w:val="auto"/>
        </w:rPr>
        <w:t>(f/k/a Ventoux CCM Acquisition Corp.), a Delaware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each of the financial institutions from time to time party hereto (individually each a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METROPOLITAN PARTNERS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ADMINISTRATION,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i w:val="1"/>
          <w:iCs w:val="1"/>
          <w:color w:val="auto"/>
        </w:rPr>
        <w:t>Metropolitan</w:t>
      </w:r>
      <w:r>
        <w:rPr>
          <w:rFonts w:ascii="Times New Roman" w:cs="Times New Roman" w:eastAsia="Times New Roman" w:hAnsi="Times New Roman"/>
          <w:sz w:val="22"/>
          <w:szCs w:val="22"/>
          <w:color w:val="auto"/>
        </w:rPr>
        <w: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payment and collateral agent for itself, as a Lender and for the other Lenders (in such capacities, “</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left="640"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has requested that Lenders make available to Borrower a senior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secured single draw term loan facility in the maximum committed principal amount of Fifty Five Million and No/100 Dollars ($55,000,000.00), the proceeds of which shall be used by Borrower to (i) refinance the Prior Debt on the Closing Date, (ii) to pay fees, costs and expenses incurred by Agent, Lenders and the Loan Parties in connection with the transactions contemplated hereby or in connection herewith, and (iii) otherwise for working capital and general corporate purposes;</w:t>
      </w:r>
    </w:p>
    <w:p>
      <w:pPr>
        <w:spacing w:after="0" w:line="175" w:lineRule="exact"/>
        <w:rPr>
          <w:sz w:val="20"/>
          <w:szCs w:val="20"/>
          <w:color w:val="auto"/>
        </w:rPr>
      </w:pPr>
    </w:p>
    <w:p>
      <w:pPr>
        <w:jc w:val="both"/>
        <w:ind w:left="640"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Parent is willing to guaranty the obligations of the Loan Parties and each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is willing to grant Agent, for the benefit of itself and the Lenders, a lien on and security interest in all of its Collateral to secure the Term Loan and other Obligations under the Loan Documents; and</w:t>
      </w:r>
    </w:p>
    <w:p>
      <w:pPr>
        <w:spacing w:after="0" w:line="165" w:lineRule="exact"/>
        <w:rPr>
          <w:sz w:val="20"/>
          <w:szCs w:val="20"/>
          <w:color w:val="auto"/>
        </w:rPr>
      </w:pPr>
    </w:p>
    <w:p>
      <w:pPr>
        <w:jc w:val="both"/>
        <w:ind w:left="6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Lenders are willing to make the Term Loan available to Borrower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subject to the conditions set forth herein.</w:t>
      </w:r>
    </w:p>
    <w:p>
      <w:pPr>
        <w:spacing w:after="0" w:line="163" w:lineRule="exact"/>
        <w:rPr>
          <w:sz w:val="20"/>
          <w:szCs w:val="20"/>
          <w:color w:val="auto"/>
        </w:rPr>
      </w:pPr>
    </w:p>
    <w:p>
      <w:pPr>
        <w:jc w:val="both"/>
        <w:ind w:left="6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adequacy of which hereby are acknowledged, Borrower, Parent, Agent and Lenders hereby agree as follows:</w:t>
      </w:r>
    </w:p>
    <w:p>
      <w:pPr>
        <w:spacing w:after="0" w:line="17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010000"/>
        </w:rPr>
        <w:t>SECTION 1</w:t>
      </w:r>
    </w:p>
    <w:p>
      <w:pPr>
        <w:spacing w:after="0" w:line="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2" w:lineRule="exact"/>
        <w:rPr>
          <w:sz w:val="20"/>
          <w:szCs w:val="20"/>
          <w:color w:val="auto"/>
        </w:rPr>
      </w:pPr>
    </w:p>
    <w:p>
      <w:pPr>
        <w:ind w:left="640" w:right="24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1.1 </w:t>
      </w:r>
      <w:r>
        <w:rPr>
          <w:rFonts w:ascii="Times New Roman" w:cs="Times New Roman" w:eastAsia="Times New Roman" w:hAnsi="Times New Roman"/>
          <w:sz w:val="22"/>
          <w:szCs w:val="22"/>
          <w:b w:val="1"/>
          <w:bCs w:val="1"/>
          <w:color w:val="000000"/>
        </w:rPr>
        <w:t>Defined Terms</w:t>
      </w:r>
      <w:r>
        <w:rPr>
          <w:rFonts w:ascii="Times New Roman" w:cs="Times New Roman" w:eastAsia="Times New Roman" w:hAnsi="Times New Roman"/>
          <w:sz w:val="22"/>
          <w:szCs w:val="22"/>
          <w:color w:val="000000"/>
        </w:rPr>
        <w:t>. As used in this Agreement (including the recitals hereof), the terms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listed in this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1.1 shall have the respective meanings set forth in this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1.1.</w:t>
      </w:r>
    </w:p>
    <w:p>
      <w:pPr>
        <w:spacing w:after="0" w:line="161"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2020 PPP Loan</w:t>
      </w:r>
      <w:r>
        <w:rPr>
          <w:rFonts w:ascii="Times New Roman" w:cs="Times New Roman" w:eastAsia="Times New Roman" w:hAnsi="Times New Roman"/>
          <w:sz w:val="22"/>
          <w:szCs w:val="22"/>
          <w:color w:val="auto"/>
        </w:rPr>
        <w:t>”: Indebtedness of the Borrower to First Home Bank, SBA Loan Number 3856317103 dated April 12, 2020, in the principal amount of $2,599,300.00 issued under the CARES Act.</w:t>
      </w:r>
    </w:p>
    <w:p>
      <w:pPr>
        <w:spacing w:after="0" w:line="164" w:lineRule="exact"/>
        <w:rPr>
          <w:sz w:val="20"/>
          <w:szCs w:val="20"/>
          <w:color w:val="auto"/>
        </w:rPr>
      </w:pPr>
    </w:p>
    <w:p>
      <w:pPr>
        <w:jc w:val="both"/>
        <w:ind w:left="64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2021 PPP Loan</w:t>
      </w:r>
      <w:r>
        <w:rPr>
          <w:rFonts w:ascii="Times New Roman" w:cs="Times New Roman" w:eastAsia="Times New Roman" w:hAnsi="Times New Roman"/>
          <w:sz w:val="22"/>
          <w:szCs w:val="22"/>
          <w:color w:val="auto"/>
        </w:rPr>
        <w:t>”: Indebtedness of the Borrower to First Home Bank, SBA Loan Number 9408428406 dated March 4, 2021, in the principal amount of $2,000,000.00 issued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708025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22" w:name="page23"/>
    <w:bookmarkEnd w:id="22"/>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any transaction or series of related transactions for the purpose of or resulting, directly or indirectly, in (a) the acquisition of all or a substantial portion of the assets of a Person, or of all or a substantial portion of any business or division of a Person, (b) the acquisition of in excess of fifty percent (50%) of the Equity Interests of any Person, or otherwise causing any Person to become a Subsidiary, or (c) a merger or consolidation or any other combination with another Person (other than a Person that is already a Subsidiary).</w:t>
      </w:r>
    </w:p>
    <w:p>
      <w:pPr>
        <w:spacing w:after="0" w:line="189"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Advance</w:t>
      </w:r>
      <w:r>
        <w:rPr>
          <w:rFonts w:ascii="Times New Roman" w:cs="Times New Roman" w:eastAsia="Times New Roman" w:hAnsi="Times New Roman"/>
          <w:sz w:val="22"/>
          <w:szCs w:val="22"/>
          <w:color w:val="auto"/>
        </w:rPr>
        <w:t>”: any borrowing under and advance of the Term Loan and any Protective Advance. Any amounts paid by Agent on behalf of Borrower under any Loan Document shall be an Advance for purposes of this Agreement.</w:t>
      </w:r>
    </w:p>
    <w:p>
      <w:pPr>
        <w:spacing w:after="0" w:line="164" w:lineRule="exact"/>
        <w:rPr>
          <w:sz w:val="20"/>
          <w:szCs w:val="20"/>
          <w:color w:val="auto"/>
        </w:rPr>
      </w:pPr>
    </w:p>
    <w:p>
      <w:pPr>
        <w:jc w:val="both"/>
        <w:ind w:left="110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with respect to a specified Person, another Person that (i) directly, or indirectly through one or more intermediaries, Controls or is Controlled by or is under common Control with the Person specified, (ii) which beneficially owns or holds 10% or more of any class of the voting or other Equity Interests of such Person or (iii) 10% or more of any class of voting interests or other Equity Interests of which is beneficially owned or held, directly or indirectly, by such Person; provided that neither Agent nor any Lender nor any of their Affiliates or their Approved Funds shall be an Affiliate of any Loan Party for any purpose hereunder.</w:t>
      </w:r>
    </w:p>
    <w:p>
      <w:pPr>
        <w:ind w:left="176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 as defined in the preamble hereto, and shall include its successors and assigns.</w:t>
      </w:r>
    </w:p>
    <w:p>
      <w:pPr>
        <w:spacing w:after="0" w:line="1" w:lineRule="exact"/>
        <w:rPr>
          <w:sz w:val="20"/>
          <w:szCs w:val="20"/>
          <w:color w:val="auto"/>
        </w:rPr>
      </w:pPr>
    </w:p>
    <w:p>
      <w:pPr>
        <w:ind w:left="1100" w:right="138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as defined in the preamble hereto, as may be amended, restated, supplemented or otherwise modified from time to time.</w:t>
      </w:r>
    </w:p>
    <w:p>
      <w:pPr>
        <w:spacing w:after="0" w:line="186"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Annual Platform Revenue</w:t>
      </w:r>
      <w:r>
        <w:rPr>
          <w:rFonts w:ascii="Times New Roman" w:cs="Times New Roman" w:eastAsia="Times New Roman" w:hAnsi="Times New Roman"/>
          <w:sz w:val="22"/>
          <w:szCs w:val="22"/>
          <w:color w:val="auto"/>
        </w:rPr>
        <w:t>”: as of any determination, the sum of (i) Touch Annual Platform Revenue, plus (ii) Computer Vision Annual Platform Revenue, plus (iii) Voice Annual Platform Revenue, in each case determined based on the three-month period most recently ended.</w:t>
      </w:r>
    </w:p>
    <w:p>
      <w:pPr>
        <w:spacing w:after="0" w:line="164" w:lineRule="exact"/>
        <w:rPr>
          <w:sz w:val="20"/>
          <w:szCs w:val="20"/>
          <w:color w:val="auto"/>
        </w:rPr>
      </w:pPr>
    </w:p>
    <w:p>
      <w:pPr>
        <w:jc w:val="both"/>
        <w:ind w:left="110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Percentage</w:t>
      </w:r>
      <w:r>
        <w:rPr>
          <w:rFonts w:ascii="Times New Roman" w:cs="Times New Roman" w:eastAsia="Times New Roman" w:hAnsi="Times New Roman"/>
          <w:sz w:val="21"/>
          <w:szCs w:val="21"/>
          <w:color w:val="auto"/>
        </w:rPr>
        <w:t xml:space="preserve">”: as to each Lender, the percentage of the aggregate amount of Term Loan Commitment held by such Lender at such time. The Applicable Percentage of each Lender as of the Closing Date is set forth opposite the name of such Lender on </w:t>
      </w:r>
      <w:r>
        <w:rPr>
          <w:rFonts w:ascii="Times New Roman" w:cs="Times New Roman" w:eastAsia="Times New Roman" w:hAnsi="Times New Roman"/>
          <w:sz w:val="21"/>
          <w:szCs w:val="21"/>
          <w:u w:val="single" w:color="auto"/>
          <w:color w:val="auto"/>
        </w:rPr>
        <w:t>Schedule 1.1(a)</w:t>
      </w:r>
      <w:r>
        <w:rPr>
          <w:rFonts w:ascii="Times New Roman" w:cs="Times New Roman" w:eastAsia="Times New Roman" w:hAnsi="Times New Roman"/>
          <w:sz w:val="21"/>
          <w:szCs w:val="21"/>
          <w:color w:val="auto"/>
        </w:rPr>
        <w:t xml:space="preserve"> or in the assignment agreement pursuant to which such Lender becomes a party hereto, as applicable, in each case, subject to subsequent assignments and adjustments in accordance with the terms hereof.</w:t>
      </w:r>
    </w:p>
    <w:p>
      <w:pPr>
        <w:spacing w:after="0" w:line="158" w:lineRule="exact"/>
        <w:rPr>
          <w:sz w:val="20"/>
          <w:szCs w:val="20"/>
          <w:color w:val="auto"/>
        </w:rPr>
      </w:pPr>
    </w:p>
    <w:p>
      <w:pPr>
        <w:jc w:val="both"/>
        <w:ind w:left="1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Approved Fund</w:t>
      </w:r>
      <w:r>
        <w:rPr>
          <w:rFonts w:ascii="Times New Roman" w:cs="Times New Roman" w:eastAsia="Times New Roman" w:hAnsi="Times New Roman"/>
          <w:sz w:val="22"/>
          <w:szCs w:val="22"/>
          <w:color w:val="auto"/>
        </w:rPr>
        <w:t>”: any Person (other than a natural Person) which (a)(i) is (or will be) engaged in making, purchasing, holding, or otherwise investing in commercial loans, mezzanine notes, and similar extensions of credit in its ordinary course of activities or (ii) temporarily warehouses loans for any Lender and (b) is administered, advised or managed by a Lender, an entity that administers, advises or manages a Lender, or an Affiliate of either.</w:t>
      </w:r>
    </w:p>
    <w:p>
      <w:pPr>
        <w:spacing w:after="0" w:line="185" w:lineRule="exact"/>
        <w:rPr>
          <w:sz w:val="20"/>
          <w:szCs w:val="20"/>
          <w:color w:val="auto"/>
        </w:rPr>
      </w:pPr>
    </w:p>
    <w:p>
      <w:pPr>
        <w:jc w:val="both"/>
        <w:ind w:left="1100"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Bankruptcy Code</w:t>
      </w:r>
      <w:r>
        <w:rPr>
          <w:rFonts w:ascii="Times New Roman" w:cs="Times New Roman" w:eastAsia="Times New Roman" w:hAnsi="Times New Roman"/>
          <w:sz w:val="22"/>
          <w:szCs w:val="22"/>
          <w:color w:val="auto"/>
        </w:rPr>
        <w:t>”: Title 11 of the United States Code, 11 U.S.C. §§ 101 et. seq., as amended from time to time.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w:t>
            </w:r>
          </w:p>
        </w:tc>
      </w:tr>
      <w:tr>
        <w:trPr>
          <w:trHeight w:val="776"/>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2" w:right="999" w:bottom="1440" w:gutter="0" w:footer="0" w:header="0"/>
        </w:sectPr>
      </w:pPr>
    </w:p>
    <w:bookmarkStart w:id="23" w:name="page24"/>
    <w:bookmarkEnd w:id="23"/>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Ownership Certification</w:t>
      </w:r>
      <w:r>
        <w:rPr>
          <w:rFonts w:ascii="Times New Roman" w:cs="Times New Roman" w:eastAsia="Times New Roman" w:hAnsi="Times New Roman"/>
          <w:sz w:val="22"/>
          <w:szCs w:val="22"/>
          <w:color w:val="auto"/>
        </w:rPr>
        <w:t>”: a certification regarding beneficial ownership required by the Beneficial Ownership Regulation, which certification shall be in form and substance reasonably acceptable to Agent.</w:t>
      </w:r>
    </w:p>
    <w:p>
      <w:pPr>
        <w:spacing w:after="0" w:line="177" w:lineRule="exact"/>
        <w:rPr>
          <w:sz w:val="20"/>
          <w:szCs w:val="20"/>
          <w:color w:val="auto"/>
        </w:rPr>
      </w:pPr>
    </w:p>
    <w:p>
      <w:pPr>
        <w:ind w:left="1760" w:right="2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Ownership Regulation</w:t>
      </w:r>
      <w:r>
        <w:rPr>
          <w:rFonts w:ascii="Times New Roman" w:cs="Times New Roman" w:eastAsia="Times New Roman" w:hAnsi="Times New Roman"/>
          <w:sz w:val="22"/>
          <w:szCs w:val="22"/>
          <w:color w:val="auto"/>
        </w:rPr>
        <w:t>”: 31 C.F.R. § 1010.230. “</w:t>
      </w:r>
      <w:r>
        <w:rPr>
          <w:rFonts w:ascii="Times New Roman" w:cs="Times New Roman" w:eastAsia="Times New Roman" w:hAnsi="Times New Roman"/>
          <w:sz w:val="22"/>
          <w:szCs w:val="22"/>
          <w:b w:val="1"/>
          <w:bCs w:val="1"/>
          <w:i w:val="1"/>
          <w:iCs w:val="1"/>
          <w:color w:val="auto"/>
        </w:rPr>
        <w:t>Blocked Person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1100" w:right="2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the Board of Governors of the Federal Reserve System of the United States (or any successor).</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as defined in the preamble hereto.</w:t>
      </w:r>
    </w:p>
    <w:p>
      <w:pPr>
        <w:spacing w:after="0" w:line="220"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 Date</w:t>
      </w:r>
      <w:r>
        <w:rPr>
          <w:rFonts w:ascii="Times New Roman" w:cs="Times New Roman" w:eastAsia="Times New Roman" w:hAnsi="Times New Roman"/>
          <w:sz w:val="22"/>
          <w:szCs w:val="22"/>
          <w:color w:val="auto"/>
        </w:rPr>
        <w:t>”: any Business Day specified by Borrower in a Notice of Borrowing as the date on which the Borrower requests Lenders to make the Term Loan hereunder.</w:t>
      </w:r>
    </w:p>
    <w:p>
      <w:pPr>
        <w:spacing w:after="0" w:line="159"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a day other than a Saturday, Sunday or other day on which commercial banks in the State of New York are authorized or required by Law to close.</w:t>
      </w:r>
    </w:p>
    <w:p>
      <w:pPr>
        <w:spacing w:after="0" w:line="14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Lease</w:t>
      </w:r>
      <w:r>
        <w:rPr>
          <w:rFonts w:ascii="Times New Roman" w:cs="Times New Roman" w:eastAsia="Times New Roman" w:hAnsi="Times New Roman"/>
          <w:sz w:val="22"/>
          <w:szCs w:val="22"/>
          <w:color w:val="auto"/>
        </w:rPr>
        <w:t>”: at any time, a lease with respect to which the lessee is required to recognize the acquisition of an asset and the incurrence of a liability in accordance with GAAP.</w:t>
      </w:r>
    </w:p>
    <w:p>
      <w:pPr>
        <w:spacing w:after="0" w:line="159"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CARES Act</w:t>
      </w:r>
      <w:r>
        <w:rPr>
          <w:rFonts w:ascii="Times New Roman" w:cs="Times New Roman" w:eastAsia="Times New Roman" w:hAnsi="Times New Roman"/>
          <w:sz w:val="22"/>
          <w:szCs w:val="22"/>
          <w:color w:val="auto"/>
        </w:rPr>
        <w:t>”: the Corona Virus Response and Relief Supplement Appropriations Act and the rules and regulations promulgated in connection therewith (as amended from time to time).</w:t>
      </w:r>
    </w:p>
    <w:p>
      <w:pPr>
        <w:spacing w:after="0" w:line="145" w:lineRule="exact"/>
        <w:rPr>
          <w:sz w:val="20"/>
          <w:szCs w:val="20"/>
          <w:color w:val="auto"/>
        </w:rPr>
      </w:pPr>
    </w:p>
    <w:p>
      <w:pPr>
        <w:jc w:val="both"/>
        <w:ind w:left="110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Equivalents</w:t>
      </w:r>
      <w:r>
        <w:rPr>
          <w:rFonts w:ascii="Times New Roman" w:cs="Times New Roman" w:eastAsia="Times New Roman" w:hAnsi="Times New Roman"/>
          <w:sz w:val="22"/>
          <w:szCs w:val="22"/>
          <w:color w:val="auto"/>
        </w:rPr>
        <w:t>”: (a) marketable obligations issued or unconditionally guaranteed by, and backed by the full faith and credit of, the United States government, maturing within 12 months of the date of acquisition; (b) certificates of deposit, time deposits, demand deposits, and bankers’ acceptances maturing within 12 months of the date of acquisition and overnight bank deposits, in each case which (i) are issued by a commercial bank organized under the Laws of the United States or any state or district thereof, rated A-1 (or better) by S&amp;P or P-1 (or better) by Moody’s at the time of acquisition and (ii) are not subject to offset rights; (c) repurchase obligations with a term of not more than 30 days for underlying investments of the types described in clauses (a) and (b) entered into with any bank meeting the qualifications specified in clause (b); (d) commercial paper rated A-1 (or better) by S&amp;P or P-1 (or better) by Moody’s and maturing within nine months of the date of acquisition; (e) shares of any money market fund which has substantially all of its assets invested continuously in the types of investments referred to above, has net assets of at least $500,000,000, and has the highest rating obtainable from either Moody’s or S&amp;P; and (f) such other investments permitted by the Borrower’s or Parent’s board approved investment policy, as in effect from time to time and as approved in writing by Agent (such approval not to be unreasonably withheld, conditioned or delayed).</w:t>
      </w:r>
    </w:p>
    <w:p>
      <w:pPr>
        <w:spacing w:after="0" w:line="18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Law</w:t>
      </w:r>
      <w:r>
        <w:rPr>
          <w:rFonts w:ascii="Times New Roman" w:cs="Times New Roman" w:eastAsia="Times New Roman" w:hAnsi="Times New Roman"/>
          <w:sz w:val="22"/>
          <w:szCs w:val="22"/>
          <w:color w:val="auto"/>
        </w:rPr>
        <w:t>”: the occurrence, after the date of this Agreement, of any of the following:</w:t>
      </w:r>
    </w:p>
    <w:p>
      <w:pPr>
        <w:spacing w:after="0" w:line="20" w:lineRule="exact"/>
        <w:rPr>
          <w:sz w:val="20"/>
          <w:szCs w:val="20"/>
          <w:color w:val="auto"/>
        </w:rPr>
      </w:pPr>
    </w:p>
    <w:p>
      <w:pPr>
        <w:jc w:val="both"/>
        <w:ind w:left="1100" w:firstLine="6"/>
        <w:spacing w:after="0" w:line="234" w:lineRule="auto"/>
        <w:tabs>
          <w:tab w:leader="none" w:pos="137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adoption or taking effect of any Requirement of Law, (ii) any change in any Requirement of Law or in the administration, interpretation, implementation or application thereof by any Official Body or (iii) the making or issuance of any request, rule, guideline or directive (whether or not having the force of law) by any Official Body;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24" w:name="page25"/>
    <w:bookmarkEnd w:id="24"/>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notwithstanding anything herein to the contrary, (x) the Dodd-Frank Wall Street Reform and Consumer Protection Act and all requests, rules, regulations, guidelines, interpretations or directives thereunder or issued in connection therewith (whether or not having the force of Requirement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Requirement of Law), in each case pursuant to Basel III, shall in each case be deemed to be a Change in Law regardless of the date enacted, adopted, issued, promulgated or implemented.</w:t>
      </w:r>
    </w:p>
    <w:p>
      <w:pPr>
        <w:spacing w:after="0" w:line="191" w:lineRule="exact"/>
        <w:rPr>
          <w:sz w:val="20"/>
          <w:szCs w:val="20"/>
          <w:color w:val="auto"/>
        </w:rPr>
      </w:pPr>
    </w:p>
    <w:p>
      <w:pPr>
        <w:jc w:val="both"/>
        <w:ind w:left="1100" w:firstLine="648"/>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 (a) at any time, any “person” or “group” (as such terms are used in Sections 13(d) and 14(d) of the Exchange Act) other than the Controlling Equity Holders shall (i) become, or obtain rights (whether by means or warrants, options or otherwise) to become, the “beneficial owner” (as defined in Rules 13(d)-3 and 13(d) 5 under the Exchange Act), directly or indirectly, of 35% or more of the ordinary voting power or economic interests of Parent (determined on a fully diluted basis) or (ii) have obtained the power (whether exercised or not) to elect a majority of the members of the board of directors (or any similar governing body) of Parent; (b) any of the following shall cease to remain on the board of directors (or any similar governing body) of Parent:</w:t>
      </w:r>
    </w:p>
    <w:p>
      <w:pPr>
        <w:spacing w:after="0" w:line="2" w:lineRule="exact"/>
        <w:rPr>
          <w:sz w:val="20"/>
          <w:szCs w:val="20"/>
          <w:color w:val="auto"/>
        </w:rPr>
      </w:pPr>
    </w:p>
    <w:p>
      <w:pPr>
        <w:jc w:val="both"/>
        <w:ind w:left="1100" w:firstLine="6"/>
        <w:spacing w:after="0" w:line="243" w:lineRule="auto"/>
        <w:tabs>
          <w:tab w:leader="none" w:pos="138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FF0000"/>
          <w:strike w:val="1"/>
        </w:rPr>
        <w:t>Rajat Suri; (ii)</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Krishna Gupta (or any other designee of the REMUS Stockholders), (</w:t>
      </w:r>
      <w:r>
        <w:rPr>
          <w:rFonts w:ascii="Times New Roman" w:cs="Times New Roman" w:eastAsia="Times New Roman" w:hAnsi="Times New Roman"/>
          <w:sz w:val="21"/>
          <w:szCs w:val="21"/>
          <w:color w:val="FF0000"/>
          <w:strike w:val="1"/>
        </w:rPr>
        <w:t>iii</w:t>
      </w:r>
      <w:r>
        <w:rPr>
          <w:rFonts w:ascii="Times New Roman" w:cs="Times New Roman" w:eastAsia="Times New Roman" w:hAnsi="Times New Roman"/>
          <w:sz w:val="21"/>
          <w:szCs w:val="21"/>
          <w:u w:val="single" w:color="auto"/>
          <w:color w:val="0000FF"/>
        </w:rPr>
        <w:t>ii</w:t>
      </w:r>
      <w:r>
        <w:rPr>
          <w:rFonts w:ascii="Times New Roman" w:cs="Times New Roman" w:eastAsia="Times New Roman" w:hAnsi="Times New Roman"/>
          <w:sz w:val="21"/>
          <w:szCs w:val="21"/>
          <w:color w:val="000000"/>
        </w:rPr>
        <w:t>) Gail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Zauder (or any other designee of the REMUS Stockholders) or (</w:t>
      </w:r>
      <w:r>
        <w:rPr>
          <w:rFonts w:ascii="Times New Roman" w:cs="Times New Roman" w:eastAsia="Times New Roman" w:hAnsi="Times New Roman"/>
          <w:sz w:val="21"/>
          <w:szCs w:val="21"/>
          <w:color w:val="FF0000"/>
          <w:strike w:val="1"/>
        </w:rPr>
        <w:t>iv</w:t>
      </w:r>
      <w:r>
        <w:rPr>
          <w:rFonts w:ascii="Times New Roman" w:cs="Times New Roman" w:eastAsia="Times New Roman" w:hAnsi="Times New Roman"/>
          <w:sz w:val="21"/>
          <w:szCs w:val="21"/>
          <w:u w:val="single" w:color="auto"/>
          <w:color w:val="0000FF"/>
        </w:rPr>
        <w:t>iii</w:t>
      </w:r>
      <w:r>
        <w:rPr>
          <w:rFonts w:ascii="Times New Roman" w:cs="Times New Roman" w:eastAsia="Times New Roman" w:hAnsi="Times New Roman"/>
          <w:sz w:val="21"/>
          <w:szCs w:val="21"/>
          <w:color w:val="000000"/>
        </w:rPr>
        <w:t>) Keith Kravcik (or any other designee of Cleveland Avenue); (c) Parent shall cease to beneficially own and control, on a fully diluted basis, 100% of the Equity Interests (including all economic and voting interests associated therewith) of Borrower; or (d) Borrower shall cease to beneficially own and control, on a fully diluted basis, 100% of the Equity Interests (including all economic and voting interests associated therewith) of each of its Subsidiaries as of the Closing Date (if any) and the Collateral (except to the extent disposed of in accordance with the term of this Agreement and the other Loan Documents).</w:t>
      </w:r>
    </w:p>
    <w:p>
      <w:pPr>
        <w:spacing w:after="0" w:line="174" w:lineRule="exact"/>
        <w:rPr>
          <w:sz w:val="20"/>
          <w:szCs w:val="20"/>
          <w:color w:val="auto"/>
        </w:rPr>
      </w:pPr>
    </w:p>
    <w:p>
      <w:pPr>
        <w:ind w:left="176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Cleveland Avenue</w:t>
      </w:r>
      <w:r>
        <w:rPr>
          <w:rFonts w:ascii="Times New Roman" w:cs="Times New Roman" w:eastAsia="Times New Roman" w:hAnsi="Times New Roman"/>
          <w:sz w:val="22"/>
          <w:szCs w:val="22"/>
          <w:color w:val="auto"/>
        </w:rPr>
        <w:t>”: Cleveland Avenue, LLC and its Affiliates.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September 21, 2022.</w:t>
      </w:r>
    </w:p>
    <w:p>
      <w:pPr>
        <w:spacing w:after="0" w:line="2"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Closing Date Registration Rights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7F00"/>
        </w:rPr>
        <w:t>Agreement</w:t>
      </w:r>
      <w:r>
        <w:rPr>
          <w:rFonts w:ascii="Times New Roman" w:cs="Times New Roman" w:eastAsia="Times New Roman" w:hAnsi="Times New Roman"/>
          <w:sz w:val="22"/>
          <w:szCs w:val="22"/>
          <w:u w:val="single" w:color="auto"/>
          <w:color w:val="007F00"/>
        </w:rPr>
        <w:t>”: that certain Amended and Restated</w:t>
      </w:r>
      <w:r>
        <w:rPr>
          <w:rFonts w:ascii="Times New Roman" w:cs="Times New Roman" w:eastAsia="Times New Roman" w:hAnsi="Times New Roman"/>
          <w:sz w:val="22"/>
          <w:szCs w:val="22"/>
          <w:u w:val="single" w:color="auto"/>
          <w:color w:val="0000FF"/>
        </w:rPr>
        <w:t xml:space="preserve"> Registration Rights Agreement, dated as of the Closing Date</w:t>
      </w:r>
      <w:r>
        <w:rPr>
          <w:rFonts w:ascii="Times New Roman" w:cs="Times New Roman" w:eastAsia="Times New Roman" w:hAnsi="Times New Roman"/>
          <w:sz w:val="22"/>
          <w:szCs w:val="22"/>
          <w:u w:val="single" w:color="auto"/>
          <w:color w:val="007F00"/>
        </w:rPr>
        <w:t>, by and among Parent, the Sponsors,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7F00"/>
        </w:rPr>
        <w:t>Lenders and certain other Parent stockholders party thereto, as may be amended, restated, supplemented or otherwise modified from time to time.</w:t>
      </w:r>
    </w:p>
    <w:p>
      <w:pPr>
        <w:spacing w:after="0" w:line="185"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Closing Date Warrants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7F00"/>
        </w:rPr>
        <w:t>those certain warrants to purchase 1,500,000 shares of Parent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7F00"/>
        </w:rPr>
        <w:t>Common Stock at a purchase price of $11.50 per share issued by Parent pursuant to the Warrant Subscription Agreement to the Lenders on the Closing Date, as may be amended, restated, supplemented or otherwise modified from time to time.</w:t>
      </w:r>
    </w:p>
    <w:p>
      <w:pPr>
        <w:spacing w:after="0" w:line="185"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the Internal Revenue Code of 1986, as amended or supplemented from time to time, and any successor statute of similar import, and the rules and regulations thereunder, as from time to time in effect.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4</w:t>
            </w:r>
          </w:p>
        </w:tc>
      </w:tr>
      <w:tr>
        <w:trPr>
          <w:trHeight w:val="763"/>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25" w:name="page26"/>
    <w:bookmarkEnd w:id="25"/>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w:t>
      </w:r>
      <w:r>
        <w:rPr>
          <w:rFonts w:ascii="Times New Roman" w:cs="Times New Roman" w:eastAsia="Times New Roman" w:hAnsi="Times New Roman"/>
          <w:sz w:val="22"/>
          <w:szCs w:val="22"/>
          <w:color w:val="auto"/>
        </w:rPr>
        <w:t>”: all property of the Loan Parties, now owned or hereafter acquired or arising, upon which a Lien is purported to be created in favor of Agent, for the benefit of itself and the Lenders, under any Loan Document.</w:t>
      </w:r>
    </w:p>
    <w:p>
      <w:pPr>
        <w:spacing w:after="0" w:line="177"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 Access Agreement</w:t>
      </w:r>
      <w:r>
        <w:rPr>
          <w:rFonts w:ascii="Times New Roman" w:cs="Times New Roman" w:eastAsia="Times New Roman" w:hAnsi="Times New Roman"/>
          <w:sz w:val="22"/>
          <w:szCs w:val="22"/>
          <w:color w:val="auto"/>
        </w:rPr>
        <w:t>”: any landlord waiver or other agreement, in form and substance satisfactory to Agent, between Agent and any of the following: (i) any third party (including any bailee, consignee, customs broker, landlord, mortgagee, or other similar Person) in possession of any Collateral, (ii) any landlord of any Loan Party with respect to any real property where any Collateral is located, and (iii) any landlord where any books and records of any Loan Party are kept.</w:t>
      </w:r>
    </w:p>
    <w:p>
      <w:pPr>
        <w:spacing w:after="0" w:line="175"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Collections</w:t>
      </w:r>
      <w:r>
        <w:rPr>
          <w:rFonts w:ascii="Times New Roman" w:cs="Times New Roman" w:eastAsia="Times New Roman" w:hAnsi="Times New Roman"/>
          <w:sz w:val="22"/>
          <w:szCs w:val="22"/>
          <w:color w:val="auto"/>
        </w:rPr>
        <w:t>”: (a) with respect to the Collateral, all payments (including any prepayments) of lease payments, principal, interest, fees or charges collected or otherwise received or paid, any proceeds from the sale or other disposition of such Collateral, including remittances, recoveries on defaulted assets, and settlements, whether effectuated by ACH withdrawal or otherwise, and (b) such other distributions, dividends and payments of every description received by any Loan Party from time to time, and all other proceeds of the Collateral.</w:t>
      </w:r>
    </w:p>
    <w:p>
      <w:pPr>
        <w:ind w:left="176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Commodities Accounts</w:t>
      </w:r>
      <w:r>
        <w:rPr>
          <w:rFonts w:ascii="Times New Roman" w:cs="Times New Roman" w:eastAsia="Times New Roman" w:hAnsi="Times New Roman"/>
          <w:sz w:val="22"/>
          <w:szCs w:val="22"/>
          <w:color w:val="auto"/>
        </w:rPr>
        <w:t>”: all “commodity accounts” as defined in Article 9 of the UCC.</w:t>
      </w:r>
    </w:p>
    <w:p>
      <w:pPr>
        <w:ind w:left="1100" w:right="64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Compliance Certificate</w:t>
      </w:r>
      <w:r>
        <w:rPr>
          <w:rFonts w:ascii="Times New Roman" w:cs="Times New Roman" w:eastAsia="Times New Roman" w:hAnsi="Times New Roman"/>
          <w:sz w:val="22"/>
          <w:szCs w:val="22"/>
          <w:color w:val="auto"/>
        </w:rPr>
        <w:t xml:space="preserve">”: a certificate duly executed by a Responsible Officer of each Loan Party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Computer Vision Annual Platform Revenue</w:t>
      </w:r>
      <w:r>
        <w:rPr>
          <w:rFonts w:ascii="Times New Roman" w:cs="Times New Roman" w:eastAsia="Times New Roman" w:hAnsi="Times New Roman"/>
          <w:sz w:val="22"/>
          <w:szCs w:val="22"/>
          <w:color w:val="auto"/>
        </w:rPr>
        <w:t xml:space="preserve">”: for any date of determination, (a) Computer Vision Platform Revenue for the three (3) consecutive month period ending as of such date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by (b) four (4).</w:t>
      </w:r>
    </w:p>
    <w:p>
      <w:pPr>
        <w:spacing w:after="0" w:line="177" w:lineRule="exact"/>
        <w:rPr>
          <w:sz w:val="20"/>
          <w:szCs w:val="20"/>
          <w:color w:val="auto"/>
        </w:rPr>
      </w:pPr>
    </w:p>
    <w:p>
      <w:pPr>
        <w:jc w:val="both"/>
        <w:ind w:left="1100" w:right="2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Computer Vision Platform Revenue</w:t>
      </w:r>
      <w:r>
        <w:rPr>
          <w:rFonts w:ascii="Times New Roman" w:cs="Times New Roman" w:eastAsia="Times New Roman" w:hAnsi="Times New Roman"/>
          <w:sz w:val="22"/>
          <w:szCs w:val="22"/>
          <w:color w:val="auto"/>
        </w:rPr>
        <w:t xml:space="preserve">”: platform revenue earned during any calendar month by the Borrower from Computer Vision Products and calculated in a manner consistent with the calculation of same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Computer Vision Products</w:t>
      </w:r>
      <w:r>
        <w:rPr>
          <w:rFonts w:ascii="Times New Roman" w:cs="Times New Roman" w:eastAsia="Times New Roman" w:hAnsi="Times New Roman"/>
          <w:sz w:val="22"/>
          <w:szCs w:val="22"/>
          <w:color w:val="auto"/>
        </w:rPr>
        <w:t>”: Borrower’s AI-powered computer vision software application providing error detection, visual order tracking capabilities and repeat guest identification and determined in a manner consistent with the calculation of Computer Vision Platform Revenue.</w:t>
      </w:r>
    </w:p>
    <w:p>
      <w:pPr>
        <w:spacing w:after="0" w:line="177"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Connection Income Taxes</w:t>
      </w:r>
      <w:r>
        <w:rPr>
          <w:rFonts w:ascii="Times New Roman" w:cs="Times New Roman" w:eastAsia="Times New Roman" w:hAnsi="Times New Roman"/>
          <w:sz w:val="22"/>
          <w:szCs w:val="22"/>
          <w:color w:val="auto"/>
        </w:rPr>
        <w:t>”: Other Connection Taxes that are imposed on or measured by net income (however denominated) or that are franchise Taxes or branch profits Taxes.</w:t>
      </w:r>
    </w:p>
    <w:p>
      <w:pPr>
        <w:spacing w:after="0" w:line="145"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Contractual Obligation</w:t>
      </w:r>
      <w:r>
        <w:rPr>
          <w:rFonts w:ascii="Times New Roman" w:cs="Times New Roman" w:eastAsia="Times New Roman" w:hAnsi="Times New Roman"/>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the possession, directly or indirectly, of the power to direct or cause the direction of the management or policies of a Person, whether through the ability to exercise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5</w:t>
            </w:r>
          </w:p>
        </w:tc>
      </w:tr>
      <w:tr>
        <w:trPr>
          <w:trHeight w:val="776"/>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26" w:name="page27"/>
    <w:bookmarkEnd w:id="26"/>
    <w:p>
      <w:pPr>
        <w:ind w:left="1100" w:right="260"/>
        <w:spacing w:after="0" w:line="264" w:lineRule="auto"/>
        <w:rPr>
          <w:sz w:val="20"/>
          <w:szCs w:val="20"/>
          <w:color w:val="auto"/>
        </w:rPr>
      </w:pPr>
      <w:r>
        <w:rPr>
          <w:rFonts w:ascii="Times New Roman" w:cs="Times New Roman" w:eastAsia="Times New Roman" w:hAnsi="Times New Roman"/>
          <w:sz w:val="22"/>
          <w:szCs w:val="22"/>
          <w:color w:val="auto"/>
        </w:rPr>
        <w:t>voting power, by contract or otherwise. “</w:t>
      </w:r>
      <w:r>
        <w:rPr>
          <w:rFonts w:ascii="Times New Roman" w:cs="Times New Roman" w:eastAsia="Times New Roman" w:hAnsi="Times New Roman"/>
          <w:sz w:val="22"/>
          <w:szCs w:val="22"/>
          <w:b w:val="1"/>
          <w:bCs w:val="1"/>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Controlled</w:t>
      </w:r>
      <w:r>
        <w:rPr>
          <w:rFonts w:ascii="Times New Roman" w:cs="Times New Roman" w:eastAsia="Times New Roman" w:hAnsi="Times New Roman"/>
          <w:sz w:val="22"/>
          <w:szCs w:val="22"/>
          <w:color w:val="auto"/>
        </w:rPr>
        <w:t>” have meanings correlative thereto.</w:t>
      </w:r>
    </w:p>
    <w:p>
      <w:pPr>
        <w:spacing w:after="0" w:line="159"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 Agreement</w:t>
      </w:r>
      <w:r>
        <w:rPr>
          <w:rFonts w:ascii="Times New Roman" w:cs="Times New Roman" w:eastAsia="Times New Roman" w:hAnsi="Times New Roman"/>
          <w:sz w:val="22"/>
          <w:szCs w:val="22"/>
          <w:color w:val="auto"/>
        </w:rPr>
        <w:t>”: each deposit account control agreement, securities account control agreement or commodities account control agreement, as applicable, entered into by a Loan Party, Agent and any institution holding a Deposit Account (other than Excluded Deposit Accounts), Securities Account, or Commodities Account of such Loan Party in form and substance satisfactory to Agent in its sole discretion, as may be amended, restated, supplemented or otherwise modified from time to time.</w:t>
      </w:r>
    </w:p>
    <w:p>
      <w:pPr>
        <w:spacing w:after="0" w:line="17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Controlled Account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Controlling Equity Holders</w:t>
      </w:r>
      <w:r>
        <w:rPr>
          <w:rFonts w:ascii="Times New Roman" w:cs="Times New Roman" w:eastAsia="Times New Roman" w:hAnsi="Times New Roman"/>
          <w:sz w:val="22"/>
          <w:szCs w:val="22"/>
          <w:color w:val="auto"/>
        </w:rPr>
        <w:t>”: collectively, Rajat Suri, the REMUS Stockholders, I2BF Global Investments Ltd. and Cleveland Avenue.</w:t>
      </w:r>
    </w:p>
    <w:p>
      <w:pPr>
        <w:spacing w:after="0" w:line="159"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Debtor Relief Laws</w:t>
      </w:r>
      <w:r>
        <w:rPr>
          <w:rFonts w:ascii="Times New Roman" w:cs="Times New Roman" w:eastAsia="Times New Roman" w:hAnsi="Times New Roman"/>
          <w:sz w:val="22"/>
          <w:szCs w:val="22"/>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2" w:lineRule="exact"/>
        <w:rPr>
          <w:sz w:val="20"/>
          <w:szCs w:val="20"/>
          <w:color w:val="auto"/>
        </w:rPr>
      </w:pPr>
    </w:p>
    <w:p>
      <w:pPr>
        <w:jc w:val="both"/>
        <w:ind w:left="1100"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w:t>
      </w:r>
      <w:r>
        <w:rPr>
          <w:rFonts w:ascii="Times New Roman" w:cs="Times New Roman" w:eastAsia="Times New Roman" w:hAnsi="Times New Roman"/>
          <w:sz w:val="22"/>
          <w:szCs w:val="22"/>
          <w:color w:val="auto"/>
        </w:rPr>
        <w:t xml:space="preserve">”: the occurrence of any of the events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7.1, whether or not any requirement for the giving of notice, the lapse of time, or both, has been satisfied.</w:t>
      </w:r>
    </w:p>
    <w:p>
      <w:pPr>
        <w:spacing w:after="0" w:line="1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 Rate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Deposit Account</w:t>
      </w:r>
      <w:r>
        <w:rPr>
          <w:rFonts w:ascii="Times New Roman" w:cs="Times New Roman" w:eastAsia="Times New Roman" w:hAnsi="Times New Roman"/>
          <w:sz w:val="22"/>
          <w:szCs w:val="22"/>
          <w:color w:val="auto"/>
        </w:rPr>
        <w:t xml:space="preserve">”: shall mean, individually and collectively any bank or other depository accounts of a Loan Party (other than Excluded Deposit Accounts), as set forth in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xml:space="preserve"> hereto (as such schedule may be updated from time to time following the Closing Date).</w:t>
      </w:r>
    </w:p>
    <w:p>
      <w:pPr>
        <w:spacing w:after="0" w:line="164"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Dispose</w:t>
      </w:r>
      <w:r>
        <w:rPr>
          <w:rFonts w:ascii="Times New Roman" w:cs="Times New Roman" w:eastAsia="Times New Roman" w:hAnsi="Times New Roman"/>
          <w:sz w:val="22"/>
          <w:szCs w:val="22"/>
          <w:color w:val="auto"/>
        </w:rPr>
        <w:t>”: the sale, transfer, license, lease or other disposition outside of the ordinary course of business of any property by any Loan Party, including any sale, assignment, transfer or other disposal, with or without recourse, of any notes or accounts receivable or any rights and claims associated therewith.</w:t>
      </w:r>
    </w:p>
    <w:p>
      <w:pPr>
        <w:spacing w:after="0" w:line="185"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Disqualified Equity Interests</w:t>
      </w:r>
      <w:r>
        <w:rPr>
          <w:rFonts w:ascii="Times New Roman" w:cs="Times New Roman" w:eastAsia="Times New Roman" w:hAnsi="Times New Roman"/>
          <w:sz w:val="22"/>
          <w:szCs w:val="22"/>
          <w:color w:val="auto"/>
        </w:rPr>
        <w:t xml:space="preserve">”: any Equity Interest that, by its terms (or by the terms of any security into which it is convertible or for which it is exchangeable, either mandatorily or at the option of the holder thereof),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w:t>
      </w:r>
      <w:r>
        <w:rPr>
          <w:rFonts w:ascii="Times New Roman" w:cs="Times New Roman" w:eastAsia="Times New Roman" w:hAnsi="Times New Roman"/>
          <w:sz w:val="22"/>
          <w:szCs w:val="22"/>
          <w:color w:val="FF0000"/>
          <w:strike w:val="1"/>
        </w:rPr>
        <w:t>Loans</w:t>
      </w:r>
      <w:r>
        <w:rPr>
          <w:rFonts w:ascii="Times New Roman" w:cs="Times New Roman" w:eastAsia="Times New Roman" w:hAnsi="Times New Roman"/>
          <w:sz w:val="22"/>
          <w:szCs w:val="22"/>
          <w:u w:val="single" w:color="auto"/>
          <w:color w:val="0000FF"/>
        </w:rPr>
        <w:t>Term Loan</w:t>
      </w:r>
      <w:r>
        <w:rPr>
          <w:rFonts w:ascii="Times New Roman" w:cs="Times New Roman" w:eastAsia="Times New Roman" w:hAnsi="Times New Roman"/>
          <w:sz w:val="22"/>
          <w:szCs w:val="22"/>
          <w:color w:val="auto"/>
        </w:rPr>
        <w:t xml:space="preserve"> and all other Obligations that are accrued and payable and the termination of the Term Loan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6</w:t>
            </w:r>
          </w:p>
        </w:tc>
      </w:tr>
      <w:tr>
        <w:trPr>
          <w:trHeight w:val="776"/>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27" w:name="page28"/>
    <w:bookmarkEnd w:id="27"/>
    <w:p>
      <w:pPr>
        <w:ind w:left="1100"/>
        <w:spacing w:after="0" w:line="258" w:lineRule="auto"/>
        <w:rPr>
          <w:sz w:val="20"/>
          <w:szCs w:val="20"/>
          <w:color w:val="auto"/>
        </w:rPr>
      </w:pPr>
      <w:r>
        <w:rPr>
          <w:rFonts w:ascii="Times New Roman" w:cs="Times New Roman" w:eastAsia="Times New Roman" w:hAnsi="Times New Roman"/>
          <w:sz w:val="22"/>
          <w:szCs w:val="22"/>
          <w:color w:val="auto"/>
        </w:rPr>
        <w:t>that would constitute Disqualified Equity Interests, in each case, prior to the date that is 180 days after the Maturity Date.</w:t>
      </w:r>
    </w:p>
    <w:p>
      <w:pPr>
        <w:spacing w:after="0" w:line="1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Division/Series Transaction</w:t>
      </w:r>
      <w:r>
        <w:rPr>
          <w:rFonts w:ascii="Times New Roman" w:cs="Times New Roman" w:eastAsia="Times New Roman" w:hAnsi="Times New Roman"/>
          <w:sz w:val="22"/>
          <w:szCs w:val="22"/>
          <w:color w:val="auto"/>
        </w:rPr>
        <w:t>”: with respect to the Loan Parties, that any such Person</w:t>
      </w:r>
    </w:p>
    <w:p>
      <w:pPr>
        <w:spacing w:after="0" w:line="20" w:lineRule="exact"/>
        <w:rPr>
          <w:sz w:val="20"/>
          <w:szCs w:val="20"/>
          <w:color w:val="auto"/>
        </w:rPr>
      </w:pPr>
    </w:p>
    <w:p>
      <w:pPr>
        <w:jc w:val="both"/>
        <w:ind w:left="1100" w:firstLine="6"/>
        <w:spacing w:after="0" w:line="230" w:lineRule="auto"/>
        <w:tabs>
          <w:tab w:leader="none" w:pos="137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divides into two or more Persons (whether or not the original Loan Party survives such division) or (ii) creates, or reorganizes into, one or more series, in each case as contemplated under the Laws of any jurisdiction.</w:t>
      </w:r>
    </w:p>
    <w:p>
      <w:pPr>
        <w:spacing w:after="0" w:line="1" w:lineRule="exact"/>
        <w:rPr>
          <w:rFonts w:ascii="Times New Roman" w:cs="Times New Roman" w:eastAsia="Times New Roman" w:hAnsi="Times New Roman"/>
          <w:sz w:val="22"/>
          <w:szCs w:val="22"/>
          <w:color w:val="auto"/>
        </w:rPr>
      </w:pPr>
    </w:p>
    <w:p>
      <w:pPr>
        <w:ind w:left="17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dollars in lawful currency of the United States of America. “</w:t>
      </w:r>
      <w:r>
        <w:rPr>
          <w:rFonts w:ascii="Times New Roman" w:cs="Times New Roman" w:eastAsia="Times New Roman" w:hAnsi="Times New Roman"/>
          <w:sz w:val="22"/>
          <w:szCs w:val="22"/>
          <w:b w:val="1"/>
          <w:bCs w:val="1"/>
          <w:i w:val="1"/>
          <w:iCs w:val="1"/>
          <w:color w:val="auto"/>
        </w:rPr>
        <w:t>Domestic</w:t>
      </w:r>
    </w:p>
    <w:p>
      <w:pPr>
        <w:ind w:left="1100" w:right="1480" w:firstLine="648"/>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a Subsidiary organized, incorporated or otherwise formed under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Laws of the United States or any state thereof.</w:t>
      </w:r>
    </w:p>
    <w:p>
      <w:pPr>
        <w:spacing w:after="0" w:line="186"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Market</w:t>
      </w:r>
      <w:r>
        <w:rPr>
          <w:rFonts w:ascii="Times New Roman" w:cs="Times New Roman" w:eastAsia="Times New Roman" w:hAnsi="Times New Roman"/>
          <w:sz w:val="22"/>
          <w:szCs w:val="22"/>
          <w:color w:val="auto"/>
        </w:rPr>
        <w:t>”: The Nasdaq Capital Market, the NYSE American, The Nasdaq Global Select Market, The Nasdaq Global Market or The New York Stock Exchange.</w:t>
      </w:r>
    </w:p>
    <w:p>
      <w:pPr>
        <w:spacing w:after="0" w:line="159" w:lineRule="exact"/>
        <w:rPr>
          <w:sz w:val="20"/>
          <w:szCs w:val="20"/>
          <w:color w:val="auto"/>
        </w:rPr>
      </w:pPr>
    </w:p>
    <w:p>
      <w:pPr>
        <w:jc w:val="both"/>
        <w:ind w:left="1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85"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Interests</w:t>
      </w:r>
      <w:r>
        <w:rPr>
          <w:rFonts w:ascii="Times New Roman" w:cs="Times New Roman" w:eastAsia="Times New Roman" w:hAnsi="Times New Roman"/>
          <w:sz w:val="22"/>
          <w:szCs w:val="22"/>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4"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the Employee Retirement Income Security Act of 1974, including (unless the context otherwise requires) any rules or regulations promulgated thereunder, in each case, as amended from time to time.</w:t>
      </w:r>
    </w:p>
    <w:p>
      <w:pPr>
        <w:spacing w:after="0" w:line="177" w:lineRule="exact"/>
        <w:rPr>
          <w:sz w:val="20"/>
          <w:szCs w:val="20"/>
          <w:color w:val="auto"/>
        </w:rPr>
      </w:pPr>
    </w:p>
    <w:p>
      <w:pPr>
        <w:jc w:val="both"/>
        <w:ind w:left="110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 Affiliate</w:t>
      </w:r>
      <w:r>
        <w:rPr>
          <w:rFonts w:ascii="Times New Roman" w:cs="Times New Roman" w:eastAsia="Times New Roman" w:hAnsi="Times New Roman"/>
          <w:sz w:val="22"/>
          <w:szCs w:val="22"/>
          <w:color w:val="auto"/>
        </w:rPr>
        <w:t>”: with respect to any Person, any trade or business (whether or not incorporated) under common control with such Person within the meaning of Section 414(b) or</w:t>
      </w:r>
    </w:p>
    <w:p>
      <w:pPr>
        <w:spacing w:after="0" w:line="2" w:lineRule="exact"/>
        <w:rPr>
          <w:sz w:val="20"/>
          <w:szCs w:val="20"/>
          <w:color w:val="auto"/>
        </w:rPr>
      </w:pPr>
    </w:p>
    <w:p>
      <w:pPr>
        <w:ind w:left="1100" w:firstLine="6"/>
        <w:spacing w:after="0" w:line="237" w:lineRule="auto"/>
        <w:tabs>
          <w:tab w:leader="none" w:pos="142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(and Sections 414(m) and (o) of the Code for purposes of provisions relating to Section 412 of the Code or Section 302 of ERISA).</w:t>
      </w:r>
    </w:p>
    <w:p>
      <w:pPr>
        <w:spacing w:after="0" w:line="172" w:lineRule="exact"/>
        <w:rPr>
          <w:sz w:val="20"/>
          <w:szCs w:val="20"/>
          <w:color w:val="auto"/>
        </w:rPr>
      </w:pPr>
    </w:p>
    <w:p>
      <w:pPr>
        <w:jc w:val="both"/>
        <w:ind w:left="110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 Event</w:t>
      </w:r>
      <w:r>
        <w:rPr>
          <w:rFonts w:ascii="Times New Roman" w:cs="Times New Roman" w:eastAsia="Times New Roman" w:hAnsi="Times New Roman"/>
          <w:sz w:val="22"/>
          <w:szCs w:val="22"/>
          <w:color w:val="auto"/>
        </w:rPr>
        <w:t>”: (a) a Reportable Event with respect to a Pension Plan; (b) the failure by the Borrower or any ERISA Affiliate to meet all applicable requirements under the Pension Funding Rules or the filing of an application for the waiver of the minimum funding standards under the Pension Funding Rules; (c) the incurrence by the Borrower or any ERISA Affiliate of any liability pursuant to Section 4063 or 4064 of ERISA or a cessation of operations with respect to a Pension Plan within the meaning of Section 4062(e) of ERISA; (d) a complete or partial withdrawal by the Borrower or any ERISA Affiliate from a Multiemployer Plan or notification</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7</w:t>
            </w:r>
          </w:p>
        </w:tc>
      </w:tr>
      <w:tr>
        <w:trPr>
          <w:trHeight w:val="776"/>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28" w:name="page29"/>
    <w:bookmarkEnd w:id="28"/>
    <w:p>
      <w:pPr>
        <w:jc w:val="both"/>
        <w:ind w:left="1100"/>
        <w:spacing w:after="0" w:line="244" w:lineRule="auto"/>
        <w:rPr>
          <w:sz w:val="20"/>
          <w:szCs w:val="20"/>
          <w:color w:val="auto"/>
        </w:rPr>
      </w:pPr>
      <w:r>
        <w:rPr>
          <w:rFonts w:ascii="Times New Roman" w:cs="Times New Roman" w:eastAsia="Times New Roman" w:hAnsi="Times New Roman"/>
          <w:sz w:val="21"/>
          <w:szCs w:val="21"/>
          <w:color w:val="auto"/>
        </w:rPr>
        <w:t>that a Multiemployer Plan is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the Borrower or any ERISA Affiliate; (j) the engagement by the Borrower or any ERISA Affiliate in a transaction that could be subject to Section 4069 or Section 4212(c) of ERISA; (k) the imposition of a lien upon the Borrower pursuant to Section 430(k) of the Code or Section 303(k) of ERISA; or (l) the making of an amendment to a Pension Plan that could result in the posting of bond or security under Section 436(f)(1) of the Code.</w:t>
      </w:r>
    </w:p>
    <w:p>
      <w:pPr>
        <w:spacing w:after="0" w:line="18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 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 Payment Deficiency Assignment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9.12(d)(i)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 Payment Return Deficiency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9.12(d)(i)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 Payment Subrogation Rights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9.12(e)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100" w:right="160" w:firstLine="70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Event of Default</w:t>
      </w:r>
      <w:r>
        <w:rPr>
          <w:rFonts w:ascii="Times New Roman" w:cs="Times New Roman" w:eastAsia="Times New Roman" w:hAnsi="Times New Roman"/>
          <w:sz w:val="22"/>
          <w:szCs w:val="22"/>
          <w:color w:val="auto"/>
        </w:rPr>
        <w:t xml:space="preserve">”: any of the events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7.1 for which the requirement for the giving of notice, the lapse of time, or both, if any, has been satisfied.</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the Securities Exchange Act of 1934, as amended from time to time.</w:t>
      </w:r>
    </w:p>
    <w:p>
      <w:pPr>
        <w:spacing w:after="0" w:line="247" w:lineRule="exact"/>
        <w:rPr>
          <w:sz w:val="20"/>
          <w:szCs w:val="20"/>
          <w:color w:val="auto"/>
        </w:rPr>
      </w:pPr>
    </w:p>
    <w:p>
      <w:pPr>
        <w:ind w:left="1100" w:firstLine="6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Deposit Accounts</w:t>
      </w:r>
      <w:r>
        <w:rPr>
          <w:rFonts w:ascii="Times New Roman" w:cs="Times New Roman" w:eastAsia="Times New Roman" w:hAnsi="Times New Roman"/>
          <w:sz w:val="22"/>
          <w:szCs w:val="22"/>
          <w:color w:val="auto"/>
        </w:rPr>
        <w:t>”: any (a) Deposit Account used solely and exclusively for payroll, payroll taxes, other employee wage and benefit payments to or for the benefit of any Loan Party, (b) zero balance accounts so long as the balance in such account is zero at the end of each Business Day, (c) any payment processing accounts, (d) any cash collateral accounts securing Liens permitted pursuant to clauses (l) under the definition of “Permitted Liens”, and</w:t>
      </w:r>
    </w:p>
    <w:p>
      <w:pPr>
        <w:spacing w:after="0" w:line="4" w:lineRule="exact"/>
        <w:rPr>
          <w:sz w:val="20"/>
          <w:szCs w:val="20"/>
          <w:color w:val="auto"/>
        </w:rPr>
      </w:pPr>
    </w:p>
    <w:p>
      <w:pPr>
        <w:ind w:left="1100" w:firstLine="6"/>
        <w:spacing w:after="0" w:line="237" w:lineRule="auto"/>
        <w:tabs>
          <w:tab w:leader="none" w:pos="141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Deposit Accounts or other accounts so long as the aggregate balance in all such accounts permitted pursuant to this clause (e) does not exceed $100,000.</w:t>
      </w:r>
    </w:p>
    <w:p>
      <w:pPr>
        <w:spacing w:after="0" w:line="172"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Taxes</w:t>
      </w:r>
      <w:r>
        <w:rPr>
          <w:rFonts w:ascii="Times New Roman" w:cs="Times New Roman" w:eastAsia="Times New Roman" w:hAnsi="Times New Roman"/>
          <w:sz w:val="22"/>
          <w:szCs w:val="22"/>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Term Loan or Term Loan Commitment pursuant to a Law in effect on the date on which (i) such Lender acquires such interest in the Term Loan or Term Loan Commitment (other than pursuant to an assignment requested by a Loan Party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or (ii) such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8</w:t>
            </w:r>
          </w:p>
        </w:tc>
      </w:tr>
      <w:tr>
        <w:trPr>
          <w:trHeight w:val="776"/>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29" w:name="page30"/>
    <w:bookmarkEnd w:id="29"/>
    <w:p>
      <w:pPr>
        <w:jc w:val="both"/>
        <w:ind w:left="1100"/>
        <w:spacing w:after="0" w:line="238" w:lineRule="auto"/>
        <w:rPr>
          <w:sz w:val="20"/>
          <w:szCs w:val="20"/>
          <w:color w:val="auto"/>
        </w:rPr>
      </w:pPr>
      <w:r>
        <w:rPr>
          <w:rFonts w:ascii="Times New Roman" w:cs="Times New Roman" w:eastAsia="Times New Roman" w:hAnsi="Times New Roman"/>
          <w:sz w:val="22"/>
          <w:szCs w:val="22"/>
          <w:color w:val="auto"/>
        </w:rPr>
        <w:t xml:space="preserve">Lender changes its lending office, except in each case to the extent that,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2.8(d)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8.6(a)(ii)</w:t>
      </w:r>
      <w:r>
        <w:rPr>
          <w:rFonts w:ascii="Times New Roman" w:cs="Times New Roman" w:eastAsia="Times New Roman" w:hAnsi="Times New Roman"/>
          <w:sz w:val="22"/>
          <w:szCs w:val="22"/>
          <w:color w:val="auto"/>
        </w:rPr>
        <w:t xml:space="preserve"> and (d) any U.S. federal withholding Taxes imposed under FATCA.</w:t>
      </w:r>
    </w:p>
    <w:p>
      <w:pPr>
        <w:spacing w:after="0" w:line="184" w:lineRule="exact"/>
        <w:rPr>
          <w:sz w:val="20"/>
          <w:szCs w:val="20"/>
          <w:color w:val="auto"/>
        </w:rPr>
      </w:pPr>
    </w:p>
    <w:p>
      <w:pPr>
        <w:jc w:val="both"/>
        <w:ind w:left="110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Extraordinary Receipt</w:t>
      </w:r>
      <w:r>
        <w:rPr>
          <w:rFonts w:ascii="Times New Roman" w:cs="Times New Roman" w:eastAsia="Times New Roman" w:hAnsi="Times New Roman"/>
          <w:sz w:val="22"/>
          <w:szCs w:val="22"/>
          <w:color w:val="auto"/>
        </w:rPr>
        <w:t>”: any cash received by or paid to or for the account of any Loan Party or paid to or for the account of any equity holder of any Loan Party in connection with any tax refund or indemnification claim not in the ordinary course of business (and not consisting of</w:t>
      </w:r>
    </w:p>
    <w:p>
      <w:pPr>
        <w:jc w:val="both"/>
        <w:ind w:left="1100" w:firstLine="6"/>
        <w:spacing w:after="0" w:line="232" w:lineRule="auto"/>
        <w:tabs>
          <w:tab w:leader="none" w:pos="138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described in any clauses (a) through (f) of the definition of Prepayment Event, or (ii) indemnification payments to pay or reimburse cash losses, costs or expenses of a Loan Party, including working capital adjustments or indemnification payments owed to a third party), including, but not limited to, tax refund, purchase price and other monetary adjustments, and/or indemnification payments (not included in clause (ii) of the preceding parenthetical), in each case, made in connection with an Acquisition. Notwithstanding anything to the contrary, Extraordinary Receipts shall not include any cash received by or paid to or for the account of any Loan Party or paid to or for the account of any equity holder of any Loan Party in connection with any judgment relating to the XAC Litigation (or any appeal thereof).</w:t>
      </w:r>
    </w:p>
    <w:p>
      <w:pPr>
        <w:spacing w:after="0" w:line="172"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FATCA</w:t>
      </w:r>
      <w:r>
        <w:rPr>
          <w:rFonts w:ascii="Times New Roman" w:cs="Times New Roman" w:eastAsia="Times New Roman" w:hAnsi="Times New Roman"/>
          <w:sz w:val="22"/>
          <w:szCs w:val="22"/>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amended or successor version described above) and any intergovernmental agreement, treaty or convention among Governmental Authorities entered into in connection with the foregoing and any fiscal or regulatory legislation, or official administrative rules or practices adopted pursuant to, any such intergovernmental agreement, treaty or convention.</w:t>
      </w:r>
    </w:p>
    <w:p>
      <w:pPr>
        <w:spacing w:after="0" w:line="19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Fee Letter</w:t>
      </w:r>
      <w:r>
        <w:rPr>
          <w:rFonts w:ascii="Times New Roman" w:cs="Times New Roman" w:eastAsia="Times New Roman" w:hAnsi="Times New Roman"/>
          <w:sz w:val="22"/>
          <w:szCs w:val="22"/>
          <w:color w:val="auto"/>
        </w:rPr>
        <w:t xml:space="preserve">”: that certain Fee Letter, dated as of the </w:t>
      </w:r>
      <w:r>
        <w:rPr>
          <w:rFonts w:ascii="Times New Roman" w:cs="Times New Roman" w:eastAsia="Times New Roman" w:hAnsi="Times New Roman"/>
          <w:sz w:val="22"/>
          <w:szCs w:val="22"/>
          <w:color w:val="FF0000"/>
          <w:strike w:val="1"/>
        </w:rPr>
        <w:t>date hereof</w:t>
      </w:r>
      <w:r>
        <w:rPr>
          <w:rFonts w:ascii="Times New Roman" w:cs="Times New Roman" w:eastAsia="Times New Roman" w:hAnsi="Times New Roman"/>
          <w:sz w:val="22"/>
          <w:szCs w:val="22"/>
          <w:u w:val="single" w:color="auto"/>
          <w:color w:val="0000FF"/>
        </w:rPr>
        <w:t>Closing Date</w:t>
      </w:r>
      <w:r>
        <w:rPr>
          <w:rFonts w:ascii="Times New Roman" w:cs="Times New Roman" w:eastAsia="Times New Roman" w:hAnsi="Times New Roman"/>
          <w:sz w:val="22"/>
          <w:szCs w:val="22"/>
          <w:color w:val="auto"/>
        </w:rPr>
        <w:t xml:space="preserve">, by and between the </w:t>
      </w:r>
      <w:r>
        <w:rPr>
          <w:rFonts w:ascii="Times New Roman" w:cs="Times New Roman" w:eastAsia="Times New Roman" w:hAnsi="Times New Roman"/>
          <w:sz w:val="22"/>
          <w:szCs w:val="22"/>
          <w:color w:val="FF0000"/>
          <w:strike w:val="1"/>
        </w:rPr>
        <w:t>Borrower</w:t>
      </w:r>
      <w:r>
        <w:rPr>
          <w:rFonts w:ascii="Times New Roman" w:cs="Times New Roman" w:eastAsia="Times New Roman" w:hAnsi="Times New Roman"/>
          <w:sz w:val="22"/>
          <w:szCs w:val="22"/>
          <w:u w:val="single" w:color="auto"/>
          <w:color w:val="0000FF"/>
        </w:rPr>
        <w:t>Loan Parties</w:t>
      </w:r>
      <w:r>
        <w:rPr>
          <w:rFonts w:ascii="Times New Roman" w:cs="Times New Roman" w:eastAsia="Times New Roman" w:hAnsi="Times New Roman"/>
          <w:sz w:val="22"/>
          <w:szCs w:val="22"/>
          <w:color w:val="auto"/>
        </w:rPr>
        <w:t xml:space="preserve"> and the Agent, as may be amended, restated, supplemented or otherwise modified from time to time.</w:t>
      </w:r>
    </w:p>
    <w:p>
      <w:pPr>
        <w:spacing w:after="0" w:line="164"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First Amendment</w:t>
      </w:r>
      <w:r>
        <w:rPr>
          <w:rFonts w:ascii="Times New Roman" w:cs="Times New Roman" w:eastAsia="Times New Roman" w:hAnsi="Times New Roman"/>
          <w:sz w:val="22"/>
          <w:szCs w:val="22"/>
          <w:u w:val="single" w:color="auto"/>
          <w:color w:val="0000FF"/>
        </w:rPr>
        <w:t>”: that certain First Amendment to Credit Agreement dated as of the First Amendment Effective Date, by and among the Borrower, the Parent, the Lenders and the Agent.</w:t>
      </w:r>
    </w:p>
    <w:p>
      <w:pPr>
        <w:spacing w:after="0" w:line="14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First Amendment Effective Date</w:t>
      </w:r>
      <w:r>
        <w:rPr>
          <w:rFonts w:ascii="Times New Roman" w:cs="Times New Roman" w:eastAsia="Times New Roman" w:hAnsi="Times New Roman"/>
          <w:sz w:val="22"/>
          <w:szCs w:val="22"/>
          <w:u w:val="single" w:color="auto"/>
          <w:color w:val="0000FF"/>
        </w:rPr>
        <w:t>”: March 31, 2023.</w:t>
      </w:r>
    </w:p>
    <w:p>
      <w:pPr>
        <w:spacing w:after="0" w:line="220"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First Amendment Registration Rights Agreement</w:t>
      </w:r>
      <w:r>
        <w:rPr>
          <w:rFonts w:ascii="Times New Roman" w:cs="Times New Roman" w:eastAsia="Times New Roman" w:hAnsi="Times New Roman"/>
          <w:sz w:val="22"/>
          <w:szCs w:val="22"/>
          <w:u w:val="single" w:color="auto"/>
          <w:color w:val="0000FF"/>
        </w:rPr>
        <w:t>”: that certain Registration Rights Agreement, dated as of the First Amendment Effective Date, by and between Parent and the Lenders, as may be amended, restated, supplemented or otherwise modified from time to time.</w:t>
      </w:r>
    </w:p>
    <w:p>
      <w:pPr>
        <w:spacing w:after="0" w:line="177"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First Amendment Warrants</w:t>
      </w:r>
      <w:r>
        <w:rPr>
          <w:rFonts w:ascii="Times New Roman" w:cs="Times New Roman" w:eastAsia="Times New Roman" w:hAnsi="Times New Roman"/>
          <w:sz w:val="22"/>
          <w:szCs w:val="22"/>
          <w:u w:val="single" w:color="auto"/>
          <w:color w:val="0000FF"/>
        </w:rPr>
        <w:t>”: those certain warrants to purchase 400,000 shares of Parent Common Stock at a purchase price of $0.01 per share issued by Parent pursuant to the Fee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5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9</w:t>
            </w:r>
          </w:p>
        </w:tc>
      </w:tr>
      <w:tr>
        <w:trPr>
          <w:trHeight w:val="763"/>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30" w:name="page31"/>
    <w:bookmarkEnd w:id="30"/>
    <w:p>
      <w:pPr>
        <w:ind w:left="1100" w:right="900"/>
        <w:spacing w:after="0" w:line="258" w:lineRule="auto"/>
        <w:rPr>
          <w:sz w:val="20"/>
          <w:szCs w:val="20"/>
          <w:color w:val="auto"/>
        </w:rPr>
      </w:pPr>
      <w:r>
        <w:rPr>
          <w:rFonts w:ascii="Times New Roman" w:cs="Times New Roman" w:eastAsia="Times New Roman" w:hAnsi="Times New Roman"/>
          <w:sz w:val="22"/>
          <w:szCs w:val="22"/>
          <w:u w:val="single" w:color="auto"/>
          <w:color w:val="0000FF"/>
        </w:rPr>
        <w:t>Letter to the Lenders on the First Amendment Effective Date, as may be amended, restated, supplemented or otherwise modified from time to time.</w:t>
      </w:r>
    </w:p>
    <w:p>
      <w:pPr>
        <w:spacing w:after="0" w:line="1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Fiscal Quarter</w:t>
      </w:r>
      <w:r>
        <w:rPr>
          <w:rFonts w:ascii="Times New Roman" w:cs="Times New Roman" w:eastAsia="Times New Roman" w:hAnsi="Times New Roman"/>
          <w:sz w:val="22"/>
          <w:szCs w:val="22"/>
          <w:color w:val="auto"/>
        </w:rPr>
        <w:t>”: a calendar quarter of a Fiscal Year.</w:t>
      </w:r>
    </w:p>
    <w:p>
      <w:pPr>
        <w:spacing w:after="0" w:line="206"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Fiscal Year</w:t>
      </w:r>
      <w:r>
        <w:rPr>
          <w:rFonts w:ascii="Times New Roman" w:cs="Times New Roman" w:eastAsia="Times New Roman" w:hAnsi="Times New Roman"/>
          <w:sz w:val="22"/>
          <w:szCs w:val="22"/>
          <w:color w:val="auto"/>
        </w:rPr>
        <w:t>”: the fiscal year of each Loan Party, which period shall be the twelve (12) month period ending on June 30 of each year.</w:t>
      </w:r>
    </w:p>
    <w:p>
      <w:pPr>
        <w:spacing w:after="0" w:line="159"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Foreign Recipient</w:t>
      </w:r>
      <w:r>
        <w:rPr>
          <w:rFonts w:ascii="Times New Roman" w:cs="Times New Roman" w:eastAsia="Times New Roman" w:hAnsi="Times New Roman"/>
          <w:sz w:val="22"/>
          <w:szCs w:val="22"/>
          <w:color w:val="auto"/>
        </w:rPr>
        <w:t>”: (a) if the Borrower is a U.S. Person, a Recipient that is not a U.S. Person, and (b) if the Borrower is not a U.S. Person, a Recipient that is resident or organized under the Laws of a jurisdiction other than that in which the Borrower is resident for tax purposes.</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Foreign Subsidiary</w:t>
      </w:r>
      <w:r>
        <w:rPr>
          <w:rFonts w:ascii="Times New Roman" w:cs="Times New Roman" w:eastAsia="Times New Roman" w:hAnsi="Times New Roman"/>
          <w:sz w:val="22"/>
          <w:szCs w:val="22"/>
          <w:color w:val="auto"/>
        </w:rPr>
        <w:t>”: any Subsidiary other than a Domestic Subsidiary.</w:t>
      </w:r>
    </w:p>
    <w:p>
      <w:pPr>
        <w:spacing w:after="0" w:line="206"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Founder Shares</w:t>
      </w:r>
      <w:r>
        <w:rPr>
          <w:rFonts w:ascii="Times New Roman" w:cs="Times New Roman" w:eastAsia="Times New Roman" w:hAnsi="Times New Roman"/>
          <w:sz w:val="22"/>
          <w:szCs w:val="22"/>
          <w:color w:val="auto"/>
        </w:rPr>
        <w:t>”: means shares of Parent Common Stock which were acquired by the Sponsors in a private placement concurrent with the Parent’s initial public offering.</w:t>
      </w:r>
    </w:p>
    <w:p>
      <w:pPr>
        <w:spacing w:after="0" w:line="159"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Founder Shares Transfer Agreement</w:t>
      </w:r>
      <w:r>
        <w:rPr>
          <w:rFonts w:ascii="Times New Roman" w:cs="Times New Roman" w:eastAsia="Times New Roman" w:hAnsi="Times New Roman"/>
          <w:sz w:val="22"/>
          <w:szCs w:val="22"/>
          <w:color w:val="auto"/>
        </w:rPr>
        <w:t>”: that certain Share Purchase Agreement, dated as of the date hereof, by and among the Sponsors and the Lenders, as may be amended, restated, supplemented or otherwise modified from time to time.</w:t>
      </w:r>
    </w:p>
    <w:p>
      <w:pPr>
        <w:spacing w:after="0" w:line="177"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xml:space="preserve">”: generally accepted accounting principles in the United States as in effect from time to time, subject to the provisions of </w:t>
      </w:r>
      <w:r>
        <w:rPr>
          <w:rFonts w:ascii="Times New Roman" w:cs="Times New Roman" w:eastAsia="Times New Roman" w:hAnsi="Times New Roman"/>
          <w:sz w:val="22"/>
          <w:szCs w:val="22"/>
          <w:u w:val="single" w:color="auto"/>
          <w:color w:val="auto"/>
        </w:rPr>
        <w:t>Section 1.2(e)</w:t>
      </w:r>
      <w:r>
        <w:rPr>
          <w:rFonts w:ascii="Times New Roman" w:cs="Times New Roman" w:eastAsia="Times New Roman" w:hAnsi="Times New Roman"/>
          <w:sz w:val="22"/>
          <w:szCs w:val="22"/>
          <w:color w:val="auto"/>
        </w:rPr>
        <w:t>, and applied on a consistent basis both as to classification of items and amounts.</w:t>
      </w:r>
    </w:p>
    <w:p>
      <w:pPr>
        <w:spacing w:after="0" w:line="164"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Approval</w:t>
      </w:r>
      <w:r>
        <w:rPr>
          <w:rFonts w:ascii="Times New Roman" w:cs="Times New Roman" w:eastAsia="Times New Roman" w:hAnsi="Times New Roman"/>
          <w:sz w:val="22"/>
          <w:szCs w:val="22"/>
          <w:color w:val="auto"/>
        </w:rPr>
        <w:t>”: any consent, authorization, approval, order, license, franchise, permit, certificate, accreditation, registration, filing or notice, of, issued by, from or to, or other act by or in respect of, any Governmental Authority.</w:t>
      </w:r>
    </w:p>
    <w:p>
      <w:pPr>
        <w:spacing w:after="0" w:line="177" w:lineRule="exact"/>
        <w:rPr>
          <w:sz w:val="20"/>
          <w:szCs w:val="20"/>
          <w:color w:val="auto"/>
        </w:rPr>
      </w:pPr>
    </w:p>
    <w:p>
      <w:pPr>
        <w:jc w:val="both"/>
        <w:ind w:left="110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Governmental Authority</w:t>
      </w:r>
      <w:r>
        <w:rPr>
          <w:rFonts w:ascii="Times New Roman" w:cs="Times New Roman" w:eastAsia="Times New Roman" w:hAnsi="Times New Roman"/>
          <w:sz w:val="21"/>
          <w:szCs w:val="21"/>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2"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Guarantee Obligation</w:t>
      </w:r>
      <w:r>
        <w:rPr>
          <w:rFonts w:ascii="Times New Roman" w:cs="Times New Roman" w:eastAsia="Times New Roman" w:hAnsi="Times New Roman"/>
          <w:sz w:val="22"/>
          <w:szCs w:val="22"/>
          <w:color w:val="auto"/>
        </w:rPr>
        <w:t>”: as to any Person (the “</w:t>
      </w:r>
      <w:r>
        <w:rPr>
          <w:rFonts w:ascii="Times New Roman" w:cs="Times New Roman" w:eastAsia="Times New Roman" w:hAnsi="Times New Roman"/>
          <w:sz w:val="22"/>
          <w:szCs w:val="22"/>
          <w:b w:val="1"/>
          <w:bCs w:val="1"/>
          <w:i w:val="1"/>
          <w:iCs w:val="1"/>
          <w:color w:val="auto"/>
        </w:rPr>
        <w:t>guaranteeing person</w:t>
      </w:r>
      <w:r>
        <w:rPr>
          <w:rFonts w:ascii="Times New Roman" w:cs="Times New Roman" w:eastAsia="Times New Roman" w:hAnsi="Times New Roman"/>
          <w:sz w:val="22"/>
          <w:szCs w:val="22"/>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or a provider of a surety bond, performance bond or similar instrument) that guarantees or in effect guarantees, any Indebtedness, leases, dividends or other obligations (the “</w:t>
      </w:r>
      <w:r>
        <w:rPr>
          <w:rFonts w:ascii="Times New Roman" w:cs="Times New Roman" w:eastAsia="Times New Roman" w:hAnsi="Times New Roman"/>
          <w:sz w:val="22"/>
          <w:szCs w:val="22"/>
          <w:b w:val="1"/>
          <w:bCs w:val="1"/>
          <w:i w:val="1"/>
          <w:iCs w:val="1"/>
          <w:color w:val="auto"/>
        </w:rPr>
        <w:t>primary obligations</w:t>
      </w:r>
      <w:r>
        <w:rPr>
          <w:rFonts w:ascii="Times New Roman" w:cs="Times New Roman" w:eastAsia="Times New Roman" w:hAnsi="Times New Roman"/>
          <w:sz w:val="22"/>
          <w:szCs w:val="22"/>
          <w:color w:val="auto"/>
        </w:rPr>
        <w:t>”) of any other third Person (the “</w:t>
      </w:r>
      <w:r>
        <w:rPr>
          <w:rFonts w:ascii="Times New Roman" w:cs="Times New Roman" w:eastAsia="Times New Roman" w:hAnsi="Times New Roman"/>
          <w:sz w:val="22"/>
          <w:szCs w:val="22"/>
          <w:b w:val="1"/>
          <w:bCs w:val="1"/>
          <w:i w:val="1"/>
          <w:iCs w:val="1"/>
          <w:color w:val="auto"/>
        </w:rPr>
        <w:t>primary obligor</w:t>
      </w:r>
      <w:r>
        <w:rPr>
          <w:rFonts w:ascii="Times New Roman" w:cs="Times New Roman" w:eastAsia="Times New Roman" w:hAnsi="Times New Roman"/>
          <w:sz w:val="22"/>
          <w:szCs w:val="22"/>
          <w:color w:val="auto"/>
        </w:rPr>
        <w:t>”)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10</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31" w:name="page32"/>
    <w:bookmarkEnd w:id="31"/>
    <w:p>
      <w:pPr>
        <w:jc w:val="both"/>
        <w:ind w:left="1100"/>
        <w:spacing w:after="0" w:line="233" w:lineRule="auto"/>
        <w:rPr>
          <w:sz w:val="20"/>
          <w:szCs w:val="20"/>
          <w:color w:val="auto"/>
        </w:rPr>
      </w:pPr>
      <w:r>
        <w:rPr>
          <w:rFonts w:ascii="Times New Roman" w:cs="Times New Roman" w:eastAsia="Times New Roman" w:hAnsi="Times New Roman"/>
          <w:sz w:val="22"/>
          <w:szCs w:val="22"/>
          <w:color w:val="auto"/>
        </w:rPr>
        <w:t xml:space="preserve">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Borrower in good faith.</w:t>
      </w:r>
    </w:p>
    <w:p>
      <w:pPr>
        <w:spacing w:after="0" w:line="190" w:lineRule="exact"/>
        <w:rPr>
          <w:sz w:val="20"/>
          <w:szCs w:val="20"/>
          <w:color w:val="auto"/>
        </w:rPr>
      </w:pPr>
    </w:p>
    <w:p>
      <w:pPr>
        <w:jc w:val="both"/>
        <w:ind w:left="1100"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Guarantor</w:t>
      </w:r>
      <w:r>
        <w:rPr>
          <w:rFonts w:ascii="Times New Roman" w:cs="Times New Roman" w:eastAsia="Times New Roman" w:hAnsi="Times New Roman"/>
          <w:sz w:val="22"/>
          <w:szCs w:val="22"/>
          <w:color w:val="auto"/>
        </w:rPr>
        <w:t>”: (i) Parent and (ii) any Subsidiary of Parent that is not Borrower or an Immaterial Subsidiary.</w:t>
      </w:r>
    </w:p>
    <w:p>
      <w:pPr>
        <w:spacing w:after="0" w:line="14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Immaterial Subsidiary</w:t>
      </w:r>
      <w:r>
        <w:rPr>
          <w:rFonts w:ascii="Times New Roman" w:cs="Times New Roman" w:eastAsia="Times New Roman" w:hAnsi="Times New Roman"/>
          <w:sz w:val="22"/>
          <w:szCs w:val="22"/>
          <w:color w:val="auto"/>
        </w:rPr>
        <w:t>”: any Subsidiary of Borrower that (i) does not own assets that</w:t>
      </w:r>
    </w:p>
    <w:p>
      <w:pPr>
        <w:spacing w:after="0" w:line="20" w:lineRule="exact"/>
        <w:rPr>
          <w:sz w:val="20"/>
          <w:szCs w:val="20"/>
          <w:color w:val="auto"/>
        </w:rPr>
      </w:pPr>
    </w:p>
    <w:p>
      <w:pPr>
        <w:ind w:left="1100" w:right="20" w:firstLine="6"/>
        <w:spacing w:after="0" w:line="230" w:lineRule="auto"/>
        <w:tabs>
          <w:tab w:leader="none" w:pos="142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 aggregate book value in excess of five percent (5%) of the Parent’s and its Subsidiaries consolidated total assets, or (y) are material to the business of any Loan Party, and</w:t>
      </w:r>
    </w:p>
    <w:p>
      <w:pPr>
        <w:spacing w:after="0" w:line="1" w:lineRule="exact"/>
        <w:rPr>
          <w:rFonts w:ascii="Times New Roman" w:cs="Times New Roman" w:eastAsia="Times New Roman" w:hAnsi="Times New Roman"/>
          <w:sz w:val="22"/>
          <w:szCs w:val="22"/>
          <w:color w:val="auto"/>
        </w:rPr>
      </w:pPr>
    </w:p>
    <w:p>
      <w:pPr>
        <w:jc w:val="both"/>
        <w:ind w:left="1100" w:firstLine="6"/>
        <w:spacing w:after="0" w:line="233" w:lineRule="auto"/>
        <w:tabs>
          <w:tab w:leader="none" w:pos="148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does not generate Touch Platform Revenue, Computer Vision Platform Revenue or Voice Platform Revenue in excess of five percent (5%) of all Touch Platform Revenue, Computer Vision Platform Revenue or Voice Platform Revenue, as applicable, of the Loan Parties in any monthly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such Subsidiary fails to satisfy any of the foregoing, such Subsidiary shall immediately cease to be an Immaterial Subsidiary.</w:t>
      </w:r>
    </w:p>
    <w:p>
      <w:pPr>
        <w:spacing w:after="0" w:line="187" w:lineRule="exact"/>
        <w:rPr>
          <w:sz w:val="20"/>
          <w:szCs w:val="20"/>
          <w:color w:val="auto"/>
        </w:rPr>
      </w:pPr>
    </w:p>
    <w:p>
      <w:pPr>
        <w:jc w:val="both"/>
        <w:ind w:left="1100"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collectively, as to any Person at any time, any and all indebtedness, obligations or liabilities (whether matured or unmatured, liquidated or unliquidated, direct or indirect, absolute or contingent, or joint or several) of such Person for or in respect of: (a) all indebtedness for borrowed money, (b) all accounts due and payable and not yet paid ninety (90) days from the original due date, (c) all obligations for the deferred purchase price of property or services (other than current trade payables incurred in the ordinary course of business), (d) all obligations evidenced by notes, bonds, debentures or other similar instruments, (e)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(f) all Capital Lease obligations and all synthetic lease obligations, (g) all obligations, contingent or otherwise, as an account party or applicant under or in respect of acceptances, letters of credit, surety bonds or similar arrangements, (h) all Guarantee Obligations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the property (including accounts and contract rights) owned by the applicable Person, whether or not such Person has assumed or become liable for the payment of such obligation, (j) the net obligations in respect of swap agreements, and (k) any Disqualified Equity Interests of such Person, and including, without limitation obligations described in the foregoing clauses (a) through (j) of any other</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90"/>
              <w:spacing w:after="0"/>
              <w:rPr>
                <w:sz w:val="20"/>
                <w:szCs w:val="20"/>
                <w:color w:val="auto"/>
              </w:rPr>
            </w:pPr>
            <w:r>
              <w:rPr>
                <w:rFonts w:ascii="Times New Roman" w:cs="Times New Roman" w:eastAsia="Times New Roman" w:hAnsi="Times New Roman"/>
                <w:sz w:val="18"/>
                <w:szCs w:val="18"/>
                <w:color w:val="auto"/>
              </w:rPr>
              <w:t>11</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32" w:name="page33"/>
    <w:bookmarkEnd w:id="32"/>
    <w:p>
      <w:pPr>
        <w:jc w:val="both"/>
        <w:ind w:left="1100"/>
        <w:spacing w:after="0" w:line="244" w:lineRule="auto"/>
        <w:rPr>
          <w:sz w:val="20"/>
          <w:szCs w:val="20"/>
          <w:color w:val="auto"/>
        </w:rPr>
      </w:pPr>
      <w:r>
        <w:rPr>
          <w:rFonts w:ascii="Times New Roman" w:cs="Times New Roman" w:eastAsia="Times New Roman" w:hAnsi="Times New Roman"/>
          <w:sz w:val="22"/>
          <w:szCs w:val="22"/>
          <w:color w:val="auto"/>
        </w:rPr>
        <w:t>entity to the extent the subject Person is liable therefor as a result of such Person’s ownership interest in or other relationship with such entity, except to the extent the terms of such obligations expressly provide that such Person is not liable therefor.</w:t>
      </w:r>
    </w:p>
    <w:p>
      <w:pPr>
        <w:spacing w:after="0" w:line="181"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Indemnified Taxes</w:t>
      </w:r>
      <w:r>
        <w:rPr>
          <w:rFonts w:ascii="Times New Roman" w:cs="Times New Roman" w:eastAsia="Times New Roman" w:hAnsi="Times New Roman"/>
          <w:sz w:val="22"/>
          <w:szCs w:val="22"/>
          <w:color w:val="auto"/>
        </w:rPr>
        <w:t>”: (a) Taxes, other than Excluded Taxes, imposed on or with respect to any payment made by or on account of any obligation of any Loan Party under any Loan Document and (b) to the extent not otherwise described in clause (a) above, Other Taxes.</w:t>
      </w:r>
    </w:p>
    <w:p>
      <w:pPr>
        <w:spacing w:after="0" w:line="16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8.5(b).</w:t>
      </w:r>
    </w:p>
    <w:p>
      <w:pPr>
        <w:spacing w:after="0" w:line="2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as defined in the Security Agreement.</w:t>
      </w:r>
    </w:p>
    <w:p>
      <w:pPr>
        <w:spacing w:after="0" w:line="220" w:lineRule="exact"/>
        <w:rPr>
          <w:sz w:val="20"/>
          <w:szCs w:val="20"/>
          <w:color w:val="auto"/>
        </w:rPr>
      </w:pPr>
    </w:p>
    <w:p>
      <w:pPr>
        <w:jc w:val="both"/>
        <w:ind w:left="110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Payment Date</w:t>
      </w:r>
      <w:r>
        <w:rPr>
          <w:rFonts w:ascii="Times New Roman" w:cs="Times New Roman" w:eastAsia="Times New Roman" w:hAnsi="Times New Roman"/>
          <w:sz w:val="21"/>
          <w:szCs w:val="21"/>
          <w:color w:val="auto"/>
        </w:rPr>
        <w:t>”: the first day of each calendar month, commencing October 1, 2022, provided that if such day of any calendar month shall not be a Business Day, the Interest Payment Date with respect to any interest payable in cash shall be the next succeeding day thereafter that is a Business Day (it being understood that all payments of PIK Interest shall be deemed to have occurred on the first day of each calendar month, regardless of whether such date is a Business Day).</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Rate</w:t>
      </w:r>
      <w:r>
        <w:rPr>
          <w:rFonts w:ascii="Times New Roman" w:cs="Times New Roman" w:eastAsia="Times New Roman" w:hAnsi="Times New Roman"/>
          <w:sz w:val="22"/>
          <w:szCs w:val="22"/>
          <w:color w:val="auto"/>
        </w:rPr>
        <w:t>”: fifteen percent (15%) per annum.</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Investments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6.8.</w:t>
      </w:r>
    </w:p>
    <w:p>
      <w:pPr>
        <w:spacing w:after="0" w:line="24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IRS</w:t>
      </w:r>
      <w:r>
        <w:rPr>
          <w:rFonts w:ascii="Times New Roman" w:cs="Times New Roman" w:eastAsia="Times New Roman" w:hAnsi="Times New Roman"/>
          <w:sz w:val="22"/>
          <w:szCs w:val="22"/>
          <w:color w:val="auto"/>
        </w:rPr>
        <w:t>”: the United States Internal Revenue Service.</w:t>
      </w:r>
    </w:p>
    <w:p>
      <w:pPr>
        <w:spacing w:after="0" w:line="220" w:lineRule="exact"/>
        <w:rPr>
          <w:sz w:val="20"/>
          <w:szCs w:val="20"/>
          <w:color w:val="auto"/>
        </w:rPr>
      </w:pPr>
    </w:p>
    <w:p>
      <w:pPr>
        <w:jc w:val="both"/>
        <w:ind w:left="1100"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Knowledge</w:t>
      </w:r>
      <w:r>
        <w:rPr>
          <w:rFonts w:ascii="Times New Roman" w:cs="Times New Roman" w:eastAsia="Times New Roman" w:hAnsi="Times New Roman"/>
          <w:sz w:val="22"/>
          <w:szCs w:val="22"/>
          <w:color w:val="auto"/>
        </w:rPr>
        <w:t>”: the knowledge of any Responsible Officer, member of the Board, or any other senior executive, after reasonable inquiry.</w:t>
      </w:r>
    </w:p>
    <w:p>
      <w:pPr>
        <w:spacing w:after="0" w:line="145"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Laws</w:t>
      </w:r>
      <w:r>
        <w:rPr>
          <w:rFonts w:ascii="Times New Roman" w:cs="Times New Roman" w:eastAsia="Times New Roman" w:hAnsi="Times New Roman"/>
          <w:sz w:val="22"/>
          <w:szCs w:val="22"/>
          <w:color w:val="auto"/>
        </w:rPr>
        <w:t>”: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5"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as defined in the preamble hereto, and any other Person that shall have become party hereto pursuant to an assignment and assumption permitted hereby, other than any such Person that ceases to be a party hereto pursuant to an assignment and assumption permitted hereby.</w:t>
      </w:r>
    </w:p>
    <w:p>
      <w:pPr>
        <w:spacing w:after="0" w:line="164" w:lineRule="exact"/>
        <w:rPr>
          <w:sz w:val="20"/>
          <w:szCs w:val="20"/>
          <w:color w:val="auto"/>
        </w:rPr>
      </w:pPr>
    </w:p>
    <w:p>
      <w:pPr>
        <w:jc w:val="both"/>
        <w:ind w:left="1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12</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33" w:name="page34"/>
    <w:bookmarkEnd w:id="33"/>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Documents</w:t>
      </w:r>
      <w:r>
        <w:rPr>
          <w:rFonts w:ascii="Times New Roman" w:cs="Times New Roman" w:eastAsia="Times New Roman" w:hAnsi="Times New Roman"/>
          <w:sz w:val="22"/>
          <w:szCs w:val="22"/>
          <w:color w:val="auto"/>
        </w:rPr>
        <w:t>”: this Agreement</w:t>
      </w:r>
      <w:r>
        <w:rPr>
          <w:rFonts w:ascii="Times New Roman" w:cs="Times New Roman" w:eastAsia="Times New Roman" w:hAnsi="Times New Roman"/>
          <w:sz w:val="22"/>
          <w:szCs w:val="22"/>
          <w:u w:val="single" w:color="auto"/>
          <w:color w:val="0000FF"/>
        </w:rPr>
        <w:t>, the First Amendment</w:t>
      </w:r>
      <w:r>
        <w:rPr>
          <w:rFonts w:ascii="Times New Roman" w:cs="Times New Roman" w:eastAsia="Times New Roman" w:hAnsi="Times New Roman"/>
          <w:sz w:val="22"/>
          <w:szCs w:val="22"/>
          <w:color w:val="auto"/>
        </w:rPr>
        <w:t xml:space="preserve">, the Security Documents, the Notes, the Warrant Subscription Agreement, the Warrants, the Founder Shares Transfer Agreement, the Registration Rights </w:t>
      </w:r>
      <w:r>
        <w:rPr>
          <w:rFonts w:ascii="Times New Roman" w:cs="Times New Roman" w:eastAsia="Times New Roman" w:hAnsi="Times New Roman"/>
          <w:sz w:val="22"/>
          <w:szCs w:val="22"/>
          <w:color w:val="FF0000"/>
          <w:strike w:val="1"/>
        </w:rPr>
        <w:t>Agreement</w:t>
      </w:r>
      <w:r>
        <w:rPr>
          <w:rFonts w:ascii="Times New Roman" w:cs="Times New Roman" w:eastAsia="Times New Roman" w:hAnsi="Times New Roman"/>
          <w:sz w:val="22"/>
          <w:szCs w:val="22"/>
          <w:u w:val="single" w:color="auto"/>
          <w:color w:val="0000FF"/>
        </w:rPr>
        <w:t>Agreements</w:t>
      </w:r>
      <w:r>
        <w:rPr>
          <w:rFonts w:ascii="Times New Roman" w:cs="Times New Roman" w:eastAsia="Times New Roman" w:hAnsi="Times New Roman"/>
          <w:sz w:val="22"/>
          <w:szCs w:val="22"/>
          <w:color w:val="auto"/>
        </w:rPr>
        <w:t>, each Perfection Certificate, each Compliance Certificate, the Fee Letter, each Notice of Borrowing, each Payment Notice and any other document or instrument evidencing, securing or otherwise governing the Obligations and any amendment, restatement, supplement or other modification to any of the foregoing.</w:t>
      </w:r>
    </w:p>
    <w:p>
      <w:pPr>
        <w:spacing w:after="0" w:line="189"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Party</w:t>
      </w:r>
      <w:r>
        <w:rPr>
          <w:rFonts w:ascii="Times New Roman" w:cs="Times New Roman" w:eastAsia="Times New Roman" w:hAnsi="Times New Roman"/>
          <w:sz w:val="22"/>
          <w:szCs w:val="22"/>
          <w:color w:val="auto"/>
        </w:rPr>
        <w:t>”: Borrower, each Guarantor and any other Person that becomes obligated pursuant to a Loan Document, other than as a Lender or Agent.</w:t>
      </w:r>
    </w:p>
    <w:p>
      <w:pPr>
        <w:spacing w:after="0" w:line="145"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Make Whole Premium</w:t>
      </w:r>
      <w:r>
        <w:rPr>
          <w:rFonts w:ascii="Times New Roman" w:cs="Times New Roman" w:eastAsia="Times New Roman" w:hAnsi="Times New Roman"/>
          <w:sz w:val="22"/>
          <w:szCs w:val="22"/>
          <w:color w:val="auto"/>
        </w:rPr>
        <w:t>”: in connection with the applicable payment, prepayment or repayment of the principal amount of the Term Loan or any distribution on account thereof (whether prior to or after acceleration and from any Person, including in connection with any insolvency proceeding), an amount equal to the interest and fees that would have accrued on the aggregate principal amount of the Term Loan (including any interest that could have been capitalized as PIK Interest during such period) from the date of payment through March 21, 2024.</w:t>
      </w:r>
    </w:p>
    <w:p>
      <w:pPr>
        <w:spacing w:after="0" w:line="17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Margin Stock</w:t>
      </w:r>
      <w:r>
        <w:rPr>
          <w:rFonts w:ascii="Times New Roman" w:cs="Times New Roman" w:eastAsia="Times New Roman" w:hAnsi="Times New Roman"/>
          <w:sz w:val="22"/>
          <w:szCs w:val="22"/>
          <w:color w:val="auto"/>
        </w:rPr>
        <w:t>”: margin stock within the meaning of Regulations T, U and X.</w:t>
      </w:r>
    </w:p>
    <w:p>
      <w:pPr>
        <w:spacing w:after="0" w:line="220"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(a) a material adverse change in, or a material adverse effect on (i) the operations, business, Collateral, liabilities (actual or contingent) or condition of the Loan Parties (financial or otherwise), taken as a whole, (ii) the perfection or priority of any Lien granted to Agent under any of the Loan Documents or (iii) the value, validity, enforceability or collectability of any Collateral; (b) a material impairment of the rights and remedies of Agent or any Lender under any Loan Document, or of the ability of Borrower or any other Loan Party to perform its respective Obligations under any Loan Document to which it is a party; or (c) a material adverse effect upon the legality, validity, binding effect or enforceability against any Loan Party of any Loan Document to which it is a party.</w:t>
      </w:r>
    </w:p>
    <w:p>
      <w:pPr>
        <w:spacing w:after="0" w:line="187"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Contract</w:t>
      </w:r>
      <w:r>
        <w:rPr>
          <w:rFonts w:ascii="Times New Roman" w:cs="Times New Roman" w:eastAsia="Times New Roman" w:hAnsi="Times New Roman"/>
          <w:sz w:val="22"/>
          <w:szCs w:val="22"/>
          <w:color w:val="auto"/>
        </w:rPr>
        <w:t xml:space="preserve">”: each Contractual Obligation of any Loan Party that is (i) listed on </w:t>
      </w:r>
      <w:r>
        <w:rPr>
          <w:rFonts w:ascii="Times New Roman" w:cs="Times New Roman" w:eastAsia="Times New Roman" w:hAnsi="Times New Roman"/>
          <w:sz w:val="22"/>
          <w:szCs w:val="22"/>
          <w:u w:val="single" w:color="auto"/>
          <w:color w:val="auto"/>
        </w:rPr>
        <w:t>Schedule 3.7</w:t>
      </w:r>
      <w:r>
        <w:rPr>
          <w:rFonts w:ascii="Times New Roman" w:cs="Times New Roman" w:eastAsia="Times New Roman" w:hAnsi="Times New Roman"/>
          <w:sz w:val="22"/>
          <w:szCs w:val="22"/>
          <w:color w:val="auto"/>
        </w:rPr>
        <w:t xml:space="preserve"> (including any renewals or replacements thereof) or (ii) is otherwise material to the continued operation of the business of such Loan Party and for which either (a) amounts received or paid thereunder is equal to or exceeds $2,500,000 in any Fiscal Year with respect to any Material Contract or (b) a breach or default could reasonably be expected to result in a Material Adverse Effect.</w:t>
      </w:r>
    </w:p>
    <w:p>
      <w:pPr>
        <w:spacing w:after="0" w:line="17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Maturity Date</w:t>
      </w:r>
      <w:r>
        <w:rPr>
          <w:rFonts w:ascii="Times New Roman" w:cs="Times New Roman" w:eastAsia="Times New Roman" w:hAnsi="Times New Roman"/>
          <w:sz w:val="22"/>
          <w:szCs w:val="22"/>
          <w:color w:val="auto"/>
        </w:rPr>
        <w:t>”: the earlier of (a) March 21, 2025, and (b) the date upon which the Obligations are accelerated in accordance with the terms hereof.</w:t>
      </w:r>
    </w:p>
    <w:p>
      <w:pPr>
        <w:spacing w:after="0" w:line="18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Metropolitan</w:t>
      </w:r>
      <w:r>
        <w:rPr>
          <w:rFonts w:ascii="Times New Roman" w:cs="Times New Roman" w:eastAsia="Times New Roman" w:hAnsi="Times New Roman"/>
          <w:sz w:val="22"/>
          <w:szCs w:val="22"/>
          <w:color w:val="auto"/>
        </w:rPr>
        <w:t>”: Agent, Lenders, and each of their Affiliates and Approved Funds.</w:t>
      </w:r>
    </w:p>
    <w:p>
      <w:pPr>
        <w:spacing w:after="0" w:line="24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Minimum Unrestricted Cash Amount</w:t>
      </w:r>
      <w:r>
        <w:rPr>
          <w:rFonts w:ascii="Times New Roman" w:cs="Times New Roman" w:eastAsia="Times New Roman" w:hAnsi="Times New Roman"/>
          <w:sz w:val="22"/>
          <w:szCs w:val="22"/>
          <w:color w:val="auto"/>
        </w:rPr>
        <w:t>”: as of any date of determination, an amount</w:t>
      </w:r>
    </w:p>
    <w:p>
      <w:pPr>
        <w:spacing w:after="0" w:line="20" w:lineRule="exact"/>
        <w:rPr>
          <w:sz w:val="20"/>
          <w:szCs w:val="20"/>
          <w:color w:val="auto"/>
        </w:rPr>
      </w:pPr>
    </w:p>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 xml:space="preserve">equal to: (a) the operating expenses of the Loan Parties and their Subsidiaries determined on a consolidated basis for the six (6) consecutive month period ending on such date of determination, as set forth in the financial statements most recently delivered pursuant to </w:t>
      </w:r>
      <w:r>
        <w:rPr>
          <w:rFonts w:ascii="Times New Roman" w:cs="Times New Roman" w:eastAsia="Times New Roman" w:hAnsi="Times New Roman"/>
          <w:sz w:val="22"/>
          <w:szCs w:val="22"/>
          <w:u w:val="single" w:color="auto"/>
          <w:color w:val="auto"/>
        </w:rPr>
        <w:t>Sections 5.1(c)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$1,100,000.</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13</w:t>
            </w:r>
          </w:p>
        </w:tc>
      </w:tr>
      <w:tr>
        <w:trPr>
          <w:trHeight w:val="777"/>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34" w:name="page35"/>
    <w:bookmarkEnd w:id="34"/>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Multiemployer Plan</w:t>
      </w:r>
      <w:r>
        <w:rPr>
          <w:rFonts w:ascii="Times New Roman" w:cs="Times New Roman" w:eastAsia="Times New Roman" w:hAnsi="Times New Roman"/>
          <w:sz w:val="22"/>
          <w:szCs w:val="22"/>
          <w:color w:val="auto"/>
        </w:rPr>
        <w:t>”: any employee benefit plan of the type described in Section 4001(a)(3) of ERISA, to which a Loan Party or any ERISA Affiliate makes or is obligated to make contributions, during the preceding five plan years has made or been obligated to make contributions, or has any liability.</w:t>
      </w:r>
    </w:p>
    <w:p>
      <w:pPr>
        <w:spacing w:after="0" w:line="185" w:lineRule="exact"/>
        <w:rPr>
          <w:sz w:val="20"/>
          <w:szCs w:val="20"/>
          <w:color w:val="auto"/>
        </w:rPr>
      </w:pPr>
    </w:p>
    <w:p>
      <w:pPr>
        <w:jc w:val="both"/>
        <w:ind w:left="1100"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Cash Proceeds</w:t>
      </w:r>
      <w:r>
        <w:rPr>
          <w:rFonts w:ascii="Times New Roman" w:cs="Times New Roman" w:eastAsia="Times New Roman" w:hAnsi="Times New Roman"/>
          <w:sz w:val="22"/>
          <w:szCs w:val="22"/>
          <w:color w:val="auto"/>
        </w:rPr>
        <w:t xml:space="preserve">”: with respect to any transaction or event, an amount equal to the cash proceeds received by any Loan Party from or in respect of such transaction or event (including cash proceeds resulting from any non-cash proceeds received in connection with such transaction or a related transaction), less: (i) any direct costs (including any reasonable and documented legal, accounting or other advisor fees or expenses), commissions and out-of-pocket expenses paid to any Person that is not an Affiliate that are reasonably and actually incurred by such Loan Party solely in connection therewith; (ii) in the case of an asset disposition, casualty or other insured damage, the amount of any Indebtedness secured by a Lien on the related asset and discharged from the proceeds of such asset disposition, casualty or other insured damage; (iii) any Taxes or Tax Distributions to the extent permitted hereunder paid or reasonably estimated by Loan Party to be payable by such Person or such Loan Party in respect of such asset disposition, casualty or other insured damage;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actual amount of Taxes paid or taken into account in computing a Tax Distribution is less than the estimated amount, the difference shall constitute Net Cash Proceeds; and (iv) with respect to any issuance or sale of Permitted Cure Securities in connection with an equity cure made pursuant to </w:t>
      </w:r>
      <w:r>
        <w:rPr>
          <w:rFonts w:ascii="Times New Roman" w:cs="Times New Roman" w:eastAsia="Times New Roman" w:hAnsi="Times New Roman"/>
          <w:sz w:val="22"/>
          <w:szCs w:val="22"/>
          <w:u w:val="single" w:color="auto"/>
          <w:color w:val="auto"/>
        </w:rPr>
        <w:t>Section 6.17(c)</w:t>
      </w:r>
      <w:r>
        <w:rPr>
          <w:rFonts w:ascii="Times New Roman" w:cs="Times New Roman" w:eastAsia="Times New Roman" w:hAnsi="Times New Roman"/>
          <w:sz w:val="22"/>
          <w:szCs w:val="22"/>
          <w:color w:val="auto"/>
        </w:rPr>
        <w:t xml:space="preserve"> in respect of a failure to satisfy the financial covenant in </w:t>
      </w:r>
      <w:r>
        <w:rPr>
          <w:rFonts w:ascii="Times New Roman" w:cs="Times New Roman" w:eastAsia="Times New Roman" w:hAnsi="Times New Roman"/>
          <w:sz w:val="22"/>
          <w:szCs w:val="22"/>
          <w:u w:val="single" w:color="auto"/>
          <w:color w:val="auto"/>
        </w:rPr>
        <w:t>Section 6.17(b)</w:t>
      </w:r>
      <w:r>
        <w:rPr>
          <w:rFonts w:ascii="Times New Roman" w:cs="Times New Roman" w:eastAsia="Times New Roman" w:hAnsi="Times New Roman"/>
          <w:sz w:val="22"/>
          <w:szCs w:val="22"/>
          <w:color w:val="auto"/>
        </w:rPr>
        <w:t>, the aggregate cash proceeds received by Parent or its Affiliate pursuant to such issuance or sale, net of the direct costs relating to such issuance or sale (including sales and underwriters’ commissions and any reasonable and documented legal, accounting or other advisor fees or expenses) and Taxes paid or reasonably estimated in good faith by Parent or such Affiliate to be actually payable as a result thereof.</w:t>
      </w:r>
    </w:p>
    <w:p>
      <w:pPr>
        <w:spacing w:after="0" w:line="185" w:lineRule="exact"/>
        <w:rPr>
          <w:sz w:val="20"/>
          <w:szCs w:val="20"/>
          <w:color w:val="auto"/>
        </w:rPr>
      </w:pPr>
    </w:p>
    <w:p>
      <w:pPr>
        <w:ind w:left="1100" w:right="4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Net Leverage Ratio</w:t>
      </w:r>
      <w:r>
        <w:rPr>
          <w:rFonts w:ascii="Times New Roman" w:cs="Times New Roman" w:eastAsia="Times New Roman" w:hAnsi="Times New Roman"/>
          <w:sz w:val="21"/>
          <w:szCs w:val="21"/>
          <w:color w:val="auto"/>
        </w:rPr>
        <w:t xml:space="preserve">”: the ratio, as of any date of determination, of (a) (i) the outstanding principal amount of the Term Loan (including any capitalized and accrued PIK Interest) </w:t>
      </w:r>
      <w:r>
        <w:rPr>
          <w:rFonts w:ascii="Times New Roman" w:cs="Times New Roman" w:eastAsia="Times New Roman" w:hAnsi="Times New Roman"/>
          <w:sz w:val="21"/>
          <w:szCs w:val="21"/>
          <w:i w:val="1"/>
          <w:iCs w:val="1"/>
          <w:color w:val="auto"/>
        </w:rPr>
        <w:t>minus</w:t>
      </w:r>
    </w:p>
    <w:p>
      <w:pPr>
        <w:spacing w:after="0" w:line="1" w:lineRule="exact"/>
        <w:rPr>
          <w:sz w:val="20"/>
          <w:szCs w:val="20"/>
          <w:color w:val="auto"/>
        </w:rPr>
      </w:pPr>
    </w:p>
    <w:p>
      <w:pPr>
        <w:ind w:left="1760" w:right="2300" w:hanging="654"/>
        <w:spacing w:after="0" w:line="453" w:lineRule="auto"/>
        <w:tabs>
          <w:tab w:leader="none" w:pos="14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Unrestricted Cash, to (b) Annual Platform Revenue of the Loan Parties. “</w:t>
      </w:r>
      <w:r>
        <w:rPr>
          <w:rFonts w:ascii="Times New Roman" w:cs="Times New Roman" w:eastAsia="Times New Roman" w:hAnsi="Times New Roman"/>
          <w:sz w:val="22"/>
          <w:szCs w:val="22"/>
          <w:b w:val="1"/>
          <w:bCs w:val="1"/>
          <w:i w:val="1"/>
          <w:iCs w:val="1"/>
          <w:color w:val="auto"/>
        </w:rPr>
        <w:t>Note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 of Borrowing</w:t>
      </w:r>
      <w:r>
        <w:rPr>
          <w:rFonts w:ascii="Times New Roman" w:cs="Times New Roman" w:eastAsia="Times New Roman" w:hAnsi="Times New Roman"/>
          <w:sz w:val="22"/>
          <w:szCs w:val="22"/>
          <w:color w:val="auto"/>
        </w:rPr>
        <w:t xml:space="preserve">”: a notice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 (a) the unpaid principal of and interest on (including interest accruing after the maturity of the Term Loan and interest accruing after the filing of any petition in bankruptcy, or the commencement of any insolvency, reorganization or like proceeding, relating to any Loan Party, whether or not a claim for post-filing or post-petition interest is allowed in such proceeding) the Term Loan, and (b) all other obligations and liabilities of any Loan Party to Agent or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reasonable and documented fees, charges and disbursements of counsel to Agent and the Lenders that are required to be paid by any Loan Party pursuant to any Loan Document) or otherwise, including, without limitation, the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14</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35" w:name="page36"/>
    <w:bookmarkEnd w:id="35"/>
    <w:p>
      <w:pPr>
        <w:ind w:left="1100"/>
        <w:spacing w:after="0"/>
        <w:rPr>
          <w:sz w:val="20"/>
          <w:szCs w:val="20"/>
          <w:color w:val="auto"/>
        </w:rPr>
      </w:pPr>
      <w:r>
        <w:rPr>
          <w:rFonts w:ascii="Times New Roman" w:cs="Times New Roman" w:eastAsia="Times New Roman" w:hAnsi="Times New Roman"/>
          <w:sz w:val="22"/>
          <w:szCs w:val="22"/>
          <w:color w:val="auto"/>
        </w:rPr>
        <w:t>Loan Parties’ obligations to pay, discharge and satisfy the Erroneous Payment Subrogation Rights.</w:t>
      </w:r>
    </w:p>
    <w:p>
      <w:pPr>
        <w:spacing w:after="0" w:line="200"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Official Body</w:t>
      </w:r>
      <w:r>
        <w:rPr>
          <w:rFonts w:ascii="Times New Roman" w:cs="Times New Roman" w:eastAsia="Times New Roman" w:hAnsi="Times New Roman"/>
          <w:sz w:val="22"/>
          <w:szCs w:val="22"/>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92"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Operating Documents</w:t>
      </w:r>
      <w:r>
        <w:rPr>
          <w:rFonts w:ascii="Times New Roman" w:cs="Times New Roman" w:eastAsia="Times New Roman" w:hAnsi="Times New Roman"/>
          <w:sz w:val="22"/>
          <w:szCs w:val="22"/>
          <w:color w:val="auto"/>
        </w:rPr>
        <w:t>”: for any Person as of any date, such Person’s constitutional documents, formation documents and/or certificate of incorporation (or equivalent thereof), as certified (if applicable) by such Person’s jurisdiction of incorporation or formation as of a recent date, and any stockholders agreements or other applicable documents relating to such Person’s formation, organization or operation,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74"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Connection Taxes</w:t>
      </w:r>
      <w:r>
        <w:rPr>
          <w:rFonts w:ascii="Times New Roman" w:cs="Times New Roman" w:eastAsia="Times New Roman" w:hAnsi="Times New Roman"/>
          <w:sz w:val="22"/>
          <w:szCs w:val="22"/>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Term Loan or Loan Document).</w:t>
      </w:r>
    </w:p>
    <w:p>
      <w:pPr>
        <w:spacing w:after="0" w:line="189" w:lineRule="exact"/>
        <w:rPr>
          <w:sz w:val="20"/>
          <w:szCs w:val="20"/>
          <w:color w:val="auto"/>
        </w:rPr>
      </w:pPr>
    </w:p>
    <w:p>
      <w:pPr>
        <w:jc w:val="both"/>
        <w:ind w:left="110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Other Taxes</w:t>
      </w:r>
      <w:r>
        <w:rPr>
          <w:rFonts w:ascii="Times New Roman" w:cs="Times New Roman" w:eastAsia="Times New Roman" w:hAnsi="Times New Roman"/>
          <w:sz w:val="21"/>
          <w:szCs w:val="21"/>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as defined in the Preamble.</w:t>
      </w:r>
    </w:p>
    <w:p>
      <w:pPr>
        <w:spacing w:after="0" w:line="206"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 Common Stock</w:t>
      </w:r>
      <w:r>
        <w:rPr>
          <w:rFonts w:ascii="Times New Roman" w:cs="Times New Roman" w:eastAsia="Times New Roman" w:hAnsi="Times New Roman"/>
          <w:sz w:val="22"/>
          <w:szCs w:val="22"/>
          <w:color w:val="auto"/>
        </w:rPr>
        <w:t>”: Parent’s common stock, par value $0.0001 per share, which are currently trading on the Nasdaq Stock Market under the ticker symbol “PRST” (and formerly trading on the Nasdaq Stock Market under the ticker symbol “VTAQ”).</w:t>
      </w:r>
    </w:p>
    <w:p>
      <w:pPr>
        <w:spacing w:after="0" w:line="177"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 Subordinated Indebtedness</w:t>
      </w:r>
      <w:r>
        <w:rPr>
          <w:rFonts w:ascii="Times New Roman" w:cs="Times New Roman" w:eastAsia="Times New Roman" w:hAnsi="Times New Roman"/>
          <w:sz w:val="22"/>
          <w:szCs w:val="22"/>
          <w:color w:val="auto"/>
        </w:rPr>
        <w:t>”: any Subordinated Indebtedness issued by Parent and not guaranteed by any Person.</w:t>
      </w:r>
    </w:p>
    <w:p>
      <w:pPr>
        <w:spacing w:after="0" w:line="1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8.6(c)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15</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36" w:name="page37"/>
    <w:bookmarkEnd w:id="36"/>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 Register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Patriot Act</w:t>
      </w:r>
      <w:r>
        <w:rPr>
          <w:rFonts w:ascii="Times New Roman" w:cs="Times New Roman" w:eastAsia="Times New Roman" w:hAnsi="Times New Roman"/>
          <w:sz w:val="22"/>
          <w:szCs w:val="22"/>
          <w:color w:val="auto"/>
        </w:rPr>
        <w:t>”: the Uniting and Strengthening America by Providing Appropriate Tools Required to Intercept and Obstruct Terrorism (USA PATRIOT ACT) Act of 2001, Title III of Pub. L. 107-56, signed into law October 26, 2001.</w:t>
      </w:r>
    </w:p>
    <w:p>
      <w:pPr>
        <w:spacing w:after="0" w:line="16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 Notice</w:t>
      </w:r>
      <w:r>
        <w:rPr>
          <w:rFonts w:ascii="Times New Roman" w:cs="Times New Roman" w:eastAsia="Times New Roman" w:hAnsi="Times New Roman"/>
          <w:sz w:val="22"/>
          <w:szCs w:val="22"/>
          <w:color w:val="auto"/>
        </w:rPr>
        <w:t xml:space="preserve">”: means a notice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 Recipient</w:t>
      </w:r>
      <w:r>
        <w:rPr>
          <w:rFonts w:ascii="Times New Roman" w:cs="Times New Roman" w:eastAsia="Times New Roman" w:hAnsi="Times New Roman"/>
          <w:sz w:val="22"/>
          <w:szCs w:val="22"/>
          <w:color w:val="auto"/>
        </w:rPr>
        <w:t>”: as defined in Section 9.12(a).</w:t>
      </w:r>
    </w:p>
    <w:p>
      <w:pPr>
        <w:spacing w:after="0" w:line="24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PBGC</w:t>
      </w:r>
      <w:r>
        <w:rPr>
          <w:rFonts w:ascii="Times New Roman" w:cs="Times New Roman" w:eastAsia="Times New Roman" w:hAnsi="Times New Roman"/>
          <w:sz w:val="22"/>
          <w:szCs w:val="22"/>
          <w:color w:val="auto"/>
        </w:rPr>
        <w:t>”: the Pension Benefit Guaranty Corporation.</w:t>
      </w:r>
    </w:p>
    <w:p>
      <w:pPr>
        <w:spacing w:after="0" w:line="220"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Pension Funding Rules</w:t>
      </w:r>
      <w:r>
        <w:rPr>
          <w:rFonts w:ascii="Times New Roman" w:cs="Times New Roman" w:eastAsia="Times New Roman" w:hAnsi="Times New Roman"/>
          <w:sz w:val="22"/>
          <w:szCs w:val="22"/>
          <w:color w:val="auto"/>
        </w:rPr>
        <w:t>”: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spacing w:after="0" w:line="172"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Pension Plan</w:t>
      </w:r>
      <w:r>
        <w:rPr>
          <w:rFonts w:ascii="Times New Roman" w:cs="Times New Roman" w:eastAsia="Times New Roman" w:hAnsi="Times New Roman"/>
          <w:sz w:val="22"/>
          <w:szCs w:val="22"/>
          <w:color w:val="auto"/>
        </w:rPr>
        <w:t>”: any employee pension benefit plan as defined in Section 3(2) of ERISA, other than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85"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Acquisition</w:t>
      </w:r>
      <w:r>
        <w:rPr>
          <w:rFonts w:ascii="Times New Roman" w:cs="Times New Roman" w:eastAsia="Times New Roman" w:hAnsi="Times New Roman"/>
          <w:sz w:val="22"/>
          <w:szCs w:val="22"/>
          <w:color w:val="auto"/>
        </w:rPr>
        <w:t>”: (i) in the case of any Acquisition where the aggregate cash consideration does not exceed $1,000,000, such Acquisition is approved in writing by Agent (such approval not to be unreasonably withheld, conditioned or delayed) or (ii) in the case of any other Acquisition, such Acquisition is approved in writing by Agent in its sole discretion.</w:t>
      </w:r>
    </w:p>
    <w:p>
      <w:pPr>
        <w:spacing w:after="0" w:line="18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Cure Securities</w:t>
      </w:r>
      <w:r>
        <w:rPr>
          <w:rFonts w:ascii="Times New Roman" w:cs="Times New Roman" w:eastAsia="Times New Roman" w:hAnsi="Times New Roman"/>
          <w:sz w:val="22"/>
          <w:szCs w:val="22"/>
          <w:color w:val="auto"/>
        </w:rPr>
        <w:t>”: any (i) Parent Subordinated Indebtedness or (ii) equity security of Parent (other than Disqualified Equity Interests).</w:t>
      </w:r>
    </w:p>
    <w:p>
      <w:pPr>
        <w:spacing w:after="0" w:line="145" w:lineRule="exact"/>
        <w:rPr>
          <w:sz w:val="20"/>
          <w:szCs w:val="20"/>
          <w:color w:val="auto"/>
        </w:rPr>
      </w:pPr>
    </w:p>
    <w:p>
      <w:pPr>
        <w:jc w:val="both"/>
        <w:ind w:left="1100"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Discretion</w:t>
      </w:r>
      <w:r>
        <w:rPr>
          <w:rFonts w:ascii="Times New Roman" w:cs="Times New Roman" w:eastAsia="Times New Roman" w:hAnsi="Times New Roman"/>
          <w:sz w:val="22"/>
          <w:szCs w:val="22"/>
          <w:color w:val="auto"/>
        </w:rPr>
        <w:t>”: a determination or judgment made in good faith in the exercise of commercially reasonable (from the perspective of a secured lender) credit or business judgment.</w:t>
      </w:r>
    </w:p>
    <w:p>
      <w:pPr>
        <w:spacing w:after="0" w:line="1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Indebtedness</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left="2400" w:hanging="650"/>
        <w:spacing w:after="0" w:line="235" w:lineRule="auto"/>
        <w:tabs>
          <w:tab w:leader="none" w:pos="24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as described in attached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and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196" w:lineRule="exact"/>
        <w:rPr>
          <w:rFonts w:ascii="Times New Roman" w:cs="Times New Roman" w:eastAsia="Times New Roman" w:hAnsi="Times New Roman"/>
          <w:sz w:val="22"/>
          <w:szCs w:val="22"/>
          <w:color w:val="auto"/>
        </w:rPr>
      </w:pPr>
    </w:p>
    <w:p>
      <w:pPr>
        <w:jc w:val="both"/>
        <w:ind w:left="2400" w:hanging="650"/>
        <w:spacing w:after="0" w:line="239" w:lineRule="auto"/>
        <w:tabs>
          <w:tab w:leader="none" w:pos="24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(i) existing Capital Leases as of the Closing Date, or (ii) the granting of any Purchase Money Security Interest or Capital Leases (other than existing Capital Leases as of the Closing Date) in an aggregate amount not exceeding $1,000,000 at any time outstanding, and in the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16</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37" w:name="page38"/>
    <w:bookmarkEnd w:id="37"/>
    <w:p>
      <w:pPr>
        <w:jc w:val="both"/>
        <w:ind w:left="2400"/>
        <w:spacing w:after="0" w:line="236" w:lineRule="auto"/>
        <w:rPr>
          <w:sz w:val="20"/>
          <w:szCs w:val="20"/>
          <w:color w:val="auto"/>
        </w:rPr>
      </w:pPr>
      <w:r>
        <w:rPr>
          <w:rFonts w:ascii="Times New Roman" w:cs="Times New Roman" w:eastAsia="Times New Roman" w:hAnsi="Times New Roman"/>
          <w:sz w:val="22"/>
          <w:szCs w:val="22"/>
          <w:color w:val="auto"/>
        </w:rPr>
        <w:t>case of clause (i),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195" w:lineRule="exact"/>
        <w:rPr>
          <w:sz w:val="20"/>
          <w:szCs w:val="20"/>
          <w:color w:val="auto"/>
        </w:rPr>
      </w:pPr>
    </w:p>
    <w:p>
      <w:pPr>
        <w:jc w:val="both"/>
        <w:ind w:left="2400" w:hanging="650"/>
        <w:spacing w:after="0" w:line="239" w:lineRule="auto"/>
        <w:tabs>
          <w:tab w:leader="none" w:pos="24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Obligations on (i) Indebtedness under the Loan Documents, (ii) of any refinancing of such Indebtedness, (iii) on Indebtedness of a Loan Party otherwise permitted pursuant to this definition of Permitted Indebtedness or (iv) real property leases of any Loan Party or its Subsidiaries;</w:t>
      </w:r>
    </w:p>
    <w:p>
      <w:pPr>
        <w:spacing w:after="0" w:line="193" w:lineRule="exact"/>
        <w:rPr>
          <w:rFonts w:ascii="Times New Roman" w:cs="Times New Roman" w:eastAsia="Times New Roman" w:hAnsi="Times New Roman"/>
          <w:sz w:val="22"/>
          <w:szCs w:val="22"/>
          <w:color w:val="auto"/>
        </w:rPr>
      </w:pPr>
    </w:p>
    <w:p>
      <w:pPr>
        <w:jc w:val="both"/>
        <w:ind w:left="2400" w:hanging="650"/>
        <w:spacing w:after="0" w:line="239" w:lineRule="auto"/>
        <w:tabs>
          <w:tab w:leader="none" w:pos="24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any Loan Party (other than Parent) owed to Borrower or any other Guarantor, so long as such Indebtedness is subject to a master intercompany note in form and substance satisfactory to the Agent in its Permitted Discretion and pledged to the Agent as Collateral;</w:t>
      </w:r>
    </w:p>
    <w:p>
      <w:pPr>
        <w:spacing w:after="0" w:line="193" w:lineRule="exact"/>
        <w:rPr>
          <w:rFonts w:ascii="Times New Roman" w:cs="Times New Roman" w:eastAsia="Times New Roman" w:hAnsi="Times New Roman"/>
          <w:sz w:val="22"/>
          <w:szCs w:val="22"/>
          <w:color w:val="auto"/>
        </w:rPr>
      </w:pPr>
    </w:p>
    <w:p>
      <w:pPr>
        <w:ind w:left="2380" w:hanging="630"/>
        <w:spacing w:after="0"/>
        <w:tabs>
          <w:tab w:leader="none" w:pos="2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2400" w:hanging="650"/>
        <w:spacing w:after="0" w:line="255" w:lineRule="auto"/>
        <w:tabs>
          <w:tab w:leader="none" w:pos="24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in connection with the endorsement of instruments for deposit in the ordinary course of business and Indebtedness in respect of bank overdrafts or returned items, netting services, automatic clearinghouse arrangements and other cash management and similar arrangements incurred in the ordinary course of business;</w:t>
      </w:r>
    </w:p>
    <w:p>
      <w:pPr>
        <w:spacing w:after="0" w:line="175" w:lineRule="exact"/>
        <w:rPr>
          <w:rFonts w:ascii="Times New Roman" w:cs="Times New Roman" w:eastAsia="Times New Roman" w:hAnsi="Times New Roman"/>
          <w:sz w:val="21"/>
          <w:szCs w:val="21"/>
          <w:color w:val="auto"/>
        </w:rPr>
      </w:pPr>
    </w:p>
    <w:p>
      <w:pPr>
        <w:ind w:left="2400" w:hanging="650"/>
        <w:spacing w:after="0" w:line="258" w:lineRule="auto"/>
        <w:tabs>
          <w:tab w:leader="none" w:pos="24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not otherwise permitted hereunder in an aggregate principal amount not to exceed $500,000 at any time outstanding;</w:t>
      </w:r>
    </w:p>
    <w:p>
      <w:pPr>
        <w:spacing w:after="0" w:line="171" w:lineRule="exact"/>
        <w:rPr>
          <w:rFonts w:ascii="Times New Roman" w:cs="Times New Roman" w:eastAsia="Times New Roman" w:hAnsi="Times New Roman"/>
          <w:sz w:val="22"/>
          <w:szCs w:val="22"/>
          <w:color w:val="auto"/>
        </w:rPr>
      </w:pPr>
    </w:p>
    <w:p>
      <w:pPr>
        <w:jc w:val="both"/>
        <w:ind w:left="2400" w:right="20" w:hanging="650"/>
        <w:spacing w:after="0" w:line="244" w:lineRule="auto"/>
        <w:tabs>
          <w:tab w:leader="none" w:pos="24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indebtedness incurred on usual and customary terms in the ordinary course of business and consistent with past practice (including, without limitation, incurred and paid through third-party credit card service providers);</w:t>
      </w:r>
    </w:p>
    <w:p>
      <w:pPr>
        <w:spacing w:after="0" w:line="186" w:lineRule="exact"/>
        <w:rPr>
          <w:rFonts w:ascii="Times New Roman" w:cs="Times New Roman" w:eastAsia="Times New Roman" w:hAnsi="Times New Roman"/>
          <w:sz w:val="22"/>
          <w:szCs w:val="22"/>
          <w:color w:val="auto"/>
        </w:rPr>
      </w:pPr>
    </w:p>
    <w:p>
      <w:pPr>
        <w:ind w:left="2400" w:right="20" w:hanging="650"/>
        <w:spacing w:after="0" w:line="258" w:lineRule="auto"/>
        <w:tabs>
          <w:tab w:leader="none" w:pos="24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reasonable deferred compensation payable to current or former employees incurred in the ordinary course of business;</w:t>
      </w:r>
    </w:p>
    <w:p>
      <w:pPr>
        <w:spacing w:after="0" w:line="171" w:lineRule="exact"/>
        <w:rPr>
          <w:rFonts w:ascii="Times New Roman" w:cs="Times New Roman" w:eastAsia="Times New Roman" w:hAnsi="Times New Roman"/>
          <w:sz w:val="22"/>
          <w:szCs w:val="22"/>
          <w:color w:val="auto"/>
        </w:rPr>
      </w:pPr>
    </w:p>
    <w:p>
      <w:pPr>
        <w:ind w:left="2400" w:right="20" w:hanging="650"/>
        <w:spacing w:after="0" w:line="258" w:lineRule="auto"/>
        <w:tabs>
          <w:tab w:leader="none" w:pos="24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with respect to workers compensation and health, disability and other employee benefits;</w:t>
      </w:r>
    </w:p>
    <w:p>
      <w:pPr>
        <w:spacing w:after="0" w:line="171" w:lineRule="exact"/>
        <w:rPr>
          <w:rFonts w:ascii="Times New Roman" w:cs="Times New Roman" w:eastAsia="Times New Roman" w:hAnsi="Times New Roman"/>
          <w:sz w:val="22"/>
          <w:szCs w:val="22"/>
          <w:color w:val="auto"/>
        </w:rPr>
      </w:pPr>
    </w:p>
    <w:p>
      <w:pPr>
        <w:jc w:val="both"/>
        <w:ind w:left="2400" w:hanging="650"/>
        <w:spacing w:after="0" w:line="238" w:lineRule="auto"/>
        <w:tabs>
          <w:tab w:leader="none" w:pos="24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under that certain Customer Performance Agreement, originally dated April 27, 2021, between the Borrower and Nirvana Funding II, LLC, as in effect on the date hereof (the “</w:t>
      </w:r>
      <w:r>
        <w:rPr>
          <w:rFonts w:ascii="Times New Roman" w:cs="Times New Roman" w:eastAsia="Times New Roman" w:hAnsi="Times New Roman"/>
          <w:sz w:val="22"/>
          <w:szCs w:val="22"/>
          <w:b w:val="1"/>
          <w:bCs w:val="1"/>
          <w:i w:val="1"/>
          <w:iCs w:val="1"/>
          <w:color w:val="auto"/>
        </w:rPr>
        <w:t>Nirvana Debt</w:t>
      </w:r>
      <w:r>
        <w:rPr>
          <w:rFonts w:ascii="Times New Roman" w:cs="Times New Roman" w:eastAsia="Times New Roman" w:hAnsi="Times New Roman"/>
          <w:sz w:val="22"/>
          <w:szCs w:val="22"/>
          <w:color w:val="auto"/>
        </w:rPr>
        <w:t xml:space="preserve">”) in an outstanding principal investment amount not to exceed (i) $6,000,000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amount all principal investment repayments made thereon from and after the Closing Date;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17</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38" w:name="page39"/>
    <w:bookmarkEnd w:id="38"/>
    <w:p>
      <w:pPr>
        <w:ind w:left="2400" w:hanging="650"/>
        <w:spacing w:after="0" w:line="258" w:lineRule="auto"/>
        <w:tabs>
          <w:tab w:leader="none" w:pos="24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pursuant to hedging agreements entered into in the ordinary course of business to manage interest rates or currency risk;</w:t>
      </w:r>
    </w:p>
    <w:p>
      <w:pPr>
        <w:spacing w:after="0" w:line="171" w:lineRule="exact"/>
        <w:rPr>
          <w:rFonts w:ascii="Times New Roman" w:cs="Times New Roman" w:eastAsia="Times New Roman" w:hAnsi="Times New Roman"/>
          <w:sz w:val="22"/>
          <w:szCs w:val="22"/>
          <w:color w:val="auto"/>
        </w:rPr>
      </w:pPr>
    </w:p>
    <w:p>
      <w:pPr>
        <w:jc w:val="both"/>
        <w:ind w:left="2400" w:hanging="650"/>
        <w:spacing w:after="0" w:line="244" w:lineRule="auto"/>
        <w:tabs>
          <w:tab w:leader="none" w:pos="24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performance bonds, bid bonds, appeal bonds, surety bonds and similar obligations, in each case provided in the ordinary course of business and in an aggregate amount not to exceed $500,000 at any time outstanding;</w:t>
      </w:r>
    </w:p>
    <w:p>
      <w:pPr>
        <w:spacing w:after="0" w:line="186" w:lineRule="exact"/>
        <w:rPr>
          <w:rFonts w:ascii="Times New Roman" w:cs="Times New Roman" w:eastAsia="Times New Roman" w:hAnsi="Times New Roman"/>
          <w:sz w:val="22"/>
          <w:szCs w:val="22"/>
          <w:color w:val="auto"/>
        </w:rPr>
      </w:pPr>
    </w:p>
    <w:p>
      <w:pPr>
        <w:jc w:val="both"/>
        <w:ind w:left="2400" w:right="20" w:hanging="650"/>
        <w:spacing w:after="0" w:line="244" w:lineRule="auto"/>
        <w:tabs>
          <w:tab w:leader="none" w:pos="24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corporate credit cards and merchant services arrangements in the ordinary course of business in an aggregate amount not to exceed $500,000 at any time outstanding;</w:t>
      </w:r>
    </w:p>
    <w:p>
      <w:pPr>
        <w:spacing w:after="0" w:line="186" w:lineRule="exact"/>
        <w:rPr>
          <w:rFonts w:ascii="Times New Roman" w:cs="Times New Roman" w:eastAsia="Times New Roman" w:hAnsi="Times New Roman"/>
          <w:sz w:val="22"/>
          <w:szCs w:val="22"/>
          <w:color w:val="auto"/>
        </w:rPr>
      </w:pPr>
    </w:p>
    <w:p>
      <w:pPr>
        <w:ind w:left="2380" w:hanging="630"/>
        <w:spacing w:after="0"/>
        <w:tabs>
          <w:tab w:leader="none" w:pos="2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Subordinated Indebtedness; and</w:t>
      </w:r>
    </w:p>
    <w:p>
      <w:pPr>
        <w:spacing w:after="0" w:line="219" w:lineRule="exact"/>
        <w:rPr>
          <w:rFonts w:ascii="Times New Roman" w:cs="Times New Roman" w:eastAsia="Times New Roman" w:hAnsi="Times New Roman"/>
          <w:sz w:val="22"/>
          <w:szCs w:val="22"/>
          <w:color w:val="auto"/>
        </w:rPr>
      </w:pPr>
    </w:p>
    <w:p>
      <w:pPr>
        <w:ind w:left="2400" w:right="20" w:hanging="650"/>
        <w:spacing w:after="0" w:line="258" w:lineRule="auto"/>
        <w:tabs>
          <w:tab w:leader="none" w:pos="24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indebtedness incurred by a Loan Party that has been approved in writing by the Agent, in its sole discretion.</w:t>
      </w:r>
    </w:p>
    <w:p>
      <w:pPr>
        <w:spacing w:after="0" w:line="1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left="1100" w:firstLine="654"/>
        <w:spacing w:after="0" w:line="239" w:lineRule="auto"/>
        <w:tabs>
          <w:tab w:leader="none" w:pos="23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for Taxes not yet due or Liens for Taxes that are being contested in good faith by appropriate proceedings which stay the enforcement of any Lien resulting from the non-payment of such Taxes; provided, that adequate reserves have been set aside for the payment thereof by the Loan Parties in conformity with GAAP;</w:t>
      </w:r>
    </w:p>
    <w:p>
      <w:pPr>
        <w:spacing w:after="0" w:line="193" w:lineRule="exact"/>
        <w:rPr>
          <w:rFonts w:ascii="Times New Roman" w:cs="Times New Roman" w:eastAsia="Times New Roman" w:hAnsi="Times New Roman"/>
          <w:sz w:val="22"/>
          <w:szCs w:val="22"/>
          <w:color w:val="auto"/>
        </w:rPr>
      </w:pPr>
    </w:p>
    <w:p>
      <w:pPr>
        <w:ind w:left="2380" w:hanging="630"/>
        <w:spacing w:after="0"/>
        <w:tabs>
          <w:tab w:leader="none" w:pos="23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pursuant to the Security Documents or any other Loan Document;</w:t>
      </w:r>
    </w:p>
    <w:p>
      <w:pPr>
        <w:spacing w:after="0" w:line="219" w:lineRule="exact"/>
        <w:rPr>
          <w:rFonts w:ascii="Times New Roman" w:cs="Times New Roman" w:eastAsia="Times New Roman" w:hAnsi="Times New Roman"/>
          <w:sz w:val="22"/>
          <w:szCs w:val="22"/>
          <w:color w:val="auto"/>
        </w:rPr>
      </w:pPr>
    </w:p>
    <w:p>
      <w:pPr>
        <w:ind w:left="2400" w:hanging="646"/>
        <w:spacing w:after="0"/>
        <w:tabs>
          <w:tab w:leader="none" w:pos="24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that do not constitute an Event of Default under Section 7.1(f) of this</w:t>
      </w:r>
    </w:p>
    <w:p>
      <w:pPr>
        <w:spacing w:after="0" w:line="14" w:lineRule="exact"/>
        <w:rPr>
          <w:rFonts w:ascii="Times New Roman" w:cs="Times New Roman" w:eastAsia="Times New Roman" w:hAnsi="Times New Roman"/>
          <w:sz w:val="22"/>
          <w:szCs w:val="22"/>
          <w:color w:val="auto"/>
        </w:rPr>
      </w:pPr>
    </w:p>
    <w:p>
      <w:pPr>
        <w:ind w:left="1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jc w:val="both"/>
        <w:ind w:left="1100" w:firstLine="654"/>
        <w:spacing w:after="0" w:line="235" w:lineRule="auto"/>
        <w:tabs>
          <w:tab w:leader="none" w:pos="23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other similar Liens existing solely with respect to cash, Cash Equivalents, securities, commodities and other funds on deposit in one or more accounts maintained by the Loan Parties,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96" w:lineRule="exact"/>
        <w:rPr>
          <w:rFonts w:ascii="Times New Roman" w:cs="Times New Roman" w:eastAsia="Times New Roman" w:hAnsi="Times New Roman"/>
          <w:sz w:val="22"/>
          <w:szCs w:val="22"/>
          <w:color w:val="auto"/>
        </w:rPr>
      </w:pPr>
    </w:p>
    <w:p>
      <w:pPr>
        <w:jc w:val="both"/>
        <w:ind w:left="1100" w:firstLine="654"/>
        <w:spacing w:after="0" w:line="238" w:lineRule="auto"/>
        <w:tabs>
          <w:tab w:leader="none" w:pos="23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Indebtedness described in item (b) of the definition thereof or as set forth on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hereto to the extent existing on the Closing Date; provided, that with respect to any refinancing thereof, such continuations or renewals do not extend to any additional property or assets of any Loan Party or secure any additional obligations, other than as set forth in item (b) of the definition of Permitted Indebtedness or as set forth on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jc w:val="both"/>
        <w:ind w:left="1100" w:firstLine="653"/>
        <w:spacing w:after="0" w:line="239" w:lineRule="auto"/>
        <w:tabs>
          <w:tab w:leader="none" w:pos="239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landlord’s Liens or other like Liens arising in the ordinary course of business which secure obligations that are not overdue for a period of more than thirty (30) days or are being contested in good faith by appropriate proceedings, provided, that (i) in the case of any such contest, enforcement of such</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18</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39" w:name="page40"/>
    <w:bookmarkEnd w:id="39"/>
    <w:p>
      <w:pPr>
        <w:ind w:left="1100" w:right="160"/>
        <w:spacing w:after="0" w:line="258" w:lineRule="auto"/>
        <w:rPr>
          <w:sz w:val="20"/>
          <w:szCs w:val="20"/>
          <w:color w:val="auto"/>
        </w:rPr>
      </w:pPr>
      <w:r>
        <w:rPr>
          <w:rFonts w:ascii="Times New Roman" w:cs="Times New Roman" w:eastAsia="Times New Roman" w:hAnsi="Times New Roman"/>
          <w:sz w:val="22"/>
          <w:szCs w:val="22"/>
          <w:color w:val="auto"/>
        </w:rPr>
        <w:t>Liens has been suspended and (ii) appropriate reserves have been made on the books of such Person as may be required by GAAP, consistently applied, therefor;</w:t>
      </w:r>
    </w:p>
    <w:p>
      <w:pPr>
        <w:spacing w:after="0" w:line="172" w:lineRule="exact"/>
        <w:rPr>
          <w:sz w:val="20"/>
          <w:szCs w:val="20"/>
          <w:color w:val="auto"/>
        </w:rPr>
      </w:pPr>
    </w:p>
    <w:p>
      <w:pPr>
        <w:jc w:val="both"/>
        <w:ind w:left="1100" w:firstLine="653"/>
        <w:spacing w:after="0" w:line="235" w:lineRule="auto"/>
        <w:tabs>
          <w:tab w:leader="none" w:pos="239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worker’s compensation, unemployment insurance, old age pensions and social security benefits and similar statutory obligations which are not overdue for a period of more than thirty (30) days or are being contested in good faith by appropriate proceedings diligently pursued; provided, that in the case of any such contest (i) any proceedings commenced for the enforcement of such Liens shall have been duly suspended and</w:t>
      </w:r>
    </w:p>
    <w:p>
      <w:pPr>
        <w:ind w:left="1100" w:firstLine="6"/>
        <w:spacing w:after="0" w:line="237" w:lineRule="auto"/>
        <w:tabs>
          <w:tab w:leader="none" w:pos="14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provision for the payment of such Liens has been made on the books of such Person as may be required by GAAP, consistently applied;</w:t>
      </w:r>
    </w:p>
    <w:p>
      <w:pPr>
        <w:spacing w:after="0" w:line="178" w:lineRule="exact"/>
        <w:rPr>
          <w:rFonts w:ascii="Times New Roman" w:cs="Times New Roman" w:eastAsia="Times New Roman" w:hAnsi="Times New Roman"/>
          <w:sz w:val="22"/>
          <w:szCs w:val="22"/>
          <w:color w:val="auto"/>
        </w:rPr>
      </w:pPr>
    </w:p>
    <w:p>
      <w:pPr>
        <w:ind w:left="1100" w:firstLine="654"/>
        <w:spacing w:after="0" w:line="258" w:lineRule="auto"/>
        <w:tabs>
          <w:tab w:leader="none" w:pos="23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lease entered into by any Loan Party in the ordinary course of business;</w:t>
      </w:r>
    </w:p>
    <w:p>
      <w:pPr>
        <w:spacing w:after="0" w:line="171" w:lineRule="exact"/>
        <w:rPr>
          <w:rFonts w:ascii="Times New Roman" w:cs="Times New Roman" w:eastAsia="Times New Roman" w:hAnsi="Times New Roman"/>
          <w:sz w:val="22"/>
          <w:szCs w:val="22"/>
          <w:color w:val="auto"/>
        </w:rPr>
      </w:pPr>
    </w:p>
    <w:p>
      <w:pPr>
        <w:ind w:left="2400" w:hanging="646"/>
        <w:spacing w:after="0"/>
        <w:tabs>
          <w:tab w:leader="none" w:pos="24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of Intellectual Property entered into in the ordinary course of</w:t>
      </w:r>
    </w:p>
    <w:p>
      <w:pPr>
        <w:spacing w:after="0" w:line="14" w:lineRule="exact"/>
        <w:rPr>
          <w:rFonts w:ascii="Times New Roman" w:cs="Times New Roman" w:eastAsia="Times New Roman" w:hAnsi="Times New Roman"/>
          <w:sz w:val="22"/>
          <w:szCs w:val="22"/>
          <w:color w:val="auto"/>
        </w:rPr>
      </w:pPr>
    </w:p>
    <w:p>
      <w:pPr>
        <w:ind w:left="1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95" w:lineRule="exact"/>
        <w:rPr>
          <w:rFonts w:ascii="Times New Roman" w:cs="Times New Roman" w:eastAsia="Times New Roman" w:hAnsi="Times New Roman"/>
          <w:sz w:val="22"/>
          <w:szCs w:val="22"/>
          <w:color w:val="auto"/>
        </w:rPr>
      </w:pPr>
    </w:p>
    <w:p>
      <w:pPr>
        <w:jc w:val="both"/>
        <w:ind w:left="1100" w:firstLine="654"/>
        <w:spacing w:after="0" w:line="244" w:lineRule="auto"/>
        <w:tabs>
          <w:tab w:leader="none" w:pos="23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permitted pursuant to clause (b) of the definition of “Permitted Indebtedness” so long as such Liens attach only to the assets purchased with the proceeds of such Indebtedness and not any other assets or property of any Loan Party;</w:t>
      </w:r>
    </w:p>
    <w:p>
      <w:pPr>
        <w:spacing w:after="0" w:line="173" w:lineRule="exact"/>
        <w:rPr>
          <w:rFonts w:ascii="Times New Roman" w:cs="Times New Roman" w:eastAsia="Times New Roman" w:hAnsi="Times New Roman"/>
          <w:sz w:val="22"/>
          <w:szCs w:val="22"/>
          <w:color w:val="auto"/>
        </w:rPr>
      </w:pPr>
    </w:p>
    <w:p>
      <w:pPr>
        <w:ind w:left="1100" w:right="20" w:firstLine="654"/>
        <w:spacing w:after="0" w:line="258" w:lineRule="auto"/>
        <w:tabs>
          <w:tab w:leader="none" w:pos="23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pledges and deposits in an aggregate amount not to exceed $500,000 securing obligations permitted under clause (n) of the definition of “Permitted Indebtedness”;</w:t>
      </w:r>
    </w:p>
    <w:p>
      <w:pPr>
        <w:spacing w:after="0" w:line="171" w:lineRule="exact"/>
        <w:rPr>
          <w:rFonts w:ascii="Times New Roman" w:cs="Times New Roman" w:eastAsia="Times New Roman" w:hAnsi="Times New Roman"/>
          <w:sz w:val="22"/>
          <w:szCs w:val="22"/>
          <w:color w:val="auto"/>
        </w:rPr>
      </w:pPr>
    </w:p>
    <w:p>
      <w:pPr>
        <w:ind w:left="2380" w:hanging="630"/>
        <w:spacing w:after="0"/>
        <w:tabs>
          <w:tab w:leader="none" w:pos="23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100" w:right="120" w:firstLine="654"/>
        <w:spacing w:after="0" w:line="241" w:lineRule="auto"/>
        <w:tabs>
          <w:tab w:leader="none" w:pos="239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deposits held by a third-party landlord and Liens on such cash deposits to secure lease obligations in the ordinary course of business; and</w:t>
      </w:r>
    </w:p>
    <w:p>
      <w:pPr>
        <w:spacing w:after="0" w:line="1" w:lineRule="exact"/>
        <w:rPr>
          <w:rFonts w:ascii="Times New Roman" w:cs="Times New Roman" w:eastAsia="Times New Roman" w:hAnsi="Times New Roman"/>
          <w:sz w:val="22"/>
          <w:szCs w:val="22"/>
          <w:color w:val="auto"/>
        </w:rPr>
      </w:pPr>
    </w:p>
    <w:p>
      <w:pPr>
        <w:ind w:left="2400" w:hanging="646"/>
        <w:spacing w:after="0"/>
        <w:tabs>
          <w:tab w:leader="none" w:pos="24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which have been approved in writing by the Agent, in its sole discretion.</w:t>
      </w:r>
    </w:p>
    <w:p>
      <w:pPr>
        <w:spacing w:after="0" w:line="217" w:lineRule="exact"/>
        <w:rPr>
          <w:sz w:val="20"/>
          <w:szCs w:val="20"/>
          <w:color w:val="auto"/>
        </w:rPr>
      </w:pPr>
    </w:p>
    <w:p>
      <w:pPr>
        <w:ind w:left="1100" w:right="500"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any natural person, corporation, limited liability company, trust, joint venture, association, company, partnership, Governmental Authority or other entity.</w:t>
      </w:r>
    </w:p>
    <w:p>
      <w:pPr>
        <w:spacing w:after="0" w:line="134"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PIK Interest</w:t>
      </w:r>
      <w:r>
        <w:rPr>
          <w:rFonts w:ascii="Times New Roman" w:cs="Times New Roman" w:eastAsia="Times New Roman" w:hAnsi="Times New Roman"/>
          <w:sz w:val="22"/>
          <w:szCs w:val="22"/>
          <w:color w:val="auto"/>
        </w:rPr>
        <w:t>”: shall mean interest accrued with respect to the Term Loan that is paid in kind, and not in cash, by capitalizing such interest as principal of the outstanding Term Loan as provided herein.</w:t>
      </w:r>
    </w:p>
    <w:p>
      <w:pPr>
        <w:spacing w:after="0" w:line="177"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PIK Limit</w:t>
      </w:r>
      <w:r>
        <w:rPr>
          <w:rFonts w:ascii="Times New Roman" w:cs="Times New Roman" w:eastAsia="Times New Roman" w:hAnsi="Times New Roman"/>
          <w:sz w:val="22"/>
          <w:szCs w:val="22"/>
          <w:color w:val="auto"/>
        </w:rPr>
        <w:t xml:space="preserve">”: with </w:t>
      </w:r>
      <w:r>
        <w:rPr>
          <w:rFonts w:ascii="Times New Roman" w:cs="Times New Roman" w:eastAsia="Times New Roman" w:hAnsi="Times New Roman"/>
          <w:sz w:val="22"/>
          <w:szCs w:val="22"/>
          <w:color w:val="FF0000"/>
          <w:strike w:val="1"/>
        </w:rPr>
        <w:t>request</w:t>
      </w:r>
      <w:r>
        <w:rPr>
          <w:rFonts w:ascii="Times New Roman" w:cs="Times New Roman" w:eastAsia="Times New Roman" w:hAnsi="Times New Roman"/>
          <w:sz w:val="22"/>
          <w:szCs w:val="22"/>
          <w:u w:val="single" w:color="auto"/>
          <w:color w:val="0000FF"/>
        </w:rPr>
        <w:t>respect</w:t>
      </w:r>
      <w:r>
        <w:rPr>
          <w:rFonts w:ascii="Times New Roman" w:cs="Times New Roman" w:eastAsia="Times New Roman" w:hAnsi="Times New Roman"/>
          <w:sz w:val="22"/>
          <w:szCs w:val="22"/>
          <w:color w:val="auto"/>
        </w:rPr>
        <w:t xml:space="preserve"> to any payment of interest due on any Interest Payment Date, an amount equal to (a) with respect to any Interest Payment Date occurring on or before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date that is six (6) months after the Closing Date</w:t>
      </w:r>
      <w:r>
        <w:rPr>
          <w:rFonts w:ascii="Times New Roman" w:cs="Times New Roman" w:eastAsia="Times New Roman" w:hAnsi="Times New Roman"/>
          <w:sz w:val="22"/>
          <w:szCs w:val="22"/>
          <w:u w:val="single" w:color="auto"/>
          <w:color w:val="0000FF"/>
        </w:rPr>
        <w:t>June 30, 2023</w:t>
      </w:r>
      <w:r>
        <w:rPr>
          <w:rFonts w:ascii="Times New Roman" w:cs="Times New Roman" w:eastAsia="Times New Roman" w:hAnsi="Times New Roman"/>
          <w:sz w:val="22"/>
          <w:szCs w:val="22"/>
          <w:color w:val="000000"/>
        </w:rPr>
        <w:t>, one hundred percent (100%) of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payment of interest (exclusive of the portion of such interest attributable to the implementation of the Default Rate or Protective Advance Rate, if any), (b) with respect to any Interest Payment Date occurring </w:t>
      </w:r>
      <w:r>
        <w:rPr>
          <w:rFonts w:ascii="Times New Roman" w:cs="Times New Roman" w:eastAsia="Times New Roman" w:hAnsi="Times New Roman"/>
          <w:sz w:val="22"/>
          <w:szCs w:val="22"/>
          <w:color w:val="FF0000"/>
          <w:strike w:val="1"/>
        </w:rPr>
        <w:t>after the date that is six (6) months after the Closing Date,</w:t>
      </w:r>
      <w:r>
        <w:rPr>
          <w:rFonts w:ascii="Times New Roman" w:cs="Times New Roman" w:eastAsia="Times New Roman" w:hAnsi="Times New Roman"/>
          <w:sz w:val="22"/>
          <w:szCs w:val="22"/>
          <w:u w:val="single" w:color="auto"/>
          <w:color w:val="0000FF"/>
        </w:rPr>
        <w:t>on or after July 1, 2023,</w:t>
      </w:r>
      <w:r>
        <w:rPr>
          <w:rFonts w:ascii="Times New Roman" w:cs="Times New Roman" w:eastAsia="Times New Roman" w:hAnsi="Times New Roman"/>
          <w:sz w:val="22"/>
          <w:szCs w:val="22"/>
          <w:color w:val="000000"/>
        </w:rPr>
        <w:t xml:space="preserve"> but on or before the date that is eighteen (18) months after the Closing Date, fifty percent (50%) of such payment of interest (exclusive of the portion of such interest attributable to the implementation of the Default Rate or Protective Advance Rate, if any), and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19</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40" w:name="page41"/>
    <w:bookmarkEnd w:id="40"/>
    <w:p>
      <w:pPr>
        <w:ind w:left="1100" w:firstLine="6"/>
        <w:spacing w:after="0" w:line="258" w:lineRule="auto"/>
        <w:tabs>
          <w:tab w:leader="none" w:pos="141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Interest Payment Date occurring after the date that is eighteen (18) months after the Closing Date, zero percent of such payment of interest.</w:t>
      </w:r>
    </w:p>
    <w:p>
      <w:pPr>
        <w:spacing w:after="0" w:line="166" w:lineRule="exact"/>
        <w:rPr>
          <w:sz w:val="20"/>
          <w:szCs w:val="20"/>
          <w:color w:val="auto"/>
        </w:rPr>
      </w:pPr>
    </w:p>
    <w:p>
      <w:pPr>
        <w:jc w:val="both"/>
        <w:ind w:left="1100"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PIPE Transactions</w:t>
      </w:r>
      <w:r>
        <w:rPr>
          <w:rFonts w:ascii="Times New Roman" w:cs="Times New Roman" w:eastAsia="Times New Roman" w:hAnsi="Times New Roman"/>
          <w:sz w:val="22"/>
          <w:szCs w:val="22"/>
          <w:color w:val="auto"/>
        </w:rPr>
        <w:t>”: the closing of “PIPE” equity investments of $55,000,000 in Parent contemplated by the SPAC Subscription Agreements.</w:t>
      </w:r>
    </w:p>
    <w:p>
      <w:pPr>
        <w:spacing w:after="0" w:line="145"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any employee benefit plan within the meaning of Section 3(3) of ERISA, maintained for employees of a Loan Party or any Subsidiary, or any such plan to which a Loan Party or any Subsidiary is required to contribute on behalf of any of its employees or with respect to which such Loan Party has any liability.</w:t>
      </w:r>
    </w:p>
    <w:p>
      <w:pPr>
        <w:spacing w:after="0" w:line="18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PPP Loans</w:t>
      </w:r>
      <w:r>
        <w:rPr>
          <w:rFonts w:ascii="Times New Roman" w:cs="Times New Roman" w:eastAsia="Times New Roman" w:hAnsi="Times New Roman"/>
          <w:sz w:val="22"/>
          <w:szCs w:val="22"/>
          <w:color w:val="auto"/>
        </w:rPr>
        <w:t>”: (i) the 2020 PPP Loan, and (ii) the 2021 PPP Loan.</w:t>
      </w:r>
    </w:p>
    <w:p>
      <w:pPr>
        <w:spacing w:after="0" w:line="220" w:lineRule="exact"/>
        <w:rPr>
          <w:sz w:val="20"/>
          <w:szCs w:val="20"/>
          <w:color w:val="auto"/>
        </w:rPr>
      </w:pPr>
    </w:p>
    <w:p>
      <w:pPr>
        <w:jc w:val="both"/>
        <w:ind w:left="110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Prepayment Event</w:t>
      </w:r>
      <w:r>
        <w:rPr>
          <w:rFonts w:ascii="Times New Roman" w:cs="Times New Roman" w:eastAsia="Times New Roman" w:hAnsi="Times New Roman"/>
          <w:sz w:val="22"/>
          <w:szCs w:val="22"/>
          <w:color w:val="auto"/>
        </w:rPr>
        <w:t>”: any (a) any sale, transfer or other disposition (including pursuant to a sale and leaseback transaction) of any property or asset of any Loan Party outside of the ordinary course of business in excess of $500,000 in the aggregate during any Fiscal Year,</w:t>
      </w:r>
    </w:p>
    <w:p>
      <w:pPr>
        <w:ind w:left="1100" w:firstLine="6"/>
        <w:spacing w:after="0" w:line="230" w:lineRule="auto"/>
        <w:tabs>
          <w:tab w:leader="none" w:pos="145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casualty or other insured damage to, or any taking under power of eminent domain or by condemnation or similar proceeding of, any property or asset of any Loan Party in excess of $500,000 in the aggregate during any Fiscal Year, (c) the incurrence by any Loan Party of any Indebtedness other than Indebtedness permitted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hereof, (d) the occurrence of a Change of Control, (e) any equity cure made pursuant to </w:t>
      </w:r>
      <w:r>
        <w:rPr>
          <w:rFonts w:ascii="Times New Roman" w:cs="Times New Roman" w:eastAsia="Times New Roman" w:hAnsi="Times New Roman"/>
          <w:sz w:val="22"/>
          <w:szCs w:val="22"/>
          <w:u w:val="single" w:color="auto"/>
          <w:color w:val="auto"/>
        </w:rPr>
        <w:t>Section 6.17(c)</w:t>
      </w:r>
      <w:r>
        <w:rPr>
          <w:rFonts w:ascii="Times New Roman" w:cs="Times New Roman" w:eastAsia="Times New Roman" w:hAnsi="Times New Roman"/>
          <w:sz w:val="22"/>
          <w:szCs w:val="22"/>
          <w:color w:val="auto"/>
        </w:rPr>
        <w:t xml:space="preserve"> in respect of a failure to satisfy the financial covenants in </w:t>
      </w:r>
      <w:r>
        <w:rPr>
          <w:rFonts w:ascii="Times New Roman" w:cs="Times New Roman" w:eastAsia="Times New Roman" w:hAnsi="Times New Roman"/>
          <w:sz w:val="22"/>
          <w:szCs w:val="22"/>
          <w:u w:val="single" w:color="auto"/>
          <w:color w:val="auto"/>
        </w:rPr>
        <w:t>Section 6.17(b)</w:t>
      </w:r>
      <w:r>
        <w:rPr>
          <w:rFonts w:ascii="Times New Roman" w:cs="Times New Roman" w:eastAsia="Times New Roman" w:hAnsi="Times New Roman"/>
          <w:sz w:val="22"/>
          <w:szCs w:val="22"/>
          <w:color w:val="auto"/>
        </w:rPr>
        <w:t>, (f) borrower’s receipt of the proceeds of any business interruption insurance, and (g) any receipt by a Loan Party of any Extraordinary Receipt in excess of $500,000 in the aggregate during any Fiscal Year.</w:t>
      </w:r>
    </w:p>
    <w:p>
      <w:pPr>
        <w:spacing w:after="0" w:line="4"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Presto</w:t>
      </w:r>
      <w:r>
        <w:rPr>
          <w:rFonts w:ascii="Times New Roman" w:cs="Times New Roman" w:eastAsia="Times New Roman" w:hAnsi="Times New Roman"/>
          <w:sz w:val="22"/>
          <w:szCs w:val="22"/>
          <w:color w:val="auto"/>
        </w:rPr>
        <w:t>”: as defined in the preamble hereto, and shall include its successors and assigns.</w:t>
      </w:r>
    </w:p>
    <w:p>
      <w:pPr>
        <w:spacing w:after="0" w:line="217" w:lineRule="exact"/>
        <w:rPr>
          <w:sz w:val="20"/>
          <w:szCs w:val="20"/>
          <w:color w:val="auto"/>
        </w:rPr>
      </w:pPr>
    </w:p>
    <w:p>
      <w:pPr>
        <w:ind w:left="1100" w:right="520" w:firstLine="64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Principal Market</w:t>
      </w:r>
      <w:r>
        <w:rPr>
          <w:rFonts w:ascii="Times New Roman" w:cs="Times New Roman" w:eastAsia="Times New Roman" w:hAnsi="Times New Roman"/>
          <w:sz w:val="21"/>
          <w:szCs w:val="21"/>
          <w:color w:val="auto"/>
        </w:rPr>
        <w:t>”: any Eligible Market, or any national securities exchange, market or trading or quotation facility on which the common stock of the Parent is then listed or quoted.</w:t>
      </w:r>
    </w:p>
    <w:p>
      <w:pPr>
        <w:spacing w:after="0" w:line="13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Debt</w:t>
      </w:r>
      <w:r>
        <w:rPr>
          <w:rFonts w:ascii="Times New Roman" w:cs="Times New Roman" w:eastAsia="Times New Roman" w:hAnsi="Times New Roman"/>
          <w:sz w:val="22"/>
          <w:szCs w:val="22"/>
          <w:color w:val="auto"/>
        </w:rPr>
        <w:t>”: all Indebtedness and other obligations of Borrower (or any of them) owing to</w:t>
      </w:r>
    </w:p>
    <w:p>
      <w:pPr>
        <w:spacing w:after="0" w:line="20" w:lineRule="exact"/>
        <w:rPr>
          <w:sz w:val="20"/>
          <w:szCs w:val="20"/>
          <w:color w:val="auto"/>
        </w:rPr>
      </w:pPr>
    </w:p>
    <w:p>
      <w:pPr>
        <w:jc w:val="both"/>
        <w:ind w:left="1100" w:firstLine="5"/>
        <w:spacing w:after="0" w:line="234" w:lineRule="auto"/>
        <w:tabs>
          <w:tab w:leader="none" w:pos="145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Horizon Technology Finance Corporation under that certain Venture Loan and Security Agreement, originally dated as of March 5, 2021, and (ii) to Lago Innovation Fund, LLC and Lago Innovation Fund II, LLC under that certain Venture Loan and Security Agreement, dated as of March 11, 2022, in each case as it may have been amended from time to time.</w:t>
      </w:r>
    </w:p>
    <w:p>
      <w:pPr>
        <w:spacing w:after="0" w:line="18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Protective Advance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Money Security Interest</w:t>
      </w:r>
      <w:r>
        <w:rPr>
          <w:rFonts w:ascii="Times New Roman" w:cs="Times New Roman" w:eastAsia="Times New Roman" w:hAnsi="Times New Roman"/>
          <w:sz w:val="22"/>
          <w:szCs w:val="22"/>
          <w:color w:val="auto"/>
        </w:rPr>
        <w:t xml:space="preserve">”: Liens upon tangible personal property (including the proceeds thereof) securing loans to the Loan Parties or deferred payments (including, without limitation, capitalized lease obligations under GAAP) by the Loan Parties for the purchase or capital lease of such tangible personal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security interest does not encumber any asset except the assets purchased (and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security interest does not secure obligations in excess of such purchase price or deferred payments; provided that notwithstanding anything to the contrary, “Purchase Money Security Interest” does not include Capital Leases.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20</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41" w:name="page42"/>
    <w:bookmarkEnd w:id="41"/>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Equity Interest</w:t>
      </w:r>
      <w:r>
        <w:rPr>
          <w:rFonts w:ascii="Times New Roman" w:cs="Times New Roman" w:eastAsia="Times New Roman" w:hAnsi="Times New Roman"/>
          <w:sz w:val="22"/>
          <w:szCs w:val="22"/>
          <w:color w:val="auto"/>
        </w:rPr>
        <w:t>”: any Equity Interest issued by any Loan Party that is not a Disqualified Equity Interest.</w:t>
      </w:r>
    </w:p>
    <w:p>
      <w:pPr>
        <w:spacing w:after="0" w:line="159"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Recipient</w:t>
      </w:r>
      <w:r>
        <w:rPr>
          <w:rFonts w:ascii="Times New Roman" w:cs="Times New Roman" w:eastAsia="Times New Roman" w:hAnsi="Times New Roman"/>
          <w:sz w:val="22"/>
          <w:szCs w:val="22"/>
          <w:color w:val="auto"/>
        </w:rPr>
        <w:t>”: the Agent, any Lender or any other financial institution party hereto, or to an arrangement contemplated hereby, that is the recipient of any payment to be made by or on account of any Obligations of any Loan Party hereunder.</w:t>
      </w:r>
    </w:p>
    <w:p>
      <w:pPr>
        <w:spacing w:after="0" w:line="164" w:lineRule="exact"/>
        <w:rPr>
          <w:sz w:val="20"/>
          <w:szCs w:val="20"/>
          <w:color w:val="auto"/>
        </w:rPr>
      </w:pPr>
    </w:p>
    <w:p>
      <w:pPr>
        <w:jc w:val="both"/>
        <w:ind w:left="1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007F00"/>
          <w:strike w:val="1"/>
        </w:rPr>
        <w:t>Agreement</w:t>
      </w:r>
      <w:r>
        <w:rPr>
          <w:rFonts w:ascii="Times New Roman" w:cs="Times New Roman" w:eastAsia="Times New Roman" w:hAnsi="Times New Roman"/>
          <w:sz w:val="22"/>
          <w:szCs w:val="22"/>
          <w:color w:val="007F00"/>
          <w:strike w:val="1"/>
        </w:rPr>
        <w:t>”: that certain Amended and Restated</w:t>
      </w:r>
      <w:r>
        <w:rPr>
          <w:rFonts w:ascii="Times New Roman" w:cs="Times New Roman" w:eastAsia="Times New Roman" w:hAnsi="Times New Roman"/>
          <w:sz w:val="22"/>
          <w:szCs w:val="22"/>
          <w:b w:val="1"/>
          <w:bCs w:val="1"/>
          <w:i w:val="1"/>
          <w:iCs w:val="1"/>
          <w:u w:val="single" w:color="auto"/>
          <w:color w:val="0000FF"/>
        </w:rPr>
        <w:t>Agreements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individually and collectively the Closing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Registration Rights Agreement</w:t>
      </w:r>
      <w:r>
        <w:rPr>
          <w:rFonts w:ascii="Times New Roman" w:cs="Times New Roman" w:eastAsia="Times New Roman" w:hAnsi="Times New Roman"/>
          <w:sz w:val="22"/>
          <w:szCs w:val="22"/>
          <w:color w:val="FF0000"/>
          <w:strike w:val="1"/>
        </w:rPr>
        <w:t>, dated as of the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hereof</w:t>
      </w:r>
      <w:r>
        <w:rPr>
          <w:rFonts w:ascii="Times New Roman" w:cs="Times New Roman" w:eastAsia="Times New Roman" w:hAnsi="Times New Roman"/>
          <w:sz w:val="22"/>
          <w:szCs w:val="22"/>
          <w:color w:val="007F00"/>
          <w:strike w:val="1"/>
        </w:rPr>
        <w:t>, by and among Parent, the Sponsors, Lenders and certain other Parent stockholders party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7F00"/>
          <w:strike w:val="1"/>
        </w:rPr>
        <w:t xml:space="preserve">thereto, as may be amended, restated, supplemented or otherwise modified from time to time. </w:t>
      </w:r>
      <w:r>
        <w:rPr>
          <w:rFonts w:ascii="Times New Roman" w:cs="Times New Roman" w:eastAsia="Times New Roman" w:hAnsi="Times New Roman"/>
          <w:sz w:val="22"/>
          <w:szCs w:val="22"/>
          <w:u w:val="single" w:color="auto"/>
          <w:color w:val="0000FF"/>
          <w:strike w:val="1"/>
        </w:rPr>
        <w:t>and the</w:t>
      </w:r>
      <w:r>
        <w:rPr>
          <w:rFonts w:ascii="Times New Roman" w:cs="Times New Roman" w:eastAsia="Times New Roman" w:hAnsi="Times New Roman"/>
          <w:sz w:val="22"/>
          <w:szCs w:val="22"/>
          <w:color w:val="007F00"/>
          <w:strike w:val="1"/>
        </w:rPr>
        <w:t xml:space="preserve"> </w:t>
      </w:r>
      <w:r>
        <w:rPr>
          <w:rFonts w:ascii="Times New Roman" w:cs="Times New Roman" w:eastAsia="Times New Roman" w:hAnsi="Times New Roman"/>
          <w:sz w:val="22"/>
          <w:szCs w:val="22"/>
          <w:u w:val="single" w:color="auto"/>
          <w:color w:val="0000FF"/>
          <w:strike w:val="1"/>
        </w:rPr>
        <w:t>First Amendment Registration Rights Agreement.</w:t>
      </w:r>
    </w:p>
    <w:p>
      <w:pPr>
        <w:spacing w:after="0" w:line="18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Regulation T</w:t>
      </w:r>
      <w:r>
        <w:rPr>
          <w:rFonts w:ascii="Times New Roman" w:cs="Times New Roman" w:eastAsia="Times New Roman" w:hAnsi="Times New Roman"/>
          <w:sz w:val="22"/>
          <w:szCs w:val="22"/>
          <w:color w:val="auto"/>
        </w:rPr>
        <w:t>”: Regulation T of the Board, as in effect from time to time and all official rulings and interpretations thereunder or thereof.</w:t>
      </w:r>
    </w:p>
    <w:p>
      <w:pPr>
        <w:spacing w:after="0" w:line="159" w:lineRule="exact"/>
        <w:rPr>
          <w:sz w:val="20"/>
          <w:szCs w:val="20"/>
          <w:color w:val="auto"/>
        </w:rPr>
      </w:pPr>
    </w:p>
    <w:p>
      <w:pPr>
        <w:jc w:val="both"/>
        <w:ind w:left="1100"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Regulation U</w:t>
      </w:r>
      <w:r>
        <w:rPr>
          <w:rFonts w:ascii="Times New Roman" w:cs="Times New Roman" w:eastAsia="Times New Roman" w:hAnsi="Times New Roman"/>
          <w:sz w:val="22"/>
          <w:szCs w:val="22"/>
          <w:color w:val="auto"/>
        </w:rPr>
        <w:t>”: Regulation U of the Board as in effect from time to time and all official rulings and interpretations thereunder or thereof.</w:t>
      </w:r>
    </w:p>
    <w:p>
      <w:pPr>
        <w:spacing w:after="0" w:line="14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Regulation X</w:t>
      </w:r>
      <w:r>
        <w:rPr>
          <w:rFonts w:ascii="Times New Roman" w:cs="Times New Roman" w:eastAsia="Times New Roman" w:hAnsi="Times New Roman"/>
          <w:sz w:val="22"/>
          <w:szCs w:val="22"/>
          <w:color w:val="auto"/>
        </w:rPr>
        <w:t>”: Regulation X of the Board, as in effect from time to time and all official rulings and interpretations thereunder or thereof.</w:t>
      </w:r>
    </w:p>
    <w:p>
      <w:pPr>
        <w:spacing w:after="0" w:line="159"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Related Parties</w:t>
      </w:r>
      <w:r>
        <w:rPr>
          <w:rFonts w:ascii="Times New Roman" w:cs="Times New Roman" w:eastAsia="Times New Roman" w:hAnsi="Times New Roman"/>
          <w:sz w:val="22"/>
          <w:szCs w:val="22"/>
          <w:color w:val="auto"/>
        </w:rPr>
        <w:t>”: with respect to any Person, such Person’s Affiliates and the members, partners, directors, officers, trustees, managers, representatives, attorneys, equity owners, professional consultants, portfolio management services, employees, agents and advisors of such Person and of such Person’s Affiliates.</w:t>
      </w:r>
    </w:p>
    <w:p>
      <w:pPr>
        <w:spacing w:after="0" w:line="18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Reportable Event</w:t>
      </w:r>
      <w:r>
        <w:rPr>
          <w:rFonts w:ascii="Times New Roman" w:cs="Times New Roman" w:eastAsia="Times New Roman" w:hAnsi="Times New Roman"/>
          <w:sz w:val="22"/>
          <w:szCs w:val="22"/>
          <w:color w:val="auto"/>
        </w:rPr>
        <w:t>”: any of the events set forth in Section 4043(c) of ERISA, other than events for which the thirty-day notice period has been waived.</w:t>
      </w:r>
    </w:p>
    <w:p>
      <w:pPr>
        <w:spacing w:after="0" w:line="145"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Lenders</w:t>
      </w:r>
      <w:r>
        <w:rPr>
          <w:rFonts w:ascii="Times New Roman" w:cs="Times New Roman" w:eastAsia="Times New Roman" w:hAnsi="Times New Roman"/>
          <w:sz w:val="22"/>
          <w:szCs w:val="22"/>
          <w:color w:val="auto"/>
        </w:rPr>
        <w:t xml:space="preserve">”: Lenders having more than 50% of the aggregate outstanding amount of the Term Loan on such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so long as Metropolitan holds any Term Loan, Required Lenders shall include Metropolitan.</w:t>
      </w:r>
    </w:p>
    <w:p>
      <w:pPr>
        <w:spacing w:after="0" w:line="177"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Requirement of Law</w:t>
      </w:r>
      <w:r>
        <w:rPr>
          <w:rFonts w:ascii="Times New Roman" w:cs="Times New Roman" w:eastAsia="Times New Roman" w:hAnsi="Times New Roman"/>
          <w:sz w:val="22"/>
          <w:szCs w:val="22"/>
          <w:color w:val="auto"/>
        </w:rPr>
        <w:t>”: as to any Person, the Operating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Responsible Officer</w:t>
      </w:r>
      <w:r>
        <w:rPr>
          <w:rFonts w:ascii="Times New Roman" w:cs="Times New Roman" w:eastAsia="Times New Roman" w:hAnsi="Times New Roman"/>
          <w:sz w:val="22"/>
          <w:szCs w:val="22"/>
          <w:color w:val="auto"/>
        </w:rPr>
        <w:t>”: the chief executive officer or the chief financial officer of the applicable Loan Party.</w:t>
      </w:r>
    </w:p>
    <w:p>
      <w:pPr>
        <w:spacing w:after="0" w:line="14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Payments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21</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42" w:name="page43"/>
    <w:bookmarkEnd w:id="42"/>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the United States Securities and Exchange Commission and any successor thereto.</w:t>
      </w:r>
    </w:p>
    <w:p>
      <w:pPr>
        <w:spacing w:after="0" w:line="220" w:lineRule="exact"/>
        <w:rPr>
          <w:sz w:val="20"/>
          <w:szCs w:val="20"/>
          <w:color w:val="auto"/>
        </w:rPr>
      </w:pPr>
    </w:p>
    <w:p>
      <w:pPr>
        <w:ind w:left="1100" w:right="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the Securities Act of 1933, as amended, or any similar federal statute, and the rules and regulations thereunder as the same shall be in effect at the time.</w:t>
      </w: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Accounts</w:t>
      </w:r>
      <w:r>
        <w:rPr>
          <w:rFonts w:ascii="Times New Roman" w:cs="Times New Roman" w:eastAsia="Times New Roman" w:hAnsi="Times New Roman"/>
          <w:sz w:val="22"/>
          <w:szCs w:val="22"/>
          <w:color w:val="auto"/>
        </w:rPr>
        <w:t>”: all “securities accounts” as defined in Article 8 of the UCC.</w:t>
      </w:r>
    </w:p>
    <w:p>
      <w:pPr>
        <w:spacing w:after="0" w:line="203" w:lineRule="exact"/>
        <w:rPr>
          <w:sz w:val="20"/>
          <w:szCs w:val="20"/>
          <w:color w:val="auto"/>
        </w:rPr>
      </w:pPr>
    </w:p>
    <w:p>
      <w:pPr>
        <w:jc w:val="both"/>
        <w:ind w:left="1100" w:right="46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Security Agreement</w:t>
      </w:r>
      <w:r>
        <w:rPr>
          <w:rFonts w:ascii="Times New Roman" w:cs="Times New Roman" w:eastAsia="Times New Roman" w:hAnsi="Times New Roman"/>
          <w:sz w:val="22"/>
          <w:szCs w:val="22"/>
          <w:color w:val="auto"/>
        </w:rPr>
        <w:t>”: that certain Guarantee and Collateral Agreement, dated as of the date hereof, by and among the Borrower, the other Loan Parties, and Agent, as may be amended, restated, supplemented or otherwise modified from time to time.</w:t>
      </w:r>
    </w:p>
    <w:p>
      <w:pPr>
        <w:spacing w:after="0" w:line="177"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Security Documents</w:t>
      </w:r>
      <w:r>
        <w:rPr>
          <w:rFonts w:ascii="Times New Roman" w:cs="Times New Roman" w:eastAsia="Times New Roman" w:hAnsi="Times New Roman"/>
          <w:sz w:val="22"/>
          <w:szCs w:val="22"/>
          <w:color w:val="auto"/>
        </w:rPr>
        <w:t>”: the collective reference to the Security Agreement, any Control Agreement, any Collateral Access Agreement and all other security documents hereafter delivered to Agent granting a Lien on any property of any Person to secure the Obligations of any Loan Party arising under any Loan Document, and all financing statements, fixtures filings, patent, trademark and copyright filings, assignments, acknowledgments and other filings, documents and agreements made or delivered pursuant to any of the foregoing.</w:t>
      </w:r>
    </w:p>
    <w:p>
      <w:pPr>
        <w:spacing w:after="0" w:line="1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Solvent</w:t>
      </w:r>
      <w:r>
        <w:rPr>
          <w:rFonts w:ascii="Times New Roman" w:cs="Times New Roman" w:eastAsia="Times New Roman" w:hAnsi="Times New Roman"/>
          <w:sz w:val="21"/>
          <w:szCs w:val="21"/>
          <w:color w:val="auto"/>
        </w:rPr>
        <w:t>”: when used with respect to any Person, means that, as of any date of determination,</w:t>
      </w:r>
    </w:p>
    <w:p>
      <w:pPr>
        <w:spacing w:after="0" w:line="32" w:lineRule="exact"/>
        <w:rPr>
          <w:sz w:val="20"/>
          <w:szCs w:val="20"/>
          <w:color w:val="auto"/>
        </w:rPr>
      </w:pPr>
    </w:p>
    <w:p>
      <w:pPr>
        <w:jc w:val="both"/>
        <w:ind w:left="1100" w:firstLine="6"/>
        <w:spacing w:after="0" w:line="231" w:lineRule="auto"/>
        <w:tabs>
          <w:tab w:leader="none" w:pos="143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9"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SPAC Business Combination</w:t>
      </w:r>
      <w:r>
        <w:rPr>
          <w:rFonts w:ascii="Times New Roman" w:cs="Times New Roman" w:eastAsia="Times New Roman" w:hAnsi="Times New Roman"/>
          <w:sz w:val="22"/>
          <w:szCs w:val="22"/>
          <w:color w:val="auto"/>
        </w:rPr>
        <w:t>”: the business combination transaction contemplated by the SPAC Merger Agreement, pursuant to which (a) Ventoux Merger Sub I Inc. will merge with and into E La Carte, Inc. (the “</w:t>
      </w:r>
      <w:r>
        <w:rPr>
          <w:rFonts w:ascii="Times New Roman" w:cs="Times New Roman" w:eastAsia="Times New Roman" w:hAnsi="Times New Roman"/>
          <w:sz w:val="22"/>
          <w:szCs w:val="22"/>
          <w:b w:val="1"/>
          <w:bCs w:val="1"/>
          <w:i w:val="1"/>
          <w:iCs w:val="1"/>
          <w:color w:val="auto"/>
        </w:rPr>
        <w:t>First Merger</w:t>
      </w:r>
      <w:r>
        <w:rPr>
          <w:rFonts w:ascii="Times New Roman" w:cs="Times New Roman" w:eastAsia="Times New Roman" w:hAnsi="Times New Roman"/>
          <w:sz w:val="22"/>
          <w:szCs w:val="22"/>
          <w:color w:val="auto"/>
        </w:rPr>
        <w:t>”), with E La Carte, Inc. being the surviving entity in the First Merger and continuing (immediately following the First Merger) as a wholly-owned subsidiary of Parent (the “</w:t>
      </w:r>
      <w:r>
        <w:rPr>
          <w:rFonts w:ascii="Times New Roman" w:cs="Times New Roman" w:eastAsia="Times New Roman" w:hAnsi="Times New Roman"/>
          <w:sz w:val="22"/>
          <w:szCs w:val="22"/>
          <w:b w:val="1"/>
          <w:bCs w:val="1"/>
          <w:i w:val="1"/>
          <w:iCs w:val="1"/>
          <w:color w:val="auto"/>
        </w:rPr>
        <w:t>Surviving Corporation</w:t>
      </w:r>
      <w:r>
        <w:rPr>
          <w:rFonts w:ascii="Times New Roman" w:cs="Times New Roman" w:eastAsia="Times New Roman" w:hAnsi="Times New Roman"/>
          <w:sz w:val="22"/>
          <w:szCs w:val="22"/>
          <w:color w:val="auto"/>
        </w:rPr>
        <w:t>”) and (b) immediately following the First Merger and as part of the same overall transaction as the First Merger, the Surviving Corporation will merge with and into Presto (the “</w:t>
      </w:r>
      <w:r>
        <w:rPr>
          <w:rFonts w:ascii="Times New Roman" w:cs="Times New Roman" w:eastAsia="Times New Roman" w:hAnsi="Times New Roman"/>
          <w:sz w:val="22"/>
          <w:szCs w:val="22"/>
          <w:b w:val="1"/>
          <w:bCs w:val="1"/>
          <w:i w:val="1"/>
          <w:iCs w:val="1"/>
          <w:color w:val="auto"/>
        </w:rPr>
        <w:t>Second Merger</w:t>
      </w:r>
      <w:r>
        <w:rPr>
          <w:rFonts w:ascii="Times New Roman" w:cs="Times New Roman" w:eastAsia="Times New Roman" w:hAnsi="Times New Roman"/>
          <w:sz w:val="22"/>
          <w:szCs w:val="22"/>
          <w:color w:val="auto"/>
        </w:rPr>
        <w:t>”), with Presto being the surviving entity in the Second Merger and continuing (immediately following the Second Merger) as a</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22</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43" w:name="page44"/>
    <w:bookmarkEnd w:id="43"/>
    <w:p>
      <w:pPr>
        <w:ind w:left="1100"/>
        <w:spacing w:after="0"/>
        <w:rPr>
          <w:sz w:val="20"/>
          <w:szCs w:val="20"/>
          <w:color w:val="auto"/>
        </w:rPr>
      </w:pPr>
      <w:r>
        <w:rPr>
          <w:rFonts w:ascii="Times New Roman" w:cs="Times New Roman" w:eastAsia="Times New Roman" w:hAnsi="Times New Roman"/>
          <w:sz w:val="21"/>
          <w:szCs w:val="21"/>
          <w:color w:val="auto"/>
        </w:rPr>
        <w:t>wholly-owned subsidiary of Parent, at which time Parent shall be renamed “Presto Automation Inc.”.</w:t>
      </w:r>
    </w:p>
    <w:p>
      <w:pPr>
        <w:spacing w:after="0" w:line="212" w:lineRule="exact"/>
        <w:rPr>
          <w:sz w:val="20"/>
          <w:szCs w:val="20"/>
          <w:color w:val="auto"/>
        </w:rPr>
      </w:pPr>
    </w:p>
    <w:p>
      <w:pPr>
        <w:jc w:val="both"/>
        <w:ind w:left="1100" w:firstLine="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SPAC Merger Agreement</w:t>
      </w:r>
      <w:r>
        <w:rPr>
          <w:rFonts w:ascii="Times New Roman" w:cs="Times New Roman" w:eastAsia="Times New Roman" w:hAnsi="Times New Roman"/>
          <w:sz w:val="22"/>
          <w:szCs w:val="22"/>
          <w:color w:val="auto"/>
        </w:rPr>
        <w:t>”: that certain Agreement and Plan of Merger, dated as of November 10, 2021, among E La Carte, Inc., the Parent, Ventoux Merger Sub I Inc. and Ventoux Merger Sub II LLC, as amended on April 1, 2022 and July 25, 2022, as in effect on the date hereof or as later amended, restated, supplemented or otherwise modified with the consent of the Agent, in its Permitted Discretion.</w:t>
      </w:r>
    </w:p>
    <w:p>
      <w:pPr>
        <w:spacing w:after="0" w:line="185"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SPAC Subscription Agreement(s)</w:t>
      </w:r>
      <w:r>
        <w:rPr>
          <w:rFonts w:ascii="Times New Roman" w:cs="Times New Roman" w:eastAsia="Times New Roman" w:hAnsi="Times New Roman"/>
          <w:sz w:val="22"/>
          <w:szCs w:val="22"/>
          <w:color w:val="auto"/>
        </w:rPr>
        <w:t xml:space="preserve">”: each subscription agreement executed in connection with the SPAC Transaction for Parent Common Stock, including, without limitation, those identified on </w:t>
      </w:r>
      <w:r>
        <w:rPr>
          <w:rFonts w:ascii="Times New Roman" w:cs="Times New Roman" w:eastAsia="Times New Roman" w:hAnsi="Times New Roman"/>
          <w:sz w:val="22"/>
          <w:szCs w:val="22"/>
          <w:u w:val="single" w:color="auto"/>
          <w:color w:val="auto"/>
        </w:rPr>
        <w:t>Schedule 1.1(d)</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SPAC Transaction</w:t>
      </w:r>
      <w:r>
        <w:rPr>
          <w:rFonts w:ascii="Times New Roman" w:cs="Times New Roman" w:eastAsia="Times New Roman" w:hAnsi="Times New Roman"/>
          <w:sz w:val="22"/>
          <w:szCs w:val="22"/>
          <w:color w:val="auto"/>
        </w:rPr>
        <w:t>”: the consummation of the SPAC Business Combination, including the closing of the PIPE Transactions and all other transactions contemplated by the SPAC Merger Agreement.</w:t>
      </w:r>
    </w:p>
    <w:p>
      <w:pPr>
        <w:spacing w:after="0" w:line="177"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Locations</w:t>
      </w:r>
      <w:r>
        <w:rPr>
          <w:rFonts w:ascii="Times New Roman" w:cs="Times New Roman" w:eastAsia="Times New Roman" w:hAnsi="Times New Roman"/>
          <w:sz w:val="22"/>
          <w:szCs w:val="22"/>
          <w:color w:val="auto"/>
        </w:rPr>
        <w:t>”: means (a) 816 Hamilton St., Redwood City, CA 94063 and (b) each other location identified by Borrower to Agent from time to time hereafter and approved by Agent in its Permitted Discretion.</w:t>
      </w:r>
    </w:p>
    <w:p>
      <w:pPr>
        <w:spacing w:after="0" w:line="177"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Sponsor Support Agreement</w:t>
      </w:r>
      <w:r>
        <w:rPr>
          <w:rFonts w:ascii="Times New Roman" w:cs="Times New Roman" w:eastAsia="Times New Roman" w:hAnsi="Times New Roman"/>
          <w:sz w:val="22"/>
          <w:szCs w:val="22"/>
          <w:color w:val="auto"/>
        </w:rPr>
        <w:t>”: that certain Amended and Restated Sponsor Support Agreement dated as of July 25, 2022 by and among, Parent, the Sponsors, E La Carte, Inc. and the other parties thereto, as may be amended, restated, supplemented or otherwise modified from time to time.</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Sponsors</w:t>
      </w:r>
      <w:r>
        <w:rPr>
          <w:rFonts w:ascii="Times New Roman" w:cs="Times New Roman" w:eastAsia="Times New Roman" w:hAnsi="Times New Roman"/>
          <w:sz w:val="22"/>
          <w:szCs w:val="22"/>
          <w:color w:val="auto"/>
        </w:rPr>
        <w:t>”: Ventoux Acquisition Holdings LLC and Chardan International Investments,</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LLC.</w:t>
      </w:r>
    </w:p>
    <w:p>
      <w:pPr>
        <w:spacing w:after="0" w:line="1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Stockholder Support Agreement</w:t>
      </w:r>
      <w:r>
        <w:rPr>
          <w:rFonts w:ascii="Times New Roman" w:cs="Times New Roman" w:eastAsia="Times New Roman" w:hAnsi="Times New Roman"/>
          <w:sz w:val="22"/>
          <w:szCs w:val="22"/>
          <w:color w:val="auto"/>
        </w:rPr>
        <w:t>”: that certain Amended and Restated Support</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Agreement dated as of July 25, 2022 by and among, Parent, E La Carte, Inc., and certain stockholders</w:t>
      </w:r>
    </w:p>
    <w:p>
      <w:pPr>
        <w:spacing w:after="0" w:line="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of E La Carte, Inc. party thereto.</w:t>
      </w:r>
    </w:p>
    <w:p>
      <w:pPr>
        <w:spacing w:after="0" w:line="190"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Subordinated Debt</w:t>
      </w:r>
      <w:r>
        <w:rPr>
          <w:rFonts w:ascii="Times New Roman" w:cs="Times New Roman" w:eastAsia="Times New Roman" w:hAnsi="Times New Roman"/>
          <w:sz w:val="22"/>
          <w:szCs w:val="22"/>
          <w:color w:val="auto"/>
        </w:rPr>
        <w:t>”: unsecured Indebtedness incurred with the prior written consent of the Agent in its sole discretion, the payment of which is subordinated as to right and time of payment and as to other rights and remedies thereunder and having such subordination and other terms as are, in each case, satisfactory to Agent in its sole discretion.</w:t>
      </w:r>
    </w:p>
    <w:p>
      <w:pPr>
        <w:spacing w:after="0" w:line="172"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89"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Distributions</w:t>
      </w:r>
      <w:r>
        <w:rPr>
          <w:rFonts w:ascii="Times New Roman" w:cs="Times New Roman" w:eastAsia="Times New Roman" w:hAnsi="Times New Roman"/>
          <w:sz w:val="22"/>
          <w:szCs w:val="22"/>
          <w:color w:val="auto"/>
        </w:rPr>
        <w:t>”: with respect to any taxable period for which Borrower is a member of a consolidated, combined, affiliated, unitary or similar income tax group for U.S. federal</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23</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44" w:name="page45"/>
    <w:bookmarkEnd w:id="44"/>
    <w:p>
      <w:pPr>
        <w:jc w:val="both"/>
        <w:ind w:left="1100"/>
        <w:spacing w:after="0" w:line="238" w:lineRule="auto"/>
        <w:rPr>
          <w:sz w:val="20"/>
          <w:szCs w:val="20"/>
          <w:color w:val="auto"/>
        </w:rPr>
      </w:pPr>
      <w:r>
        <w:rPr>
          <w:rFonts w:ascii="Times New Roman" w:cs="Times New Roman" w:eastAsia="Times New Roman" w:hAnsi="Times New Roman"/>
          <w:sz w:val="22"/>
          <w:szCs w:val="22"/>
          <w:color w:val="auto"/>
        </w:rPr>
        <w:t>and/or applicable state or local income tax purposes of which another Person is the common parent, cash distributions by Borrower in an amount not to exceed the amount of any U.S. federal, state and/or local income taxes that Borrower would have paid for such taxable period had Borrower been a stand-alone corporate taxpayer or the common parent of a consolidated, combined, affiliated, unitary or similar income tax group including its Subsidiaries.</w:t>
      </w:r>
    </w:p>
    <w:p>
      <w:pPr>
        <w:spacing w:after="0" w:line="184"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Loan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Loan Commitment</w:t>
      </w:r>
      <w:r>
        <w:rPr>
          <w:rFonts w:ascii="Times New Roman" w:cs="Times New Roman" w:eastAsia="Times New Roman" w:hAnsi="Times New Roman"/>
          <w:sz w:val="22"/>
          <w:szCs w:val="22"/>
          <w:color w:val="auto"/>
        </w:rPr>
        <w:t>”: the commitment of a Lender to make or otherwise fund Term Loan and “</w:t>
      </w:r>
      <w:r>
        <w:rPr>
          <w:rFonts w:ascii="Times New Roman" w:cs="Times New Roman" w:eastAsia="Times New Roman" w:hAnsi="Times New Roman"/>
          <w:sz w:val="22"/>
          <w:szCs w:val="22"/>
          <w:b w:val="1"/>
          <w:bCs w:val="1"/>
          <w:i w:val="1"/>
          <w:iCs w:val="1"/>
          <w:color w:val="auto"/>
        </w:rPr>
        <w:t>Term Loan Commitments</w:t>
      </w:r>
      <w:r>
        <w:rPr>
          <w:rFonts w:ascii="Times New Roman" w:cs="Times New Roman" w:eastAsia="Times New Roman" w:hAnsi="Times New Roman"/>
          <w:sz w:val="22"/>
          <w:szCs w:val="22"/>
          <w:color w:val="auto"/>
        </w:rPr>
        <w:t xml:space="preserve">” means such commitments of all Lenders to fund the Term Loan in the aggregate. The amount of each Lender’s Term Loan Commitment, if any, is set forth on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 xml:space="preserve"> attached hereto, subject to any adjustment or reduction pursuant to the terms and conditions hereof. The aggregate amount of the Term Loan Commitments as of the Closing Date, prior to the funding of the Term Loan, is $55,000,000.</w:t>
      </w:r>
    </w:p>
    <w:p>
      <w:pPr>
        <w:spacing w:after="0" w:line="189" w:lineRule="exact"/>
        <w:rPr>
          <w:sz w:val="20"/>
          <w:szCs w:val="20"/>
          <w:color w:val="auto"/>
        </w:rPr>
      </w:pPr>
    </w:p>
    <w:p>
      <w:pPr>
        <w:jc w:val="both"/>
        <w:ind w:left="1100" w:firstLine="64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Touch Annual Platform Revenue</w:t>
      </w:r>
      <w:r>
        <w:rPr>
          <w:rFonts w:ascii="Times New Roman" w:cs="Times New Roman" w:eastAsia="Times New Roman" w:hAnsi="Times New Roman"/>
          <w:sz w:val="21"/>
          <w:szCs w:val="21"/>
          <w:color w:val="auto"/>
        </w:rPr>
        <w:t xml:space="preserve">”: for any date of determination, (a) Touch Platform Revenue for the three (3) consecutive month period ending as of such date </w:t>
      </w:r>
      <w:r>
        <w:rPr>
          <w:rFonts w:ascii="Times New Roman" w:cs="Times New Roman" w:eastAsia="Times New Roman" w:hAnsi="Times New Roman"/>
          <w:sz w:val="21"/>
          <w:szCs w:val="21"/>
          <w:u w:val="single" w:color="auto"/>
          <w:color w:val="auto"/>
        </w:rPr>
        <w:t>multiplied</w:t>
      </w:r>
      <w:r>
        <w:rPr>
          <w:rFonts w:ascii="Times New Roman" w:cs="Times New Roman" w:eastAsia="Times New Roman" w:hAnsi="Times New Roman"/>
          <w:sz w:val="21"/>
          <w:szCs w:val="21"/>
          <w:color w:val="auto"/>
        </w:rPr>
        <w:t xml:space="preserve"> by (b) four (4).</w:t>
      </w:r>
    </w:p>
    <w:p>
      <w:pPr>
        <w:spacing w:after="0" w:line="122"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Touch Platform Revenue</w:t>
      </w:r>
      <w:r>
        <w:rPr>
          <w:rFonts w:ascii="Times New Roman" w:cs="Times New Roman" w:eastAsia="Times New Roman" w:hAnsi="Times New Roman"/>
          <w:sz w:val="22"/>
          <w:szCs w:val="22"/>
          <w:color w:val="auto"/>
        </w:rPr>
        <w:t xml:space="preserve">”: platform revenue earned during any calendar month by Borrower from (a) Borrower’s sale of hardware to restaurants and (b) subscriptions for Borrower’s software products entered into by restaurants, and calculated in a manner consistent with the calculation of same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1100" w:right="2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UCC</w:t>
      </w:r>
      <w:r>
        <w:rPr>
          <w:rFonts w:ascii="Times New Roman" w:cs="Times New Roman" w:eastAsia="Times New Roman" w:hAnsi="Times New Roman"/>
          <w:sz w:val="22"/>
          <w:szCs w:val="22"/>
          <w:color w:val="auto"/>
        </w:rPr>
        <w:t>”: the Uniform Commercial Code (or any similar or equivalent legislation) as in effect from time to time in the State of New York, or as the context may require, any other applicable jurisdiction.</w:t>
      </w:r>
    </w:p>
    <w:p>
      <w:pPr>
        <w:spacing w:after="0" w:line="177" w:lineRule="exact"/>
        <w:rPr>
          <w:sz w:val="20"/>
          <w:szCs w:val="20"/>
          <w:color w:val="auto"/>
        </w:rPr>
      </w:pPr>
    </w:p>
    <w:p>
      <w:pPr>
        <w:jc w:val="both"/>
        <w:ind w:left="1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Unrestricted Cash</w:t>
      </w:r>
      <w:r>
        <w:rPr>
          <w:rFonts w:ascii="Times New Roman" w:cs="Times New Roman" w:eastAsia="Times New Roman" w:hAnsi="Times New Roman"/>
          <w:sz w:val="22"/>
          <w:szCs w:val="22"/>
          <w:color w:val="auto"/>
        </w:rPr>
        <w:t xml:space="preserve">”: as of any date of determination, the sum of (i) all unrestricted balance sheet cash of the Borrower that is on deposit in any Deposit Account that is,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5.13(b)</w:t>
      </w:r>
      <w:r>
        <w:rPr>
          <w:rFonts w:ascii="Times New Roman" w:cs="Times New Roman" w:eastAsia="Times New Roman" w:hAnsi="Times New Roman"/>
          <w:sz w:val="22"/>
          <w:szCs w:val="22"/>
          <w:color w:val="auto"/>
        </w:rPr>
        <w:t xml:space="preserve">, subject to a Control Agreement in favor of the Agent, and (ii) all unrestricted Cash Equivalents of the Borrower held in a Securities Account that is, subject to </w:t>
      </w:r>
      <w:r>
        <w:rPr>
          <w:rFonts w:ascii="Times New Roman" w:cs="Times New Roman" w:eastAsia="Times New Roman" w:hAnsi="Times New Roman"/>
          <w:sz w:val="22"/>
          <w:szCs w:val="22"/>
          <w:u w:val="single" w:color="auto"/>
          <w:color w:val="auto"/>
        </w:rPr>
        <w:t>Section 5.13(b)</w:t>
      </w:r>
      <w:r>
        <w:rPr>
          <w:rFonts w:ascii="Times New Roman" w:cs="Times New Roman" w:eastAsia="Times New Roman" w:hAnsi="Times New Roman"/>
          <w:sz w:val="22"/>
          <w:szCs w:val="22"/>
          <w:color w:val="auto"/>
        </w:rPr>
        <w:t>, subject to a Control Agreement in favor of Agent.</w:t>
      </w:r>
    </w:p>
    <w:p>
      <w:pPr>
        <w:spacing w:after="0" w:line="185" w:lineRule="exact"/>
        <w:rPr>
          <w:sz w:val="20"/>
          <w:szCs w:val="20"/>
          <w:color w:val="auto"/>
        </w:rPr>
      </w:pPr>
    </w:p>
    <w:p>
      <w:pPr>
        <w:jc w:val="both"/>
        <w:ind w:left="110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Person</w:t>
      </w:r>
      <w:r>
        <w:rPr>
          <w:rFonts w:ascii="Times New Roman" w:cs="Times New Roman" w:eastAsia="Times New Roman" w:hAnsi="Times New Roman"/>
          <w:sz w:val="22"/>
          <w:szCs w:val="22"/>
          <w:color w:val="auto"/>
        </w:rPr>
        <w:t>”: any Person that is a “United States Person” as defined in Section 7701(a)(30) of the Code.</w:t>
      </w:r>
    </w:p>
    <w:p>
      <w:pPr>
        <w:spacing w:after="0" w:line="145" w:lineRule="exact"/>
        <w:rPr>
          <w:sz w:val="20"/>
          <w:szCs w:val="20"/>
          <w:color w:val="auto"/>
        </w:rPr>
      </w:pPr>
    </w:p>
    <w:p>
      <w:pPr>
        <w:jc w:val="both"/>
        <w:ind w:left="1100" w:right="20" w:firstLine="64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Voice Annual Platform Revenue</w:t>
      </w:r>
      <w:r>
        <w:rPr>
          <w:rFonts w:ascii="Times New Roman" w:cs="Times New Roman" w:eastAsia="Times New Roman" w:hAnsi="Times New Roman"/>
          <w:sz w:val="21"/>
          <w:szCs w:val="21"/>
          <w:color w:val="auto"/>
        </w:rPr>
        <w:t xml:space="preserve">”: for any date of determination, (a) Voice Platform Revenue for the three (3) consecutive month period ending as of such date </w:t>
      </w:r>
      <w:r>
        <w:rPr>
          <w:rFonts w:ascii="Times New Roman" w:cs="Times New Roman" w:eastAsia="Times New Roman" w:hAnsi="Times New Roman"/>
          <w:sz w:val="21"/>
          <w:szCs w:val="21"/>
          <w:u w:val="single" w:color="auto"/>
          <w:color w:val="auto"/>
        </w:rPr>
        <w:t>multiplied</w:t>
      </w:r>
      <w:r>
        <w:rPr>
          <w:rFonts w:ascii="Times New Roman" w:cs="Times New Roman" w:eastAsia="Times New Roman" w:hAnsi="Times New Roman"/>
          <w:sz w:val="21"/>
          <w:szCs w:val="21"/>
          <w:color w:val="auto"/>
        </w:rPr>
        <w:t xml:space="preserve"> by (b) four (4).</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24</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45" w:name="page46"/>
    <w:bookmarkEnd w:id="45"/>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Voice Platform Revenue</w:t>
      </w:r>
      <w:r>
        <w:rPr>
          <w:rFonts w:ascii="Times New Roman" w:cs="Times New Roman" w:eastAsia="Times New Roman" w:hAnsi="Times New Roman"/>
          <w:sz w:val="22"/>
          <w:szCs w:val="22"/>
          <w:color w:val="auto"/>
        </w:rPr>
        <w:t xml:space="preserve">”: platform revenue earned during any calendar month by the Borrower from Voice Products, and calculated in a manner consistent with the calculation of same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Voice Products</w:t>
      </w:r>
      <w:r>
        <w:rPr>
          <w:rFonts w:ascii="Times New Roman" w:cs="Times New Roman" w:eastAsia="Times New Roman" w:hAnsi="Times New Roman"/>
          <w:sz w:val="22"/>
          <w:szCs w:val="22"/>
          <w:color w:val="auto"/>
        </w:rPr>
        <w:t>”: Borrower’s speech recognition technology for use in the customer order process and otherwise determined in a manner consistent with the calculation of Voice Platform Revenue.</w:t>
      </w:r>
    </w:p>
    <w:p>
      <w:pPr>
        <w:spacing w:after="0" w:line="164"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Agreement</w:t>
      </w:r>
      <w:r>
        <w:rPr>
          <w:rFonts w:ascii="Times New Roman" w:cs="Times New Roman" w:eastAsia="Times New Roman" w:hAnsi="Times New Roman"/>
          <w:sz w:val="22"/>
          <w:szCs w:val="22"/>
          <w:color w:val="auto"/>
        </w:rPr>
        <w:t xml:space="preserve">”: that certain Amended and Restated Warrant Agreement, dated as of the </w:t>
      </w:r>
      <w:r>
        <w:rPr>
          <w:rFonts w:ascii="Times New Roman" w:cs="Times New Roman" w:eastAsia="Times New Roman" w:hAnsi="Times New Roman"/>
          <w:sz w:val="22"/>
          <w:szCs w:val="22"/>
          <w:color w:val="FF0000"/>
          <w:strike w:val="1"/>
        </w:rPr>
        <w:t>date hereof</w:t>
      </w:r>
      <w:r>
        <w:rPr>
          <w:rFonts w:ascii="Times New Roman" w:cs="Times New Roman" w:eastAsia="Times New Roman" w:hAnsi="Times New Roman"/>
          <w:sz w:val="22"/>
          <w:szCs w:val="22"/>
          <w:u w:val="single" w:color="auto"/>
          <w:color w:val="0000FF"/>
        </w:rPr>
        <w:t>Closing Date</w:t>
      </w:r>
      <w:r>
        <w:rPr>
          <w:rFonts w:ascii="Times New Roman" w:cs="Times New Roman" w:eastAsia="Times New Roman" w:hAnsi="Times New Roman"/>
          <w:sz w:val="22"/>
          <w:szCs w:val="22"/>
          <w:color w:val="auto"/>
        </w:rPr>
        <w:t>, by and between Parent and Continental Stock Transfer &amp; Trust Company, as Warrant Agent in substantially the form attached as Exhibit A to the Warrant Subscription Agreement.</w:t>
      </w:r>
    </w:p>
    <w:p>
      <w:pPr>
        <w:spacing w:after="0" w:line="185"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Subscription Agreement</w:t>
      </w:r>
      <w:r>
        <w:rPr>
          <w:rFonts w:ascii="Times New Roman" w:cs="Times New Roman" w:eastAsia="Times New Roman" w:hAnsi="Times New Roman"/>
          <w:sz w:val="22"/>
          <w:szCs w:val="22"/>
          <w:color w:val="auto"/>
        </w:rPr>
        <w:t xml:space="preserve">”: that certain </w:t>
      </w:r>
      <w:r>
        <w:rPr>
          <w:rFonts w:ascii="Times New Roman" w:cs="Times New Roman" w:eastAsia="Times New Roman" w:hAnsi="Times New Roman"/>
          <w:sz w:val="22"/>
          <w:szCs w:val="22"/>
          <w:u w:val="single" w:color="auto"/>
          <w:color w:val="0000FF"/>
        </w:rPr>
        <w:t>Warrant</w:t>
      </w:r>
      <w:r>
        <w:rPr>
          <w:rFonts w:ascii="Times New Roman" w:cs="Times New Roman" w:eastAsia="Times New Roman" w:hAnsi="Times New Roman"/>
          <w:sz w:val="22"/>
          <w:szCs w:val="22"/>
          <w:color w:val="auto"/>
        </w:rPr>
        <w:t xml:space="preserve"> Subscription Agreement, dated as of the </w:t>
      </w:r>
      <w:r>
        <w:rPr>
          <w:rFonts w:ascii="Times New Roman" w:cs="Times New Roman" w:eastAsia="Times New Roman" w:hAnsi="Times New Roman"/>
          <w:sz w:val="22"/>
          <w:szCs w:val="22"/>
          <w:color w:val="FF0000"/>
          <w:strike w:val="1"/>
        </w:rPr>
        <w:t>date hereof</w:t>
      </w:r>
      <w:r>
        <w:rPr>
          <w:rFonts w:ascii="Times New Roman" w:cs="Times New Roman" w:eastAsia="Times New Roman" w:hAnsi="Times New Roman"/>
          <w:sz w:val="22"/>
          <w:szCs w:val="22"/>
          <w:u w:val="single" w:color="auto"/>
          <w:color w:val="0000FF"/>
        </w:rPr>
        <w:t>Closing Date</w:t>
      </w:r>
      <w:r>
        <w:rPr>
          <w:rFonts w:ascii="Times New Roman" w:cs="Times New Roman" w:eastAsia="Times New Roman" w:hAnsi="Times New Roman"/>
          <w:sz w:val="22"/>
          <w:szCs w:val="22"/>
          <w:color w:val="auto"/>
        </w:rPr>
        <w:t>, by and between Parent and the Lenders, as may be amended, restated, supplemented or otherwise modified from time to time.</w:t>
      </w:r>
    </w:p>
    <w:p>
      <w:pPr>
        <w:spacing w:after="0" w:line="177" w:lineRule="exact"/>
        <w:rPr>
          <w:sz w:val="20"/>
          <w:szCs w:val="20"/>
          <w:color w:val="auto"/>
        </w:rPr>
      </w:pPr>
    </w:p>
    <w:p>
      <w:pPr>
        <w:jc w:val="both"/>
        <w:ind w:left="1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7F00"/>
          <w:strike w:val="1"/>
        </w:rPr>
        <w:t>those certain warrants to purchase 1,500,000 shares of Parent Common Stock 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7F00"/>
          <w:strike w:val="1"/>
        </w:rPr>
        <w:t>a purchase price of $11.50 per share issued by Parent pursuant to the Warrant Subscription Agreement to the Lenders on the Closing Date, as may be amended, restated, supplemented or otherwise modified from time to time.</w:t>
      </w:r>
      <w:r>
        <w:rPr>
          <w:rFonts w:ascii="Times New Roman" w:cs="Times New Roman" w:eastAsia="Times New Roman" w:hAnsi="Times New Roman"/>
          <w:sz w:val="22"/>
          <w:szCs w:val="22"/>
          <w:u w:val="single" w:color="auto"/>
          <w:color w:val="0000FF"/>
          <w:strike w:val="1"/>
        </w:rPr>
        <w:t>individually and collectively, the Closing Date Warrants and</w:t>
      </w:r>
      <w:r>
        <w:rPr>
          <w:rFonts w:ascii="Times New Roman" w:cs="Times New Roman" w:eastAsia="Times New Roman" w:hAnsi="Times New Roman"/>
          <w:sz w:val="22"/>
          <w:szCs w:val="22"/>
          <w:color w:val="007F00"/>
          <w:strike w:val="1"/>
        </w:rPr>
        <w:t xml:space="preserve"> </w:t>
      </w:r>
      <w:r>
        <w:rPr>
          <w:rFonts w:ascii="Times New Roman" w:cs="Times New Roman" w:eastAsia="Times New Roman" w:hAnsi="Times New Roman"/>
          <w:sz w:val="22"/>
          <w:szCs w:val="22"/>
          <w:u w:val="single" w:color="auto"/>
          <w:color w:val="0000FF"/>
          <w:strike w:val="1"/>
        </w:rPr>
        <w:t>the First Amendment Warrants, as applicable.</w:t>
      </w:r>
    </w:p>
    <w:p>
      <w:pPr>
        <w:spacing w:after="0" w:line="17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Withholding Agent</w:t>
      </w:r>
      <w:r>
        <w:rPr>
          <w:rFonts w:ascii="Times New Roman" w:cs="Times New Roman" w:eastAsia="Times New Roman" w:hAnsi="Times New Roman"/>
          <w:sz w:val="22"/>
          <w:szCs w:val="22"/>
          <w:color w:val="auto"/>
        </w:rPr>
        <w:t>”: any Loan Party and Agent.</w:t>
      </w:r>
    </w:p>
    <w:p>
      <w:pPr>
        <w:spacing w:after="0" w:line="220" w:lineRule="exact"/>
        <w:rPr>
          <w:sz w:val="20"/>
          <w:szCs w:val="20"/>
          <w:color w:val="auto"/>
        </w:rPr>
      </w:pPr>
    </w:p>
    <w:p>
      <w:pPr>
        <w:jc w:val="both"/>
        <w:ind w:left="1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XAC Litigation</w:t>
      </w:r>
      <w:r>
        <w:rPr>
          <w:rFonts w:ascii="Times New Roman" w:cs="Times New Roman" w:eastAsia="Times New Roman" w:hAnsi="Times New Roman"/>
          <w:sz w:val="22"/>
          <w:szCs w:val="22"/>
          <w:color w:val="auto"/>
        </w:rPr>
        <w:t>”: means any litigation relating to that certain Final Award, dated June 28, 2022 in respect of SIAC Arbitration No. 099 of 2021 between E La Carte, Inc., as claimant, and XAC Taiwan, as respondent.</w:t>
      </w:r>
    </w:p>
    <w:p>
      <w:pPr>
        <w:spacing w:after="0" w:line="179"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1.2</w:t>
      </w:r>
      <w:r>
        <w:rPr>
          <w:sz w:val="20"/>
          <w:szCs w:val="20"/>
          <w:color w:val="auto"/>
        </w:rPr>
        <w:tab/>
      </w:r>
      <w:r>
        <w:rPr>
          <w:rFonts w:ascii="Times New Roman" w:cs="Times New Roman" w:eastAsia="Times New Roman" w:hAnsi="Times New Roman"/>
          <w:sz w:val="21"/>
          <w:szCs w:val="21"/>
          <w:b w:val="1"/>
          <w:bCs w:val="1"/>
          <w:color w:val="auto"/>
        </w:rPr>
        <w:t>Other Definitional Provisions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4"/>
        <w:spacing w:after="0" w:line="244" w:lineRule="auto"/>
        <w:tabs>
          <w:tab w:leader="none" w:pos="2396"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3" w:lineRule="exact"/>
        <w:rPr>
          <w:rFonts w:ascii="Times New Roman" w:cs="Times New Roman" w:eastAsia="Times New Roman" w:hAnsi="Times New Roman"/>
          <w:sz w:val="22"/>
          <w:szCs w:val="22"/>
          <w:color w:val="010000"/>
        </w:rPr>
      </w:pPr>
    </w:p>
    <w:p>
      <w:pPr>
        <w:jc w:val="both"/>
        <w:ind w:left="1100" w:firstLine="653"/>
        <w:spacing w:after="0" w:line="233" w:lineRule="auto"/>
        <w:tabs>
          <w:tab w:leader="none" w:pos="2397"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used herein and in the other Loan Documents, and in any certificate or other document made or delivered pursuant hereto or thereto, (i) accounting terms relating to the Loan Parties not defined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1.1 and accounting terms partly defined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Equity Interests, securities, revenues, accounts, leasehold interests and contract rights, (v) any Default or Event of Default is deemed continuing until waived in writing by Agent or the Required Lenders, (vi) references to agreements (including this Agreement) or other Contractual Obligations, or any Law or regulation, shall, unless otherwise specified, be deemed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25</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9" w:right="999" w:bottom="1440" w:gutter="0" w:footer="0" w:header="0"/>
        </w:sectPr>
      </w:pPr>
    </w:p>
    <w:bookmarkStart w:id="46" w:name="page47"/>
    <w:bookmarkEnd w:id="46"/>
    <w:p>
      <w:pPr>
        <w:ind w:left="1100"/>
        <w:spacing w:after="0" w:line="253" w:lineRule="auto"/>
        <w:rPr>
          <w:sz w:val="20"/>
          <w:szCs w:val="20"/>
          <w:color w:val="auto"/>
        </w:rPr>
      </w:pPr>
      <w:r>
        <w:rPr>
          <w:rFonts w:ascii="Times New Roman" w:cs="Times New Roman" w:eastAsia="Times New Roman" w:hAnsi="Times New Roman"/>
          <w:sz w:val="21"/>
          <w:szCs w:val="21"/>
          <w:color w:val="auto"/>
        </w:rPr>
        <w:t>to refer to such agreements or Contractual Obligations, or Law or regulation, as applicable, as amended, supplemented, restated, amended and restated or otherwise modified from time to time and</w:t>
      </w:r>
    </w:p>
    <w:p>
      <w:pPr>
        <w:spacing w:after="0" w:line="1" w:lineRule="exact"/>
        <w:rPr>
          <w:sz w:val="20"/>
          <w:szCs w:val="20"/>
          <w:color w:val="auto"/>
        </w:rPr>
      </w:pPr>
    </w:p>
    <w:p>
      <w:pPr>
        <w:jc w:val="both"/>
        <w:ind w:left="1100" w:firstLine="6"/>
        <w:spacing w:after="0" w:line="234" w:lineRule="auto"/>
        <w:tabs>
          <w:tab w:leader="none" w:pos="152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used which are not specifically defined shall have the meanings provided in Article 9 of the UCC in effect on the date hereof to the extent the same are used or defined therein. All references to the principal amount of the Term Loan shall include accrued and capitalized PIK Interest, unless expressly stated otherwise.</w:t>
      </w:r>
    </w:p>
    <w:p>
      <w:pPr>
        <w:spacing w:after="0" w:line="190" w:lineRule="exact"/>
        <w:rPr>
          <w:rFonts w:ascii="Times New Roman" w:cs="Times New Roman" w:eastAsia="Times New Roman" w:hAnsi="Times New Roman"/>
          <w:sz w:val="22"/>
          <w:szCs w:val="22"/>
          <w:color w:val="auto"/>
        </w:rPr>
      </w:pPr>
    </w:p>
    <w:p>
      <w:pPr>
        <w:jc w:val="both"/>
        <w:ind w:left="1100" w:firstLine="654"/>
        <w:spacing w:after="0" w:line="232" w:lineRule="auto"/>
        <w:tabs>
          <w:tab w:leader="none" w:pos="2396"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“hereof”, “herein” and “hereunder” and words of similar import, when used in this Agreement, shall refer to this Agreement as a whole and not to any particular provision of this Agreement, and all references herein to Sections, Exhibits and Schedules shall be construed to refer to this Agreement unless otherwise specified. The word “will” shall be construed to have the same meaning and effect as the word “shall”. Unless the context requires otherwise, (i) any reference herein to any Person shall be construed to include such Person’s successors and assigns, (ii) any reference to any Law or regulation herein shall, unless otherwise specified, refer to such Law or regulation as amended, modified or supplemented from time to time, (iii) relative to the determination of any period of time, “from” means “from and including”, “to” means “to and including”, and “through” means “through and including”,</w:t>
      </w:r>
    </w:p>
    <w:p>
      <w:pPr>
        <w:spacing w:after="0" w:line="8" w:lineRule="exact"/>
        <w:rPr>
          <w:rFonts w:ascii="Times New Roman" w:cs="Times New Roman" w:eastAsia="Times New Roman" w:hAnsi="Times New Roman"/>
          <w:sz w:val="22"/>
          <w:szCs w:val="22"/>
          <w:color w:val="010000"/>
        </w:rPr>
      </w:pPr>
    </w:p>
    <w:p>
      <w:pPr>
        <w:jc w:val="both"/>
        <w:ind w:left="1100" w:right="20" w:firstLine="6"/>
        <w:spacing w:after="0" w:line="249" w:lineRule="auto"/>
        <w:tabs>
          <w:tab w:leader="none" w:pos="146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headings herein and in each other Loan Document are included for convenience and shall not affect the interpretation of this Agreement or such Loan Document and (v) unless otherwise specified, all references herein to times of day shall constitute references to New York City time.</w:t>
      </w:r>
    </w:p>
    <w:p>
      <w:pPr>
        <w:spacing w:after="0" w:line="169" w:lineRule="exact"/>
        <w:rPr>
          <w:rFonts w:ascii="Times New Roman" w:cs="Times New Roman" w:eastAsia="Times New Roman" w:hAnsi="Times New Roman"/>
          <w:sz w:val="21"/>
          <w:szCs w:val="21"/>
          <w:color w:val="auto"/>
        </w:rPr>
      </w:pPr>
    </w:p>
    <w:p>
      <w:pPr>
        <w:jc w:val="both"/>
        <w:ind w:left="1100" w:firstLine="654"/>
        <w:spacing w:after="0" w:line="244" w:lineRule="auto"/>
        <w:tabs>
          <w:tab w:leader="none" w:pos="2396"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86" w:lineRule="exact"/>
        <w:rPr>
          <w:rFonts w:ascii="Times New Roman" w:cs="Times New Roman" w:eastAsia="Times New Roman" w:hAnsi="Times New Roman"/>
          <w:sz w:val="22"/>
          <w:szCs w:val="22"/>
          <w:color w:val="010000"/>
        </w:rPr>
      </w:pPr>
    </w:p>
    <w:p>
      <w:pPr>
        <w:jc w:val="both"/>
        <w:ind w:left="1100" w:firstLine="653"/>
        <w:spacing w:after="0" w:line="232" w:lineRule="auto"/>
        <w:tabs>
          <w:tab w:leader="none" w:pos="2397"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Notwithstanding the foregoing, if the Borrower notifies Agent in writing that the Loan Parties wish wishes to amend any financial covenant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of this Agreement and/or any related definition to eliminate the effect of any change in GAAP occurring after the Closing Date on the operation of such covenants (or if Agent notifies the Borrower in writing that the Required Lenders wish to amend any covenant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and/or any related definition to eliminate the effect of any such change in GAAP), then Agent, the Lenders and the Borrower shall negotiate in good faith to amend such ratios or requirements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the Loan Parties’ compliance with such covenants and/or the definitions shall be determined on the basis of GAAP in effect immediately before the relevant change in GAAP became effective, until either such notice is withdrawn or such covenants or definitions are amended in a manner satisfactory to the Borrower, Agent and the Required Lenders, and the Loan Parties shall provide to Agent, when they deliver their financial statements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of this Agreement, such reconciliation statements as shall be reasonably requested by Agent.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26</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47" w:name="page48"/>
    <w:bookmarkEnd w:id="47"/>
    <w:p>
      <w:pPr>
        <w:jc w:val="both"/>
        <w:ind w:left="1100" w:firstLine="654"/>
        <w:spacing w:after="0" w:line="236" w:lineRule="auto"/>
        <w:tabs>
          <w:tab w:leader="none" w:pos="2396"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all purposes under the Loan Documents, in connection with any Division/Series Transaction: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94" w:lineRule="exact"/>
        <w:rPr>
          <w:rFonts w:ascii="Times New Roman" w:cs="Times New Roman" w:eastAsia="Times New Roman" w:hAnsi="Times New Roman"/>
          <w:sz w:val="22"/>
          <w:szCs w:val="22"/>
          <w:color w:val="010000"/>
        </w:rPr>
      </w:pPr>
    </w:p>
    <w:p>
      <w:pPr>
        <w:jc w:val="both"/>
        <w:ind w:left="1100" w:firstLine="654"/>
        <w:spacing w:after="0" w:line="234" w:lineRule="auto"/>
        <w:tabs>
          <w:tab w:leader="none" w:pos="2396"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contained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or in the definition of “Capital Lease,” any provision related to the accounting for leases pursuant to GAAP reflecting the adoption of Financial Accounting Standards Board Accounting Standards Update No. 2016-02, Leases (Topic 842) (“FAS 842”), to the extent such provisions require or would require treating any lease (or similar arrangement conveying the right to use) as a capital lease where such lease (or similar arrangement) would not have been required to be so treated under GAAP prior to the adoption thereof, such lease shall not be considered a capital lease, and all calculations and deliverables under this Agreement or any other Loan Document shall be made or delivered, as applicable, in accordance therewith.</w:t>
      </w:r>
    </w:p>
    <w:p>
      <w:pPr>
        <w:spacing w:after="0" w:line="183" w:lineRule="exact"/>
        <w:rPr>
          <w:rFonts w:ascii="Times New Roman" w:cs="Times New Roman" w:eastAsia="Times New Roman" w:hAnsi="Times New Roman"/>
          <w:sz w:val="22"/>
          <w:szCs w:val="22"/>
          <w:color w:val="010000"/>
        </w:rPr>
      </w:pPr>
    </w:p>
    <w:p>
      <w:pPr>
        <w:jc w:val="both"/>
        <w:ind w:left="1100" w:firstLine="653"/>
        <w:spacing w:after="0" w:line="233" w:lineRule="auto"/>
        <w:tabs>
          <w:tab w:leader="none" w:pos="2397"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10 25 (or any other Accounting Standards Codification or Financial Accounting Standard having a similar result or effect) to value any Indebtedness or other liabilities of any Loan Party or any Subsidiary at “fair value”, as defined therein and (ii) without giving effect to any treatment of Indebtedness under Financial Accounting Standards Board Accounting Standards Codification 470 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2</w:t>
      </w:r>
    </w:p>
    <w:p>
      <w:pPr>
        <w:spacing w:after="0" w:line="1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AMOUNT AND TERMS OF COMMITMENTS</w:t>
      </w:r>
    </w:p>
    <w:p>
      <w:pPr>
        <w:spacing w:after="0" w:line="192" w:lineRule="exact"/>
        <w:rPr>
          <w:sz w:val="20"/>
          <w:szCs w:val="20"/>
          <w:color w:val="auto"/>
        </w:rPr>
      </w:pPr>
    </w:p>
    <w:p>
      <w:pPr>
        <w:ind w:left="176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010000"/>
        </w:rPr>
        <w:t>2.1</w:t>
      </w:r>
      <w:r>
        <w:rPr>
          <w:sz w:val="20"/>
          <w:szCs w:val="20"/>
          <w:color w:val="auto"/>
        </w:rPr>
        <w:tab/>
      </w:r>
      <w:r>
        <w:rPr>
          <w:rFonts w:ascii="Times New Roman" w:cs="Times New Roman" w:eastAsia="Times New Roman" w:hAnsi="Times New Roman"/>
          <w:sz w:val="21"/>
          <w:szCs w:val="21"/>
          <w:b w:val="1"/>
          <w:bCs w:val="1"/>
          <w:color w:val="auto"/>
        </w:rPr>
        <w:t>Commitments; Repayment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3"/>
        <w:spacing w:after="0" w:line="239" w:lineRule="auto"/>
        <w:tabs>
          <w:tab w:leader="none" w:pos="2397"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Subject to the terms and conditions hereof, Lenders agree to make a term loan on the Closing Date in the aggregate initial principal amount of $55,000,000 (the “</w:t>
      </w:r>
      <w:r>
        <w:rPr>
          <w:rFonts w:ascii="Times New Roman" w:cs="Times New Roman" w:eastAsia="Times New Roman" w:hAnsi="Times New Roman"/>
          <w:sz w:val="22"/>
          <w:szCs w:val="22"/>
          <w:b w:val="1"/>
          <w:bCs w:val="1"/>
          <w:i w:val="1"/>
          <w:iCs w:val="1"/>
          <w:color w:val="auto"/>
        </w:rPr>
        <w:t>Term Loan</w:t>
      </w:r>
      <w:r>
        <w:rPr>
          <w:rFonts w:ascii="Times New Roman" w:cs="Times New Roman" w:eastAsia="Times New Roman" w:hAnsi="Times New Roman"/>
          <w:sz w:val="22"/>
          <w:szCs w:val="22"/>
          <w:color w:val="auto"/>
        </w:rPr>
        <w:t>”). Once repaid, no portion of the Term Loan may be re-borrowed. Upon the funding on the Closing Date, the Term Loan Commitment shall be immediately terminated and reduced to $0.</w:t>
      </w:r>
    </w:p>
    <w:p>
      <w:pPr>
        <w:spacing w:after="0" w:line="180" w:lineRule="exact"/>
        <w:rPr>
          <w:rFonts w:ascii="Times New Roman" w:cs="Times New Roman" w:eastAsia="Times New Roman" w:hAnsi="Times New Roman"/>
          <w:sz w:val="22"/>
          <w:szCs w:val="22"/>
          <w:color w:val="010000"/>
        </w:rPr>
      </w:pPr>
    </w:p>
    <w:p>
      <w:pPr>
        <w:jc w:val="both"/>
        <w:ind w:left="1100" w:firstLine="654"/>
        <w:spacing w:after="0" w:line="239" w:lineRule="auto"/>
        <w:tabs>
          <w:tab w:leader="none" w:pos="2396"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The Advances made by each Lender may, upon request by each Lender, be evidenced by a promissory note payable to the order of Agent, for the benefit of such Lender,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(as amended, restated, amended and restated, supplemented or otherwise modified from time to time, a “</w:t>
      </w:r>
      <w:r>
        <w:rPr>
          <w:rFonts w:ascii="Times New Roman" w:cs="Times New Roman" w:eastAsia="Times New Roman" w:hAnsi="Times New Roman"/>
          <w:sz w:val="22"/>
          <w:szCs w:val="22"/>
          <w:b w:val="1"/>
          <w:bCs w:val="1"/>
          <w:i w:val="1"/>
          <w:iCs w:val="1"/>
          <w:color w:val="auto"/>
        </w:rPr>
        <w:t>Note</w:t>
      </w:r>
      <w:r>
        <w:rPr>
          <w:rFonts w:ascii="Times New Roman" w:cs="Times New Roman" w:eastAsia="Times New Roman" w:hAnsi="Times New Roman"/>
          <w:sz w:val="22"/>
          <w:szCs w:val="22"/>
          <w:color w:val="auto"/>
        </w:rPr>
        <w:t>”), executed by Borrower and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27</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48" w:name="page49"/>
    <w:bookmarkEnd w:id="48"/>
    <w:p>
      <w:pPr>
        <w:ind w:left="1100" w:right="380"/>
        <w:spacing w:after="0" w:line="258" w:lineRule="auto"/>
        <w:rPr>
          <w:sz w:val="20"/>
          <w:szCs w:val="20"/>
          <w:color w:val="auto"/>
        </w:rPr>
      </w:pPr>
      <w:r>
        <w:rPr>
          <w:rFonts w:ascii="Times New Roman" w:cs="Times New Roman" w:eastAsia="Times New Roman" w:hAnsi="Times New Roman"/>
          <w:sz w:val="22"/>
          <w:szCs w:val="22"/>
          <w:color w:val="auto"/>
        </w:rPr>
        <w:t>delivered to such Lender. Each Note shall be in a stated maximum principal amount equal to such Lender’s Term Loan Commitment, as applicable.</w:t>
      </w:r>
    </w:p>
    <w:p>
      <w:pPr>
        <w:spacing w:after="0" w:line="172" w:lineRule="exact"/>
        <w:rPr>
          <w:sz w:val="20"/>
          <w:szCs w:val="20"/>
          <w:color w:val="auto"/>
        </w:rPr>
      </w:pPr>
    </w:p>
    <w:p>
      <w:pPr>
        <w:ind w:left="2380" w:hanging="630"/>
        <w:spacing w:after="0"/>
        <w:tabs>
          <w:tab w:leader="none" w:pos="2380"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Mandatory Repayments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760" w:firstLine="642"/>
        <w:spacing w:after="0" w:line="239" w:lineRule="auto"/>
        <w:tabs>
          <w:tab w:leader="none" w:pos="3056" w:val="left"/>
        </w:tabs>
        <w:numPr>
          <w:ilvl w:val="3"/>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not previously paid, the then outstanding Term Loan and all other Obligations shall be due and payable on the Maturity Date, together with all accrued and unpaid interest on such Obligations to be paid to and including the date of payment and any Make Whole Premium and other Obligations.</w:t>
      </w:r>
    </w:p>
    <w:p>
      <w:pPr>
        <w:spacing w:after="0" w:line="180" w:lineRule="exact"/>
        <w:rPr>
          <w:rFonts w:ascii="Times New Roman" w:cs="Times New Roman" w:eastAsia="Times New Roman" w:hAnsi="Times New Roman"/>
          <w:sz w:val="22"/>
          <w:szCs w:val="22"/>
          <w:color w:val="010000"/>
        </w:rPr>
      </w:pPr>
    </w:p>
    <w:p>
      <w:pPr>
        <w:jc w:val="both"/>
        <w:ind w:left="1760" w:firstLine="641"/>
        <w:spacing w:after="0" w:line="243" w:lineRule="auto"/>
        <w:tabs>
          <w:tab w:leader="none" w:pos="3057" w:val="left"/>
        </w:tabs>
        <w:numPr>
          <w:ilvl w:val="3"/>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receipt by Borrower of the proceeds of any Prepayment Event, Borrower shall make a prepayment of principal of the Term Loan in an amount equal to 100% of the Net Cash Proceeds of such Prepayment Event, together with any accrued interest on such amount and any Make Whole Premium payable pursuant to Section 2.1(e) in connection therewith. Notwithstanding the foregoing and provided no Event of Default has occurred and is continuing, in the case of any event of the type described in either clause (a) or (b) of the definition of the term “Prepayment Event”, such prepayment shall not be required to the extent Borrower reinvests the Net Cash Proceeds of such Prepayment Event, in assets of a kind then used or usable in the business of Borrower and in which Agent has a first-priority perfected Lien within ninety (90) days (with respect to clause (a)) and one hundred eighty</w:t>
      </w:r>
    </w:p>
    <w:p>
      <w:pPr>
        <w:spacing w:after="0" w:line="9" w:lineRule="exact"/>
        <w:rPr>
          <w:rFonts w:ascii="Times New Roman" w:cs="Times New Roman" w:eastAsia="Times New Roman" w:hAnsi="Times New Roman"/>
          <w:sz w:val="21"/>
          <w:szCs w:val="21"/>
          <w:color w:val="010000"/>
        </w:rPr>
      </w:pPr>
    </w:p>
    <w:p>
      <w:pPr>
        <w:jc w:val="both"/>
        <w:ind w:left="1760" w:hanging="7"/>
        <w:spacing w:after="0" w:line="234" w:lineRule="auto"/>
        <w:tabs>
          <w:tab w:leader="none" w:pos="2320"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(with respect to clause (b)) after the date of such Disposition or enters into a binding commitment thereof within such period and subsequently makes such reinvestment, provided until such date of reinvestment such Net Cash Proceeds are deposited into a Controlled Account over which Agent has a first-priority perfected Lien.</w:t>
      </w:r>
    </w:p>
    <w:p>
      <w:pPr>
        <w:spacing w:after="0" w:line="190" w:lineRule="exact"/>
        <w:rPr>
          <w:rFonts w:ascii="Times New Roman" w:cs="Times New Roman" w:eastAsia="Times New Roman" w:hAnsi="Times New Roman"/>
          <w:sz w:val="22"/>
          <w:szCs w:val="22"/>
          <w:color w:val="auto"/>
        </w:rPr>
      </w:pPr>
    </w:p>
    <w:p>
      <w:pPr>
        <w:jc w:val="both"/>
        <w:ind w:left="1100" w:firstLine="653"/>
        <w:spacing w:after="0" w:line="235" w:lineRule="auto"/>
        <w:tabs>
          <w:tab w:leader="none" w:pos="2397"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Voluntary Prepayment</w:t>
      </w:r>
      <w:r>
        <w:rPr>
          <w:rFonts w:ascii="Times New Roman" w:cs="Times New Roman" w:eastAsia="Times New Roman" w:hAnsi="Times New Roman"/>
          <w:sz w:val="22"/>
          <w:szCs w:val="22"/>
          <w:color w:val="auto"/>
        </w:rPr>
        <w:t xml:space="preserve">. With thirty (30) days’ prior written notice, Borrower may at any time voluntarily prepay, in whole or in part, the principal amount of the outstanding Term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all accrued and unpaid interest and fees with respect to the outstanding Obligations are paid simultaneously with such voluntary principal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to the extent such voluntary principal payment occurs on or before the date that is eighteen</w:t>
      </w:r>
    </w:p>
    <w:p>
      <w:pPr>
        <w:jc w:val="both"/>
        <w:ind w:left="1100" w:firstLine="6"/>
        <w:spacing w:after="0" w:line="235" w:lineRule="auto"/>
        <w:tabs>
          <w:tab w:leader="none" w:pos="15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Closing Date, such payment shall be accompanied by payment in full in cash of the Make Whole Premium on the amount of the Term Loan repaid and all other earned and unpaid fees.</w:t>
      </w:r>
    </w:p>
    <w:p>
      <w:pPr>
        <w:spacing w:after="0" w:line="187" w:lineRule="exact"/>
        <w:rPr>
          <w:rFonts w:ascii="Times New Roman" w:cs="Times New Roman" w:eastAsia="Times New Roman" w:hAnsi="Times New Roman"/>
          <w:sz w:val="22"/>
          <w:szCs w:val="22"/>
          <w:color w:val="auto"/>
        </w:rPr>
      </w:pPr>
    </w:p>
    <w:p>
      <w:pPr>
        <w:jc w:val="both"/>
        <w:ind w:left="1100" w:firstLine="654"/>
        <w:spacing w:after="0" w:line="233" w:lineRule="auto"/>
        <w:tabs>
          <w:tab w:leader="none" w:pos="239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Make Whole Premium</w:t>
      </w:r>
      <w:r>
        <w:rPr>
          <w:rFonts w:ascii="Times New Roman" w:cs="Times New Roman" w:eastAsia="Times New Roman" w:hAnsi="Times New Roman"/>
          <w:sz w:val="22"/>
          <w:szCs w:val="22"/>
          <w:color w:val="auto"/>
        </w:rPr>
        <w:t>. To the extent any payment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2.1(c)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2.1(d)</w:t>
      </w:r>
      <w:r>
        <w:rPr>
          <w:rFonts w:ascii="Times New Roman" w:cs="Times New Roman" w:eastAsia="Times New Roman" w:hAnsi="Times New Roman"/>
          <w:sz w:val="22"/>
          <w:szCs w:val="22"/>
          <w:color w:val="auto"/>
        </w:rPr>
        <w:t xml:space="preserve"> occurs on or before the date that is eighteen (18) months following the Closing Date, any prepayment made (i) pursuant to </w:t>
      </w:r>
      <w:r>
        <w:rPr>
          <w:rFonts w:ascii="Times New Roman" w:cs="Times New Roman" w:eastAsia="Times New Roman" w:hAnsi="Times New Roman"/>
          <w:sz w:val="22"/>
          <w:szCs w:val="22"/>
          <w:u w:val="single" w:color="auto"/>
          <w:color w:val="auto"/>
        </w:rPr>
        <w:t>Section 2.1(c)(ii)</w:t>
      </w:r>
      <w:r>
        <w:rPr>
          <w:rFonts w:ascii="Times New Roman" w:cs="Times New Roman" w:eastAsia="Times New Roman" w:hAnsi="Times New Roman"/>
          <w:sz w:val="22"/>
          <w:szCs w:val="22"/>
          <w:color w:val="auto"/>
        </w:rPr>
        <w:t xml:space="preserve"> as a result of a Prepayment Event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thereof, or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shall be accompanied by payment in full in cash of the Make Whole Premium. Any Make Whole Premium payable in accordance with this Agreement shall be presumed to be equal to the liquidated damages sustained by the Lenders as the result of the occurrence of any event triggering the prepayment of such Make Whole Premium and Borrower agrees that it is reasonable under the circumstances currently existing. The parties hereto acknowledge that the Make Whole Premium shall survive acceleration of the Obligations and/or the occurrence of any insolvency proceeding, and shall automatically accrue to the principal amount of the Term Loan pro rata and shall constitute part of the Obligations for all purposes herein. If the Term Loan is accelerated for any reason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28</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49" w:name="page50"/>
    <w:bookmarkEnd w:id="49"/>
    <w:p>
      <w:pPr>
        <w:jc w:val="both"/>
        <w:ind w:left="1100"/>
        <w:spacing w:after="0" w:line="235" w:lineRule="auto"/>
        <w:rPr>
          <w:sz w:val="20"/>
          <w:szCs w:val="20"/>
          <w:color w:val="auto"/>
        </w:rPr>
      </w:pPr>
      <w:r>
        <w:rPr>
          <w:rFonts w:ascii="Times New Roman" w:cs="Times New Roman" w:eastAsia="Times New Roman" w:hAnsi="Times New Roman"/>
          <w:sz w:val="22"/>
          <w:szCs w:val="22"/>
          <w:color w:val="auto"/>
        </w:rPr>
        <w:t>pursuant to the terms herein, the Make Whole Premium shall be calculated as if the date of acceleration of the Term Loan was the date of prepayment of the Term Loan. THE BORROWER EXPRESSLY WAIVES THE PROVISIONS OF ANY PRESENT OR FUTURE STATUTE OR LAW THAT PROHIBITS OR MAY PROHIBIT THE COLLECTION OF THE FOREGOING MAKE WHOLE PREMIUM IN CONNECTION WITH ANY ACCELERATION. The</w:t>
      </w:r>
    </w:p>
    <w:p>
      <w:pPr>
        <w:jc w:val="both"/>
        <w:ind w:left="1100"/>
        <w:spacing w:after="0" w:line="241" w:lineRule="auto"/>
        <w:rPr>
          <w:sz w:val="20"/>
          <w:szCs w:val="20"/>
          <w:color w:val="auto"/>
        </w:rPr>
      </w:pPr>
      <w:r>
        <w:rPr>
          <w:rFonts w:ascii="Times New Roman" w:cs="Times New Roman" w:eastAsia="Times New Roman" w:hAnsi="Times New Roman"/>
          <w:sz w:val="21"/>
          <w:szCs w:val="21"/>
          <w:color w:val="auto"/>
        </w:rPr>
        <w:t xml:space="preserve">Borrower expressly agrees that: (A) the Make Whole Premium is reasonable and is the product of an </w:t>
      </w:r>
      <w:r>
        <w:rPr>
          <w:rFonts w:ascii="Times New Roman" w:cs="Times New Roman" w:eastAsia="Times New Roman" w:hAnsi="Times New Roman"/>
          <w:sz w:val="21"/>
          <w:szCs w:val="21"/>
          <w:color w:val="FF0000"/>
          <w:strike w:val="1"/>
        </w:rPr>
        <w:t>arm's</w:t>
      </w:r>
      <w:r>
        <w:rPr>
          <w:rFonts w:ascii="Times New Roman" w:cs="Times New Roman" w:eastAsia="Times New Roman" w:hAnsi="Times New Roman"/>
          <w:sz w:val="21"/>
          <w:szCs w:val="21"/>
          <w:u w:val="single" w:color="auto"/>
          <w:color w:val="0000FF"/>
        </w:rPr>
        <w:t>arm’s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length transaction between sophisticated business people, ably represented by counsel;</w:t>
      </w:r>
    </w:p>
    <w:p>
      <w:pPr>
        <w:spacing w:after="0" w:line="1" w:lineRule="exact"/>
        <w:rPr>
          <w:sz w:val="20"/>
          <w:szCs w:val="20"/>
          <w:color w:val="auto"/>
        </w:rPr>
      </w:pPr>
    </w:p>
    <w:p>
      <w:pPr>
        <w:jc w:val="both"/>
        <w:ind w:left="1100" w:firstLine="6"/>
        <w:spacing w:after="0" w:line="241" w:lineRule="auto"/>
        <w:tabs>
          <w:tab w:leader="none" w:pos="146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Make Whole Premium shall be payable notwithstanding the then prevailing market rates at the time payment is made; (C) there has been a course of conduct between Lenders and Borrower giving specific consideration in this transaction for such agreement to pay the Make Whole Premium;</w:t>
      </w:r>
    </w:p>
    <w:p>
      <w:pPr>
        <w:spacing w:after="0" w:line="1" w:lineRule="exact"/>
        <w:rPr>
          <w:rFonts w:ascii="Times New Roman" w:cs="Times New Roman" w:eastAsia="Times New Roman" w:hAnsi="Times New Roman"/>
          <w:sz w:val="21"/>
          <w:szCs w:val="21"/>
          <w:color w:val="auto"/>
        </w:rPr>
      </w:pPr>
    </w:p>
    <w:p>
      <w:pPr>
        <w:jc w:val="both"/>
        <w:ind w:left="1100" w:firstLine="6"/>
        <w:spacing w:after="0" w:line="232" w:lineRule="auto"/>
        <w:tabs>
          <w:tab w:leader="none" w:pos="151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be estopped hereafter from claiming differently than as agreed to in this paragraph; (E) Borrower’s agreement to pay the Make Whole Premium is a material inducement to Lenders to extend the Term Loan; and (F) the Make Whole Premium represents a good faith, reasonable estimate and calculation of the lost profits or damages of Lenders and that it would be impractical and extremely difficult to ascertain the actual amount of damages to Lenders or profits lost by Lenders as a result of such event triggering payment of the Make Whole Premium.</w:t>
      </w:r>
    </w:p>
    <w:p>
      <w:pPr>
        <w:spacing w:after="0" w:line="192"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2.2</w:t>
      </w:r>
      <w:r>
        <w:rPr>
          <w:sz w:val="20"/>
          <w:szCs w:val="20"/>
          <w:color w:val="auto"/>
        </w:rPr>
        <w:tab/>
      </w:r>
      <w:r>
        <w:rPr>
          <w:rFonts w:ascii="Times New Roman" w:cs="Times New Roman" w:eastAsia="Times New Roman" w:hAnsi="Times New Roman"/>
          <w:sz w:val="21"/>
          <w:szCs w:val="21"/>
          <w:b w:val="1"/>
          <w:bCs w:val="1"/>
          <w:color w:val="auto"/>
        </w:rPr>
        <w:t>Advances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3"/>
        <w:spacing w:after="0" w:line="234" w:lineRule="auto"/>
        <w:tabs>
          <w:tab w:leader="none" w:pos="2397"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Procedure for Borrowing</w:t>
      </w:r>
      <w:r>
        <w:rPr>
          <w:rFonts w:ascii="Times New Roman" w:cs="Times New Roman" w:eastAsia="Times New Roman" w:hAnsi="Times New Roman"/>
          <w:sz w:val="22"/>
          <w:szCs w:val="22"/>
          <w:color w:val="auto"/>
        </w:rPr>
        <w:t>. Subject to the terms and conditions of this Agreement, Borrower may borrow the Term Loan on the Closing Date; provided, that Borrower shall give Agent a Notice of Borrowing specifying the principal amount of the requested Term Loan to be made, the requested Borrowing Date, and instructions for remittance of the proceeds of the requested Term Loan (which notice must be received by Agent prior to 11:00 am (New York City time) on the Closing Date). The Term Loan shall be in an initial principal amount equal to</w:t>
      </w:r>
    </w:p>
    <w:p>
      <w:pPr>
        <w:spacing w:after="0" w:line="2" w:lineRule="exact"/>
        <w:rPr>
          <w:rFonts w:ascii="Times New Roman" w:cs="Times New Roman" w:eastAsia="Times New Roman" w:hAnsi="Times New Roman"/>
          <w:sz w:val="22"/>
          <w:szCs w:val="22"/>
          <w:color w:val="010000"/>
        </w:rPr>
      </w:pPr>
    </w:p>
    <w:p>
      <w:pPr>
        <w:jc w:val="both"/>
        <w:ind w:left="1100" w:right="20"/>
        <w:spacing w:after="0" w:line="235"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$55,000,000 on the Closing Date. Subject to the satisfaction or waiver of the conditions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Lenders will fund the principal amount of the requested Advance pursuant to the wiring instructions provided in the Notice of Borrowing on the requested Borrowing Date.</w:t>
      </w:r>
    </w:p>
    <w:p>
      <w:pPr>
        <w:spacing w:after="0" w:line="177"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Making of the Term Loan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760" w:firstLine="1290"/>
        <w:spacing w:after="0" w:line="235" w:lineRule="auto"/>
        <w:tabs>
          <w:tab w:leader="none" w:pos="3704"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Following receipt of a Notice of Borrowing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w:t>
      </w:r>
      <w:r>
        <w:rPr>
          <w:rFonts w:ascii="Times New Roman" w:cs="Times New Roman" w:eastAsia="Times New Roman" w:hAnsi="Times New Roman"/>
          <w:sz w:val="22"/>
          <w:szCs w:val="22"/>
          <w:color w:val="auto"/>
        </w:rPr>
        <w:t xml:space="preserve">, Agent shall promptly notify each applicable Lender of the amount of its Applicable Percentage of the requested Advance. Each Lender shall make the amount of its applicable portion of the Term Loan available to Agent in immediately available funds at Agent’s office not later than 1:00 p.m. on the related Borrowing Date. Upon satisfaction of the applicable conditions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Agent shall remit, or cause to be remitted, all funds so received as directed by the Borrower in the Notice of Borrowing.</w:t>
      </w:r>
    </w:p>
    <w:p>
      <w:pPr>
        <w:spacing w:after="0" w:line="183" w:lineRule="exact"/>
        <w:rPr>
          <w:rFonts w:ascii="Times New Roman" w:cs="Times New Roman" w:eastAsia="Times New Roman" w:hAnsi="Times New Roman"/>
          <w:sz w:val="22"/>
          <w:szCs w:val="22"/>
          <w:color w:val="010000"/>
        </w:rPr>
      </w:pPr>
    </w:p>
    <w:p>
      <w:pPr>
        <w:jc w:val="both"/>
        <w:ind w:left="1760" w:firstLine="1289"/>
        <w:spacing w:after="0" w:line="236" w:lineRule="auto"/>
        <w:tabs>
          <w:tab w:leader="none" w:pos="3705"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Agent receives notice from a Lender prior to 9:30 a.m. on the Business Day that is the requested Borrowing Date relative to a requested Advance as to which Agent has notified the Lenders of a requested Advance that such Lender will not make available as and when required hereunder to Agent for the account of Borrower the amount of that Lender’s Applicable Percentage of the Advance, Agent may assume that each Lender has made or will make such amount available to Agent in immediately</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29</w:t>
            </w:r>
          </w:p>
        </w:tc>
      </w:tr>
      <w:tr>
        <w:trPr>
          <w:trHeight w:val="777"/>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0" w:name="page51"/>
    <w:bookmarkEnd w:id="50"/>
    <w:p>
      <w:pPr>
        <w:jc w:val="both"/>
        <w:ind w:left="1760"/>
        <w:spacing w:after="0" w:line="232" w:lineRule="auto"/>
        <w:rPr>
          <w:sz w:val="20"/>
          <w:szCs w:val="20"/>
          <w:color w:val="auto"/>
        </w:rPr>
      </w:pPr>
      <w:r>
        <w:rPr>
          <w:rFonts w:ascii="Times New Roman" w:cs="Times New Roman" w:eastAsia="Times New Roman" w:hAnsi="Times New Roman"/>
          <w:sz w:val="22"/>
          <w:szCs w:val="22"/>
          <w:color w:val="auto"/>
        </w:rPr>
        <w:t xml:space="preserve">available funds on the Borrowing Date and Agent may (but shall not be so required), in reliance upon such assumption, make available to Borrower a corresponding amount. If, on the requested Borrowing Date, any Lender shall not have remitted the full amount that it is required to make available to Agent in immediately available funds and if Agent has made available to Borrower such amount on the requested Borrowing Date, then such Lender shall make the amount of such Lender’s </w:t>
      </w:r>
      <w:r>
        <w:rPr>
          <w:rFonts w:ascii="Times New Roman" w:cs="Times New Roman" w:eastAsia="Times New Roman" w:hAnsi="Times New Roman"/>
          <w:sz w:val="22"/>
          <w:szCs w:val="22"/>
          <w:color w:val="FF0000"/>
          <w:strike w:val="1"/>
        </w:rPr>
        <w:t>Pro Rata Share</w:t>
      </w:r>
      <w:r>
        <w:rPr>
          <w:rFonts w:ascii="Times New Roman" w:cs="Times New Roman" w:eastAsia="Times New Roman" w:hAnsi="Times New Roman"/>
          <w:sz w:val="22"/>
          <w:szCs w:val="22"/>
          <w:u w:val="single" w:color="auto"/>
          <w:color w:val="0000FF"/>
        </w:rPr>
        <w:t>pro rata share</w:t>
      </w:r>
      <w:r>
        <w:rPr>
          <w:rFonts w:ascii="Times New Roman" w:cs="Times New Roman" w:eastAsia="Times New Roman" w:hAnsi="Times New Roman"/>
          <w:sz w:val="22"/>
          <w:szCs w:val="22"/>
          <w:color w:val="auto"/>
        </w:rPr>
        <w:t xml:space="preserve"> of the requested Advance available to Agent in immediately available funds, to Agent’s designated account, no later than 10:00 a.m. on the Business Day that is the first Business Day after the requested Borrowing Date (in which case, the interest accrued on such Lender’s portion of such Advance for the Borrowing Date shall be for Agent’s separate account). If any Lender shall not remit the full amount that it is required to make available to Agent in immediately available funds as and when required hereby and if Agent has made available to Borrower such amount, then that Lender shall be obligated to immediately remit such amount to Agent, together with interest at the Interest Rate for each day until the date on which such amount is so remitted. A notice submitted by Agent to any Lender with respect to amounts owing under this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 xml:space="preserve"> shall be conclusive, absent manifest error. If the amount that a Lender is required to remit is made available to Agent, then such payment to Agent shall constitute such Lender’s Advance for all purposes of this Agreement. If such amount is not made available to Agent on the Business Day following the Borrowing Date, Agent will notify Borrower of such failure to fund and, upon demand by Agent, Borrower shall pay such amount to Agent for Agent’s account, together with interest thereon for each day elapsed since the date of such </w:t>
      </w:r>
      <w:r>
        <w:rPr>
          <w:rFonts w:ascii="Times New Roman" w:cs="Times New Roman" w:eastAsia="Times New Roman" w:hAnsi="Times New Roman"/>
          <w:sz w:val="22"/>
          <w:szCs w:val="22"/>
          <w:color w:val="FF0000"/>
          <w:strike w:val="1"/>
        </w:rPr>
        <w:t>Borrowing</w:t>
      </w:r>
      <w:r>
        <w:rPr>
          <w:rFonts w:ascii="Times New Roman" w:cs="Times New Roman" w:eastAsia="Times New Roman" w:hAnsi="Times New Roman"/>
          <w:sz w:val="22"/>
          <w:szCs w:val="22"/>
          <w:u w:val="single" w:color="auto"/>
          <w:color w:val="0000FF"/>
        </w:rPr>
        <w:t>borrowing</w:t>
      </w:r>
      <w:r>
        <w:rPr>
          <w:rFonts w:ascii="Times New Roman" w:cs="Times New Roman" w:eastAsia="Times New Roman" w:hAnsi="Times New Roman"/>
          <w:sz w:val="22"/>
          <w:szCs w:val="22"/>
          <w:color w:val="000000"/>
        </w:rPr>
        <w:t>, at a rate per annum equal to the interest rate applicable at the time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Advances composing such Advance.</w:t>
      </w:r>
    </w:p>
    <w:p>
      <w:pPr>
        <w:spacing w:after="0" w:line="194" w:lineRule="exact"/>
        <w:rPr>
          <w:sz w:val="20"/>
          <w:szCs w:val="20"/>
          <w:color w:val="auto"/>
        </w:rPr>
      </w:pPr>
    </w:p>
    <w:p>
      <w:pPr>
        <w:jc w:val="both"/>
        <w:ind w:left="1760" w:firstLine="641"/>
        <w:spacing w:after="0" w:line="253" w:lineRule="auto"/>
        <w:tabs>
          <w:tab w:leader="none" w:pos="3057"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Independent Obligations</w:t>
      </w:r>
      <w:r>
        <w:rPr>
          <w:rFonts w:ascii="Times New Roman" w:cs="Times New Roman" w:eastAsia="Times New Roman" w:hAnsi="Times New Roman"/>
          <w:sz w:val="21"/>
          <w:szCs w:val="21"/>
          <w:color w:val="auto"/>
        </w:rPr>
        <w:t>. All Advances shall be made by the Lenders contemporaneously and in accordance with their Applicable Percentages. It is understood that</w:t>
      </w:r>
    </w:p>
    <w:p>
      <w:pPr>
        <w:jc w:val="both"/>
        <w:ind w:left="1760" w:hanging="7"/>
        <w:spacing w:after="0" w:line="245" w:lineRule="auto"/>
        <w:tabs>
          <w:tab w:leader="none" w:pos="201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Lender shall be responsible for any failure by any other Lender to perform its obligation to make any Advance (or other extension of credit) hereunder, nor shall any Term Loan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70"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2.3 </w:t>
      </w:r>
      <w:r>
        <w:rPr>
          <w:rFonts w:ascii="Times New Roman" w:cs="Times New Roman" w:eastAsia="Times New Roman" w:hAnsi="Times New Roman"/>
          <w:sz w:val="22"/>
          <w:szCs w:val="22"/>
          <w:b w:val="1"/>
          <w:bCs w:val="1"/>
          <w:color w:val="000000"/>
        </w:rPr>
        <w:t>Fees</w:t>
      </w:r>
      <w:r>
        <w:rPr>
          <w:rFonts w:ascii="Times New Roman" w:cs="Times New Roman" w:eastAsia="Times New Roman" w:hAnsi="Times New Roman"/>
          <w:sz w:val="22"/>
          <w:szCs w:val="22"/>
          <w:color w:val="000000"/>
        </w:rPr>
        <w:t>. As compensation for the Term Loan Commitment and Agent’s commitment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perform its obligations hereunder, Borrower shall pay to Agent </w:t>
      </w:r>
      <w:r>
        <w:rPr>
          <w:rFonts w:ascii="Times New Roman" w:cs="Times New Roman" w:eastAsia="Times New Roman" w:hAnsi="Times New Roman"/>
          <w:sz w:val="22"/>
          <w:szCs w:val="22"/>
          <w:u w:val="single" w:color="auto"/>
          <w:color w:val="0000FF"/>
        </w:rPr>
        <w:t>for its own account or for the benefit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of the Lenders, as applicable,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fees set forth in the Fee Letter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and the First Amendment</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2.4</w:t>
      </w:r>
      <w:r>
        <w:rPr>
          <w:sz w:val="20"/>
          <w:szCs w:val="20"/>
          <w:color w:val="auto"/>
        </w:rPr>
        <w:tab/>
      </w:r>
      <w:r>
        <w:rPr>
          <w:rFonts w:ascii="Times New Roman" w:cs="Times New Roman" w:eastAsia="Times New Roman" w:hAnsi="Times New Roman"/>
          <w:sz w:val="21"/>
          <w:szCs w:val="21"/>
          <w:b w:val="1"/>
          <w:bCs w:val="1"/>
          <w:color w:val="auto"/>
        </w:rPr>
        <w:t>Interest Rates and Payment Dates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100" w:firstLine="654"/>
        <w:spacing w:after="0" w:line="258" w:lineRule="auto"/>
        <w:tabs>
          <w:tab w:leader="none" w:pos="2396"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Term Loan shall bear interest at a rate per annum equal to the Interest Rate, subject to adjustment as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010000"/>
        </w:rPr>
      </w:pPr>
    </w:p>
    <w:p>
      <w:pPr>
        <w:jc w:val="both"/>
        <w:ind w:left="1100" w:firstLine="654"/>
        <w:spacing w:after="0" w:line="253" w:lineRule="auto"/>
        <w:tabs>
          <w:tab w:leader="none" w:pos="2396"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During the continuance of an Event of Default, the outstanding Obligations shall, at the election of the Agent (or automatically upon an Event of Default pursuant to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or</w:t>
      </w:r>
    </w:p>
    <w:p>
      <w:pPr>
        <w:ind w:left="110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bear interest at a rate per annum equal to the lesser of (i) the rate that would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30</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1" w:name="page52"/>
    <w:bookmarkEnd w:id="51"/>
    <w:p>
      <w:pPr>
        <w:jc w:val="both"/>
        <w:ind w:left="1100"/>
        <w:spacing w:after="0" w:line="251" w:lineRule="auto"/>
        <w:rPr>
          <w:sz w:val="20"/>
          <w:szCs w:val="20"/>
          <w:color w:val="auto"/>
        </w:rPr>
      </w:pPr>
      <w:r>
        <w:rPr>
          <w:rFonts w:ascii="Times New Roman" w:cs="Times New Roman" w:eastAsia="Times New Roman" w:hAnsi="Times New Roman"/>
          <w:sz w:val="21"/>
          <w:szCs w:val="21"/>
          <w:color w:val="auto"/>
        </w:rPr>
        <w:t xml:space="preserve">otherwise be applicable thereto pursuant to the foregoing provisions of this Section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five percent (5%) and (ii) the maximum rate allowed by applicable Law (the “</w:t>
      </w:r>
      <w:r>
        <w:rPr>
          <w:rFonts w:ascii="Times New Roman" w:cs="Times New Roman" w:eastAsia="Times New Roman" w:hAnsi="Times New Roman"/>
          <w:sz w:val="21"/>
          <w:szCs w:val="21"/>
          <w:b w:val="1"/>
          <w:bCs w:val="1"/>
          <w:i w:val="1"/>
          <w:iCs w:val="1"/>
          <w:color w:val="auto"/>
        </w:rPr>
        <w:t>Default Rate</w:t>
      </w:r>
      <w:r>
        <w:rPr>
          <w:rFonts w:ascii="Times New Roman" w:cs="Times New Roman" w:eastAsia="Times New Roman" w:hAnsi="Times New Roman"/>
          <w:sz w:val="21"/>
          <w:szCs w:val="21"/>
          <w:color w:val="auto"/>
        </w:rPr>
        <w:t>”). The terms of this paragraph shall not be construed as Agent’s consent to Borrower’s failure to pay any amounts in strict accordance with this Agreement, and Agent’s charging any such fees and/or acceptance of any such payments shall not restrict Agent’s exercise of any remedies arising out of any such failure.</w:t>
      </w:r>
    </w:p>
    <w:p>
      <w:pPr>
        <w:spacing w:after="0" w:line="182" w:lineRule="exact"/>
        <w:rPr>
          <w:sz w:val="20"/>
          <w:szCs w:val="20"/>
          <w:color w:val="auto"/>
        </w:rPr>
      </w:pPr>
    </w:p>
    <w:p>
      <w:pPr>
        <w:jc w:val="both"/>
        <w:ind w:left="1100" w:firstLine="654"/>
        <w:spacing w:after="0" w:line="233" w:lineRule="auto"/>
        <w:tabs>
          <w:tab w:leader="none" w:pos="2396"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Accrued interest shall be payable in arrears on each Interest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or prior to the date that is eighteen (18) months following the Closing Date, a portion of the interest payable on each Interest Payment Date equal to the applicable PIK Limit may be paid on such Interest Payment Date as PIK Interest if not less than five (5) Business Days prior to such Interest Payment Date, Borrower notifies Agent in writing of its intention to pay a portion of such interest in kind on such Interest Payment Date. All PIK Interest shall be compounded on the applicable Interest Payment Date by capitalizing the amount of such PIK Interest and adding the same to the principal balance of the Term Loan, after which such PIK Interest shall accrue interest at the Interest Rate and otherwise constitute principal under the Term Loan for all purposes (including, without limitation, for purposes of calculating interest on the principal amount thereof). For the avoidance of doubt, all accrued and unpaid PIK Interest, together with all other Obligations hereunder, shall be payable by Borrower on the Maturity Date. All interest payable in cash shall be payable on each Interest Payment Date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1100" w:firstLine="648"/>
        <w:spacing w:after="0" w:line="250" w:lineRule="auto"/>
        <w:rPr>
          <w:sz w:val="20"/>
          <w:szCs w:val="20"/>
          <w:color w:val="auto"/>
        </w:rPr>
      </w:pPr>
      <w:r>
        <w:rPr>
          <w:rFonts w:ascii="Times New Roman" w:cs="Times New Roman" w:eastAsia="Times New Roman" w:hAnsi="Times New Roman"/>
          <w:sz w:val="21"/>
          <w:szCs w:val="21"/>
          <w:b w:val="1"/>
          <w:bCs w:val="1"/>
          <w:color w:val="010000"/>
        </w:rPr>
        <w:t xml:space="preserve">2.5 </w:t>
      </w:r>
      <w:r>
        <w:rPr>
          <w:rFonts w:ascii="Times New Roman" w:cs="Times New Roman" w:eastAsia="Times New Roman" w:hAnsi="Times New Roman"/>
          <w:sz w:val="21"/>
          <w:szCs w:val="21"/>
          <w:b w:val="1"/>
          <w:bCs w:val="1"/>
          <w:color w:val="000000"/>
        </w:rPr>
        <w:t>Computation of Interest and Fees</w:t>
      </w:r>
      <w:r>
        <w:rPr>
          <w:rFonts w:ascii="Times New Roman" w:cs="Times New Roman" w:eastAsia="Times New Roman" w:hAnsi="Times New Roman"/>
          <w:sz w:val="21"/>
          <w:szCs w:val="21"/>
          <w:color w:val="000000"/>
        </w:rPr>
        <w:t>. Interest and fees payable pursuant hereto shall be</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calculated on the basis of a 360-day year for the actual days elapsed and shall be calculated on the beginning of day principal balance of the Term Loan outstanding for each day of the relevant calendar month. Each determination of an interest rate by Agent pursuant to any provision of this Agreement shall be conclusive and binding on Borrower in the absence of manifest error. For the avoidance of doubt, Advances shall be included in the daily principal balance on the date they occur.</w:t>
      </w:r>
    </w:p>
    <w:p>
      <w:pPr>
        <w:spacing w:after="0" w:line="178"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2.6</w:t>
      </w:r>
      <w:r>
        <w:rPr>
          <w:sz w:val="20"/>
          <w:szCs w:val="20"/>
          <w:color w:val="auto"/>
        </w:rPr>
        <w:tab/>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4"/>
        <w:spacing w:after="0" w:line="239" w:lineRule="auto"/>
        <w:tabs>
          <w:tab w:leader="none" w:pos="2396"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specified herein or in any other Loan Document, prior to (or simultaneously with) making any principal payment on the Term Loan, Borrower shall deliver to Agent a Payment Notice (which such Payment Notice shall be irrevocable and binding unless Borrower otherwise notifies Agent in writing) with respect thereto.</w:t>
      </w:r>
    </w:p>
    <w:p>
      <w:pPr>
        <w:spacing w:after="0" w:line="193"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payments (including prepayments) to be made by Borrower hereunder, whether on account of principal, interest, fees or otherwise, shall be made without condition or deduction for any counterclaim, defense, recoupment or setoff and shall be made prior to 2:00</w:t>
      </w:r>
    </w:p>
    <w:p>
      <w:pPr>
        <w:jc w:val="both"/>
        <w:ind w:left="1100"/>
        <w:spacing w:after="0" w:line="232"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P.M. (New York City time), on the due date thereof to Agent in Dollars in immediately available funds. Any payment received by Agent after 2:00 P.M. (New York City time), shall be deemed received on the next succeeding Business Day and any applicable interest or fee shall continue to accrue. If any payment hereunder (other than the capitalization of accrued PIK Interest) becomes due and payable on a day other than a Business Day, such payment due date shall be extended to the next succeeding Business Day, other than with respect to the payment to be made on the Maturity Date, which, if not a Business Day, shall be made on the immediately preceding</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31</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2" w:name="page53"/>
    <w:bookmarkEnd w:id="52"/>
    <w:p>
      <w:pPr>
        <w:ind w:left="1100" w:right="440"/>
        <w:spacing w:after="0" w:line="282" w:lineRule="auto"/>
        <w:rPr>
          <w:sz w:val="20"/>
          <w:szCs w:val="20"/>
          <w:color w:val="auto"/>
        </w:rPr>
      </w:pPr>
      <w:r>
        <w:rPr>
          <w:rFonts w:ascii="Times New Roman" w:cs="Times New Roman" w:eastAsia="Times New Roman" w:hAnsi="Times New Roman"/>
          <w:sz w:val="21"/>
          <w:szCs w:val="21"/>
          <w:color w:val="auto"/>
        </w:rPr>
        <w:t>Business Day. In the case of any extension of any payment of principal pursuant to the preceding sentence, interest thereon shall be payable at the then applicable rate during such extension.</w:t>
      </w:r>
    </w:p>
    <w:p>
      <w:pPr>
        <w:spacing w:after="0" w:line="148" w:lineRule="exact"/>
        <w:rPr>
          <w:sz w:val="20"/>
          <w:szCs w:val="20"/>
          <w:color w:val="auto"/>
        </w:rPr>
      </w:pPr>
    </w:p>
    <w:p>
      <w:pPr>
        <w:jc w:val="both"/>
        <w:ind w:left="1100" w:firstLine="654"/>
        <w:spacing w:after="0" w:line="239" w:lineRule="auto"/>
        <w:tabs>
          <w:tab w:leader="none" w:pos="239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herein shall be deemed to obligate Agent or any Lender to obtain the funds for the Term Loan in any particular place or manner or to constitute a representation by Agent or any Lender that it has obtained or will obtain the funds for the Term Loan in any particular place or manner.</w:t>
      </w:r>
    </w:p>
    <w:p>
      <w:pPr>
        <w:spacing w:after="0" w:line="180" w:lineRule="exact"/>
        <w:rPr>
          <w:rFonts w:ascii="Times New Roman" w:cs="Times New Roman" w:eastAsia="Times New Roman" w:hAnsi="Times New Roman"/>
          <w:sz w:val="22"/>
          <w:szCs w:val="22"/>
          <w:color w:val="010000"/>
        </w:rPr>
      </w:pPr>
    </w:p>
    <w:p>
      <w:pPr>
        <w:jc w:val="both"/>
        <w:ind w:left="1100" w:firstLine="654"/>
        <w:spacing w:after="0" w:line="236" w:lineRule="auto"/>
        <w:tabs>
          <w:tab w:leader="none" w:pos="239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payments, prepayments or repayments of the Term Loan shall be accompanied by payment in full of all accrued and unpaid interest on the portion of such Term Loan being paid, prepaid or repaid to the date of payment, prepayment, or repayment, including the Make Whole Premium as applicable, all other earned and unpaid fees, and all other amounts due and owing hereunder, including without limitation all costs associated with such payment, prepayment, or repayment.</w:t>
      </w:r>
    </w:p>
    <w:p>
      <w:pPr>
        <w:spacing w:after="0" w:line="194" w:lineRule="exact"/>
        <w:rPr>
          <w:rFonts w:ascii="Times New Roman" w:cs="Times New Roman" w:eastAsia="Times New Roman" w:hAnsi="Times New Roman"/>
          <w:sz w:val="22"/>
          <w:szCs w:val="22"/>
          <w:color w:val="010000"/>
        </w:rPr>
      </w:pPr>
    </w:p>
    <w:p>
      <w:pPr>
        <w:jc w:val="both"/>
        <w:ind w:left="1100" w:firstLine="653"/>
        <w:spacing w:after="0" w:line="235" w:lineRule="auto"/>
        <w:tabs>
          <w:tab w:leader="none" w:pos="2397"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specifically set forth elsewhere in this Agreement and subject to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any payment, prepayment or repayment of the Term Loan shall be made by the Loan Parties to Agent, for the benefit of the Lenders, on a pro rata basis based upon each Lender’s Applicable Percentage of the amount of such payment, prepayment or repayment. If at any time insufficient funds are received by and available to Agent or any Lender to pay fully all amounts of principal, interest and fees then due hereunder, such funds shall be applied in accordance with the Lenders’ Applicable Percentage or as otherwise determined by Agent in its sole discretion.</w:t>
      </w:r>
    </w:p>
    <w:p>
      <w:pPr>
        <w:spacing w:after="0" w:line="196" w:lineRule="exact"/>
        <w:rPr>
          <w:rFonts w:ascii="Times New Roman" w:cs="Times New Roman" w:eastAsia="Times New Roman" w:hAnsi="Times New Roman"/>
          <w:sz w:val="22"/>
          <w:szCs w:val="22"/>
          <w:color w:val="010000"/>
        </w:rPr>
      </w:pPr>
    </w:p>
    <w:p>
      <w:pPr>
        <w:jc w:val="both"/>
        <w:ind w:left="1100" w:firstLine="654"/>
        <w:spacing w:after="0" w:line="236" w:lineRule="auto"/>
        <w:tabs>
          <w:tab w:leader="none" w:pos="239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in this Agreement, Agent or any Lender may, in its discretion at any time or from time to time, without Borrower’s request and even if the conditions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4.1 would not be satisfied, make a Term Loan in an amount equal to the portion of the Obligations constituting overdue interest, fees, indemnification payments or any other Obligations from time to time due and payable to itself and apply the proceeds of any such Term Loan to those Obligations.</w:t>
      </w:r>
    </w:p>
    <w:p>
      <w:pPr>
        <w:spacing w:after="0" w:line="181"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provision of any Loan Document, Agent, in its sole discretion shall have the right, but not any obligation, at any time that Borrower fails to do so, and from time to time, without prior notice, to: (i) discharge (at Borrower’s expense) taxes or Liens affecting any of the Collateral that have not been paid in violation of any Loan Document or that jeopardize the Agent’s Lien priority in the Collateral; or (ii) make any other payment (at Borrower’s expense) reasonably necessary for the administration, servicing, maintenance, preservation or protection of the Collateral (each such advance or payment set forth in clauses (i) and (ii), a “</w:t>
      </w:r>
      <w:r>
        <w:rPr>
          <w:rFonts w:ascii="Times New Roman" w:cs="Times New Roman" w:eastAsia="Times New Roman" w:hAnsi="Times New Roman"/>
          <w:sz w:val="21"/>
          <w:szCs w:val="21"/>
          <w:b w:val="1"/>
          <w:bCs w:val="1"/>
          <w:u w:val="single" w:color="auto"/>
          <w:color w:val="auto"/>
        </w:rPr>
        <w:t>Protective Advance</w:t>
      </w:r>
      <w:r>
        <w:rPr>
          <w:rFonts w:ascii="Times New Roman" w:cs="Times New Roman" w:eastAsia="Times New Roman" w:hAnsi="Times New Roman"/>
          <w:sz w:val="21"/>
          <w:szCs w:val="21"/>
          <w:color w:val="auto"/>
        </w:rPr>
        <w:t xml:space="preserve">”). The Agent shall be reimbursed for all Protective Advances pursuant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and any Protective Advances shall bear interest at the lesser of (i) the Interest Rate plus ten percent (10%) per annum, and (ii) the maximum rate permitted by Law (the “</w:t>
      </w:r>
      <w:r>
        <w:rPr>
          <w:rFonts w:ascii="Times New Roman" w:cs="Times New Roman" w:eastAsia="Times New Roman" w:hAnsi="Times New Roman"/>
          <w:sz w:val="21"/>
          <w:szCs w:val="21"/>
          <w:b w:val="1"/>
          <w:bCs w:val="1"/>
          <w:u w:val="single" w:color="auto"/>
          <w:color w:val="auto"/>
        </w:rPr>
        <w:t>Protective Advance Rate</w:t>
      </w:r>
      <w:r>
        <w:rPr>
          <w:rFonts w:ascii="Times New Roman" w:cs="Times New Roman" w:eastAsia="Times New Roman" w:hAnsi="Times New Roman"/>
          <w:sz w:val="21"/>
          <w:szCs w:val="21"/>
          <w:color w:val="auto"/>
        </w:rPr>
        <w:t>”), payable in cash, from the date the Protective Advance is paid by Agent until it is repaid. No Protective Advance by Agent shall be construed as a waiver by Agent, or any Lender of any Default, Event of Default or any of the rights or remedies of Agent or any Lender. Upon the making of a Protective Advance by the Agent, without any further action on the part of the Agent or any Lender, the Agent will be deemed to have granted to each Lender, and each Lender will be deemed to have acquired from the Agent, without recourse or warranty, a participation in such Protective Advance equal to such Lender’s Applicable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32</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3" w:name="page54"/>
    <w:bookmarkEnd w:id="53"/>
    <w:p>
      <w:pPr>
        <w:jc w:val="both"/>
        <w:ind w:left="1100"/>
        <w:spacing w:after="0" w:line="243" w:lineRule="auto"/>
        <w:rPr>
          <w:sz w:val="20"/>
          <w:szCs w:val="20"/>
          <w:color w:val="auto"/>
        </w:rPr>
      </w:pPr>
      <w:r>
        <w:rPr>
          <w:rFonts w:ascii="Times New Roman" w:cs="Times New Roman" w:eastAsia="Times New Roman" w:hAnsi="Times New Roman"/>
          <w:sz w:val="21"/>
          <w:szCs w:val="21"/>
          <w:color w:val="auto"/>
        </w:rPr>
        <w:t>Percentage of the amount of such Protective Advance. Each Lender shall transfer (each such transfer, a “</w:t>
      </w:r>
      <w:r>
        <w:rPr>
          <w:rFonts w:ascii="Times New Roman" w:cs="Times New Roman" w:eastAsia="Times New Roman" w:hAnsi="Times New Roman"/>
          <w:sz w:val="21"/>
          <w:szCs w:val="21"/>
          <w:b w:val="1"/>
          <w:bCs w:val="1"/>
          <w:i w:val="1"/>
          <w:iCs w:val="1"/>
          <w:color w:val="auto"/>
        </w:rPr>
        <w:t>Transfer</w:t>
      </w:r>
      <w:r>
        <w:rPr>
          <w:rFonts w:ascii="Times New Roman" w:cs="Times New Roman" w:eastAsia="Times New Roman" w:hAnsi="Times New Roman"/>
          <w:sz w:val="21"/>
          <w:szCs w:val="21"/>
          <w:color w:val="auto"/>
        </w:rPr>
        <w:t>”) the amount of such Lender’s Applicable Percentage of the outstanding principal amount of the applicable Protective Advance with respect to such acquired interest and participation promptly when requested to the Agent, to such account of the Agent as the Agent may designate, but in any case not later than 2:00 P.M. (New York City time), on the Business Day requested (if notice is provided by the Agent prior to noon (New York City time) on such Business Day) or otherwise on the immediately following Business Day (each such transfer date, as to the applicable Transfer, a “</w:t>
      </w:r>
      <w:r>
        <w:rPr>
          <w:rFonts w:ascii="Times New Roman" w:cs="Times New Roman" w:eastAsia="Times New Roman" w:hAnsi="Times New Roman"/>
          <w:sz w:val="21"/>
          <w:szCs w:val="21"/>
          <w:b w:val="1"/>
          <w:bCs w:val="1"/>
          <w:i w:val="1"/>
          <w:iCs w:val="1"/>
          <w:color w:val="auto"/>
        </w:rPr>
        <w:t>Transfer Date</w:t>
      </w:r>
      <w:r>
        <w:rPr>
          <w:rFonts w:ascii="Times New Roman" w:cs="Times New Roman" w:eastAsia="Times New Roman" w:hAnsi="Times New Roman"/>
          <w:sz w:val="21"/>
          <w:szCs w:val="21"/>
          <w:color w:val="auto"/>
        </w:rPr>
        <w:t xml:space="preserve">”). Transfers may occur during the existence of a Default or Event of Default and regardless of whether the applicable conditions precedent set forth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have then been satisfied. Such amounts transferred to the Agent will be applied against the amount of the Protective Advance and, together with each Lender’s Applicable Percentage of such Protective Advance, will constitute Advances of such Lenders, respectively. If any such amount is not transferred to the Agent by any Lender on the applicable Transfer Date, then the Agent may recover such amount on demand from such Lender together with interest thereon. From and after the date, if any, on which any Lender is required to fund, and funds, its participation in any Protective Advance purchased hereunder, the Agent shall promptly distribute to such Lender such Lender’s Applicable Percentage of all payments of principal and interest and all proceeds of Collateral received by the Agent in respect of such Protective Advance in accordance with this Agreement.</w:t>
      </w:r>
    </w:p>
    <w:p>
      <w:pPr>
        <w:spacing w:after="0" w:line="198"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2.7</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2.8</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2400" w:hanging="646"/>
        <w:spacing w:after="0"/>
        <w:tabs>
          <w:tab w:leader="none" w:pos="2400"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For purposes of this Section, the term “Requirement of Law” includes</w:t>
      </w:r>
    </w:p>
    <w:p>
      <w:pPr>
        <w:spacing w:after="0" w:line="25" w:lineRule="exact"/>
        <w:rPr>
          <w:rFonts w:ascii="Times New Roman" w:cs="Times New Roman" w:eastAsia="Times New Roman" w:hAnsi="Times New Roman"/>
          <w:sz w:val="21"/>
          <w:szCs w:val="21"/>
          <w:color w:val="010000"/>
        </w:rPr>
      </w:pPr>
    </w:p>
    <w:p>
      <w:pPr>
        <w:ind w:left="110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FATCA.</w:t>
      </w:r>
    </w:p>
    <w:p>
      <w:pPr>
        <w:spacing w:after="0" w:line="182" w:lineRule="exact"/>
        <w:rPr>
          <w:rFonts w:ascii="Times New Roman" w:cs="Times New Roman" w:eastAsia="Times New Roman" w:hAnsi="Times New Roman"/>
          <w:sz w:val="21"/>
          <w:szCs w:val="21"/>
          <w:color w:val="010000"/>
        </w:rPr>
      </w:pPr>
    </w:p>
    <w:p>
      <w:pPr>
        <w:jc w:val="both"/>
        <w:ind w:left="1100" w:firstLine="653"/>
        <w:spacing w:after="0" w:line="233" w:lineRule="auto"/>
        <w:tabs>
          <w:tab w:leader="none" w:pos="2397"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Any and all payments by or on account of any obligation of any Loan Party under any Loan Document to a Recipient shall be made without deduction or withholding for any Taxes, except as required by any Requirement of Law. If any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any Requirement of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The applicable Recipient and each relevant Loan Party shall cooperate in completing any procedural formalities necessary for the relevant Loan Party to obtain authorization to make payments without any deduction or withholding on account of tax.</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 of Other Taxes by Loan Parties</w:t>
      </w:r>
      <w:r>
        <w:rPr>
          <w:rFonts w:ascii="Times New Roman" w:cs="Times New Roman" w:eastAsia="Times New Roman" w:hAnsi="Times New Roman"/>
          <w:sz w:val="22"/>
          <w:szCs w:val="22"/>
          <w:color w:val="auto"/>
        </w:rPr>
        <w:t>. The Loan Parties shall timely pay to the relevant Governmental Authority in accordance with any Requirement of Law, or at the option of Agent timely reimburse it for the payment of, any Other Taxes.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33</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4" w:name="page55"/>
    <w:bookmarkEnd w:id="54"/>
    <w:p>
      <w:pPr>
        <w:jc w:val="both"/>
        <w:ind w:left="1100" w:firstLine="653"/>
        <w:spacing w:after="0" w:line="234" w:lineRule="auto"/>
        <w:tabs>
          <w:tab w:leader="none" w:pos="2397"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 of Agent and Lenders</w:t>
      </w:r>
      <w:r>
        <w:rPr>
          <w:rFonts w:ascii="Times New Roman" w:cs="Times New Roman" w:eastAsia="Times New Roman" w:hAnsi="Times New Roman"/>
          <w:sz w:val="22"/>
          <w:szCs w:val="22"/>
          <w:color w:val="auto"/>
        </w:rPr>
        <w:t xml:space="preserve">. Loan Parties shall indemnify any Recipient, within ten (10) days after demand thereof,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payable or paid by such Recipient or required to be withheld or deducted from a payment to the Recipient and any reasonable expenses arising therefrom or with respect thereto, whether or not such Indemnified Taxes were correctly or legally imposed or asserted by the relevant Governmental Authority. A certificate setting forth the amount of such payment or liability delivered to Borrower by a Recipient (with a copy to Agent, as applicable), or by Agent on its own behalf or on behalf of a Recipient, shall be conclusive absent manifest error.</w:t>
      </w:r>
    </w:p>
    <w:p>
      <w:pPr>
        <w:spacing w:after="0" w:line="196" w:lineRule="exact"/>
        <w:rPr>
          <w:rFonts w:ascii="Times New Roman" w:cs="Times New Roman" w:eastAsia="Times New Roman" w:hAnsi="Times New Roman"/>
          <w:sz w:val="22"/>
          <w:szCs w:val="22"/>
          <w:color w:val="010000"/>
        </w:rPr>
      </w:pPr>
    </w:p>
    <w:p>
      <w:pPr>
        <w:ind w:left="2400" w:hanging="646"/>
        <w:spacing w:after="0"/>
        <w:tabs>
          <w:tab w:leader="none" w:pos="2400"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 of Agent</w:t>
      </w:r>
      <w:r>
        <w:rPr>
          <w:rFonts w:ascii="Times New Roman" w:cs="Times New Roman" w:eastAsia="Times New Roman" w:hAnsi="Times New Roman"/>
          <w:sz w:val="22"/>
          <w:szCs w:val="22"/>
          <w:color w:val="auto"/>
        </w:rPr>
        <w:t>. Each Lender shall severally indemnify Agent, within ten</w:t>
      </w:r>
    </w:p>
    <w:p>
      <w:pPr>
        <w:spacing w:after="0" w:line="14" w:lineRule="exact"/>
        <w:rPr>
          <w:rFonts w:ascii="Times New Roman" w:cs="Times New Roman" w:eastAsia="Times New Roman" w:hAnsi="Times New Roman"/>
          <w:sz w:val="22"/>
          <w:szCs w:val="22"/>
          <w:color w:val="010000"/>
        </w:rPr>
      </w:pPr>
    </w:p>
    <w:p>
      <w:pPr>
        <w:jc w:val="both"/>
        <w:ind w:left="1100" w:firstLine="6"/>
        <w:spacing w:after="0" w:line="231" w:lineRule="auto"/>
        <w:tabs>
          <w:tab w:leader="none" w:pos="151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demand therefor, for (i) any Indemnified Taxes attributable to such Lender (but only to the extent that the Loan Parties have not already indemnified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8.6(b)</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Section 2.8(e).</w:t>
      </w:r>
    </w:p>
    <w:p>
      <w:pPr>
        <w:spacing w:after="0" w:line="186" w:lineRule="exact"/>
        <w:rPr>
          <w:rFonts w:ascii="Times New Roman" w:cs="Times New Roman" w:eastAsia="Times New Roman" w:hAnsi="Times New Roman"/>
          <w:sz w:val="22"/>
          <w:szCs w:val="22"/>
          <w:color w:val="auto"/>
        </w:rPr>
      </w:pPr>
    </w:p>
    <w:p>
      <w:pPr>
        <w:jc w:val="both"/>
        <w:ind w:left="1100" w:firstLine="653"/>
        <w:spacing w:after="0" w:line="238" w:lineRule="auto"/>
        <w:tabs>
          <w:tab w:leader="none" w:pos="2397"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xml:space="preserve">. As soon as practicable after any payment of Taxes by any Loan Party to a Governmental Authority pursuant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the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90"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Status of Recipients; Tax Documentation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760" w:firstLine="642"/>
        <w:spacing w:after="0" w:line="233" w:lineRule="auto"/>
        <w:tabs>
          <w:tab w:leader="none" w:pos="3055" w:val="left"/>
        </w:tabs>
        <w:numPr>
          <w:ilvl w:val="2"/>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Recipient that is entitled to an exemption from or reduction of withholding Tax with respect to payments made under any Loan Document shall deliver to the applicable Withholding Agent, at the time or times reasonably requested by such Withholding Agent, such properly completed and executed documentation reasonably requested by the Withholding Agent as will permit such payments to be made without withholding or at a reduced rate of withholding. In addition, any Recipient, if reasonably requested by the applicable Withholding Agent, shall deliver such other documentation prescribed by any Requirement of Law or reasonably requested by the applicable Withholding Agent as will enable Borrower or Agent to determine whether or not such Recipient is subject to backup withholding or information reporting requirements. Notwithstanding anything to the contrary in the preceding two sentences, the completion, execution and submission of such documentation (other than the documentation in </w:t>
      </w:r>
      <w:r>
        <w:rPr>
          <w:rFonts w:ascii="Times New Roman" w:cs="Times New Roman" w:eastAsia="Times New Roman" w:hAnsi="Times New Roman"/>
          <w:sz w:val="22"/>
          <w:szCs w:val="22"/>
          <w:u w:val="single" w:color="auto"/>
          <w:color w:val="auto"/>
        </w:rPr>
        <w:t>Section 2.8(a)(ii)(A)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(ii)(D)</w:t>
      </w:r>
      <w:r>
        <w:rPr>
          <w:rFonts w:ascii="Times New Roman" w:cs="Times New Roman" w:eastAsia="Times New Roman" w:hAnsi="Times New Roman"/>
          <w:sz w:val="22"/>
          <w:szCs w:val="22"/>
          <w:color w:val="auto"/>
        </w:rPr>
        <w:t>) shall not be required if in Recipient’s reasonable judgment such completion, execution or submission would subject such Recipient to any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34</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5" w:name="page56"/>
    <w:bookmarkEnd w:id="55"/>
    <w:p>
      <w:pPr>
        <w:ind w:left="1760" w:right="120"/>
        <w:spacing w:after="0" w:line="258" w:lineRule="auto"/>
        <w:rPr>
          <w:sz w:val="20"/>
          <w:szCs w:val="20"/>
          <w:color w:val="auto"/>
        </w:rPr>
      </w:pPr>
      <w:r>
        <w:rPr>
          <w:rFonts w:ascii="Times New Roman" w:cs="Times New Roman" w:eastAsia="Times New Roman" w:hAnsi="Times New Roman"/>
          <w:sz w:val="22"/>
          <w:szCs w:val="22"/>
          <w:color w:val="auto"/>
        </w:rPr>
        <w:t>material unreimbursed cost or expense or would materially prejudice the legal or commercial position of such Recipient.</w:t>
      </w:r>
    </w:p>
    <w:p>
      <w:pPr>
        <w:spacing w:after="0" w:line="172" w:lineRule="exact"/>
        <w:rPr>
          <w:sz w:val="20"/>
          <w:szCs w:val="20"/>
          <w:color w:val="auto"/>
        </w:rPr>
      </w:pPr>
    </w:p>
    <w:p>
      <w:pPr>
        <w:ind w:left="3040" w:hanging="638"/>
        <w:spacing w:after="0"/>
        <w:tabs>
          <w:tab w:leader="none" w:pos="3040"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limiting the generality of the foregoing, in the event that Borrower is a</w:t>
      </w:r>
    </w:p>
    <w:p>
      <w:pPr>
        <w:spacing w:after="0" w:line="25" w:lineRule="exact"/>
        <w:rPr>
          <w:rFonts w:ascii="Times New Roman" w:cs="Times New Roman" w:eastAsia="Times New Roman" w:hAnsi="Times New Roman"/>
          <w:sz w:val="21"/>
          <w:szCs w:val="21"/>
          <w:color w:val="010000"/>
        </w:rPr>
      </w:pPr>
    </w:p>
    <w:p>
      <w:pPr>
        <w:ind w:left="17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U.S. Person,</w:t>
      </w:r>
    </w:p>
    <w:p>
      <w:pPr>
        <w:spacing w:after="0" w:line="182" w:lineRule="exact"/>
        <w:rPr>
          <w:sz w:val="20"/>
          <w:szCs w:val="20"/>
          <w:color w:val="auto"/>
        </w:rPr>
      </w:pPr>
    </w:p>
    <w:p>
      <w:pPr>
        <w:jc w:val="both"/>
        <w:ind w:left="2400" w:firstLine="2"/>
        <w:spacing w:after="0" w:line="236" w:lineRule="auto"/>
        <w:tabs>
          <w:tab w:leader="none" w:pos="30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Recipient that is a U.S. Person shall deliver to Borrower and Agent on or prior to the date on which such Recipient becomes a Recipient under this Agreement (and from time to time thereafter upon the reasonable request of the applicable Withholding Agent) properly completed and duly executed copies of IRS Form W-9 (or any successor or other applicable form) certifying that such Recipient is exempt from U.S. federal backup withholding tax.</w:t>
      </w:r>
    </w:p>
    <w:p>
      <w:pPr>
        <w:spacing w:after="0" w:line="194" w:lineRule="exact"/>
        <w:rPr>
          <w:rFonts w:ascii="Times New Roman" w:cs="Times New Roman" w:eastAsia="Times New Roman" w:hAnsi="Times New Roman"/>
          <w:sz w:val="22"/>
          <w:szCs w:val="22"/>
          <w:color w:val="auto"/>
        </w:rPr>
      </w:pPr>
    </w:p>
    <w:p>
      <w:pPr>
        <w:jc w:val="both"/>
        <w:ind w:left="2400" w:firstLine="2"/>
        <w:spacing w:after="0" w:line="251" w:lineRule="auto"/>
        <w:tabs>
          <w:tab w:leader="none" w:pos="304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Recipient shall, to the extent it is legally entitled to do so, deliver to Borrower and Agent (in such number of copies as shall be requested by the recipient) on or prior to the date on which such Foreign Recipient becomes a Recipient under this Agreement (and from time to time thereafter upon the reasonable request of the applicable Withholding Agent), whichever of the following is applicable:</w:t>
      </w:r>
    </w:p>
    <w:p>
      <w:pPr>
        <w:spacing w:after="0" w:line="181" w:lineRule="exact"/>
        <w:rPr>
          <w:rFonts w:ascii="Times New Roman" w:cs="Times New Roman" w:eastAsia="Times New Roman" w:hAnsi="Times New Roman"/>
          <w:sz w:val="21"/>
          <w:szCs w:val="21"/>
          <w:color w:val="auto"/>
        </w:rPr>
      </w:pPr>
    </w:p>
    <w:p>
      <w:pPr>
        <w:jc w:val="both"/>
        <w:ind w:left="3060" w:firstLine="638"/>
        <w:spacing w:after="0" w:line="251" w:lineRule="auto"/>
        <w:tabs>
          <w:tab w:leader="none" w:pos="4356"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Recipient claiming the benefits of an income tax treaty to which the United States is a party, properly completed and executed copies of IRS Form W-8BEN or W-8BEN-E (or successor forms), as applicable, establishing an exemption from, or reduction of, U.S. federal withholding Tax pursuant to the applicable provisions of the income tax treaty;</w:t>
      </w:r>
    </w:p>
    <w:p>
      <w:pPr>
        <w:spacing w:after="0" w:line="168" w:lineRule="exact"/>
        <w:rPr>
          <w:rFonts w:ascii="Times New Roman" w:cs="Times New Roman" w:eastAsia="Times New Roman" w:hAnsi="Times New Roman"/>
          <w:sz w:val="21"/>
          <w:szCs w:val="21"/>
          <w:color w:val="auto"/>
        </w:rPr>
      </w:pPr>
    </w:p>
    <w:p>
      <w:pPr>
        <w:ind w:left="3060" w:right="20" w:firstLine="638"/>
        <w:spacing w:after="0" w:line="258" w:lineRule="auto"/>
        <w:tabs>
          <w:tab w:leader="none" w:pos="4356"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properly completed and executed copies of IRS Form W-8ECI (or successor form);</w:t>
      </w:r>
    </w:p>
    <w:p>
      <w:pPr>
        <w:spacing w:after="0" w:line="171" w:lineRule="exact"/>
        <w:rPr>
          <w:rFonts w:ascii="Times New Roman" w:cs="Times New Roman" w:eastAsia="Times New Roman" w:hAnsi="Times New Roman"/>
          <w:sz w:val="22"/>
          <w:szCs w:val="22"/>
          <w:color w:val="auto"/>
        </w:rPr>
      </w:pPr>
    </w:p>
    <w:p>
      <w:pPr>
        <w:jc w:val="both"/>
        <w:ind w:left="3040" w:firstLine="657"/>
        <w:spacing w:after="0" w:line="245" w:lineRule="auto"/>
        <w:tabs>
          <w:tab w:leader="none" w:pos="4337"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Recipient claiming the benefits of the exemption for portfolio interest under Section 871(h) or Section 881(c) of the Code, (x) a certificate to the effect that such Foreign Recipient is not a “bank” within the meaning of Section 881(c)(3)(A) of the Code, a “10 percent shareholder” of any Loan Party within the meaning of Section 881(c)(3)(B) of the Code, or a “controlled foreign corporation” described in Section 881(c)(3)</w:t>
      </w:r>
    </w:p>
    <w:p>
      <w:pPr>
        <w:spacing w:after="0" w:line="2" w:lineRule="exact"/>
        <w:rPr>
          <w:rFonts w:ascii="Times New Roman" w:cs="Times New Roman" w:eastAsia="Times New Roman" w:hAnsi="Times New Roman"/>
          <w:sz w:val="21"/>
          <w:szCs w:val="21"/>
          <w:color w:val="auto"/>
        </w:rPr>
      </w:pPr>
    </w:p>
    <w:p>
      <w:pPr>
        <w:jc w:val="both"/>
        <w:ind w:left="3040" w:firstLine="9"/>
        <w:spacing w:after="0" w:line="235" w:lineRule="auto"/>
        <w:tabs>
          <w:tab w:leader="none" w:pos="343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 “</w:t>
      </w:r>
      <w:r>
        <w:rPr>
          <w:rFonts w:ascii="Times New Roman" w:cs="Times New Roman" w:eastAsia="Times New Roman" w:hAnsi="Times New Roman"/>
          <w:sz w:val="22"/>
          <w:szCs w:val="22"/>
          <w:b w:val="1"/>
          <w:bCs w:val="1"/>
          <w:i w:val="1"/>
          <w:iCs w:val="1"/>
          <w:color w:val="auto"/>
        </w:rPr>
        <w:t>U.S. Tax Compliance Certificate</w:t>
      </w:r>
      <w:r>
        <w:rPr>
          <w:rFonts w:ascii="Times New Roman" w:cs="Times New Roman" w:eastAsia="Times New Roman" w:hAnsi="Times New Roman"/>
          <w:sz w:val="22"/>
          <w:szCs w:val="22"/>
          <w:color w:val="auto"/>
        </w:rPr>
        <w:t>”) and (y) properly completed and executed copies of IRS Form W-8BEN or W-8BEN-E (or successor forms), as applicable; or</w:t>
      </w:r>
    </w:p>
    <w:p>
      <w:pPr>
        <w:spacing w:after="0" w:line="191" w:lineRule="exact"/>
        <w:rPr>
          <w:rFonts w:ascii="Times New Roman" w:cs="Times New Roman" w:eastAsia="Times New Roman" w:hAnsi="Times New Roman"/>
          <w:sz w:val="22"/>
          <w:szCs w:val="22"/>
          <w:color w:val="auto"/>
        </w:rPr>
      </w:pPr>
    </w:p>
    <w:p>
      <w:pPr>
        <w:jc w:val="both"/>
        <w:ind w:left="3040" w:firstLine="657"/>
        <w:spacing w:after="0" w:line="235" w:lineRule="auto"/>
        <w:tabs>
          <w:tab w:leader="none" w:pos="4337"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Recipient is not the beneficial owner, properly completed and executed copies of IRS Form W-8IMY, accompanied by IRS Form W-8ECI, W-8BEN, W-8BEN-E, a U.S. Tax Compliance Certificate, IRS Form W-9, and/or other certification documents from each beneficial owner, as applicable, in a form reasonably acceptable to Borrower; provided that if the Foreign Recipient is a partnership and one or more direct or indirect partners of such Foreign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35</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6" w:name="page57"/>
    <w:bookmarkEnd w:id="56"/>
    <w:p>
      <w:pPr>
        <w:jc w:val="both"/>
        <w:ind w:left="3060"/>
        <w:spacing w:after="0" w:line="261" w:lineRule="auto"/>
        <w:rPr>
          <w:sz w:val="20"/>
          <w:szCs w:val="20"/>
          <w:color w:val="auto"/>
        </w:rPr>
      </w:pPr>
      <w:r>
        <w:rPr>
          <w:rFonts w:ascii="Times New Roman" w:cs="Times New Roman" w:eastAsia="Times New Roman" w:hAnsi="Times New Roman"/>
          <w:sz w:val="21"/>
          <w:szCs w:val="21"/>
          <w:color w:val="auto"/>
        </w:rPr>
        <w:t>Recipient are claiming the portfolio interest exemption, such Foreign Recipient may provide in a form reasonable acceptable to Borrower a U.S. Tax Compliance Certificate on behalf of each such direct and indirect partner(s).</w:t>
      </w:r>
    </w:p>
    <w:p>
      <w:pPr>
        <w:spacing w:after="0" w:line="171" w:lineRule="exact"/>
        <w:rPr>
          <w:sz w:val="20"/>
          <w:szCs w:val="20"/>
          <w:color w:val="auto"/>
        </w:rPr>
      </w:pPr>
    </w:p>
    <w:p>
      <w:pPr>
        <w:jc w:val="both"/>
        <w:ind w:left="2400" w:firstLine="1"/>
        <w:spacing w:after="0" w:line="234" w:lineRule="auto"/>
        <w:tabs>
          <w:tab w:leader="none" w:pos="304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Recipient shall, to the extent it is legally entitled to do so, deliver to Borrower and Agent (in such number of copies as shall be requested by the recipient) on or about the date on which such Foreign Recipient becomes a Recipient under this Agreement (and from time to time thereafter upon the reasonable request of Borrower or Agent), executed copies of any other form prescribed by a Requirement of Law as a basis for claiming exemption from or a reduction in U.S. federal withholding Tax, duly completed, together with such supplementary documentation as may be prescribed by Requirement of Law to permit Borrower or Agent to determine the withholding or deduction required to be made.</w:t>
      </w:r>
    </w:p>
    <w:p>
      <w:pPr>
        <w:spacing w:after="0" w:line="183" w:lineRule="exact"/>
        <w:rPr>
          <w:rFonts w:ascii="Times New Roman" w:cs="Times New Roman" w:eastAsia="Times New Roman" w:hAnsi="Times New Roman"/>
          <w:sz w:val="22"/>
          <w:szCs w:val="22"/>
          <w:color w:val="auto"/>
        </w:rPr>
      </w:pPr>
    </w:p>
    <w:p>
      <w:pPr>
        <w:jc w:val="both"/>
        <w:ind w:left="2400" w:firstLine="2"/>
        <w:spacing w:after="0" w:line="233" w:lineRule="auto"/>
        <w:tabs>
          <w:tab w:leader="none" w:pos="304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applicable Withholding Agent at the time or times prescribed by Requirement of Law and at such time or times reasonably requested by such Withholding Agent such documentation prescribed by any Requirement of Law (including as prescribed by Section 1471(b)(3)(C)(i) of the Code) and such additional documentation reasonably requested by the Withholding Agent as may be necessary for the Withholding Agent to comply with their obligations under FATCA and to determine that such Recipient has complied with such Recipient’s obligations under FATCA or to determine the amount, if any, to deduct and withhold from such payment. Solely for purposes of this </w:t>
      </w:r>
      <w:r>
        <w:rPr>
          <w:rFonts w:ascii="Times New Roman" w:cs="Times New Roman" w:eastAsia="Times New Roman" w:hAnsi="Times New Roman"/>
          <w:sz w:val="22"/>
          <w:szCs w:val="22"/>
          <w:u w:val="single" w:color="auto"/>
          <w:color w:val="auto"/>
        </w:rPr>
        <w:t>Section 2.8(g)(ii)(D</w:t>
      </w:r>
      <w:r>
        <w:rPr>
          <w:rFonts w:ascii="Times New Roman" w:cs="Times New Roman" w:eastAsia="Times New Roman" w:hAnsi="Times New Roman"/>
          <w:sz w:val="22"/>
          <w:szCs w:val="22"/>
          <w:color w:val="auto"/>
        </w:rPr>
        <w:t>), “FATCA” shall include any amendments made to FATCA after the date of this Agreement.</w:t>
      </w:r>
    </w:p>
    <w:p>
      <w:pPr>
        <w:spacing w:after="0" w:line="193" w:lineRule="exact"/>
        <w:rPr>
          <w:rFonts w:ascii="Times New Roman" w:cs="Times New Roman" w:eastAsia="Times New Roman" w:hAnsi="Times New Roman"/>
          <w:sz w:val="22"/>
          <w:szCs w:val="22"/>
          <w:color w:val="auto"/>
        </w:rPr>
      </w:pPr>
    </w:p>
    <w:p>
      <w:pPr>
        <w:jc w:val="both"/>
        <w:ind w:left="1760" w:firstLine="642"/>
        <w:spacing w:after="0" w:line="239" w:lineRule="auto"/>
        <w:tabs>
          <w:tab w:leader="none" w:pos="3056"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Recipient agrees that if any form or certification it previously delivered under this </w:t>
      </w:r>
      <w:r>
        <w:rPr>
          <w:rFonts w:ascii="Times New Roman" w:cs="Times New Roman" w:eastAsia="Times New Roman" w:hAnsi="Times New Roman"/>
          <w:sz w:val="22"/>
          <w:szCs w:val="22"/>
          <w:u w:val="single" w:color="auto"/>
          <w:color w:val="auto"/>
        </w:rPr>
        <w:t>Section 2.8(g)</w:t>
      </w:r>
      <w:r>
        <w:rPr>
          <w:rFonts w:ascii="Times New Roman" w:cs="Times New Roman" w:eastAsia="Times New Roman" w:hAnsi="Times New Roman"/>
          <w:sz w:val="22"/>
          <w:szCs w:val="22"/>
          <w:color w:val="auto"/>
        </w:rPr>
        <w:t xml:space="preserve"> expires or becomes obsolete or inaccurate in any respect, it shall update such form or certification or promptly notify the applicable Withholding Agent in writing of its legal inability to do so.</w:t>
      </w:r>
    </w:p>
    <w:p>
      <w:pPr>
        <w:spacing w:after="0" w:line="193" w:lineRule="exact"/>
        <w:rPr>
          <w:rFonts w:ascii="Times New Roman" w:cs="Times New Roman" w:eastAsia="Times New Roman" w:hAnsi="Times New Roman"/>
          <w:sz w:val="22"/>
          <w:szCs w:val="22"/>
          <w:color w:val="010000"/>
        </w:rPr>
      </w:pPr>
    </w:p>
    <w:p>
      <w:pPr>
        <w:jc w:val="both"/>
        <w:ind w:left="1100" w:firstLine="653"/>
        <w:spacing w:after="0" w:line="234" w:lineRule="auto"/>
        <w:tabs>
          <w:tab w:leader="none" w:pos="2397"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Recipient determines, in its sole discretion exercised in good faith, that it has received a refund of any Taxes as to which it has been indemnified by any Loan Party pursuant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it shall pay to such Loan Party an amount equal to such refund (but only to the extent of indemnity payments made under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shall repay to the Recipient the amount paid over to such Loan Party by such Recipient pursuant to this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penalties, interest or other</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36</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7" w:name="page58"/>
    <w:bookmarkEnd w:id="57"/>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 xml:space="preserve">charges imposed by the relevant Governmental Authority) in the event that the Recipient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in no event will any Recipient be required to pay any amount to any Loan Party pursuant to this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Section 2.8(h)</w:t>
      </w:r>
      <w:r>
        <w:rPr>
          <w:rFonts w:ascii="Times New Roman" w:cs="Times New Roman" w:eastAsia="Times New Roman" w:hAnsi="Times New Roman"/>
          <w:sz w:val="22"/>
          <w:szCs w:val="22"/>
          <w:color w:val="auto"/>
        </w:rPr>
        <w:t xml:space="preserve"> shall not be construed to require any Recipient to make available its Tax returns (or any other information relating to its Taxes that it deems confidential) to a Loan Party or any other Person.</w:t>
      </w:r>
    </w:p>
    <w:p>
      <w:pPr>
        <w:spacing w:after="0" w:line="193" w:lineRule="exact"/>
        <w:rPr>
          <w:sz w:val="20"/>
          <w:szCs w:val="20"/>
          <w:color w:val="auto"/>
        </w:rPr>
      </w:pPr>
    </w:p>
    <w:p>
      <w:pPr>
        <w:jc w:val="both"/>
        <w:ind w:left="1100" w:firstLine="654"/>
        <w:spacing w:after="0" w:line="239" w:lineRule="auto"/>
        <w:tabs>
          <w:tab w:leader="none" w:pos="2396"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shall survive the resignation or replacement of Agent or any assignment of rights by, or the replacement of, a Lender, the termination of the Term Loan Commitments and the repayment, satisfaction or discharge of all other Obligations.</w:t>
      </w:r>
    </w:p>
    <w:p>
      <w:pPr>
        <w:spacing w:after="0" w:line="176" w:lineRule="exact"/>
        <w:rPr>
          <w:sz w:val="20"/>
          <w:szCs w:val="20"/>
          <w:color w:val="auto"/>
        </w:rPr>
      </w:pPr>
    </w:p>
    <w:p>
      <w:pPr>
        <w:ind w:left="1100" w:right="2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2.9 </w:t>
      </w:r>
      <w:r>
        <w:rPr>
          <w:rFonts w:ascii="Times New Roman" w:cs="Times New Roman" w:eastAsia="Times New Roman" w:hAnsi="Times New Roman"/>
          <w:sz w:val="22"/>
          <w:szCs w:val="22"/>
          <w:b w:val="1"/>
          <w:bCs w:val="1"/>
          <w:color w:val="000000"/>
        </w:rPr>
        <w:t>Collections</w:t>
      </w:r>
      <w:r>
        <w:rPr>
          <w:rFonts w:ascii="Times New Roman" w:cs="Times New Roman" w:eastAsia="Times New Roman" w:hAnsi="Times New Roman"/>
          <w:sz w:val="22"/>
          <w:szCs w:val="22"/>
          <w:color w:val="000000"/>
        </w:rPr>
        <w:t>. Each Loan Party shall and shall cause each of its Subsidiaries (other than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its Immaterial Subsidiaries) to:</w:t>
      </w:r>
    </w:p>
    <w:p>
      <w:pPr>
        <w:spacing w:after="0" w:line="167" w:lineRule="exact"/>
        <w:rPr>
          <w:sz w:val="20"/>
          <w:szCs w:val="20"/>
          <w:color w:val="auto"/>
        </w:rPr>
      </w:pPr>
    </w:p>
    <w:p>
      <w:pPr>
        <w:ind w:left="1100" w:firstLine="654"/>
        <w:spacing w:after="0" w:line="258" w:lineRule="auto"/>
        <w:tabs>
          <w:tab w:leader="none" w:pos="2396"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Make (or direct any payor to make) all Collections to a Deposit Account which is, subject to </w:t>
      </w:r>
      <w:r>
        <w:rPr>
          <w:rFonts w:ascii="Times New Roman" w:cs="Times New Roman" w:eastAsia="Times New Roman" w:hAnsi="Times New Roman"/>
          <w:sz w:val="22"/>
          <w:szCs w:val="22"/>
          <w:u w:val="single" w:color="auto"/>
          <w:color w:val="auto"/>
        </w:rPr>
        <w:t>Section 5.13(b)</w:t>
      </w:r>
      <w:r>
        <w:rPr>
          <w:rFonts w:ascii="Times New Roman" w:cs="Times New Roman" w:eastAsia="Times New Roman" w:hAnsi="Times New Roman"/>
          <w:sz w:val="22"/>
          <w:szCs w:val="22"/>
          <w:color w:val="auto"/>
        </w:rPr>
        <w:t>, the subject to a Control Agreement (a “</w:t>
      </w:r>
      <w:r>
        <w:rPr>
          <w:rFonts w:ascii="Times New Roman" w:cs="Times New Roman" w:eastAsia="Times New Roman" w:hAnsi="Times New Roman"/>
          <w:sz w:val="22"/>
          <w:szCs w:val="22"/>
          <w:b w:val="1"/>
          <w:bCs w:val="1"/>
          <w:i w:val="1"/>
          <w:iCs w:val="1"/>
          <w:color w:val="auto"/>
        </w:rPr>
        <w:t>Controlled Account</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010000"/>
        </w:rPr>
      </w:pPr>
    </w:p>
    <w:p>
      <w:pPr>
        <w:jc w:val="both"/>
        <w:ind w:left="1100" w:firstLine="653"/>
        <w:spacing w:after="0" w:line="238" w:lineRule="auto"/>
        <w:tabs>
          <w:tab w:leader="none" w:pos="2397"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Loan Party shall receive any Collections in any manner other than by deposit into the Controlled Account, such Loan Party shall hold such Collections in trust for the benefit of Agent and deposit such Collections into the Controlled Account within three (3)</w:t>
      </w:r>
    </w:p>
    <w:p>
      <w:pPr>
        <w:ind w:left="11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Business Days following such Loan Party’s receipt thereof; and</w:t>
      </w:r>
    </w:p>
    <w:p>
      <w:pPr>
        <w:spacing w:after="0" w:line="182" w:lineRule="exact"/>
        <w:rPr>
          <w:rFonts w:ascii="Times New Roman" w:cs="Times New Roman" w:eastAsia="Times New Roman" w:hAnsi="Times New Roman"/>
          <w:sz w:val="22"/>
          <w:szCs w:val="22"/>
          <w:color w:val="010000"/>
        </w:rPr>
      </w:pPr>
    </w:p>
    <w:p>
      <w:pPr>
        <w:jc w:val="both"/>
        <w:ind w:left="1100" w:firstLine="653"/>
        <w:spacing w:after="0" w:line="238" w:lineRule="auto"/>
        <w:tabs>
          <w:tab w:leader="none" w:pos="2397"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Prevent the deposit into any Deposit Account (other than Excluded Deposit Accounts) of any funds other than the funds to be deposited into such Deposit Accounts under this Agreement or the other Loan Documents (provided that, this covenant shall not be breached to the extent that funds are inadvertently deposited into any of such Deposit Accounts and are promptly segregated and removed such Deposit Account to the Controlled Account).</w:t>
      </w:r>
    </w:p>
    <w:p>
      <w:pPr>
        <w:spacing w:after="0" w:line="186"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2.10</w:t>
      </w:r>
      <w:r>
        <w:rPr>
          <w:sz w:val="20"/>
          <w:szCs w:val="20"/>
          <w:color w:val="auto"/>
        </w:rPr>
        <w:tab/>
      </w:r>
      <w:r>
        <w:rPr>
          <w:rFonts w:ascii="Times New Roman" w:cs="Times New Roman" w:eastAsia="Times New Roman" w:hAnsi="Times New Roman"/>
          <w:sz w:val="21"/>
          <w:szCs w:val="21"/>
          <w:b w:val="1"/>
          <w:bCs w:val="1"/>
          <w:color w:val="auto"/>
        </w:rPr>
        <w:t>Increased Costs</w:t>
      </w:r>
    </w:p>
    <w:p>
      <w:pPr>
        <w:spacing w:after="0" w:line="224" w:lineRule="exact"/>
        <w:rPr>
          <w:sz w:val="20"/>
          <w:szCs w:val="20"/>
          <w:color w:val="auto"/>
        </w:rPr>
      </w:pPr>
    </w:p>
    <w:p>
      <w:pPr>
        <w:ind w:left="2380" w:hanging="630"/>
        <w:spacing w:after="0"/>
        <w:tabs>
          <w:tab w:leader="none" w:pos="238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19" w:lineRule="exact"/>
        <w:rPr>
          <w:rFonts w:ascii="Times New Roman" w:cs="Times New Roman" w:eastAsia="Times New Roman" w:hAnsi="Times New Roman"/>
          <w:sz w:val="22"/>
          <w:szCs w:val="22"/>
          <w:color w:val="010000"/>
        </w:rPr>
      </w:pPr>
    </w:p>
    <w:p>
      <w:pPr>
        <w:jc w:val="both"/>
        <w:ind w:left="1760" w:firstLine="642"/>
        <w:spacing w:after="0" w:line="244" w:lineRule="auto"/>
        <w:tabs>
          <w:tab w:leader="none" w:pos="3056"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or</w:t>
      </w:r>
    </w:p>
    <w:p>
      <w:pPr>
        <w:spacing w:after="0" w:line="186" w:lineRule="exact"/>
        <w:rPr>
          <w:rFonts w:ascii="Times New Roman" w:cs="Times New Roman" w:eastAsia="Times New Roman" w:hAnsi="Times New Roman"/>
          <w:sz w:val="22"/>
          <w:szCs w:val="22"/>
          <w:color w:val="010000"/>
        </w:rPr>
      </w:pPr>
    </w:p>
    <w:p>
      <w:pPr>
        <w:jc w:val="both"/>
        <w:ind w:left="1760" w:firstLine="642"/>
        <w:spacing w:after="0" w:line="239" w:lineRule="auto"/>
        <w:tabs>
          <w:tab w:leader="none" w:pos="3056"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37</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8" w:name="page59"/>
    <w:bookmarkEnd w:id="58"/>
    <w:p>
      <w:pPr>
        <w:jc w:val="both"/>
        <w:ind w:left="1760" w:firstLine="642"/>
        <w:spacing w:after="0" w:line="244" w:lineRule="auto"/>
        <w:tabs>
          <w:tab w:leader="none" w:pos="329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London interbank market any other condition, cost or expense (other than Taxes) affecting this Agreement or the portion of the Term Loan made by such Lender or participation therein</w:t>
      </w:r>
    </w:p>
    <w:p>
      <w:pPr>
        <w:spacing w:after="0" w:line="187" w:lineRule="exact"/>
        <w:rPr>
          <w:sz w:val="20"/>
          <w:szCs w:val="20"/>
          <w:color w:val="auto"/>
        </w:rPr>
      </w:pPr>
    </w:p>
    <w:p>
      <w:pPr>
        <w:jc w:val="both"/>
        <w:ind w:left="1100"/>
        <w:spacing w:after="0" w:line="235"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to, continuing or maintaining the Term Loan or of maintaining its obligation to make any such Term Loan, or to increase the cost to such Lender or such other Person of participating in, or to reduce the amount of any sum received or receivable by such Lender or other Person hereunder (whether of principal, interest or any other amount) then, upon request of such Lender or other Person, Borrower will pay to such Lender or other Person, as the case may be, such additional amount or amounts as will compensate such Lender or other Person, as the case may be, for such additional costs incurred or reduction suffered.</w:t>
      </w:r>
    </w:p>
    <w:p>
      <w:pPr>
        <w:spacing w:after="0" w:line="178" w:lineRule="exact"/>
        <w:rPr>
          <w:sz w:val="20"/>
          <w:szCs w:val="20"/>
          <w:color w:val="auto"/>
        </w:rPr>
      </w:pPr>
    </w:p>
    <w:p>
      <w:pPr>
        <w:jc w:val="both"/>
        <w:ind w:left="1100" w:firstLine="654"/>
        <w:spacing w:after="0" w:line="246" w:lineRule="auto"/>
        <w:tabs>
          <w:tab w:leader="none" w:pos="2396"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Commitments of such Lender or the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Borrower will pay to such Lender or holding company such additional amount or amounts as will compensate such Lender or such Lender’s holding company for any such reduction suffered.</w:t>
      </w:r>
    </w:p>
    <w:p>
      <w:pPr>
        <w:spacing w:after="0" w:line="184" w:lineRule="exact"/>
        <w:rPr>
          <w:rFonts w:ascii="Times New Roman" w:cs="Times New Roman" w:eastAsia="Times New Roman" w:hAnsi="Times New Roman"/>
          <w:sz w:val="21"/>
          <w:szCs w:val="21"/>
          <w:color w:val="010000"/>
        </w:rPr>
      </w:pPr>
    </w:p>
    <w:p>
      <w:pPr>
        <w:jc w:val="both"/>
        <w:ind w:left="1100" w:firstLine="654"/>
        <w:spacing w:after="0" w:line="238" w:lineRule="auto"/>
        <w:tabs>
          <w:tab w:leader="none" w:pos="2396"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xml:space="preserve">. A certificate of a Lender setting forth in reasonable detail the amount or amounts necessary to compensate such Lender or its holding company, as the case may be, as specified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delivered to the Borrower shall be conclusive absent manifest error. Borrower shall pay such Lender or its holding company, as the case may be, the amount shown as due on any such certificate within ten (10) days after receipt thereof.</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34" w:lineRule="auto"/>
        <w:tabs>
          <w:tab w:leader="none" w:pos="2396"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Delays in Request</w:t>
      </w:r>
      <w:r>
        <w:rPr>
          <w:rFonts w:ascii="Times New Roman" w:cs="Times New Roman" w:eastAsia="Times New Roman" w:hAnsi="Times New Roman"/>
          <w:sz w:val="22"/>
          <w:szCs w:val="22"/>
          <w:color w:val="auto"/>
        </w:rPr>
        <w:t xml:space="preserve">. Failure or delay on the part of any Lender to demand compensation pursuant to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shall not constitute a waiver of such Lender’s right to demand such compensation, provided that Borrower shall not be required to compensate a Lender or other Person pursuant to this section for any increased costs incurred or reductions suffered more than nine (9) months prior to the date that such Lender or other Person, as the case may be, notifies Borrower of the Change in Law giving rise to such increased costs or reductions and of such Lender’s or Person’s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79"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2.11</w:t>
      </w:r>
      <w:r>
        <w:rPr>
          <w:sz w:val="20"/>
          <w:szCs w:val="20"/>
          <w:color w:val="auto"/>
        </w:rPr>
        <w:tab/>
      </w:r>
      <w:r>
        <w:rPr>
          <w:rFonts w:ascii="Times New Roman" w:cs="Times New Roman" w:eastAsia="Times New Roman" w:hAnsi="Times New Roman"/>
          <w:sz w:val="21"/>
          <w:szCs w:val="21"/>
          <w:b w:val="1"/>
          <w:bCs w:val="1"/>
          <w:color w:val="auto"/>
        </w:rPr>
        <w:t>Mitigation Obligations.</w:t>
      </w:r>
    </w:p>
    <w:p>
      <w:pPr>
        <w:spacing w:after="0" w:line="224" w:lineRule="exact"/>
        <w:rPr>
          <w:sz w:val="20"/>
          <w:szCs w:val="20"/>
          <w:color w:val="auto"/>
        </w:rPr>
      </w:pPr>
    </w:p>
    <w:p>
      <w:pPr>
        <w:ind w:left="1100" w:right="400" w:firstLine="1296"/>
        <w:spacing w:after="0" w:line="282" w:lineRule="auto"/>
        <w:rPr>
          <w:sz w:val="20"/>
          <w:szCs w:val="20"/>
          <w:color w:val="auto"/>
        </w:rPr>
      </w:pPr>
      <w:r>
        <w:rPr>
          <w:rFonts w:ascii="Times New Roman" w:cs="Times New Roman" w:eastAsia="Times New Roman" w:hAnsi="Times New Roman"/>
          <w:sz w:val="21"/>
          <w:szCs w:val="21"/>
          <w:color w:val="auto"/>
        </w:rPr>
        <w:t>If any Lender requires the Borrower to pay any Indemnified Taxes or additional amounts to any Lender or any Governmental Authority for the account of any Lender pursuant to</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38</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59" w:name="page60"/>
    <w:bookmarkEnd w:id="59"/>
    <w:p>
      <w:pPr>
        <w:jc w:val="both"/>
        <w:ind w:left="1100"/>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then such Lender shall (at the request of the Borrower) use reasonable efforts to designate a different lending office for funding or booking its Term Loan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as the case may be, in the future, and (ii) would not subject such Lender to any unreimbursed cost or expense and would not otherwise be disadvantageous to such Lender. Borrower hereby agree to pay all reasonable costs and expenses incurred by any Lender in connection with any such designation or assignment.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left="11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To induce Agent and Lenders to enter into this Agreement and to make the Term Loan, the Loan Parties hereby represent and warrant to Agent and Lenders on the Closing Date </w:t>
      </w:r>
      <w:r>
        <w:rPr>
          <w:rFonts w:ascii="Times New Roman" w:cs="Times New Roman" w:eastAsia="Times New Roman" w:hAnsi="Times New Roman"/>
          <w:sz w:val="22"/>
          <w:szCs w:val="22"/>
          <w:u w:val="single" w:color="auto"/>
          <w:color w:val="0000FF"/>
        </w:rPr>
        <w:t>and on the 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Amendment Effective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w:t>
      </w:r>
    </w:p>
    <w:p>
      <w:pPr>
        <w:spacing w:after="0" w:line="183"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3.1 </w:t>
      </w:r>
      <w:r>
        <w:rPr>
          <w:rFonts w:ascii="Times New Roman" w:cs="Times New Roman" w:eastAsia="Times New Roman" w:hAnsi="Times New Roman"/>
          <w:sz w:val="22"/>
          <w:szCs w:val="22"/>
          <w:b w:val="1"/>
          <w:bCs w:val="1"/>
          <w:color w:val="000000"/>
        </w:rPr>
        <w:t>Financial Condition</w:t>
      </w:r>
      <w:r>
        <w:rPr>
          <w:rFonts w:ascii="Times New Roman" w:cs="Times New Roman" w:eastAsia="Times New Roman" w:hAnsi="Times New Roman"/>
          <w:sz w:val="22"/>
          <w:szCs w:val="22"/>
          <w:color w:val="000000"/>
        </w:rPr>
        <w:t>. None of the Loan Parties have any material Guarantee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Obligations (other than pursuant to the Loan Documents), contingent liabilities and liabilities for Taxes, or any long term leases or unusual forward or long term commitments, including any interest rate or foreign currency swap or exchange transaction or other obligation in respect of derivatives, required to be set forth on financial statements prepared in accordance with GAAP that are not reflected in the most recent financial statements.</w:t>
      </w:r>
    </w:p>
    <w:p>
      <w:pPr>
        <w:spacing w:after="0" w:line="189"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3.2 </w:t>
      </w:r>
      <w:r>
        <w:rPr>
          <w:rFonts w:ascii="Times New Roman" w:cs="Times New Roman" w:eastAsia="Times New Roman" w:hAnsi="Times New Roman"/>
          <w:sz w:val="22"/>
          <w:szCs w:val="22"/>
          <w:b w:val="1"/>
          <w:bCs w:val="1"/>
          <w:color w:val="000000"/>
        </w:rPr>
        <w:t>No Change</w:t>
      </w:r>
      <w:r>
        <w:rPr>
          <w:rFonts w:ascii="Times New Roman" w:cs="Times New Roman" w:eastAsia="Times New Roman" w:hAnsi="Times New Roman"/>
          <w:sz w:val="22"/>
          <w:szCs w:val="22"/>
          <w:color w:val="000000"/>
        </w:rPr>
        <w:t>. Since June 30, 2022, there has been no change in the financial condition,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operations, assets, business or properties of Loan Parties which could reasonably be expected to result in a Material Adverse Effect.</w:t>
      </w:r>
    </w:p>
    <w:p>
      <w:pPr>
        <w:spacing w:after="0" w:line="167" w:lineRule="exact"/>
        <w:rPr>
          <w:sz w:val="20"/>
          <w:szCs w:val="20"/>
          <w:color w:val="auto"/>
        </w:rPr>
      </w:pPr>
    </w:p>
    <w:p>
      <w:pPr>
        <w:jc w:val="both"/>
        <w:ind w:left="1100" w:firstLine="648"/>
        <w:spacing w:after="0" w:line="236" w:lineRule="auto"/>
        <w:rPr>
          <w:sz w:val="20"/>
          <w:szCs w:val="20"/>
          <w:color w:val="auto"/>
        </w:rPr>
      </w:pPr>
      <w:r>
        <w:rPr>
          <w:rFonts w:ascii="Times New Roman" w:cs="Times New Roman" w:eastAsia="Times New Roman" w:hAnsi="Times New Roman"/>
          <w:sz w:val="22"/>
          <w:szCs w:val="22"/>
          <w:b w:val="1"/>
          <w:bCs w:val="1"/>
          <w:color w:val="010000"/>
        </w:rPr>
        <w:t xml:space="preserve">3.3 </w:t>
      </w:r>
      <w:r>
        <w:rPr>
          <w:rFonts w:ascii="Times New Roman" w:cs="Times New Roman" w:eastAsia="Times New Roman" w:hAnsi="Times New Roman"/>
          <w:sz w:val="22"/>
          <w:szCs w:val="22"/>
          <w:b w:val="1"/>
          <w:bCs w:val="1"/>
          <w:color w:val="000000"/>
        </w:rPr>
        <w:t>Existence; Compliance with Law</w:t>
      </w:r>
      <w:r>
        <w:rPr>
          <w:rFonts w:ascii="Times New Roman" w:cs="Times New Roman" w:eastAsia="Times New Roman" w:hAnsi="Times New Roman"/>
          <w:sz w:val="22"/>
          <w:szCs w:val="22"/>
          <w:color w:val="000000"/>
        </w:rPr>
        <w:t>. Each Loan Party (i) is duly organized, validly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existing and in good standing under the Laws of the jurisdiction of its organization, (ii) has the power and authority, and the legal right, to own and operate its property, to lease the property it operates as lessee and to conduct the business in which it is currently engaged, (iii) is duly qualified as a foreign corporation or other organization, as applicable, and in good standing under the Laws of each jurisdiction where the failure to be so qualified could reasonably be expected to have a Material Adverse Effect and (iv) is in material compliance with all Requirements of Law.</w:t>
      </w:r>
    </w:p>
    <w:p>
      <w:pPr>
        <w:spacing w:after="0" w:line="189"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3.4 </w:t>
      </w:r>
      <w:r>
        <w:rPr>
          <w:rFonts w:ascii="Times New Roman" w:cs="Times New Roman" w:eastAsia="Times New Roman" w:hAnsi="Times New Roman"/>
          <w:sz w:val="22"/>
          <w:szCs w:val="22"/>
          <w:b w:val="1"/>
          <w:bCs w:val="1"/>
          <w:color w:val="000000"/>
        </w:rPr>
        <w:t>Power, Authorization; Enforceable Obligations</w:t>
      </w:r>
      <w:r>
        <w:rPr>
          <w:rFonts w:ascii="Times New Roman" w:cs="Times New Roman" w:eastAsia="Times New Roman" w:hAnsi="Times New Roman"/>
          <w:sz w:val="22"/>
          <w:szCs w:val="22"/>
          <w:color w:val="000000"/>
        </w:rPr>
        <w:t>. Each Loan Party has the power and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authority, and the legal right, to make, deliver and perform the Loan Documents to which it is a party and, in the case of Borrower, to obtain extensions of credit hereunder. Each Loan Party has taken all necessary organizational action to authorize the execution, delivery and performance of the Loan Documents to which it is a party and, in the case of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other Loan Documents, except (i) Governmental Approvals, consents, authorizations, filings and notices that have previously been obtained or made and are in full force and effect and (ii)</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39</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60" w:name="page61"/>
    <w:bookmarkEnd w:id="60"/>
    <w:p>
      <w:pPr>
        <w:jc w:val="both"/>
        <w:ind w:left="1100"/>
        <w:spacing w:after="0" w:line="235" w:lineRule="auto"/>
        <w:rPr>
          <w:sz w:val="20"/>
          <w:szCs w:val="20"/>
          <w:color w:val="auto"/>
        </w:rPr>
      </w:pPr>
      <w:r>
        <w:rPr>
          <w:rFonts w:ascii="Times New Roman" w:cs="Times New Roman" w:eastAsia="Times New Roman" w:hAnsi="Times New Roman"/>
          <w:sz w:val="22"/>
          <w:szCs w:val="22"/>
          <w:color w:val="auto"/>
        </w:rPr>
        <w:t>the filings of UCC financing statements in accordance with the Security Agreement.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8"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3.5 </w:t>
      </w:r>
      <w:r>
        <w:rPr>
          <w:rFonts w:ascii="Times New Roman" w:cs="Times New Roman" w:eastAsia="Times New Roman" w:hAnsi="Times New Roman"/>
          <w:sz w:val="22"/>
          <w:szCs w:val="22"/>
          <w:b w:val="1"/>
          <w:bCs w:val="1"/>
          <w:color w:val="000000"/>
        </w:rPr>
        <w:t>No Legal Bar</w:t>
      </w:r>
      <w:r>
        <w:rPr>
          <w:rFonts w:ascii="Times New Roman" w:cs="Times New Roman" w:eastAsia="Times New Roman" w:hAnsi="Times New Roman"/>
          <w:sz w:val="22"/>
          <w:szCs w:val="22"/>
          <w:color w:val="000000"/>
        </w:rPr>
        <w:t>. The execution, delivery and performance of this Agreement and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other Loan Documents, the borrowings hereunder and the use of the proceeds thereof will not violate any Requirement of Law or any Contractual Obligation of such Loan Party and will not result in, or require, the creation or imposition of any Lien on any of their respective properties or revenues pursuant to any Requirement of Law or any Contractual Obligation (other than the Liens created by the Security Documents). No Requirement of Law or Contractual Obligation applicable to a Loan Party could reasonably be expected to have a Material Adverse Effect. No Loan Party is subject to regulation under any Requirement of Law (other than Regulation X) that limits its ability to incur Indebtedness or which may otherwise render all or any portion of the Obligations unenforceable.</w:t>
      </w:r>
    </w:p>
    <w:p>
      <w:pPr>
        <w:spacing w:after="0" w:line="174" w:lineRule="exact"/>
        <w:rPr>
          <w:sz w:val="20"/>
          <w:szCs w:val="20"/>
          <w:color w:val="auto"/>
        </w:rPr>
      </w:pPr>
    </w:p>
    <w:p>
      <w:pPr>
        <w:jc w:val="both"/>
        <w:ind w:left="1100" w:firstLine="648"/>
        <w:spacing w:after="0" w:line="236" w:lineRule="auto"/>
        <w:rPr>
          <w:sz w:val="20"/>
          <w:szCs w:val="20"/>
          <w:color w:val="auto"/>
        </w:rPr>
      </w:pPr>
      <w:r>
        <w:rPr>
          <w:rFonts w:ascii="Times New Roman" w:cs="Times New Roman" w:eastAsia="Times New Roman" w:hAnsi="Times New Roman"/>
          <w:sz w:val="22"/>
          <w:szCs w:val="22"/>
          <w:b w:val="1"/>
          <w:bCs w:val="1"/>
          <w:color w:val="010000"/>
        </w:rPr>
        <w:t xml:space="preserve">3.6 </w:t>
      </w:r>
      <w:r>
        <w:rPr>
          <w:rFonts w:ascii="Times New Roman" w:cs="Times New Roman" w:eastAsia="Times New Roman" w:hAnsi="Times New Roman"/>
          <w:sz w:val="22"/>
          <w:szCs w:val="22"/>
          <w:b w:val="1"/>
          <w:bCs w:val="1"/>
          <w:color w:val="000000"/>
        </w:rPr>
        <w:t>Litigation</w:t>
      </w:r>
      <w:r>
        <w:rPr>
          <w:rFonts w:ascii="Times New Roman" w:cs="Times New Roman" w:eastAsia="Times New Roman" w:hAnsi="Times New Roman"/>
          <w:sz w:val="22"/>
          <w:szCs w:val="22"/>
          <w:color w:val="000000"/>
        </w:rPr>
        <w:t>. No litigation, investigation or proceeding of or before any arbitrator 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Governmental Authority is pending or, to the knowledge of such Loan Party after reasonable inquiry, threatened by or against any Loan Party or against any of its properties or revenues (a) with respect to any of the Loan Documents, the Collateral or any of the transactions contemplated hereby or thereby, or (b) that could reasonably be expected to have a Material Adverse Effect. As of the </w:t>
      </w:r>
      <w:r>
        <w:rPr>
          <w:rFonts w:ascii="Times New Roman" w:cs="Times New Roman" w:eastAsia="Times New Roman" w:hAnsi="Times New Roman"/>
          <w:sz w:val="22"/>
          <w:szCs w:val="22"/>
          <w:color w:val="FF0000"/>
          <w:strike w:val="1"/>
        </w:rPr>
        <w:t>Closing Date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and each other Borrowing</w:t>
      </w:r>
      <w:r>
        <w:rPr>
          <w:rFonts w:ascii="Times New Roman" w:cs="Times New Roman" w:eastAsia="Times New Roman" w:hAnsi="Times New Roman"/>
          <w:sz w:val="22"/>
          <w:szCs w:val="22"/>
          <w:u w:val="single" w:color="auto"/>
          <w:color w:val="0000FF"/>
        </w:rPr>
        <w:t>First Amendment Effective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Date, all litigation to which any Loan Party is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party is set forth in </w:t>
      </w:r>
      <w:r>
        <w:rPr>
          <w:rFonts w:ascii="Times New Roman" w:cs="Times New Roman" w:eastAsia="Times New Roman" w:hAnsi="Times New Roman"/>
          <w:sz w:val="22"/>
          <w:szCs w:val="22"/>
          <w:u w:val="single" w:color="auto"/>
          <w:color w:val="000000"/>
        </w:rPr>
        <w:t>Schedule 3.6</w:t>
      </w:r>
      <w:r>
        <w:rPr>
          <w:rFonts w:ascii="Times New Roman" w:cs="Times New Roman" w:eastAsia="Times New Roman" w:hAnsi="Times New Roman"/>
          <w:sz w:val="22"/>
          <w:szCs w:val="22"/>
          <w:color w:val="000000"/>
        </w:rPr>
        <w:t>.</w:t>
      </w:r>
    </w:p>
    <w:p>
      <w:pPr>
        <w:spacing w:after="0" w:line="189"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3.7 </w:t>
      </w:r>
      <w:r>
        <w:rPr>
          <w:rFonts w:ascii="Times New Roman" w:cs="Times New Roman" w:eastAsia="Times New Roman" w:hAnsi="Times New Roman"/>
          <w:sz w:val="22"/>
          <w:szCs w:val="22"/>
          <w:b w:val="1"/>
          <w:bCs w:val="1"/>
          <w:color w:val="000000"/>
        </w:rPr>
        <w:t>No Default</w:t>
      </w:r>
      <w:r>
        <w:rPr>
          <w:rFonts w:ascii="Times New Roman" w:cs="Times New Roman" w:eastAsia="Times New Roman" w:hAnsi="Times New Roman"/>
          <w:sz w:val="22"/>
          <w:szCs w:val="22"/>
          <w:color w:val="000000"/>
        </w:rPr>
        <w:t>. No Loan Party is, or will be upon consummation of the transactions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contemplated herein, in default under or with respect to any of its Contractual Obligations in any respect, including, without limitation, under any Material Contract. No Default or Event of Default has occurred and is continuing, nor shall either result from the making of a requested Term Loan. As of the </w:t>
      </w:r>
      <w:r>
        <w:rPr>
          <w:rFonts w:ascii="Times New Roman" w:cs="Times New Roman" w:eastAsia="Times New Roman" w:hAnsi="Times New Roman"/>
          <w:sz w:val="22"/>
          <w:szCs w:val="22"/>
          <w:color w:val="FF0000"/>
          <w:strike w:val="1"/>
        </w:rPr>
        <w:t>Closing Date and as of each other Borrowing</w:t>
      </w:r>
      <w:r>
        <w:rPr>
          <w:rFonts w:ascii="Times New Roman" w:cs="Times New Roman" w:eastAsia="Times New Roman" w:hAnsi="Times New Roman"/>
          <w:sz w:val="22"/>
          <w:szCs w:val="22"/>
          <w:u w:val="single" w:color="auto"/>
          <w:color w:val="0000FF"/>
        </w:rPr>
        <w:t>First Amendment Effective</w:t>
      </w:r>
      <w:r>
        <w:rPr>
          <w:rFonts w:ascii="Times New Roman" w:cs="Times New Roman" w:eastAsia="Times New Roman" w:hAnsi="Times New Roman"/>
          <w:sz w:val="22"/>
          <w:szCs w:val="22"/>
          <w:color w:val="000000"/>
        </w:rPr>
        <w:t xml:space="preserve"> Date, each of the Material Contracts of the Loan Parties are set forth on </w:t>
      </w:r>
      <w:r>
        <w:rPr>
          <w:rFonts w:ascii="Times New Roman" w:cs="Times New Roman" w:eastAsia="Times New Roman" w:hAnsi="Times New Roman"/>
          <w:sz w:val="22"/>
          <w:szCs w:val="22"/>
          <w:u w:val="single" w:color="auto"/>
          <w:color w:val="000000"/>
        </w:rPr>
        <w:t>Schedule 3.7</w:t>
      </w:r>
      <w:r>
        <w:rPr>
          <w:rFonts w:ascii="Times New Roman" w:cs="Times New Roman" w:eastAsia="Times New Roman" w:hAnsi="Times New Roman"/>
          <w:sz w:val="22"/>
          <w:szCs w:val="22"/>
          <w:color w:val="000000"/>
        </w:rPr>
        <w:t xml:space="preserve"> attached hereto.</w:t>
      </w:r>
    </w:p>
    <w:p>
      <w:pPr>
        <w:spacing w:after="0" w:line="175"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3.8 </w:t>
      </w:r>
      <w:r>
        <w:rPr>
          <w:rFonts w:ascii="Times New Roman" w:cs="Times New Roman" w:eastAsia="Times New Roman" w:hAnsi="Times New Roman"/>
          <w:sz w:val="22"/>
          <w:szCs w:val="22"/>
          <w:b w:val="1"/>
          <w:bCs w:val="1"/>
          <w:color w:val="000000"/>
        </w:rPr>
        <w:t>Taxes</w:t>
      </w:r>
      <w:r>
        <w:rPr>
          <w:rFonts w:ascii="Times New Roman" w:cs="Times New Roman" w:eastAsia="Times New Roman" w:hAnsi="Times New Roman"/>
          <w:sz w:val="22"/>
          <w:szCs w:val="22"/>
          <w:color w:val="000000"/>
        </w:rPr>
        <w:t>. Each Loan Party and each of its Subsidiaries has filed or caused to be filed all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federal, state and other material Tax returns and reports that are required to be filed by it and has paid all federal, state and other material Taxes shown to be due and payable (other than Taxes that are currently being contested in good faith by appropriate proceedings which stay the enforcement of any Lien resulting from the non-payment thereof and with respect to which adequate reserves have been set aside for the payment thereof in conformity with GAAP). No Tax Lien has been filed (other than Permitted Liens) in respect of any Loan Party or any of their Subsidiaries. To the knowledge of each Loan Party after reasonable inquiry, no claim is currently being asserted against it or any of its Subsidiaries with respect to any Tax.</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40</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61" w:name="page62"/>
    <w:bookmarkEnd w:id="61"/>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3.9 </w:t>
      </w:r>
      <w:r>
        <w:rPr>
          <w:rFonts w:ascii="Times New Roman" w:cs="Times New Roman" w:eastAsia="Times New Roman" w:hAnsi="Times New Roman"/>
          <w:sz w:val="22"/>
          <w:szCs w:val="22"/>
          <w:b w:val="1"/>
          <w:bCs w:val="1"/>
          <w:color w:val="000000"/>
        </w:rPr>
        <w:t>Margin Stock</w:t>
      </w:r>
      <w:r>
        <w:rPr>
          <w:rFonts w:ascii="Times New Roman" w:cs="Times New Roman" w:eastAsia="Times New Roman" w:hAnsi="Times New Roman"/>
          <w:sz w:val="22"/>
          <w:szCs w:val="22"/>
          <w:color w:val="000000"/>
        </w:rPr>
        <w:t>. No Loan Party is engaged and will not engage, principally or as one of</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its important activities, in the business of purchasing or carrying Margin Stock, or extending credit for the purpose of purchasing or carrying Margin Stock, and no part of the proceeds of any Term Loan, and no other extensions of credit hereunder, will be used for “buying” or “carrying” any Margin Stock for any purpose that violates the provisions of the Regulations T, U, X or any other regulations of the Board.</w:t>
      </w:r>
    </w:p>
    <w:p>
      <w:pPr>
        <w:spacing w:after="0" w:line="189" w:lineRule="exact"/>
        <w:rPr>
          <w:sz w:val="20"/>
          <w:szCs w:val="20"/>
          <w:color w:val="auto"/>
        </w:rPr>
      </w:pPr>
    </w:p>
    <w:p>
      <w:pPr>
        <w:jc w:val="both"/>
        <w:ind w:left="1100" w:firstLine="648"/>
        <w:spacing w:after="0" w:line="233" w:lineRule="auto"/>
        <w:rPr>
          <w:sz w:val="20"/>
          <w:szCs w:val="20"/>
          <w:color w:val="auto"/>
        </w:rPr>
      </w:pPr>
      <w:r>
        <w:rPr>
          <w:rFonts w:ascii="Times New Roman" w:cs="Times New Roman" w:eastAsia="Times New Roman" w:hAnsi="Times New Roman"/>
          <w:sz w:val="22"/>
          <w:szCs w:val="22"/>
          <w:b w:val="1"/>
          <w:bCs w:val="1"/>
          <w:color w:val="010000"/>
        </w:rPr>
        <w:t xml:space="preserve">3.10 </w:t>
      </w:r>
      <w:r>
        <w:rPr>
          <w:rFonts w:ascii="Times New Roman" w:cs="Times New Roman" w:eastAsia="Times New Roman" w:hAnsi="Times New Roman"/>
          <w:sz w:val="22"/>
          <w:szCs w:val="22"/>
          <w:b w:val="1"/>
          <w:bCs w:val="1"/>
          <w:color w:val="000000"/>
        </w:rPr>
        <w:t>ERISA</w:t>
      </w:r>
      <w:r>
        <w:rPr>
          <w:rFonts w:ascii="Times New Roman" w:cs="Times New Roman" w:eastAsia="Times New Roman" w:hAnsi="Times New Roman"/>
          <w:sz w:val="22"/>
          <w:szCs w:val="22"/>
          <w:color w:val="000000"/>
        </w:rPr>
        <w:t>. None of Borrower, nor any other Loan Party, nor any of their respective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ERISA Affiliates has established or maintains or contributes (or has an obligation to contribute) to, or otherwise has any liability, contingent or otherwise with respect to (a) any “employee benefit plan” (within the meaning of Section 3(3) of ERISA, whether or not subject to ERISA) that is covered by Title IV of ERISA or Section 412 of the Code or (b) any “employee benefit plan” providing for post-employment medical or other welfare benefits, except as required by applicable Requirements of Law and at the sole expense of the plan participants. Each “employee benefit plan” that is or has been sponsored, contributed to or required to be contributed to by the Borrower, Parent or their respective ERISA Affiliates has been maintained in compliance with its terms, ERISA, the Code and all other applicable Requirements of Law in all material respects. None of the Loan Parties nor any of their Affiliates is a Plan and none of the assets of the Loan Parties not any of their Affiliates constitutes “plan assets” (within the meaning of 29 CFR § 2510.3-101, as modified by Section 3(42) of ERISA). The entering into this Agreement, the transactions contemplated hereby, the performance by the Loan Parties of its obligations hereunder or under any other Loan Document, do not and will not violate any provisions of ERISA.</w:t>
      </w:r>
    </w:p>
    <w:p>
      <w:pPr>
        <w:spacing w:after="0" w:line="177"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3.11 </w:t>
      </w:r>
      <w:r>
        <w:rPr>
          <w:rFonts w:ascii="Times New Roman" w:cs="Times New Roman" w:eastAsia="Times New Roman" w:hAnsi="Times New Roman"/>
          <w:sz w:val="22"/>
          <w:szCs w:val="22"/>
          <w:b w:val="1"/>
          <w:bCs w:val="1"/>
          <w:color w:val="000000"/>
        </w:rPr>
        <w:t>Investment Company Act</w:t>
      </w:r>
      <w:r>
        <w:rPr>
          <w:rFonts w:ascii="Times New Roman" w:cs="Times New Roman" w:eastAsia="Times New Roman" w:hAnsi="Times New Roman"/>
          <w:sz w:val="22"/>
          <w:szCs w:val="22"/>
          <w:color w:val="000000"/>
        </w:rPr>
        <w:t>. No Loan Party nor any of its Subsidiaries is an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“investment company,” or a company “controlled” by an “investment company,” within the meaning of the Investment Company Act of 1940, as amended. No Loan Party is subject to regulation under the Federal Power Act or under any other federal or state statute or regulation which may limit its ability to incur Indebtedness or which may otherwise render all or any portion of the Obligations unenforceable.</w:t>
      </w:r>
    </w:p>
    <w:p>
      <w:pPr>
        <w:spacing w:after="0" w:line="189" w:lineRule="exact"/>
        <w:rPr>
          <w:sz w:val="20"/>
          <w:szCs w:val="20"/>
          <w:color w:val="auto"/>
        </w:rPr>
      </w:pPr>
    </w:p>
    <w:p>
      <w:pPr>
        <w:ind w:left="176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010000"/>
        </w:rPr>
        <w:t>3.12</w:t>
      </w:r>
      <w:r>
        <w:rPr>
          <w:rFonts w:ascii="Times New Roman" w:cs="Times New Roman" w:eastAsia="Times New Roman" w:hAnsi="Times New Roman"/>
          <w:sz w:val="22"/>
          <w:szCs w:val="22"/>
          <w:b w:val="1"/>
          <w:bCs w:val="1"/>
          <w:color w:val="auto"/>
        </w:rPr>
        <w:tab/>
        <w:t>Use of Proceeds</w:t>
      </w:r>
      <w:r>
        <w:rPr>
          <w:rFonts w:ascii="Times New Roman" w:cs="Times New Roman" w:eastAsia="Times New Roman" w:hAnsi="Times New Roman"/>
          <w:sz w:val="22"/>
          <w:szCs w:val="22"/>
          <w:color w:val="auto"/>
        </w:rPr>
        <w:t>. The proceeds of each Term Loan shall be used by Borrower solely</w:t>
      </w:r>
    </w:p>
    <w:p>
      <w:pPr>
        <w:spacing w:after="0" w:line="18" w:lineRule="exact"/>
        <w:rPr>
          <w:sz w:val="20"/>
          <w:szCs w:val="20"/>
          <w:color w:val="auto"/>
        </w:rPr>
      </w:pPr>
    </w:p>
    <w:p>
      <w:pPr>
        <w:jc w:val="both"/>
        <w:ind w:left="1100" w:firstLine="6"/>
        <w:spacing w:after="0" w:line="241" w:lineRule="auto"/>
        <w:tabs>
          <w:tab w:leader="none" w:pos="1373"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refinance the Prior Debt, (ii) to pay fees, costs and expenses incurred by Agent, Lenders and the Loan Parties in connection with the transactions contemplated hereby or in connection herewith, and</w:t>
      </w:r>
    </w:p>
    <w:p>
      <w:pPr>
        <w:spacing w:after="0" w:line="1" w:lineRule="exact"/>
        <w:rPr>
          <w:rFonts w:ascii="Times New Roman" w:cs="Times New Roman" w:eastAsia="Times New Roman" w:hAnsi="Times New Roman"/>
          <w:sz w:val="21"/>
          <w:szCs w:val="21"/>
          <w:color w:val="auto"/>
        </w:rPr>
      </w:pPr>
    </w:p>
    <w:p>
      <w:pPr>
        <w:ind w:left="1480" w:hanging="374"/>
        <w:spacing w:after="0"/>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for working capital and general corporate purposes.</w:t>
      </w:r>
    </w:p>
    <w:p>
      <w:pPr>
        <w:spacing w:after="0" w:line="192"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3.13 </w:t>
      </w:r>
      <w:r>
        <w:rPr>
          <w:rFonts w:ascii="Times New Roman" w:cs="Times New Roman" w:eastAsia="Times New Roman" w:hAnsi="Times New Roman"/>
          <w:sz w:val="22"/>
          <w:szCs w:val="22"/>
          <w:b w:val="1"/>
          <w:bCs w:val="1"/>
          <w:color w:val="000000"/>
        </w:rPr>
        <w:t>Environmental Matters</w:t>
      </w:r>
      <w:r>
        <w:rPr>
          <w:rFonts w:ascii="Times New Roman" w:cs="Times New Roman" w:eastAsia="Times New Roman" w:hAnsi="Times New Roman"/>
          <w:sz w:val="22"/>
          <w:szCs w:val="22"/>
          <w:color w:val="000000"/>
        </w:rPr>
        <w:t>. None of the Loan Parties’ properties or assets has been used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by a Loan Party or, to the best of such Loan Party’s knowledge after reasonable inquiry, by previous Persons, in disposing, producing, storing, treating, or transporting any hazardous substance other than in compliance with any applicable Environmental Law.</w:t>
      </w:r>
    </w:p>
    <w:p>
      <w:pPr>
        <w:spacing w:after="0" w:line="172"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3.14 </w:t>
      </w:r>
      <w:r>
        <w:rPr>
          <w:rFonts w:ascii="Times New Roman" w:cs="Times New Roman" w:eastAsia="Times New Roman" w:hAnsi="Times New Roman"/>
          <w:sz w:val="22"/>
          <w:szCs w:val="22"/>
          <w:b w:val="1"/>
          <w:bCs w:val="1"/>
          <w:color w:val="000000"/>
        </w:rPr>
        <w:t>Accuracy of Information, etc.</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No statement or information contained in this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Agreement, any other Loan Document or any other document, certificate or statement furnished by or on behalf of any Loan Party to Agent or any Lender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41</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1" w:right="999" w:bottom="1440" w:gutter="0" w:footer="0" w:header="0"/>
        </w:sectPr>
      </w:pPr>
    </w:p>
    <w:bookmarkStart w:id="62" w:name="page63"/>
    <w:bookmarkEnd w:id="62"/>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 xml:space="preserve">herein or therein not misleading; it being understood that any projections and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financial information provided is based upon good faith estimates and assumptions believed by management of the Loan Parties to be reasonable at the time made, it being recognized by the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Agent and Lenders for use in connection with the transactions contemplated hereby and by the other Loan Documents.</w:t>
      </w:r>
    </w:p>
    <w:p>
      <w:pPr>
        <w:spacing w:after="0" w:line="193"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3.15 </w:t>
      </w:r>
      <w:r>
        <w:rPr>
          <w:rFonts w:ascii="Times New Roman" w:cs="Times New Roman" w:eastAsia="Times New Roman" w:hAnsi="Times New Roman"/>
          <w:sz w:val="22"/>
          <w:szCs w:val="22"/>
          <w:b w:val="1"/>
          <w:bCs w:val="1"/>
          <w:color w:val="000000"/>
        </w:rPr>
        <w:t>Security Documents</w:t>
      </w:r>
      <w:r>
        <w:rPr>
          <w:rFonts w:ascii="Times New Roman" w:cs="Times New Roman" w:eastAsia="Times New Roman" w:hAnsi="Times New Roman"/>
          <w:sz w:val="22"/>
          <w:szCs w:val="22"/>
          <w:color w:val="000000"/>
        </w:rPr>
        <w:t>. The Security Documents are effective to create in favor of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Agent, for the benefit of itself and the Lenders, a legal, valid and enforceable first-priority security interest (subject to Permitted Liens) in the Collateral described therein and proceeds thereof.</w:t>
      </w:r>
    </w:p>
    <w:p>
      <w:pPr>
        <w:spacing w:after="0" w:line="167"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3.16 </w:t>
      </w:r>
      <w:r>
        <w:rPr>
          <w:rFonts w:ascii="Times New Roman" w:cs="Times New Roman" w:eastAsia="Times New Roman" w:hAnsi="Times New Roman"/>
          <w:sz w:val="22"/>
          <w:szCs w:val="22"/>
          <w:b w:val="1"/>
          <w:bCs w:val="1"/>
          <w:color w:val="000000"/>
        </w:rPr>
        <w:t>Solvency</w:t>
      </w:r>
      <w:r>
        <w:rPr>
          <w:rFonts w:ascii="Times New Roman" w:cs="Times New Roman" w:eastAsia="Times New Roman" w:hAnsi="Times New Roman"/>
          <w:sz w:val="22"/>
          <w:szCs w:val="22"/>
          <w:color w:val="000000"/>
        </w:rPr>
        <w:t>. The Loan Parties taken as a whole are, and after giving effect to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incurrence of all Indebtedness and obligations being incurred in connection herewith, will be, Solvent.</w:t>
      </w:r>
    </w:p>
    <w:p>
      <w:pPr>
        <w:spacing w:after="0" w:line="181"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3.17 </w:t>
      </w:r>
      <w:r>
        <w:rPr>
          <w:rFonts w:ascii="Times New Roman" w:cs="Times New Roman" w:eastAsia="Times New Roman" w:hAnsi="Times New Roman"/>
          <w:sz w:val="22"/>
          <w:szCs w:val="22"/>
          <w:b w:val="1"/>
          <w:bCs w:val="1"/>
          <w:color w:val="000000"/>
        </w:rPr>
        <w:t>Insurance</w:t>
      </w:r>
      <w:r>
        <w:rPr>
          <w:rFonts w:ascii="Times New Roman" w:cs="Times New Roman" w:eastAsia="Times New Roman" w:hAnsi="Times New Roman"/>
          <w:sz w:val="22"/>
          <w:szCs w:val="22"/>
          <w:color w:val="000000"/>
        </w:rPr>
        <w:t>. All insurance maintained by the Loan Parties is in full force and effect, all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premiums have been duly paid, no Loan Party has received notice of violation or cancellation thereof, and there exists no default under any requirement of such insurance. Each Loan Party maintains insurance with financially sound and reputable insurance companies, on all its property and against at least such risks and, in any case, in at least such amounts as reasonably required by the Agent and as otherwise may be required pursuant to </w:t>
      </w:r>
      <w:r>
        <w:rPr>
          <w:rFonts w:ascii="Times New Roman" w:cs="Times New Roman" w:eastAsia="Times New Roman" w:hAnsi="Times New Roman"/>
          <w:sz w:val="22"/>
          <w:szCs w:val="22"/>
          <w:u w:val="single" w:color="auto"/>
          <w:color w:val="000000"/>
        </w:rPr>
        <w:t>Section 5.5</w:t>
      </w:r>
      <w:r>
        <w:rPr>
          <w:rFonts w:ascii="Times New Roman" w:cs="Times New Roman" w:eastAsia="Times New Roman" w:hAnsi="Times New Roman"/>
          <w:sz w:val="22"/>
          <w:szCs w:val="22"/>
          <w:color w:val="000000"/>
        </w:rPr>
        <w:t>.</w:t>
      </w:r>
    </w:p>
    <w:p>
      <w:pPr>
        <w:spacing w:after="0" w:line="189"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3.18 </w:t>
      </w:r>
      <w:r>
        <w:rPr>
          <w:rFonts w:ascii="Times New Roman" w:cs="Times New Roman" w:eastAsia="Times New Roman" w:hAnsi="Times New Roman"/>
          <w:sz w:val="22"/>
          <w:szCs w:val="22"/>
          <w:b w:val="1"/>
          <w:bCs w:val="1"/>
          <w:color w:val="000000"/>
        </w:rPr>
        <w:t>Title</w:t>
      </w:r>
      <w:r>
        <w:rPr>
          <w:rFonts w:ascii="Times New Roman" w:cs="Times New Roman" w:eastAsia="Times New Roman" w:hAnsi="Times New Roman"/>
          <w:sz w:val="22"/>
          <w:szCs w:val="22"/>
          <w:color w:val="000000"/>
        </w:rPr>
        <w:t>. Each Loan Party is the lawful owner of, and has good title to, all of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Collateral pledged hereunder or any other Loan Document, in each case, free and clear of any Liens (other than the Lien of the Agent and any Permitted Liens). The Collateral represents all assets that are necessary for the conduct of Loan Parties’ business as currently conducted.</w:t>
      </w:r>
    </w:p>
    <w:p>
      <w:pPr>
        <w:spacing w:after="0" w:line="172"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3.19 </w:t>
      </w:r>
      <w:r>
        <w:rPr>
          <w:rFonts w:ascii="Times New Roman" w:cs="Times New Roman" w:eastAsia="Times New Roman" w:hAnsi="Times New Roman"/>
          <w:sz w:val="22"/>
          <w:szCs w:val="22"/>
          <w:b w:val="1"/>
          <w:bCs w:val="1"/>
          <w:color w:val="000000"/>
        </w:rPr>
        <w:t>Subsidiaries</w:t>
      </w:r>
      <w:r>
        <w:rPr>
          <w:rFonts w:ascii="Times New Roman" w:cs="Times New Roman" w:eastAsia="Times New Roman" w:hAnsi="Times New Roman"/>
          <w:sz w:val="22"/>
          <w:szCs w:val="22"/>
          <w:color w:val="000000"/>
        </w:rPr>
        <w:t>. As of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First Amendment Effective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Date, each Subsidiary of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Loan Party is set forth on </w:t>
      </w:r>
      <w:r>
        <w:rPr>
          <w:rFonts w:ascii="Times New Roman" w:cs="Times New Roman" w:eastAsia="Times New Roman" w:hAnsi="Times New Roman"/>
          <w:sz w:val="22"/>
          <w:szCs w:val="22"/>
          <w:u w:val="single" w:color="auto"/>
          <w:color w:val="000000"/>
        </w:rPr>
        <w:t>Schedule 3.19</w:t>
      </w:r>
      <w:r>
        <w:rPr>
          <w:rFonts w:ascii="Times New Roman" w:cs="Times New Roman" w:eastAsia="Times New Roman" w:hAnsi="Times New Roman"/>
          <w:sz w:val="22"/>
          <w:szCs w:val="22"/>
          <w:color w:val="000000"/>
        </w:rPr>
        <w:t xml:space="preserve"> hereof. As of any date following the Closing Date, the Loan Parties have no Subsidiaries other than those set forth on </w:t>
      </w:r>
      <w:r>
        <w:rPr>
          <w:rFonts w:ascii="Times New Roman" w:cs="Times New Roman" w:eastAsia="Times New Roman" w:hAnsi="Times New Roman"/>
          <w:sz w:val="22"/>
          <w:szCs w:val="22"/>
          <w:u w:val="single" w:color="auto"/>
          <w:color w:val="000000"/>
        </w:rPr>
        <w:t>Schedule 3.19</w:t>
      </w:r>
      <w:r>
        <w:rPr>
          <w:rFonts w:ascii="Times New Roman" w:cs="Times New Roman" w:eastAsia="Times New Roman" w:hAnsi="Times New Roman"/>
          <w:sz w:val="22"/>
          <w:szCs w:val="22"/>
          <w:color w:val="000000"/>
        </w:rPr>
        <w:t xml:space="preserve"> hereof and those permitted pursuant to </w:t>
      </w:r>
      <w:r>
        <w:rPr>
          <w:rFonts w:ascii="Times New Roman" w:cs="Times New Roman" w:eastAsia="Times New Roman" w:hAnsi="Times New Roman"/>
          <w:sz w:val="22"/>
          <w:szCs w:val="22"/>
          <w:u w:val="single" w:color="auto"/>
          <w:color w:val="000000"/>
        </w:rPr>
        <w:t>Section 6.11</w:t>
      </w:r>
      <w:r>
        <w:rPr>
          <w:rFonts w:ascii="Times New Roman" w:cs="Times New Roman" w:eastAsia="Times New Roman" w:hAnsi="Times New Roman"/>
          <w:sz w:val="22"/>
          <w:szCs w:val="22"/>
          <w:color w:val="000000"/>
        </w:rPr>
        <w:t xml:space="preserve"> hereof.</w:t>
      </w:r>
    </w:p>
    <w:p>
      <w:pPr>
        <w:spacing w:after="0" w:line="185"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3.20 </w:t>
      </w:r>
      <w:r>
        <w:rPr>
          <w:rFonts w:ascii="Times New Roman" w:cs="Times New Roman" w:eastAsia="Times New Roman" w:hAnsi="Times New Roman"/>
          <w:sz w:val="22"/>
          <w:szCs w:val="22"/>
          <w:b w:val="1"/>
          <w:bCs w:val="1"/>
          <w:color w:val="000000"/>
        </w:rPr>
        <w:t>Employees</w:t>
      </w:r>
      <w:r>
        <w:rPr>
          <w:rFonts w:ascii="Times New Roman" w:cs="Times New Roman" w:eastAsia="Times New Roman" w:hAnsi="Times New Roman"/>
          <w:sz w:val="22"/>
          <w:szCs w:val="22"/>
          <w:color w:val="000000"/>
        </w:rPr>
        <w:t>. No Loan Party is party to or bound by any collective bargaining</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agreement or similar labor agreement and there is, and during the five (5) year period immediately preceding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First Amendment Effective</w:t>
      </w:r>
      <w:r>
        <w:rPr>
          <w:rFonts w:ascii="Times New Roman" w:cs="Times New Roman" w:eastAsia="Times New Roman" w:hAnsi="Times New Roman"/>
          <w:sz w:val="22"/>
          <w:szCs w:val="22"/>
          <w:color w:val="000000"/>
        </w:rPr>
        <w:t xml:space="preserve"> Date, has been, no labor organizing activity involving employees of any Loan Party. There are no strikes, lockouts, work stoppages, slowdowns or other labor disputes against any Loan Party pending or, to the Knowledge of any Loan Party, threatened and the Loan Parties have complied in all material respects with the Fair Labor Standards Act of 1938, as amended, and all other applicable federal, state, local or foreign labor and employment Laws. None of the Loan Parties has incurred any material liability or obligation under the Worker Adjustment and Retraining Notification Act or similar state law that remains unpaid or unsatisfied. All material payments due from any of the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42</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1" w:right="999" w:bottom="1440" w:gutter="0" w:footer="0" w:header="0"/>
        </w:sectPr>
      </w:pPr>
    </w:p>
    <w:bookmarkStart w:id="63" w:name="page64"/>
    <w:bookmarkEnd w:id="63"/>
    <w:p>
      <w:pPr>
        <w:ind w:left="1100" w:right="60"/>
        <w:spacing w:after="0" w:line="258" w:lineRule="auto"/>
        <w:rPr>
          <w:sz w:val="20"/>
          <w:szCs w:val="20"/>
          <w:color w:val="auto"/>
        </w:rPr>
      </w:pPr>
      <w:r>
        <w:rPr>
          <w:rFonts w:ascii="Times New Roman" w:cs="Times New Roman" w:eastAsia="Times New Roman" w:hAnsi="Times New Roman"/>
          <w:sz w:val="22"/>
          <w:szCs w:val="22"/>
          <w:color w:val="auto"/>
        </w:rPr>
        <w:t>Loan Parties on account of wages and employee health and welfare insurance and other benefits have been paid or accrued as a liability on the books of the Loan Parties.</w:t>
      </w:r>
    </w:p>
    <w:p>
      <w:pPr>
        <w:spacing w:after="0" w:line="168" w:lineRule="exact"/>
        <w:rPr>
          <w:sz w:val="20"/>
          <w:szCs w:val="20"/>
          <w:color w:val="auto"/>
        </w:rPr>
      </w:pPr>
    </w:p>
    <w:p>
      <w:pPr>
        <w:jc w:val="both"/>
        <w:ind w:left="1100" w:firstLine="648"/>
        <w:spacing w:after="0" w:line="233" w:lineRule="auto"/>
        <w:rPr>
          <w:sz w:val="20"/>
          <w:szCs w:val="20"/>
          <w:color w:val="auto"/>
        </w:rPr>
      </w:pPr>
      <w:r>
        <w:rPr>
          <w:rFonts w:ascii="Times New Roman" w:cs="Times New Roman" w:eastAsia="Times New Roman" w:hAnsi="Times New Roman"/>
          <w:sz w:val="22"/>
          <w:szCs w:val="22"/>
          <w:b w:val="1"/>
          <w:bCs w:val="1"/>
          <w:color w:val="010000"/>
        </w:rPr>
        <w:t xml:space="preserve">3.21 </w:t>
      </w:r>
      <w:r>
        <w:rPr>
          <w:rFonts w:ascii="Times New Roman" w:cs="Times New Roman" w:eastAsia="Times New Roman" w:hAnsi="Times New Roman"/>
          <w:sz w:val="22"/>
          <w:szCs w:val="22"/>
          <w:b w:val="1"/>
          <w:bCs w:val="1"/>
          <w:color w:val="000000"/>
        </w:rPr>
        <w:t>Collateral</w:t>
      </w:r>
      <w:r>
        <w:rPr>
          <w:rFonts w:ascii="Times New Roman" w:cs="Times New Roman" w:eastAsia="Times New Roman" w:hAnsi="Times New Roman"/>
          <w:sz w:val="22"/>
          <w:szCs w:val="22"/>
          <w:color w:val="000000"/>
        </w:rPr>
        <w:t>. All statements made and all information appearing in all invoices,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instruments and other documents evidencing the account receivables of any Loan Party, and the operations of such Loan Party with respect to such account receivables are and shall be true and correct in all material respects and all such invoices, instruments and other documents, and all of such Loan Party’s books and records are genuine and in all respects what they purport to be. All account receivables of the Loan Parties and all operations of the Loan Parties with respect to such account receivables comply in all material respects with all applicable Requirements of Law. To such Loan Party’s knowledge after reasonable inquiry, all signatures and endorsements on all documents, instruments, and agreements relating to the account receivables of such Loan Party are genuine, and all such documents, instruments and agreements are legally enforceable in accordance with their terms. Each account receivables of a Loan Party is, and will remain at all times, free and clear of Liens other than the Lien of Agent and Permitted Liens. The Loan Parties have not, and will not, transfer or assign any partial interest in any account receivables other than in the ordinary course of business.</w:t>
      </w:r>
    </w:p>
    <w:p>
      <w:pPr>
        <w:spacing w:after="0" w:line="180"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3.22 </w:t>
      </w:r>
      <w:r>
        <w:rPr>
          <w:rFonts w:ascii="Times New Roman" w:cs="Times New Roman" w:eastAsia="Times New Roman" w:hAnsi="Times New Roman"/>
          <w:sz w:val="22"/>
          <w:szCs w:val="22"/>
          <w:b w:val="1"/>
          <w:bCs w:val="1"/>
          <w:color w:val="000000"/>
        </w:rPr>
        <w:t>Intellectual Property</w:t>
      </w:r>
      <w:r>
        <w:rPr>
          <w:rFonts w:ascii="Times New Roman" w:cs="Times New Roman" w:eastAsia="Times New Roman" w:hAnsi="Times New Roman"/>
          <w:sz w:val="22"/>
          <w:szCs w:val="22"/>
          <w:color w:val="000000"/>
        </w:rPr>
        <w:t>. The Borrower owns, or is licensed to use, all Intellectual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Property necessary for the conduct of its business as currently conducted. No claim has been asserted and is pending by any Person challenging or questioning the use of any Intellectual Property or the validity or effectiveness of any Intellectual Property, in each case so as to result in a Material Adverse Effect. The use of Intellectual Property by each Loan Party does not infringe on the rights of any Person in any material respect.</w:t>
      </w:r>
    </w:p>
    <w:p>
      <w:pPr>
        <w:spacing w:after="0" w:line="189" w:lineRule="exact"/>
        <w:rPr>
          <w:sz w:val="20"/>
          <w:szCs w:val="20"/>
          <w:color w:val="auto"/>
        </w:rPr>
      </w:pPr>
    </w:p>
    <w:p>
      <w:pPr>
        <w:ind w:left="1100" w:right="6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3.23 </w:t>
      </w:r>
      <w:r>
        <w:rPr>
          <w:rFonts w:ascii="Times New Roman" w:cs="Times New Roman" w:eastAsia="Times New Roman" w:hAnsi="Times New Roman"/>
          <w:sz w:val="22"/>
          <w:szCs w:val="22"/>
          <w:b w:val="1"/>
          <w:bCs w:val="1"/>
          <w:color w:val="000000"/>
        </w:rPr>
        <w:t>Capitalization</w:t>
      </w:r>
      <w:r>
        <w:rPr>
          <w:rFonts w:ascii="Times New Roman" w:cs="Times New Roman" w:eastAsia="Times New Roman" w:hAnsi="Times New Roman"/>
          <w:sz w:val="22"/>
          <w:szCs w:val="22"/>
          <w:color w:val="000000"/>
        </w:rPr>
        <w:t>. The Equity Interests of each Loan Party has been duly authorized and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validly issued and are fully paid and non-assessable. Except as set forth on </w:t>
      </w:r>
      <w:r>
        <w:rPr>
          <w:rFonts w:ascii="Times New Roman" w:cs="Times New Roman" w:eastAsia="Times New Roman" w:hAnsi="Times New Roman"/>
          <w:sz w:val="22"/>
          <w:szCs w:val="22"/>
          <w:u w:val="single" w:color="auto"/>
          <w:color w:val="000000"/>
        </w:rPr>
        <w:t>Schedule 3.23</w:t>
      </w:r>
      <w:r>
        <w:rPr>
          <w:rFonts w:ascii="Times New Roman" w:cs="Times New Roman" w:eastAsia="Times New Roman" w:hAnsi="Times New Roman"/>
          <w:sz w:val="22"/>
          <w:szCs w:val="22"/>
          <w:color w:val="000000"/>
        </w:rPr>
        <w:t xml:space="preserve">, as of the date hereof, there is no existing option, warrant, call, right, commitment or other agreement to which a Loan Party is a party requiring, and there is no membership interest or other Equity Interest of a Loan Party outstanding which upon conversion or exchange would require, the issuance by such Loan Party of any additional membership interests or other Equity Interests or other securities convertible into, exchangeable for or evidencing the right to subscribe for or purchase, a membership interest or other Equity Interests of such Loan Party. </w:t>
      </w:r>
      <w:r>
        <w:rPr>
          <w:rFonts w:ascii="Times New Roman" w:cs="Times New Roman" w:eastAsia="Times New Roman" w:hAnsi="Times New Roman"/>
          <w:sz w:val="22"/>
          <w:szCs w:val="22"/>
          <w:u w:val="single" w:color="auto"/>
          <w:color w:val="000000"/>
        </w:rPr>
        <w:t>Schedule 3.23</w:t>
      </w:r>
      <w:r>
        <w:rPr>
          <w:rFonts w:ascii="Times New Roman" w:cs="Times New Roman" w:eastAsia="Times New Roman" w:hAnsi="Times New Roman"/>
          <w:sz w:val="22"/>
          <w:szCs w:val="22"/>
          <w:color w:val="000000"/>
        </w:rPr>
        <w:t xml:space="preserve"> correctly sets forth the ownership interest of each Loan Party in its respective Subsidiaries as of the Closing Date both before and after giving effect to the transactions contemplated hereby.</w:t>
      </w:r>
    </w:p>
    <w:p>
      <w:pPr>
        <w:spacing w:after="0" w:line="193"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3.24 </w:t>
      </w:r>
      <w:r>
        <w:rPr>
          <w:rFonts w:ascii="Times New Roman" w:cs="Times New Roman" w:eastAsia="Times New Roman" w:hAnsi="Times New Roman"/>
          <w:sz w:val="22"/>
          <w:szCs w:val="22"/>
          <w:b w:val="1"/>
          <w:bCs w:val="1"/>
          <w:color w:val="000000"/>
        </w:rPr>
        <w:t>Transactions with Affiliates</w:t>
      </w:r>
      <w:r>
        <w:rPr>
          <w:rFonts w:ascii="Times New Roman" w:cs="Times New Roman" w:eastAsia="Times New Roman" w:hAnsi="Times New Roman"/>
          <w:sz w:val="22"/>
          <w:szCs w:val="22"/>
          <w:color w:val="000000"/>
        </w:rPr>
        <w:t>. Except as set forth 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u w:val="single" w:color="auto"/>
          <w:color w:val="000000"/>
        </w:rPr>
        <w:t>Schedule 3.24</w:t>
      </w:r>
      <w:r>
        <w:rPr>
          <w:rFonts w:ascii="Times New Roman" w:cs="Times New Roman" w:eastAsia="Times New Roman" w:hAnsi="Times New Roman"/>
          <w:sz w:val="22"/>
          <w:szCs w:val="22"/>
          <w:color w:val="000000"/>
        </w:rPr>
        <w:t>, no Loan Party is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party to any transaction, including any purchase, sale, lease or exchange of property, the rendering of any service or the payment of any management, advisory or similar fees, with any Affiliate unless such transaction is (a) otherwise permitted under this Agreement, (b) in the ordinary course of business of such Loan Party and is upon fair and reasonable terms no less favorable to such Loan Party, as determined by Agent in Agent’s Permitted Discretion, than it would obtain in a comparable arm’s length transaction with a Person that is not an Affiliate, (c) employment arrangements and employee benefit plans entered into in the ordinary course of business or (d) transactions solely among the Loan Parties, not involving other Affiliates.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43</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64" w:name="page65"/>
    <w:bookmarkEnd w:id="64"/>
    <w:p>
      <w:pPr>
        <w:jc w:val="both"/>
        <w:ind w:left="1100" w:firstLine="648"/>
        <w:spacing w:after="0" w:line="236" w:lineRule="auto"/>
        <w:rPr>
          <w:sz w:val="20"/>
          <w:szCs w:val="20"/>
          <w:color w:val="auto"/>
        </w:rPr>
      </w:pPr>
      <w:r>
        <w:rPr>
          <w:rFonts w:ascii="Times New Roman" w:cs="Times New Roman" w:eastAsia="Times New Roman" w:hAnsi="Times New Roman"/>
          <w:sz w:val="22"/>
          <w:szCs w:val="22"/>
          <w:b w:val="1"/>
          <w:bCs w:val="1"/>
          <w:color w:val="010000"/>
        </w:rPr>
        <w:t xml:space="preserve">3.25 </w:t>
      </w:r>
      <w:r>
        <w:rPr>
          <w:rFonts w:ascii="Times New Roman" w:cs="Times New Roman" w:eastAsia="Times New Roman" w:hAnsi="Times New Roman"/>
          <w:sz w:val="22"/>
          <w:szCs w:val="22"/>
          <w:b w:val="1"/>
          <w:bCs w:val="1"/>
          <w:color w:val="000000"/>
        </w:rPr>
        <w:t>No Burdensome Restrictions</w:t>
      </w:r>
      <w:r>
        <w:rPr>
          <w:rFonts w:ascii="Times New Roman" w:cs="Times New Roman" w:eastAsia="Times New Roman" w:hAnsi="Times New Roman"/>
          <w:sz w:val="22"/>
          <w:szCs w:val="22"/>
          <w:color w:val="000000"/>
        </w:rPr>
        <w:t>. No encumbrance or restriction of any kind exists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which materially and adversely affects the ability of (a) any Subsidiary of any Loan Party (i) to pay dividends or to make any other distribution on its Equity Interests owned by its parent, (ii) to pay or prepay any Indebtedness owed to any Loan Party, (iii) to make loans or advances to any Loan Party, or (iv) to transfer any of its property or assets to any Loan Party, or (b) any Loan Party to grant Liens on the Collateral to Agent, in each case except for restrictions and conditions imposed by applicable law.</w:t>
      </w:r>
    </w:p>
    <w:p>
      <w:pPr>
        <w:spacing w:after="0" w:line="311" w:lineRule="exact"/>
        <w:rPr>
          <w:sz w:val="20"/>
          <w:szCs w:val="20"/>
          <w:color w:val="auto"/>
        </w:rPr>
      </w:pPr>
    </w:p>
    <w:p>
      <w:pPr>
        <w:ind w:left="1100" w:firstLine="648"/>
        <w:spacing w:after="0"/>
        <w:rPr>
          <w:sz w:val="20"/>
          <w:szCs w:val="20"/>
          <w:color w:val="auto"/>
        </w:rPr>
      </w:pPr>
      <w:r>
        <w:rPr>
          <w:rFonts w:ascii="Times New Roman" w:cs="Times New Roman" w:eastAsia="Times New Roman" w:hAnsi="Times New Roman"/>
          <w:sz w:val="22"/>
          <w:szCs w:val="22"/>
          <w:b w:val="1"/>
          <w:bCs w:val="1"/>
          <w:color w:val="010000"/>
        </w:rPr>
        <w:t xml:space="preserve">3.26 </w:t>
      </w:r>
      <w:r>
        <w:rPr>
          <w:rFonts w:ascii="Times New Roman" w:cs="Times New Roman" w:eastAsia="Times New Roman" w:hAnsi="Times New Roman"/>
          <w:sz w:val="22"/>
          <w:szCs w:val="22"/>
          <w:b w:val="1"/>
          <w:bCs w:val="1"/>
          <w:color w:val="000000"/>
        </w:rPr>
        <w:t>Patriot Act</w:t>
      </w:r>
      <w:r>
        <w:rPr>
          <w:rFonts w:ascii="Times New Roman" w:cs="Times New Roman" w:eastAsia="Times New Roman" w:hAnsi="Times New Roman"/>
          <w:sz w:val="22"/>
          <w:szCs w:val="22"/>
          <w:color w:val="000000"/>
        </w:rPr>
        <w:t>. To the extent applicable, each Loan Party is in compliance, in all material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respects, with the (a) Trading with the Enemy Act, as amended, and each of the foreign assets control regulations of the United States Treasury Department (31 C.F.R., Subtitle B, Chapter V, as amended) and any other enabling legislation or executive order relating thereto and (b) Patriot Act.</w:t>
      </w:r>
    </w:p>
    <w:p>
      <w:pPr>
        <w:spacing w:after="0" w:line="200" w:lineRule="exact"/>
        <w:rPr>
          <w:sz w:val="20"/>
          <w:szCs w:val="20"/>
          <w:color w:val="auto"/>
        </w:rPr>
      </w:pPr>
    </w:p>
    <w:p>
      <w:pPr>
        <w:spacing w:after="0" w:line="233"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3.27</w:t>
      </w:r>
      <w:r>
        <w:rPr>
          <w:sz w:val="20"/>
          <w:szCs w:val="20"/>
          <w:color w:val="auto"/>
        </w:rPr>
        <w:tab/>
      </w:r>
      <w:r>
        <w:rPr>
          <w:rFonts w:ascii="Times New Roman" w:cs="Times New Roman" w:eastAsia="Times New Roman" w:hAnsi="Times New Roman"/>
          <w:sz w:val="21"/>
          <w:szCs w:val="21"/>
          <w:b w:val="1"/>
          <w:bCs w:val="1"/>
          <w:color w:val="auto"/>
        </w:rPr>
        <w:t>Foreign Assets Control Regulations and Anti-Money Laundering</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3"/>
        <w:spacing w:after="0" w:line="249" w:lineRule="auto"/>
        <w:tabs>
          <w:tab w:leader="none" w:pos="2397"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Loan Party, and no director, officer, employee, agent or Affiliate of any Loan Party is a Person that is, or is owned or controlled by (including by virtue of such Person being a director or owning voting shares or interests), or acts, directly or indirectly, for or on behalf of, any Person that is</w:t>
      </w:r>
    </w:p>
    <w:p>
      <w:pPr>
        <w:spacing w:after="0" w:line="1" w:lineRule="exact"/>
        <w:rPr>
          <w:rFonts w:ascii="Times New Roman" w:cs="Times New Roman" w:eastAsia="Times New Roman" w:hAnsi="Times New Roman"/>
          <w:sz w:val="21"/>
          <w:szCs w:val="21"/>
          <w:color w:val="010000"/>
        </w:rPr>
      </w:pPr>
    </w:p>
    <w:p>
      <w:pPr>
        <w:jc w:val="both"/>
        <w:ind w:left="1100" w:firstLine="5"/>
        <w:spacing w:after="0" w:line="230" w:lineRule="auto"/>
        <w:tabs>
          <w:tab w:leader="none" w:pos="137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by the U.S. government on the list of the Specially Designated Nationals or Blocked Persons or with which a U.S. Person cannot deal with or otherwise engage in business transactions,</w:t>
      </w:r>
    </w:p>
    <w:p>
      <w:pPr>
        <w:spacing w:after="0" w:line="1" w:lineRule="exact"/>
        <w:rPr>
          <w:rFonts w:ascii="Times New Roman" w:cs="Times New Roman" w:eastAsia="Times New Roman" w:hAnsi="Times New Roman"/>
          <w:sz w:val="22"/>
          <w:szCs w:val="22"/>
          <w:color w:val="auto"/>
        </w:rPr>
      </w:pPr>
    </w:p>
    <w:p>
      <w:pPr>
        <w:jc w:val="both"/>
        <w:ind w:left="1100" w:firstLine="5"/>
        <w:spacing w:after="0" w:line="232" w:lineRule="auto"/>
        <w:tabs>
          <w:tab w:leader="none" w:pos="142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and/or target of any sanctions administered or enforced by the U.S. Department of the Treasury’s Office of Foreign Assets Control, the U.S. Department of State, the United Nations Security Council, the European Union, Her Majesty’s Treasury, or other relevant sanctions authority (collectively,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xml:space="preserve">”) or (iii) located, organized or resident in a country or territory that is, or whose government is, the subject of Sanctions (any Person described in clauses (i), (ii) or (iii),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Blocked Person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1100" w:firstLine="654"/>
        <w:spacing w:after="0" w:line="235" w:lineRule="auto"/>
        <w:tabs>
          <w:tab w:leader="none" w:pos="2396"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Loan Parties, their Subsidiaries and their respective directors, officers, and employees, and to the knowledge of the Loan Parties after reasonable inquiry, their agents or any other person acting on behalf of any Loan Party or any of their Subsidiaries, are and will remain in compliance with all applicable Sanctions, the Foreign Corrupt Practices Act of 1977, as amended, and the rules and regulations thereunder (collectively, the “</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all applicable anti-money laundering and counter-terrorism financing provisions of the Bank Secrecy Act (31 U.S.C. Sections 5301 et seq.) and all regulations issued pursuant to it, or any other applicable anti-corruption law.</w:t>
      </w:r>
    </w:p>
    <w:p>
      <w:pPr>
        <w:spacing w:after="0" w:line="183"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Loan Parties and their Subsidiaries have instituted and maintain policies and procedures designed to ensure continued compliance with applicable Sanctions, the FCPA and any other applicable anti-corruption Laws.</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9" w:lineRule="auto"/>
        <w:tabs>
          <w:tab w:leader="none" w:pos="2396"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part of the proceeds of the Term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44</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1" w:right="999" w:bottom="1440" w:gutter="0" w:footer="0" w:header="0"/>
        </w:sectPr>
      </w:pPr>
    </w:p>
    <w:bookmarkStart w:id="65" w:name="page66"/>
    <w:bookmarkEnd w:id="65"/>
    <w:p>
      <w:pPr>
        <w:jc w:val="both"/>
        <w:ind w:left="1100" w:right="2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3.28 </w:t>
      </w:r>
      <w:r>
        <w:rPr>
          <w:rFonts w:ascii="Times New Roman" w:cs="Times New Roman" w:eastAsia="Times New Roman" w:hAnsi="Times New Roman"/>
          <w:sz w:val="22"/>
          <w:szCs w:val="22"/>
          <w:b w:val="1"/>
          <w:bCs w:val="1"/>
          <w:color w:val="000000"/>
        </w:rPr>
        <w:t>Parent</w:t>
      </w:r>
      <w:r>
        <w:rPr>
          <w:rFonts w:ascii="Times New Roman" w:cs="Times New Roman" w:eastAsia="Times New Roman" w:hAnsi="Times New Roman"/>
          <w:sz w:val="22"/>
          <w:szCs w:val="22"/>
          <w:color w:val="000000"/>
        </w:rPr>
        <w:t>. Parent does not engage in any material business activity other than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activities permitted under </w:t>
      </w:r>
      <w:r>
        <w:rPr>
          <w:rFonts w:ascii="Times New Roman" w:cs="Times New Roman" w:eastAsia="Times New Roman" w:hAnsi="Times New Roman"/>
          <w:sz w:val="22"/>
          <w:szCs w:val="22"/>
          <w:u w:val="single" w:color="auto"/>
          <w:color w:val="000000"/>
        </w:rPr>
        <w:t>Section 6.11</w:t>
      </w:r>
      <w:r>
        <w:rPr>
          <w:rFonts w:ascii="Times New Roman" w:cs="Times New Roman" w:eastAsia="Times New Roman" w:hAnsi="Times New Roman"/>
          <w:sz w:val="22"/>
          <w:szCs w:val="22"/>
          <w:color w:val="000000"/>
        </w:rPr>
        <w:t>.</w:t>
      </w:r>
    </w:p>
    <w:p>
      <w:pPr>
        <w:spacing w:after="0" w:line="163"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3.29 </w:t>
      </w:r>
      <w:r>
        <w:rPr>
          <w:rFonts w:ascii="Times New Roman" w:cs="Times New Roman" w:eastAsia="Times New Roman" w:hAnsi="Times New Roman"/>
          <w:sz w:val="22"/>
          <w:szCs w:val="22"/>
          <w:b w:val="1"/>
          <w:bCs w:val="1"/>
          <w:color w:val="000000"/>
        </w:rPr>
        <w:t>PPP Loans</w:t>
      </w:r>
      <w:r>
        <w:rPr>
          <w:rFonts w:ascii="Times New Roman" w:cs="Times New Roman" w:eastAsia="Times New Roman" w:hAnsi="Times New Roman"/>
          <w:sz w:val="22"/>
          <w:szCs w:val="22"/>
          <w:color w:val="000000"/>
        </w:rPr>
        <w:t>. Each of the PPP Loans has been forgiven in its entirety, and neither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Borrower nor any other Loan Party has any knowledge of any pending or threatened investigation by the applicable lender under any PPP Loan, the U.S. Small Business Administration or any other Official Body into the incurrence, use or forgiveness of any PPP Loan or any other matter relating thereto.</w:t>
      </w:r>
    </w:p>
    <w:p>
      <w:pPr>
        <w:spacing w:after="0" w:line="177" w:lineRule="exact"/>
        <w:rPr>
          <w:sz w:val="20"/>
          <w:szCs w:val="20"/>
          <w:color w:val="auto"/>
        </w:rPr>
      </w:pPr>
    </w:p>
    <w:p>
      <w:pPr>
        <w:jc w:val="both"/>
        <w:ind w:left="1100" w:right="20" w:firstLine="648"/>
        <w:spacing w:after="0" w:line="243" w:lineRule="auto"/>
        <w:rPr>
          <w:sz w:val="20"/>
          <w:szCs w:val="20"/>
          <w:color w:val="auto"/>
        </w:rPr>
      </w:pPr>
      <w:r>
        <w:rPr>
          <w:rFonts w:ascii="Times New Roman" w:cs="Times New Roman" w:eastAsia="Times New Roman" w:hAnsi="Times New Roman"/>
          <w:sz w:val="22"/>
          <w:szCs w:val="22"/>
          <w:b w:val="1"/>
          <w:bCs w:val="1"/>
          <w:color w:val="010000"/>
        </w:rPr>
        <w:t xml:space="preserve">3.30 </w:t>
      </w:r>
      <w:r>
        <w:rPr>
          <w:rFonts w:ascii="Times New Roman" w:cs="Times New Roman" w:eastAsia="Times New Roman" w:hAnsi="Times New Roman"/>
          <w:sz w:val="22"/>
          <w:szCs w:val="22"/>
          <w:b w:val="1"/>
          <w:bCs w:val="1"/>
          <w:color w:val="000000"/>
        </w:rPr>
        <w:t>SPAC Transaction</w:t>
      </w:r>
      <w:r>
        <w:rPr>
          <w:rFonts w:ascii="Times New Roman" w:cs="Times New Roman" w:eastAsia="Times New Roman" w:hAnsi="Times New Roman"/>
          <w:sz w:val="22"/>
          <w:szCs w:val="22"/>
          <w:color w:val="000000"/>
        </w:rPr>
        <w:t>. With respect to the SPAC Merger Agreement, each SPAC</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Subscription Agreement, the Sponsor Support Agreement and the Stockholder Support Agreement:</w:t>
      </w:r>
    </w:p>
    <w:p>
      <w:pPr>
        <w:spacing w:after="0" w:line="2" w:lineRule="exact"/>
        <w:rPr>
          <w:sz w:val="20"/>
          <w:szCs w:val="20"/>
          <w:color w:val="auto"/>
        </w:rPr>
      </w:pPr>
    </w:p>
    <w:p>
      <w:pPr>
        <w:jc w:val="both"/>
        <w:ind w:left="1100" w:firstLine="6"/>
        <w:spacing w:after="0" w:line="243" w:lineRule="auto"/>
        <w:tabs>
          <w:tab w:leader="none" w:pos="142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agreement is in full force and effect, (b) no breach or default exists or has been asserted thereunder, and Borrower is not aware of any fact or circumstance that would give rise to any breach or default thereunder, (c) no party has terminated or threatened to terminate the SPAC Merger Agreement, any SPAC Subscription Agreement, the Sponsor Support Agreement or the Stockholder Support Agreement, (d) there have been no amendments, restatements, supplements or other modifications thereto that have not been disclosed to the Agent and (e) such agreements constitute the entire agreement and understanding among the Borrower, the Parent, each counterparty thereto and their respective Affiliates concerning the SPAC Transaction. The Borrower has not received, and to the Borrower’s knowledge, the Parent has not received any notice of an adverse determination by the SEC or any other Official Body regarding the SPAC Transaction.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92"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4.1 </w:t>
      </w:r>
      <w:r>
        <w:rPr>
          <w:rFonts w:ascii="Times New Roman" w:cs="Times New Roman" w:eastAsia="Times New Roman" w:hAnsi="Times New Roman"/>
          <w:sz w:val="22"/>
          <w:szCs w:val="22"/>
          <w:b w:val="1"/>
          <w:bCs w:val="1"/>
          <w:color w:val="000000"/>
        </w:rPr>
        <w:t>Conditions to Closing</w:t>
      </w:r>
      <w:r>
        <w:rPr>
          <w:rFonts w:ascii="Times New Roman" w:cs="Times New Roman" w:eastAsia="Times New Roman" w:hAnsi="Times New Roman"/>
          <w:sz w:val="22"/>
          <w:szCs w:val="22"/>
          <w:color w:val="000000"/>
        </w:rPr>
        <w:t>. The effectiveness of this Agreement shall be subject to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satisfaction (or waiver, in the sole discretion of the Agent), prior to or on the Closing Date, of the following conditions precedent:</w:t>
      </w:r>
    </w:p>
    <w:p>
      <w:pPr>
        <w:spacing w:after="0" w:line="181" w:lineRule="exact"/>
        <w:rPr>
          <w:sz w:val="20"/>
          <w:szCs w:val="20"/>
          <w:color w:val="auto"/>
        </w:rPr>
      </w:pPr>
    </w:p>
    <w:p>
      <w:pPr>
        <w:ind w:left="1100" w:firstLine="654"/>
        <w:spacing w:after="0" w:line="262" w:lineRule="auto"/>
        <w:tabs>
          <w:tab w:leader="none" w:pos="2396"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 Agent shall have received each of the following,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in form and substance satisfactory to Agent:</w:t>
      </w:r>
    </w:p>
    <w:p>
      <w:pPr>
        <w:spacing w:after="0" w:line="153" w:lineRule="exact"/>
        <w:rPr>
          <w:rFonts w:ascii="Times New Roman" w:cs="Times New Roman" w:eastAsia="Times New Roman" w:hAnsi="Times New Roman"/>
          <w:sz w:val="22"/>
          <w:szCs w:val="22"/>
          <w:color w:val="010000"/>
        </w:rPr>
      </w:pPr>
    </w:p>
    <w:p>
      <w:pPr>
        <w:ind w:left="3040" w:hanging="638"/>
        <w:spacing w:after="0"/>
        <w:tabs>
          <w:tab w:leader="none" w:pos="304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executed and delivered by Agent, each Lender and Borrower;</w:t>
      </w:r>
    </w:p>
    <w:p>
      <w:pPr>
        <w:spacing w:after="0" w:line="219" w:lineRule="exact"/>
        <w:rPr>
          <w:rFonts w:ascii="Times New Roman" w:cs="Times New Roman" w:eastAsia="Times New Roman" w:hAnsi="Times New Roman"/>
          <w:sz w:val="22"/>
          <w:szCs w:val="22"/>
          <w:color w:val="010000"/>
        </w:rPr>
      </w:pPr>
    </w:p>
    <w:p>
      <w:pPr>
        <w:ind w:left="1760" w:right="120" w:firstLine="642"/>
        <w:spacing w:after="0" w:line="258" w:lineRule="auto"/>
        <w:tabs>
          <w:tab w:leader="none" w:pos="3055"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requested by any Lender, the applicable Note for such Lender, executed and delivered by Borrower;</w:t>
      </w:r>
    </w:p>
    <w:p>
      <w:pPr>
        <w:spacing w:after="0" w:line="171" w:lineRule="exact"/>
        <w:rPr>
          <w:rFonts w:ascii="Times New Roman" w:cs="Times New Roman" w:eastAsia="Times New Roman" w:hAnsi="Times New Roman"/>
          <w:sz w:val="22"/>
          <w:szCs w:val="22"/>
          <w:color w:val="010000"/>
        </w:rPr>
      </w:pPr>
    </w:p>
    <w:p>
      <w:pPr>
        <w:ind w:left="3040" w:hanging="642"/>
        <w:spacing w:after="0"/>
        <w:tabs>
          <w:tab w:leader="none" w:pos="304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Security Agreement, executed and delivered by the Loan Parties;</w:t>
      </w:r>
    </w:p>
    <w:p>
      <w:pPr>
        <w:spacing w:after="0" w:line="219" w:lineRule="exact"/>
        <w:rPr>
          <w:rFonts w:ascii="Times New Roman" w:cs="Times New Roman" w:eastAsia="Times New Roman" w:hAnsi="Times New Roman"/>
          <w:sz w:val="22"/>
          <w:szCs w:val="22"/>
          <w:color w:val="010000"/>
        </w:rPr>
      </w:pPr>
    </w:p>
    <w:p>
      <w:pPr>
        <w:ind w:left="3040" w:hanging="638"/>
        <w:spacing w:after="0"/>
        <w:tabs>
          <w:tab w:leader="none" w:pos="304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Warrant Subscription Agreement, executed and delivered by</w:t>
      </w:r>
    </w:p>
    <w:p>
      <w:pPr>
        <w:spacing w:after="0" w:line="1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FF0000"/>
          <w:strike w:val="1"/>
        </w:rPr>
        <w:t>Borrower</w:t>
      </w:r>
      <w:r>
        <w:rPr>
          <w:rFonts w:ascii="Times New Roman" w:cs="Times New Roman" w:eastAsia="Times New Roman" w:hAnsi="Times New Roman"/>
          <w:sz w:val="22"/>
          <w:szCs w:val="22"/>
          <w:u w:val="single" w:color="auto"/>
          <w:color w:val="0000FF"/>
        </w:rPr>
        <w:t>Parent</w:t>
      </w:r>
      <w:r>
        <w:rPr>
          <w:rFonts w:ascii="Times New Roman" w:cs="Times New Roman" w:eastAsia="Times New Roman" w:hAnsi="Times New Roman"/>
          <w:sz w:val="22"/>
          <w:szCs w:val="22"/>
          <w:color w:val="000000"/>
        </w:rPr>
        <w:t>;</w:t>
      </w:r>
    </w:p>
    <w:p>
      <w:pPr>
        <w:spacing w:after="0" w:line="182" w:lineRule="exact"/>
        <w:rPr>
          <w:sz w:val="20"/>
          <w:szCs w:val="20"/>
          <w:color w:val="auto"/>
        </w:rPr>
      </w:pPr>
    </w:p>
    <w:p>
      <w:pPr>
        <w:ind w:left="3040" w:hanging="638"/>
        <w:spacing w:after="0"/>
        <w:tabs>
          <w:tab w:leader="none" w:pos="304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Founder Shares Transfer Agreement, executed and delivered by the</w:t>
      </w:r>
    </w:p>
    <w:p>
      <w:pPr>
        <w:spacing w:after="0" w:line="14" w:lineRule="exact"/>
        <w:rPr>
          <w:rFonts w:ascii="Times New Roman" w:cs="Times New Roman" w:eastAsia="Times New Roman" w:hAnsi="Times New Roman"/>
          <w:sz w:val="22"/>
          <w:szCs w:val="22"/>
          <w:color w:val="010000"/>
        </w:rPr>
      </w:pPr>
    </w:p>
    <w:p>
      <w:pPr>
        <w:ind w:left="17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Sponsor;</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45</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1" w:right="999" w:bottom="1440" w:gutter="0" w:footer="0" w:header="0"/>
        </w:sectPr>
      </w:pPr>
    </w:p>
    <w:bookmarkStart w:id="66" w:name="page67"/>
    <w:bookmarkEnd w:id="66"/>
    <w:p>
      <w:pPr>
        <w:ind w:left="1760" w:right="20" w:firstLine="642"/>
        <w:spacing w:after="0" w:line="258" w:lineRule="auto"/>
        <w:tabs>
          <w:tab w:leader="none" w:pos="3056"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0000FF"/>
        </w:rPr>
        <w:t>Closing Date</w:t>
      </w:r>
      <w:r>
        <w:rPr>
          <w:rFonts w:ascii="Times New Roman" w:cs="Times New Roman" w:eastAsia="Times New Roman" w:hAnsi="Times New Roman"/>
          <w:sz w:val="22"/>
          <w:szCs w:val="22"/>
          <w:color w:val="auto"/>
        </w:rPr>
        <w:t xml:space="preserve"> Registration Rights Agreement, executed and delivered by Parent, the Sponsors and the other Parent stockholders party thereto (other than Lenders);</w:t>
      </w:r>
    </w:p>
    <w:p>
      <w:pPr>
        <w:spacing w:after="0" w:line="171" w:lineRule="exact"/>
        <w:rPr>
          <w:rFonts w:ascii="Times New Roman" w:cs="Times New Roman" w:eastAsia="Times New Roman" w:hAnsi="Times New Roman"/>
          <w:sz w:val="22"/>
          <w:szCs w:val="22"/>
          <w:color w:val="010000"/>
        </w:rPr>
      </w:pPr>
    </w:p>
    <w:p>
      <w:pPr>
        <w:ind w:left="3040" w:hanging="642"/>
        <w:spacing w:after="0"/>
        <w:tabs>
          <w:tab w:leader="none" w:pos="3040"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Fee Letter, executed and delivered by </w:t>
      </w:r>
      <w:r>
        <w:rPr>
          <w:rFonts w:ascii="Times New Roman" w:cs="Times New Roman" w:eastAsia="Times New Roman" w:hAnsi="Times New Roman"/>
          <w:sz w:val="22"/>
          <w:szCs w:val="22"/>
          <w:color w:val="FF0000"/>
          <w:strike w:val="1"/>
        </w:rPr>
        <w:t>Borrower</w:t>
      </w:r>
      <w:r>
        <w:rPr>
          <w:rFonts w:ascii="Times New Roman" w:cs="Times New Roman" w:eastAsia="Times New Roman" w:hAnsi="Times New Roman"/>
          <w:sz w:val="22"/>
          <w:szCs w:val="22"/>
          <w:u w:val="single" w:color="auto"/>
          <w:color w:val="0000FF"/>
        </w:rPr>
        <w:t>the Loan Parties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3040" w:hanging="642"/>
        <w:spacing w:after="0"/>
        <w:tabs>
          <w:tab w:leader="none" w:pos="3040"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Perfection Certificate, executed and delivered by the Loan Parties; and</w:t>
      </w:r>
    </w:p>
    <w:p>
      <w:pPr>
        <w:spacing w:after="0" w:line="219" w:lineRule="exact"/>
        <w:rPr>
          <w:rFonts w:ascii="Times New Roman" w:cs="Times New Roman" w:eastAsia="Times New Roman" w:hAnsi="Times New Roman"/>
          <w:sz w:val="22"/>
          <w:szCs w:val="22"/>
          <w:color w:val="010000"/>
        </w:rPr>
      </w:pPr>
    </w:p>
    <w:p>
      <w:pPr>
        <w:ind w:left="3060" w:hanging="658"/>
        <w:spacing w:after="0"/>
        <w:tabs>
          <w:tab w:leader="none" w:pos="3060"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other Loan Document, executed and delivered by the applicable Loan</w:t>
      </w:r>
    </w:p>
    <w:p>
      <w:pPr>
        <w:spacing w:after="0" w:line="14" w:lineRule="exact"/>
        <w:rPr>
          <w:rFonts w:ascii="Times New Roman" w:cs="Times New Roman" w:eastAsia="Times New Roman" w:hAnsi="Times New Roman"/>
          <w:sz w:val="22"/>
          <w:szCs w:val="22"/>
          <w:color w:val="010000"/>
        </w:rPr>
      </w:pPr>
    </w:p>
    <w:p>
      <w:pPr>
        <w:ind w:left="17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Party thereto.</w:t>
      </w:r>
    </w:p>
    <w:p>
      <w:pPr>
        <w:spacing w:after="0" w:line="178"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Approvals</w:t>
      </w:r>
      <w:r>
        <w:rPr>
          <w:rFonts w:ascii="Times New Roman" w:cs="Times New Roman" w:eastAsia="Times New Roman" w:hAnsi="Times New Roman"/>
          <w:sz w:val="22"/>
          <w:szCs w:val="22"/>
          <w:color w:val="auto"/>
        </w:rPr>
        <w:t>. All Governmental Approvals and consents and approvals of, or notices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Person (including the holders of any Equity Interests issued by any Loan Party) required in connection with the execution and performance of the Loan Documents and the consummation of the transactions contemplated hereby and thereby, shall have been obtained and be in full force and effect.</w:t>
      </w:r>
    </w:p>
    <w:p>
      <w:pPr>
        <w:spacing w:after="0" w:line="190" w:lineRule="exact"/>
        <w:rPr>
          <w:rFonts w:ascii="Times New Roman" w:cs="Times New Roman" w:eastAsia="Times New Roman" w:hAnsi="Times New Roman"/>
          <w:sz w:val="22"/>
          <w:szCs w:val="22"/>
          <w:color w:val="010000"/>
        </w:rPr>
      </w:pPr>
    </w:p>
    <w:p>
      <w:pPr>
        <w:jc w:val="both"/>
        <w:ind w:left="1100" w:firstLine="653"/>
        <w:spacing w:after="0" w:line="234" w:lineRule="auto"/>
        <w:tabs>
          <w:tab w:leader="none" w:pos="2397"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Organizational Documents</w:t>
      </w:r>
      <w:r>
        <w:rPr>
          <w:rFonts w:ascii="Times New Roman" w:cs="Times New Roman" w:eastAsia="Times New Roman" w:hAnsi="Times New Roman"/>
          <w:sz w:val="22"/>
          <w:szCs w:val="22"/>
          <w:color w:val="auto"/>
        </w:rPr>
        <w:t>. Agent shall have received (i) a certificate of each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dated the Closing Date and executed by a Responsible Officer of such Loan Party, certifying as to and including (A) the Operating Documents of such Loan Party, (B) the relevant board or other applicable resolutions or written consents of such Loan Party adopted by such Loan Party for the purposes of authorizing such Loan Party to enter into and perform the Loan Documents to which such Loan Party is party and (C) the names, titles, and signature specimens of those representatives of such Loan Party who have been authorized by such resolutions and/or written consents to execute Loan Documents on behalf of such Loan Party, and (ii) good standing certificates for each Loan Party from its respective jurisdiction of organization and any other jurisdictions where such Loan Party is qualified to do business where the failure to be so qualified would reasonably be expected to result in a Material Adverse Effect.</w:t>
      </w:r>
    </w:p>
    <w:p>
      <w:pPr>
        <w:spacing w:after="0" w:line="189" w:lineRule="exact"/>
        <w:rPr>
          <w:rFonts w:ascii="Times New Roman" w:cs="Times New Roman" w:eastAsia="Times New Roman" w:hAnsi="Times New Roman"/>
          <w:sz w:val="22"/>
          <w:szCs w:val="22"/>
          <w:color w:val="010000"/>
        </w:rPr>
      </w:pPr>
    </w:p>
    <w:p>
      <w:pPr>
        <w:jc w:val="both"/>
        <w:ind w:left="1100" w:firstLine="654"/>
        <w:spacing w:after="0" w:line="241" w:lineRule="auto"/>
        <w:tabs>
          <w:tab w:leader="none" w:pos="23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Responsible Officer’s Certificates. </w:t>
      </w:r>
      <w:r>
        <w:rPr>
          <w:rFonts w:ascii="Times New Roman" w:cs="Times New Roman" w:eastAsia="Times New Roman" w:hAnsi="Times New Roman"/>
          <w:sz w:val="22"/>
          <w:szCs w:val="22"/>
          <w:color w:val="auto"/>
        </w:rPr>
        <w:t>Agent shall have received a certificate signed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Responsible Officer of Borrower, dated as of the date hereof, and in form and substance reasonably satisfactory to it, certifying that the conditions specified in clauses (g), (h), (i), (j), (k), (o), (p), (q), (s), (t) and (z) of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have been satisfied.</w:t>
      </w:r>
    </w:p>
    <w:p>
      <w:pPr>
        <w:spacing w:after="0" w:line="171" w:lineRule="exact"/>
        <w:rPr>
          <w:rFonts w:ascii="Times New Roman" w:cs="Times New Roman" w:eastAsia="Times New Roman" w:hAnsi="Times New Roman"/>
          <w:sz w:val="22"/>
          <w:szCs w:val="22"/>
          <w:color w:val="010000"/>
        </w:rPr>
      </w:pPr>
    </w:p>
    <w:p>
      <w:pPr>
        <w:jc w:val="both"/>
        <w:ind w:left="1100" w:firstLine="654"/>
        <w:spacing w:after="0" w:line="237" w:lineRule="auto"/>
        <w:tabs>
          <w:tab w:leader="none" w:pos="23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Agent shall have received all documentation and other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Governmental Authorities under applicable “know your customer” and anti-money-laundering rules and regulations, including the Patriot Act, and if any Borrower qualifies as a “legal entity customer” under the Beneficial Ownership Regulation, a Beneficial Ownership Certification, in each case to the extent reasonably requested in writing at least ten (10) Business Days prior to the Closing Date by Agent.</w:t>
      </w:r>
    </w:p>
    <w:p>
      <w:pPr>
        <w:spacing w:after="0" w:line="188" w:lineRule="exact"/>
        <w:rPr>
          <w:rFonts w:ascii="Times New Roman" w:cs="Times New Roman" w:eastAsia="Times New Roman" w:hAnsi="Times New Roman"/>
          <w:sz w:val="22"/>
          <w:szCs w:val="22"/>
          <w:color w:val="010000"/>
        </w:rPr>
      </w:pPr>
    </w:p>
    <w:p>
      <w:pPr>
        <w:jc w:val="both"/>
        <w:ind w:left="1100" w:firstLine="654"/>
        <w:spacing w:after="0" w:line="246" w:lineRule="auto"/>
        <w:tabs>
          <w:tab w:leader="none" w:pos="23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Financial Statements and Budget</w:t>
      </w:r>
      <w:r>
        <w:rPr>
          <w:rFonts w:ascii="Times New Roman" w:cs="Times New Roman" w:eastAsia="Times New Roman" w:hAnsi="Times New Roman"/>
          <w:sz w:val="22"/>
          <w:szCs w:val="22"/>
          <w:color w:val="auto"/>
        </w:rPr>
        <w:t>. Agent shall have received a proposed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budget for the Closing Date through the end of calendar year 2023, which shall be in form and substance satisfactory to Agent.</w:t>
      </w:r>
    </w:p>
    <w:p>
      <w:pPr>
        <w:spacing w:after="0" w:line="180"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SPAC Related Documentation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46</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67" w:name="page68"/>
    <w:bookmarkEnd w:id="67"/>
    <w:p>
      <w:pPr>
        <w:jc w:val="both"/>
        <w:ind w:left="1760" w:firstLine="642"/>
        <w:spacing w:after="0" w:line="239" w:lineRule="auto"/>
        <w:tabs>
          <w:tab w:leader="none" w:pos="3056"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Agent shall have received true, correct and complete copies of the SPAC Merger Agreement, the SPAC Subscription Agreements, the Sponsor Support Agreement, the Stockholder Support Agreements and any other documents executed in connection with, and all other agreements with any party concerning the SPAC Transaction.</w:t>
      </w:r>
    </w:p>
    <w:p>
      <w:pPr>
        <w:spacing w:after="0" w:line="193" w:lineRule="exact"/>
        <w:rPr>
          <w:rFonts w:ascii="Times New Roman" w:cs="Times New Roman" w:eastAsia="Times New Roman" w:hAnsi="Times New Roman"/>
          <w:sz w:val="22"/>
          <w:szCs w:val="22"/>
          <w:color w:val="010000"/>
        </w:rPr>
      </w:pPr>
    </w:p>
    <w:p>
      <w:pPr>
        <w:jc w:val="both"/>
        <w:ind w:left="1760" w:right="20" w:firstLine="642"/>
        <w:spacing w:after="0" w:line="244" w:lineRule="auto"/>
        <w:tabs>
          <w:tab w:leader="none" w:pos="3056"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Agent shall have received a true, correct and complete copy of the Warrant Agreement, executed and delivered by Parent and Continental Stock Transfer &amp; Trust Company, as Warrant Agent;</w:t>
      </w:r>
    </w:p>
    <w:p>
      <w:pPr>
        <w:spacing w:after="0" w:line="173" w:lineRule="exact"/>
        <w:rPr>
          <w:rFonts w:ascii="Times New Roman" w:cs="Times New Roman" w:eastAsia="Times New Roman" w:hAnsi="Times New Roman"/>
          <w:sz w:val="22"/>
          <w:szCs w:val="22"/>
          <w:color w:val="010000"/>
        </w:rPr>
      </w:pPr>
    </w:p>
    <w:p>
      <w:pPr>
        <w:jc w:val="both"/>
        <w:ind w:left="1760" w:firstLine="642"/>
        <w:spacing w:after="0" w:line="238" w:lineRule="auto"/>
        <w:tabs>
          <w:tab w:leader="none" w:pos="3056"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Agent shall have received true, correct and complete copies of any amendments to (or amended forms of) the SPAC Merger Agreement, the SPAC Subscription Agreements, the Warrant Agreement, the </w:t>
      </w:r>
      <w:r>
        <w:rPr>
          <w:rFonts w:ascii="Times New Roman" w:cs="Times New Roman" w:eastAsia="Times New Roman" w:hAnsi="Times New Roman"/>
          <w:sz w:val="22"/>
          <w:szCs w:val="22"/>
          <w:u w:val="single" w:color="auto"/>
          <w:color w:val="0000FF"/>
        </w:rPr>
        <w:t>Closing Date</w:t>
      </w:r>
      <w:r>
        <w:rPr>
          <w:rFonts w:ascii="Times New Roman" w:cs="Times New Roman" w:eastAsia="Times New Roman" w:hAnsi="Times New Roman"/>
          <w:sz w:val="22"/>
          <w:szCs w:val="22"/>
          <w:color w:val="auto"/>
        </w:rPr>
        <w:t xml:space="preserve"> Registration Rights Agreement, and any other documents that have been or are to be executed in connection with the SPAC Transaction prior to the Closing Date</w:t>
      </w:r>
    </w:p>
    <w:p>
      <w:pPr>
        <w:spacing w:after="0" w:line="190" w:lineRule="exact"/>
        <w:rPr>
          <w:rFonts w:ascii="Times New Roman" w:cs="Times New Roman" w:eastAsia="Times New Roman" w:hAnsi="Times New Roman"/>
          <w:sz w:val="22"/>
          <w:szCs w:val="22"/>
          <w:color w:val="010000"/>
        </w:rPr>
      </w:pPr>
    </w:p>
    <w:p>
      <w:pPr>
        <w:jc w:val="both"/>
        <w:ind w:left="1760" w:firstLine="642"/>
        <w:spacing w:after="0" w:line="251" w:lineRule="auto"/>
        <w:tabs>
          <w:tab w:leader="none" w:pos="3056" w:val="left"/>
        </w:tabs>
        <w:numPr>
          <w:ilvl w:val="1"/>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Agent shall have received any required consents of Parent any other party to any SPAC Subscription Agreement or the SPAC Merger Agreement, and any other participant in the SPAC Transaction, in each case evidencing and consenting to the consummation of the transactions contemplated in this Agreement and the other Loan Documents and which shall each be in form and substance acceptable to Agent in its sole discretion.</w:t>
      </w:r>
    </w:p>
    <w:p>
      <w:pPr>
        <w:spacing w:after="0" w:line="181" w:lineRule="exact"/>
        <w:rPr>
          <w:rFonts w:ascii="Times New Roman" w:cs="Times New Roman" w:eastAsia="Times New Roman" w:hAnsi="Times New Roman"/>
          <w:sz w:val="21"/>
          <w:szCs w:val="21"/>
          <w:color w:val="010000"/>
        </w:rPr>
      </w:pPr>
    </w:p>
    <w:p>
      <w:pPr>
        <w:jc w:val="both"/>
        <w:ind w:left="1760" w:firstLine="642"/>
        <w:spacing w:after="0" w:line="261" w:lineRule="auto"/>
        <w:tabs>
          <w:tab w:leader="none" w:pos="3056" w:val="left"/>
        </w:tabs>
        <w:numPr>
          <w:ilvl w:val="1"/>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SPAC Merger Agreement, the SPAC Subscription Agreements, the Sponsor Support Agreement and the Stockholder Support Agreement shall be in full force and effect, and there shall not be any default or breach by any party thereto then existing.</w:t>
      </w:r>
    </w:p>
    <w:p>
      <w:pPr>
        <w:spacing w:after="0" w:line="153" w:lineRule="exact"/>
        <w:rPr>
          <w:rFonts w:ascii="Times New Roman" w:cs="Times New Roman" w:eastAsia="Times New Roman" w:hAnsi="Times New Roman"/>
          <w:sz w:val="21"/>
          <w:szCs w:val="21"/>
          <w:color w:val="010000"/>
        </w:rPr>
      </w:pPr>
    </w:p>
    <w:p>
      <w:pPr>
        <w:jc w:val="both"/>
        <w:ind w:left="1100" w:firstLine="653"/>
        <w:spacing w:after="0" w:line="236" w:lineRule="auto"/>
        <w:tabs>
          <w:tab w:leader="none" w:pos="2397"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SPAC Transaction Closing</w:t>
      </w:r>
      <w:r>
        <w:rPr>
          <w:rFonts w:ascii="Times New Roman" w:cs="Times New Roman" w:eastAsia="Times New Roman" w:hAnsi="Times New Roman"/>
          <w:sz w:val="22"/>
          <w:szCs w:val="22"/>
          <w:color w:val="auto"/>
        </w:rPr>
        <w:t>. The SPAC Transaction set forth in the SPAC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all conditions precedent to the closing of the PIPE Transactions set forth in the SPAC Subscription Agreements have been satisfied (without any waiver by any party), and the closing of the Term Loan, the transfer of the Founder Shares pursuant to the Founder Shares Transfer Agreement and issuance of the Warrants pursuant to the Warrant Subscription Agreement shall occur concurrently with or immediately following the closing of the SPAC Transaction and the PIPE Transactions.</w:t>
      </w:r>
    </w:p>
    <w:p>
      <w:pPr>
        <w:spacing w:after="0" w:line="189" w:lineRule="exact"/>
        <w:rPr>
          <w:rFonts w:ascii="Times New Roman" w:cs="Times New Roman" w:eastAsia="Times New Roman" w:hAnsi="Times New Roman"/>
          <w:sz w:val="22"/>
          <w:szCs w:val="22"/>
          <w:color w:val="010000"/>
        </w:rPr>
      </w:pPr>
    </w:p>
    <w:p>
      <w:pPr>
        <w:jc w:val="both"/>
        <w:ind w:left="1100" w:firstLine="654"/>
        <w:spacing w:after="0" w:line="246" w:lineRule="auto"/>
        <w:tabs>
          <w:tab w:leader="none" w:pos="2396"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PIPE Investment</w:t>
      </w:r>
      <w:r>
        <w:rPr>
          <w:rFonts w:ascii="Times New Roman" w:cs="Times New Roman" w:eastAsia="Times New Roman" w:hAnsi="Times New Roman"/>
          <w:sz w:val="22"/>
          <w:szCs w:val="22"/>
          <w:color w:val="auto"/>
        </w:rPr>
        <w:t>. The closing of a PIPE Transaction by an Affiliate of Cleveland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Avenue, LLC in an amount equal to at least $50,000,000, on terms and conditions satisfactory to Agent in its sole discretion.</w:t>
      </w:r>
    </w:p>
    <w:p>
      <w:pPr>
        <w:spacing w:after="0" w:line="180" w:lineRule="exact"/>
        <w:rPr>
          <w:rFonts w:ascii="Times New Roman" w:cs="Times New Roman" w:eastAsia="Times New Roman" w:hAnsi="Times New Roman"/>
          <w:sz w:val="22"/>
          <w:szCs w:val="22"/>
          <w:color w:val="010000"/>
        </w:rPr>
      </w:pPr>
    </w:p>
    <w:p>
      <w:pPr>
        <w:ind w:left="1100" w:firstLine="654"/>
        <w:spacing w:after="0" w:line="262" w:lineRule="auto"/>
        <w:tabs>
          <w:tab w:leader="none" w:pos="2396"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Minimum Liquidity</w:t>
      </w:r>
      <w:r>
        <w:rPr>
          <w:rFonts w:ascii="Times New Roman" w:cs="Times New Roman" w:eastAsia="Times New Roman" w:hAnsi="Times New Roman"/>
          <w:sz w:val="22"/>
          <w:szCs w:val="22"/>
          <w:color w:val="auto"/>
        </w:rPr>
        <w:t>. Parent and Borrower shall have at least $50,000,000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Unrestricted Cash after giving effect to the transactions contemplated by this Agreement.</w:t>
      </w:r>
    </w:p>
    <w:p>
      <w:pPr>
        <w:spacing w:after="0" w:line="149" w:lineRule="exact"/>
        <w:rPr>
          <w:rFonts w:ascii="Times New Roman" w:cs="Times New Roman" w:eastAsia="Times New Roman" w:hAnsi="Times New Roman"/>
          <w:sz w:val="22"/>
          <w:szCs w:val="22"/>
          <w:color w:val="010000"/>
        </w:rPr>
      </w:pPr>
    </w:p>
    <w:p>
      <w:pPr>
        <w:jc w:val="both"/>
        <w:ind w:left="1100" w:firstLine="654"/>
        <w:spacing w:after="0" w:line="241" w:lineRule="auto"/>
        <w:tabs>
          <w:tab w:leader="none" w:pos="2396"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Termination of Silver Rock Subscription Agreement</w:t>
      </w:r>
      <w:r>
        <w:rPr>
          <w:rFonts w:ascii="Times New Roman" w:cs="Times New Roman" w:eastAsia="Times New Roman" w:hAnsi="Times New Roman"/>
          <w:sz w:val="22"/>
          <w:szCs w:val="22"/>
          <w:color w:val="auto"/>
        </w:rPr>
        <w:t>. The Agent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written evidence, in form and substance acceptable to Agent, that all obligations of Parent to both Lake Vineyard Fund LP and Silver Rock Empire Fund LP – Series 2022 under that certain Amended and Restated Subscription Agreement, dated as of July 25, 2022 (as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47</w:t>
            </w:r>
          </w:p>
        </w:tc>
      </w:tr>
      <w:tr>
        <w:trPr>
          <w:trHeight w:val="777"/>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68" w:name="page69"/>
    <w:bookmarkEnd w:id="68"/>
    <w:p>
      <w:pPr>
        <w:ind w:left="1100" w:right="460"/>
        <w:spacing w:after="0" w:line="258" w:lineRule="auto"/>
        <w:rPr>
          <w:sz w:val="20"/>
          <w:szCs w:val="20"/>
          <w:color w:val="auto"/>
        </w:rPr>
      </w:pPr>
      <w:r>
        <w:rPr>
          <w:rFonts w:ascii="Times New Roman" w:cs="Times New Roman" w:eastAsia="Times New Roman" w:hAnsi="Times New Roman"/>
          <w:sz w:val="22"/>
          <w:szCs w:val="22"/>
          <w:color w:val="auto"/>
        </w:rPr>
        <w:t>amended, restated, supplemented or modified) by and among Holdings, Lake Vineyard Fund LP, Silver Rock Empire Fund LP – Series 2022, and Borrower, have been terminated.</w:t>
      </w:r>
    </w:p>
    <w:p>
      <w:pPr>
        <w:spacing w:after="0" w:line="168" w:lineRule="exact"/>
        <w:rPr>
          <w:sz w:val="20"/>
          <w:szCs w:val="20"/>
          <w:color w:val="auto"/>
        </w:rPr>
      </w:pPr>
    </w:p>
    <w:p>
      <w:pPr>
        <w:ind w:left="2380" w:hanging="630"/>
        <w:spacing w:after="0"/>
        <w:tabs>
          <w:tab w:leader="none" w:pos="2380"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Collateral Matters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left="1760" w:firstLine="642"/>
        <w:spacing w:after="0" w:line="239" w:lineRule="auto"/>
        <w:tabs>
          <w:tab w:leader="none" w:pos="3056"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Lien Searches</w:t>
      </w:r>
      <w:r>
        <w:rPr>
          <w:rFonts w:ascii="Times New Roman" w:cs="Times New Roman" w:eastAsia="Times New Roman" w:hAnsi="Times New Roman"/>
          <w:sz w:val="22"/>
          <w:szCs w:val="22"/>
          <w:color w:val="auto"/>
        </w:rPr>
        <w:t>. Agent shall have received the results of recent lien searches in each of the jurisdictions where any of the Loan Parties is formed or organized or resides, and such searches shall reveal no Liens on any of the assets of the Loan Parties other than Permitted Liens.</w:t>
      </w:r>
    </w:p>
    <w:p>
      <w:pPr>
        <w:spacing w:after="0" w:line="180" w:lineRule="exact"/>
        <w:rPr>
          <w:rFonts w:ascii="Times New Roman" w:cs="Times New Roman" w:eastAsia="Times New Roman" w:hAnsi="Times New Roman"/>
          <w:sz w:val="22"/>
          <w:szCs w:val="22"/>
          <w:color w:val="010000"/>
        </w:rPr>
      </w:pPr>
    </w:p>
    <w:p>
      <w:pPr>
        <w:jc w:val="both"/>
        <w:ind w:left="1760" w:firstLine="641"/>
        <w:spacing w:after="0" w:line="235" w:lineRule="auto"/>
        <w:tabs>
          <w:tab w:leader="none" w:pos="3057"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Filings, Registrations, Recordings, Agreements, Etc</w:t>
      </w:r>
      <w:r>
        <w:rPr>
          <w:rFonts w:ascii="Times New Roman" w:cs="Times New Roman" w:eastAsia="Times New Roman" w:hAnsi="Times New Roman"/>
          <w:sz w:val="22"/>
          <w:szCs w:val="22"/>
          <w:color w:val="auto"/>
        </w:rPr>
        <w:t>. Each document required by the Security Documents or under Law or reasonably requested by Agent to be filed, registered or recorded to create in favor of Agent, a perfected first-priority Lien on the Collateral described therein, prior and superior in right and priority to any Lien in the Collateral held by any other Person (other than with respect to Permitted Liens), shall have been executed and delivered to Agent or, as applicable, be in proper form for filing, registration or recordation.</w:t>
      </w:r>
    </w:p>
    <w:p>
      <w:pPr>
        <w:spacing w:after="0" w:line="192" w:lineRule="exact"/>
        <w:rPr>
          <w:rFonts w:ascii="Times New Roman" w:cs="Times New Roman" w:eastAsia="Times New Roman" w:hAnsi="Times New Roman"/>
          <w:sz w:val="22"/>
          <w:szCs w:val="22"/>
          <w:color w:val="010000"/>
        </w:rPr>
      </w:pPr>
    </w:p>
    <w:p>
      <w:pPr>
        <w:jc w:val="both"/>
        <w:ind w:left="1100" w:firstLine="654"/>
        <w:spacing w:after="0" w:line="246" w:lineRule="auto"/>
        <w:tabs>
          <w:tab w:leader="none" w:pos="239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Agent, on behalf of itself and the Lenders, shall have received all fees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paid on or prior to the Closing Date, and all reasonable and documented diligence fees and expenses for which invoices have been presented for payment on or before the Closing Date.</w:t>
      </w:r>
    </w:p>
    <w:p>
      <w:pPr>
        <w:spacing w:after="0" w:line="167" w:lineRule="exact"/>
        <w:rPr>
          <w:rFonts w:ascii="Times New Roman" w:cs="Times New Roman" w:eastAsia="Times New Roman" w:hAnsi="Times New Roman"/>
          <w:sz w:val="22"/>
          <w:szCs w:val="22"/>
          <w:color w:val="010000"/>
        </w:rPr>
      </w:pPr>
    </w:p>
    <w:p>
      <w:pPr>
        <w:ind w:left="1100" w:firstLine="654"/>
        <w:spacing w:after="0" w:line="262" w:lineRule="auto"/>
        <w:tabs>
          <w:tab w:leader="none" w:pos="239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Legal Opinions</w:t>
      </w:r>
      <w:r>
        <w:rPr>
          <w:rFonts w:ascii="Times New Roman" w:cs="Times New Roman" w:eastAsia="Times New Roman" w:hAnsi="Times New Roman"/>
          <w:sz w:val="22"/>
          <w:szCs w:val="22"/>
          <w:color w:val="auto"/>
        </w:rPr>
        <w:t>. Agent shall have received the executed legal opinion of Fenwick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West LLP, counsel to the Loan Parties, in form and substance satisfactory to Agent.</w:t>
      </w:r>
    </w:p>
    <w:p>
      <w:pPr>
        <w:spacing w:after="0" w:line="163" w:lineRule="exact"/>
        <w:rPr>
          <w:rFonts w:ascii="Times New Roman" w:cs="Times New Roman" w:eastAsia="Times New Roman" w:hAnsi="Times New Roman"/>
          <w:sz w:val="22"/>
          <w:szCs w:val="22"/>
          <w:color w:val="010000"/>
        </w:rPr>
      </w:pPr>
    </w:p>
    <w:p>
      <w:pPr>
        <w:jc w:val="both"/>
        <w:ind w:left="1100" w:firstLine="654"/>
        <w:spacing w:after="0" w:line="246" w:lineRule="auto"/>
        <w:tabs>
          <w:tab w:leader="none" w:pos="239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 Material Adverse Effect</w:t>
      </w:r>
      <w:r>
        <w:rPr>
          <w:rFonts w:ascii="Times New Roman" w:cs="Times New Roman" w:eastAsia="Times New Roman" w:hAnsi="Times New Roman"/>
          <w:sz w:val="22"/>
          <w:szCs w:val="22"/>
          <w:color w:val="auto"/>
        </w:rPr>
        <w:t>. There shall not have occurred since June 30, 2022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or circumstance that has had or could be reasonably expected to have, individually or in the aggregate, a Material Adverse Effect.</w:t>
      </w:r>
    </w:p>
    <w:p>
      <w:pPr>
        <w:spacing w:after="0" w:line="167" w:lineRule="exact"/>
        <w:rPr>
          <w:rFonts w:ascii="Times New Roman" w:cs="Times New Roman" w:eastAsia="Times New Roman" w:hAnsi="Times New Roman"/>
          <w:sz w:val="22"/>
          <w:szCs w:val="22"/>
          <w:color w:val="010000"/>
        </w:rPr>
      </w:pPr>
    </w:p>
    <w:p>
      <w:pPr>
        <w:jc w:val="both"/>
        <w:ind w:left="1100" w:firstLine="654"/>
        <w:spacing w:after="0" w:line="263" w:lineRule="auto"/>
        <w:tabs>
          <w:tab w:leader="none" w:pos="2396"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 Default</w:t>
      </w:r>
      <w:r>
        <w:rPr>
          <w:rFonts w:ascii="Times New Roman" w:cs="Times New Roman" w:eastAsia="Times New Roman" w:hAnsi="Times New Roman"/>
          <w:sz w:val="21"/>
          <w:szCs w:val="21"/>
          <w:color w:val="auto"/>
        </w:rPr>
        <w:t>. No Default or Event of Default shall have occurred and is continuing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would occur both before and after giving effect to the execution, delivery and performance of the Loan Documents, including without limitation the borrowing of the Term Loan on the Closing Date.</w:t>
      </w:r>
    </w:p>
    <w:p>
      <w:pPr>
        <w:spacing w:after="0" w:line="164" w:lineRule="exact"/>
        <w:rPr>
          <w:rFonts w:ascii="Times New Roman" w:cs="Times New Roman" w:eastAsia="Times New Roman" w:hAnsi="Times New Roman"/>
          <w:sz w:val="21"/>
          <w:szCs w:val="21"/>
          <w:color w:val="010000"/>
        </w:rPr>
      </w:pPr>
    </w:p>
    <w:p>
      <w:pPr>
        <w:jc w:val="both"/>
        <w:ind w:left="1100" w:firstLine="654"/>
        <w:spacing w:after="0" w:line="241" w:lineRule="auto"/>
        <w:tabs>
          <w:tab w:leader="none" w:pos="239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Representations and Warranties</w:t>
      </w:r>
      <w:r>
        <w:rPr>
          <w:rFonts w:ascii="Times New Roman" w:cs="Times New Roman" w:eastAsia="Times New Roman" w:hAnsi="Times New Roman"/>
          <w:sz w:val="22"/>
          <w:szCs w:val="22"/>
          <w:color w:val="auto"/>
        </w:rPr>
        <w:t>. After giving effect to the execution, delivery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the Loan Documents, including without limitation the borrowing of the Term Loan, each of the representations and warranties made by each Loan Party in or pursuant to any Loan Document shall be true and correct in all respects.</w:t>
      </w:r>
    </w:p>
    <w:p>
      <w:pPr>
        <w:spacing w:after="0" w:line="185"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Solvency</w:t>
      </w:r>
      <w:r>
        <w:rPr>
          <w:rFonts w:ascii="Times New Roman" w:cs="Times New Roman" w:eastAsia="Times New Roman" w:hAnsi="Times New Roman"/>
          <w:sz w:val="22"/>
          <w:szCs w:val="22"/>
          <w:color w:val="auto"/>
        </w:rPr>
        <w:t>. After giving effect to the execution, delivery and performance of the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including without limitation the borrowing of the Term Loan on the Closing Date, the Borrower, individually, and the Loan Parties, taken as a whole, shall be Solvent and Agent shall have received a certificate evidencing the same in form and substance acceptable to Agent in its sole discretion.</w:t>
      </w:r>
    </w:p>
    <w:p>
      <w:pPr>
        <w:spacing w:after="0" w:line="176" w:lineRule="exact"/>
        <w:rPr>
          <w:rFonts w:ascii="Times New Roman" w:cs="Times New Roman" w:eastAsia="Times New Roman" w:hAnsi="Times New Roman"/>
          <w:sz w:val="22"/>
          <w:szCs w:val="22"/>
          <w:color w:val="010000"/>
        </w:rPr>
      </w:pPr>
    </w:p>
    <w:p>
      <w:pPr>
        <w:ind w:left="1100" w:firstLine="654"/>
        <w:spacing w:after="0" w:line="262" w:lineRule="auto"/>
        <w:tabs>
          <w:tab w:leader="none" w:pos="239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Material Contracts and Consents</w:t>
      </w:r>
      <w:r>
        <w:rPr>
          <w:rFonts w:ascii="Times New Roman" w:cs="Times New Roman" w:eastAsia="Times New Roman" w:hAnsi="Times New Roman"/>
          <w:sz w:val="22"/>
          <w:szCs w:val="22"/>
          <w:color w:val="auto"/>
        </w:rPr>
        <w:t>. Agent shall have received (i) true, correct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copies of each Material Contract of Borrower requested by Agent, and any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48</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69" w:name="page70"/>
    <w:bookmarkEnd w:id="69"/>
    <w:p>
      <w:pPr>
        <w:jc w:val="both"/>
        <w:ind w:left="1100"/>
        <w:spacing w:after="0" w:line="244" w:lineRule="auto"/>
        <w:rPr>
          <w:sz w:val="20"/>
          <w:szCs w:val="20"/>
          <w:color w:val="auto"/>
        </w:rPr>
      </w:pPr>
      <w:r>
        <w:rPr>
          <w:rFonts w:ascii="Times New Roman" w:cs="Times New Roman" w:eastAsia="Times New Roman" w:hAnsi="Times New Roman"/>
          <w:sz w:val="22"/>
          <w:szCs w:val="22"/>
          <w:color w:val="auto"/>
        </w:rPr>
        <w:t>amendments or other modifications thereto, and (ii) all consents required by the Agent to be obtained, or notices required to be delivered, under each Material Contract shall have been delivered or obtained, as applicable.</w:t>
      </w:r>
    </w:p>
    <w:p>
      <w:pPr>
        <w:spacing w:after="0" w:line="183" w:lineRule="exact"/>
        <w:rPr>
          <w:sz w:val="20"/>
          <w:szCs w:val="20"/>
          <w:color w:val="auto"/>
        </w:rPr>
      </w:pPr>
    </w:p>
    <w:p>
      <w:pPr>
        <w:jc w:val="both"/>
        <w:ind w:left="1100" w:firstLine="654"/>
        <w:spacing w:after="0" w:line="247" w:lineRule="auto"/>
        <w:tabs>
          <w:tab w:leader="none" w:pos="2396" w:val="left"/>
        </w:tabs>
        <w:numPr>
          <w:ilvl w:val="0"/>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 Litigation</w:t>
      </w:r>
      <w:r>
        <w:rPr>
          <w:rFonts w:ascii="Times New Roman" w:cs="Times New Roman" w:eastAsia="Times New Roman" w:hAnsi="Times New Roman"/>
          <w:sz w:val="21"/>
          <w:szCs w:val="21"/>
          <w:color w:val="auto"/>
        </w:rPr>
        <w:t>. No action, suit or proceeding before any Official Body shall have been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commenced or threatened in writing, no investigation by any Official Body (including, without limitation, the SEC) shall have been commenced and no action, suit or proceeding by any Official Body shall have been threatened in writing against (i) any Loan Party, the Agent or any Lender seeking to restrain, prevent or change the transactions contemplated hereby or questioning the validity or legality of such transactions or (ii) any Loan Party, Parent or their respective affiliates seeking to restrain, prevent or change the SPAC Transaction (including the SPAC Business Combination or any PIPE Transaction) or questioning the validity or legality of such transaction.</w:t>
      </w:r>
    </w:p>
    <w:p>
      <w:pPr>
        <w:spacing w:after="0" w:line="171" w:lineRule="exact"/>
        <w:rPr>
          <w:rFonts w:ascii="Times New Roman" w:cs="Times New Roman" w:eastAsia="Times New Roman" w:hAnsi="Times New Roman"/>
          <w:sz w:val="21"/>
          <w:szCs w:val="21"/>
          <w:color w:val="010000"/>
        </w:rPr>
      </w:pPr>
    </w:p>
    <w:p>
      <w:pPr>
        <w:jc w:val="both"/>
        <w:ind w:left="1100" w:firstLine="654"/>
        <w:spacing w:after="0" w:line="246" w:lineRule="auto"/>
        <w:tabs>
          <w:tab w:leader="none" w:pos="23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Prior Debt</w:t>
      </w:r>
      <w:r>
        <w:rPr>
          <w:rFonts w:ascii="Times New Roman" w:cs="Times New Roman" w:eastAsia="Times New Roman" w:hAnsi="Times New Roman"/>
          <w:sz w:val="22"/>
          <w:szCs w:val="22"/>
          <w:color w:val="auto"/>
        </w:rPr>
        <w:t>. Agent shall have received payoff letters, financing statement terminations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applicable lien release documentation with respect to all Prior Debt of the Loan Parties, in form and substance acceptable to Agent.</w:t>
      </w:r>
    </w:p>
    <w:p>
      <w:pPr>
        <w:spacing w:after="0" w:line="180" w:lineRule="exact"/>
        <w:rPr>
          <w:rFonts w:ascii="Times New Roman" w:cs="Times New Roman" w:eastAsia="Times New Roman" w:hAnsi="Times New Roman"/>
          <w:sz w:val="22"/>
          <w:szCs w:val="22"/>
          <w:color w:val="010000"/>
        </w:rPr>
      </w:pPr>
    </w:p>
    <w:p>
      <w:pPr>
        <w:ind w:left="1100" w:firstLine="654"/>
        <w:spacing w:after="0" w:line="262" w:lineRule="auto"/>
        <w:tabs>
          <w:tab w:leader="none" w:pos="23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Capitalization</w:t>
      </w:r>
      <w:r>
        <w:rPr>
          <w:rFonts w:ascii="Times New Roman" w:cs="Times New Roman" w:eastAsia="Times New Roman" w:hAnsi="Times New Roman"/>
          <w:sz w:val="22"/>
          <w:szCs w:val="22"/>
          <w:color w:val="auto"/>
        </w:rPr>
        <w:t>. The ownership, capital, corporate, tax, organizational and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structure and ownership of the Loan Parties upon closing shall be satisfactory to Agent.</w:t>
      </w:r>
    </w:p>
    <w:p>
      <w:pPr>
        <w:spacing w:after="0" w:line="163" w:lineRule="exact"/>
        <w:rPr>
          <w:rFonts w:ascii="Times New Roman" w:cs="Times New Roman" w:eastAsia="Times New Roman" w:hAnsi="Times New Roman"/>
          <w:sz w:val="22"/>
          <w:szCs w:val="22"/>
          <w:color w:val="010000"/>
        </w:rPr>
      </w:pPr>
    </w:p>
    <w:p>
      <w:pPr>
        <w:ind w:left="1100" w:firstLine="654"/>
        <w:spacing w:after="0" w:line="262" w:lineRule="auto"/>
        <w:tabs>
          <w:tab w:leader="none" w:pos="23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Notice of Borrowing</w:t>
      </w:r>
      <w:r>
        <w:rPr>
          <w:rFonts w:ascii="Times New Roman" w:cs="Times New Roman" w:eastAsia="Times New Roman" w:hAnsi="Times New Roman"/>
          <w:sz w:val="22"/>
          <w:szCs w:val="22"/>
          <w:color w:val="auto"/>
        </w:rPr>
        <w:t>. Agent shall have received a Notice of Borrowing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complies with the requirements of this Agreement.</w:t>
      </w:r>
    </w:p>
    <w:p>
      <w:pPr>
        <w:spacing w:after="0" w:line="149" w:lineRule="exact"/>
        <w:rPr>
          <w:rFonts w:ascii="Times New Roman" w:cs="Times New Roman" w:eastAsia="Times New Roman" w:hAnsi="Times New Roman"/>
          <w:sz w:val="22"/>
          <w:szCs w:val="22"/>
          <w:color w:val="010000"/>
        </w:rPr>
      </w:pPr>
    </w:p>
    <w:p>
      <w:pPr>
        <w:jc w:val="both"/>
        <w:ind w:left="1100" w:right="20" w:firstLine="654"/>
        <w:spacing w:after="0" w:line="246" w:lineRule="auto"/>
        <w:tabs>
          <w:tab w:leader="none" w:pos="23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Founder Shares</w:t>
      </w:r>
      <w:r>
        <w:rPr>
          <w:rFonts w:ascii="Times New Roman" w:cs="Times New Roman" w:eastAsia="Times New Roman" w:hAnsi="Times New Roman"/>
          <w:sz w:val="22"/>
          <w:szCs w:val="22"/>
          <w:color w:val="auto"/>
        </w:rPr>
        <w:t>. The Lenders shall have received 600,000 Founder Shares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terms of the Founder Shares Transfer Agreement, with evidence of transfer in form and substance acceptable to Agent.</w:t>
      </w:r>
    </w:p>
    <w:p>
      <w:pPr>
        <w:spacing w:after="0" w:line="180" w:lineRule="exact"/>
        <w:rPr>
          <w:rFonts w:ascii="Times New Roman" w:cs="Times New Roman" w:eastAsia="Times New Roman" w:hAnsi="Times New Roman"/>
          <w:sz w:val="22"/>
          <w:szCs w:val="22"/>
          <w:color w:val="010000"/>
        </w:rPr>
      </w:pPr>
    </w:p>
    <w:p>
      <w:pPr>
        <w:jc w:val="both"/>
        <w:ind w:left="1100" w:right="20" w:firstLine="653"/>
        <w:spacing w:after="0" w:line="246" w:lineRule="auto"/>
        <w:tabs>
          <w:tab w:leader="none" w:pos="2397"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The Lenders shall have received the 1,500,000 Warrants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terms of the Warrant Subscription Agreement, with evidence of issuance in form and substance acceptable to Agent.</w:t>
      </w:r>
    </w:p>
    <w:p>
      <w:pPr>
        <w:spacing w:after="0" w:line="180" w:lineRule="exact"/>
        <w:rPr>
          <w:rFonts w:ascii="Times New Roman" w:cs="Times New Roman" w:eastAsia="Times New Roman" w:hAnsi="Times New Roman"/>
          <w:sz w:val="22"/>
          <w:szCs w:val="22"/>
          <w:color w:val="010000"/>
        </w:rPr>
      </w:pPr>
    </w:p>
    <w:p>
      <w:pPr>
        <w:jc w:val="both"/>
        <w:ind w:left="1100" w:firstLine="654"/>
        <w:spacing w:after="0" w:line="246" w:lineRule="auto"/>
        <w:tabs>
          <w:tab w:leader="none" w:pos="23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Conversion of Convertible Notes</w:t>
      </w:r>
      <w:r>
        <w:rPr>
          <w:rFonts w:ascii="Times New Roman" w:cs="Times New Roman" w:eastAsia="Times New Roman" w:hAnsi="Times New Roman"/>
          <w:sz w:val="22"/>
          <w:szCs w:val="22"/>
          <w:color w:val="auto"/>
        </w:rPr>
        <w:t>. Agent shall have received evidence that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previously outstanding convertible note Indebtedness of the Loan Parties has been converted to Equity Interests.</w:t>
      </w:r>
    </w:p>
    <w:p>
      <w:pPr>
        <w:spacing w:after="0" w:line="167" w:lineRule="exact"/>
        <w:rPr>
          <w:sz w:val="20"/>
          <w:szCs w:val="20"/>
          <w:color w:val="auto"/>
        </w:rPr>
      </w:pPr>
    </w:p>
    <w:p>
      <w:pPr>
        <w:ind w:left="1100" w:right="860" w:firstLine="654"/>
        <w:spacing w:after="0" w:line="262" w:lineRule="auto"/>
        <w:tabs>
          <w:tab w:leader="none" w:pos="2395"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Additional Documents</w:t>
      </w:r>
      <w:r>
        <w:rPr>
          <w:rFonts w:ascii="Times New Roman" w:cs="Times New Roman" w:eastAsia="Times New Roman" w:hAnsi="Times New Roman"/>
          <w:sz w:val="22"/>
          <w:szCs w:val="22"/>
          <w:color w:val="auto"/>
        </w:rPr>
        <w:t>. Agent shall have received such other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instruments and agreements as Agent deems reasonably necessary.</w:t>
      </w:r>
    </w:p>
    <w:p>
      <w:pPr>
        <w:spacing w:after="0" w:line="167" w:lineRule="exact"/>
        <w:rPr>
          <w:sz w:val="20"/>
          <w:szCs w:val="20"/>
          <w:color w:val="auto"/>
        </w:rPr>
      </w:pPr>
    </w:p>
    <w:p>
      <w:pPr>
        <w:jc w:val="both"/>
        <w:ind w:left="1100"/>
        <w:spacing w:after="0" w:line="244" w:lineRule="auto"/>
        <w:rPr>
          <w:sz w:val="20"/>
          <w:szCs w:val="20"/>
          <w:color w:val="auto"/>
        </w:rPr>
      </w:pPr>
      <w:r>
        <w:rPr>
          <w:rFonts w:ascii="Times New Roman" w:cs="Times New Roman" w:eastAsia="Times New Roman" w:hAnsi="Times New Roman"/>
          <w:sz w:val="22"/>
          <w:szCs w:val="22"/>
          <w:color w:val="auto"/>
        </w:rPr>
        <w:t xml:space="preserve">The borrowing by the Borrower of the Term Loan on the Closing Date shall constitute a representation and warranty by the Borrower as of the Closing Date, that the conditions contained in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have been satisfied.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82" w:lineRule="exact"/>
        <w:rPr>
          <w:sz w:val="20"/>
          <w:szCs w:val="20"/>
          <w:color w:val="auto"/>
        </w:rPr>
      </w:pPr>
    </w:p>
    <w:p>
      <w:pPr>
        <w:ind w:left="1100" w:right="180" w:firstLine="648"/>
        <w:spacing w:after="0" w:line="258" w:lineRule="auto"/>
        <w:rPr>
          <w:sz w:val="20"/>
          <w:szCs w:val="20"/>
          <w:color w:val="auto"/>
        </w:rPr>
      </w:pPr>
      <w:r>
        <w:rPr>
          <w:rFonts w:ascii="Times New Roman" w:cs="Times New Roman" w:eastAsia="Times New Roman" w:hAnsi="Times New Roman"/>
          <w:sz w:val="22"/>
          <w:szCs w:val="22"/>
          <w:color w:val="auto"/>
        </w:rPr>
        <w:t>Each Loan Party, on its own behalf and on behalf of its Subsidiaries hereby agrees that, until the Term Loan Commitment has been terminated and the Obligations have been paid in full</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49</w:t>
            </w:r>
          </w:p>
        </w:tc>
      </w:tr>
      <w:tr>
        <w:trPr>
          <w:trHeight w:val="777"/>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0" w:name="page71"/>
    <w:bookmarkEnd w:id="70"/>
    <w:p>
      <w:pPr>
        <w:ind w:left="1100" w:right="300"/>
        <w:spacing w:after="0" w:line="258" w:lineRule="auto"/>
        <w:rPr>
          <w:sz w:val="20"/>
          <w:szCs w:val="20"/>
          <w:color w:val="auto"/>
        </w:rPr>
      </w:pPr>
      <w:r>
        <w:rPr>
          <w:rFonts w:ascii="Times New Roman" w:cs="Times New Roman" w:eastAsia="Times New Roman" w:hAnsi="Times New Roman"/>
          <w:sz w:val="22"/>
          <w:szCs w:val="22"/>
          <w:color w:val="auto"/>
        </w:rPr>
        <w:t>in cash (other than inchoate indemnification obligations for which no claim has been asserted) and unless otherwise specified:</w:t>
      </w:r>
    </w:p>
    <w:p>
      <w:pPr>
        <w:spacing w:after="0" w:line="168"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5.1</w:t>
      </w:r>
      <w:r>
        <w:rPr>
          <w:sz w:val="20"/>
          <w:szCs w:val="20"/>
          <w:color w:val="auto"/>
        </w:rPr>
        <w:tab/>
      </w:r>
      <w:r>
        <w:rPr>
          <w:rFonts w:ascii="Times New Roman" w:cs="Times New Roman" w:eastAsia="Times New Roman" w:hAnsi="Times New Roman"/>
          <w:sz w:val="21"/>
          <w:szCs w:val="21"/>
          <w:b w:val="1"/>
          <w:bCs w:val="1"/>
          <w:color w:val="auto"/>
        </w:rPr>
        <w:t xml:space="preserve">Financial Statements. </w:t>
      </w:r>
      <w:r>
        <w:rPr>
          <w:rFonts w:ascii="Times New Roman" w:cs="Times New Roman" w:eastAsia="Times New Roman" w:hAnsi="Times New Roman"/>
          <w:sz w:val="21"/>
          <w:szCs w:val="21"/>
          <w:color w:val="auto"/>
        </w:rPr>
        <w:t>The Borrower shall:</w:t>
      </w:r>
    </w:p>
    <w:p>
      <w:pPr>
        <w:spacing w:after="0" w:line="224" w:lineRule="exact"/>
        <w:rPr>
          <w:sz w:val="20"/>
          <w:szCs w:val="20"/>
          <w:color w:val="auto"/>
        </w:rPr>
      </w:pPr>
    </w:p>
    <w:p>
      <w:pPr>
        <w:jc w:val="both"/>
        <w:ind w:left="1100" w:firstLine="653"/>
        <w:spacing w:after="0" w:line="233" w:lineRule="auto"/>
        <w:tabs>
          <w:tab w:leader="none" w:pos="2397"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 to Agent (solely to the extent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as soon as available, but in any event, within ninety (90) days after the end of each Fiscal Year of the Loan Parties, beginning with the Fiscal Year ending June 30, 2023, a copy of the audited consolidated and consolidating balance sheet of the Loan Parties as at the end of such Fiscal Year and the related audited consolidated and consolidating statements of income and of cash flows for such Fiscal Year, setting forth in each case in comparative form the figures for the previous year, reported on without a qualification arising out of the scope of the audit, and which shall state that such financial statements fairly present the financial condition of the Loan Parties as of the dates indicated and the results of their operations and cash flow for the periods indicated in conformity with GAAP, by Moss Adams or such other independent certified public accountants of nationally recognized standing approved by the Agent in its Permitted Discretion;</w:t>
      </w:r>
    </w:p>
    <w:p>
      <w:pPr>
        <w:spacing w:after="0" w:line="177" w:lineRule="exact"/>
        <w:rPr>
          <w:rFonts w:ascii="Times New Roman" w:cs="Times New Roman" w:eastAsia="Times New Roman" w:hAnsi="Times New Roman"/>
          <w:sz w:val="22"/>
          <w:szCs w:val="22"/>
          <w:color w:val="010000"/>
        </w:rPr>
      </w:pPr>
    </w:p>
    <w:p>
      <w:pPr>
        <w:jc w:val="both"/>
        <w:ind w:left="1100" w:firstLine="653"/>
        <w:spacing w:after="0" w:line="234" w:lineRule="auto"/>
        <w:tabs>
          <w:tab w:leader="none" w:pos="2397"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 to Agent (solely to the extent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as soon as available, but in any event not later than seventy-five (75) days after the start of each Fiscal Year, forecasts and a pro forma budget on a quarterly basis for such Fiscal Year, containing an income statement, balance sheet, statement of cash flow, and detail (satisfactory to Agent) of the assumptions driving the budget, in each case in form satisfactory to Agent;</w:t>
      </w:r>
    </w:p>
    <w:p>
      <w:pPr>
        <w:spacing w:after="0" w:line="196" w:lineRule="exact"/>
        <w:rPr>
          <w:rFonts w:ascii="Times New Roman" w:cs="Times New Roman" w:eastAsia="Times New Roman" w:hAnsi="Times New Roman"/>
          <w:sz w:val="22"/>
          <w:szCs w:val="22"/>
          <w:color w:val="010000"/>
        </w:rPr>
      </w:pPr>
    </w:p>
    <w:p>
      <w:pPr>
        <w:jc w:val="both"/>
        <w:ind w:left="1100" w:firstLine="654"/>
        <w:spacing w:after="0" w:line="236" w:lineRule="auto"/>
        <w:tabs>
          <w:tab w:leader="none" w:pos="2396"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 to Agent and to each Lender (solely to the extent such Lender has delivered written notice to Borrower that such Lender elects to receive material non-public information, which notice has not been rescinded by such Lender in writing), as soon as available, but in any event not later than thirty (30) days after the end of each calendar month, beginning with the calendar month ending September 30, 2022, the general ledger for the Borrower’s balance sheet, income statement and cash flow statement;</w:t>
      </w:r>
    </w:p>
    <w:p>
      <w:pPr>
        <w:spacing w:after="0" w:line="194" w:lineRule="exact"/>
        <w:rPr>
          <w:rFonts w:ascii="Times New Roman" w:cs="Times New Roman" w:eastAsia="Times New Roman" w:hAnsi="Times New Roman"/>
          <w:sz w:val="22"/>
          <w:szCs w:val="22"/>
          <w:color w:val="010000"/>
        </w:rPr>
      </w:pPr>
    </w:p>
    <w:p>
      <w:pPr>
        <w:jc w:val="both"/>
        <w:ind w:left="1100" w:firstLine="654"/>
        <w:spacing w:after="0" w:line="234" w:lineRule="auto"/>
        <w:tabs>
          <w:tab w:leader="none" w:pos="2396"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deliver to Agent and the Lenders, at any time that any Loan Party shall be required to file reports with the SEC pursuant to Section 13(a) or 15(d) of the Exchange Act, promptly upon its becoming available, one copy of each financial statement, report, notice or proxy statement sent by any such Person to stockholders generally, and, a copy of each annual, periodic or current report filed by any such Person with the SEC pursuant to such Sections, and any registration statement, or prospectus in respect thereof, filed by any such Person with any securities exchange or with federal or state securities and exchange commissions or any successor agency;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nothing in this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xml:space="preserve"> shall require the Borrower or any of its Subsidiaries to make any filing under the Securities Act or the Exchange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50</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1" w:name="page72"/>
    <w:bookmarkEnd w:id="71"/>
    <w:p>
      <w:pPr>
        <w:jc w:val="both"/>
        <w:ind w:left="1100"/>
        <w:spacing w:after="0" w:line="236" w:lineRule="auto"/>
        <w:rPr>
          <w:sz w:val="20"/>
          <w:szCs w:val="20"/>
          <w:color w:val="auto"/>
        </w:rPr>
      </w:pPr>
      <w:r>
        <w:rPr>
          <w:rFonts w:ascii="Times New Roman" w:cs="Times New Roman" w:eastAsia="Times New Roman" w:hAnsi="Times New Roman"/>
          <w:sz w:val="22"/>
          <w:szCs w:val="22"/>
          <w:color w:val="auto"/>
        </w:rPr>
        <w:t xml:space="preserve">Act which the Borrower or its Subsidiaries are not otherwise obligated to make; provided further that any financial statements required to be delivered pursuant to this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xml:space="preserve"> or (to the extent any such documents are included in materials otherwise filed with the SEC) may be delivered electronically and if so delivered, shall be deemed to have been delivered on the date</w:t>
      </w:r>
    </w:p>
    <w:p>
      <w:pPr>
        <w:spacing w:after="0" w:line="1" w:lineRule="exact"/>
        <w:rPr>
          <w:sz w:val="20"/>
          <w:szCs w:val="20"/>
          <w:color w:val="auto"/>
        </w:rPr>
      </w:pPr>
    </w:p>
    <w:p>
      <w:pPr>
        <w:jc w:val="both"/>
        <w:ind w:left="1100" w:firstLine="6"/>
        <w:spacing w:after="0" w:line="234" w:lineRule="auto"/>
        <w:tabs>
          <w:tab w:leader="none" w:pos="145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which the Borrower posts such documents, or provides a link thereto on the Borrower’s website; or (y) on which such documents are posted on the Borrower’s behalf on an Internet or intranet website, if any, to which each Lender has access (whether a commercial, third-party website or whether sponsored by the Agent); and</w:t>
      </w:r>
    </w:p>
    <w:p>
      <w:pPr>
        <w:spacing w:after="0" w:line="190" w:lineRule="exact"/>
        <w:rPr>
          <w:rFonts w:ascii="Times New Roman" w:cs="Times New Roman" w:eastAsia="Times New Roman" w:hAnsi="Times New Roman"/>
          <w:sz w:val="22"/>
          <w:szCs w:val="22"/>
          <w:color w:val="auto"/>
        </w:rPr>
      </w:pPr>
    </w:p>
    <w:p>
      <w:pPr>
        <w:jc w:val="both"/>
        <w:ind w:left="1100" w:firstLine="654"/>
        <w:spacing w:after="0" w:line="238" w:lineRule="auto"/>
        <w:tabs>
          <w:tab w:leader="none" w:pos="2396"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 to Agent and to each Lender (solely to the extent such Lender has delivered written notice to Borrower that such Lender elects to receive material non-public information, which notice has not been rescinded by such Lender in writing), promptly, such additional information concerning Borrower, its business or its operations as Agent may from time to time reasonably request.</w:t>
      </w:r>
    </w:p>
    <w:p>
      <w:pPr>
        <w:spacing w:after="0" w:line="177" w:lineRule="exact"/>
        <w:rPr>
          <w:sz w:val="20"/>
          <w:szCs w:val="20"/>
          <w:color w:val="auto"/>
        </w:rPr>
      </w:pPr>
    </w:p>
    <w:p>
      <w:pPr>
        <w:jc w:val="both"/>
        <w:ind w:left="1100"/>
        <w:spacing w:after="0" w:line="239" w:lineRule="auto"/>
        <w:rPr>
          <w:sz w:val="20"/>
          <w:szCs w:val="20"/>
          <w:color w:val="auto"/>
        </w:rPr>
      </w:pPr>
      <w:r>
        <w:rPr>
          <w:rFonts w:ascii="Times New Roman" w:cs="Times New Roman" w:eastAsia="Times New Roman" w:hAnsi="Times New Roman"/>
          <w:sz w:val="22"/>
          <w:szCs w:val="22"/>
          <w:color w:val="auto"/>
        </w:rPr>
        <w:t xml:space="preserve">All financial statements delivered pursuant to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pacing w:after="0" w:line="190"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5.2</w:t>
      </w:r>
      <w:r>
        <w:rPr>
          <w:sz w:val="20"/>
          <w:szCs w:val="20"/>
          <w:color w:val="auto"/>
        </w:rPr>
        <w:tab/>
      </w:r>
      <w:r>
        <w:rPr>
          <w:rFonts w:ascii="Times New Roman" w:cs="Times New Roman" w:eastAsia="Times New Roman" w:hAnsi="Times New Roman"/>
          <w:sz w:val="21"/>
          <w:szCs w:val="21"/>
          <w:b w:val="1"/>
          <w:bCs w:val="1"/>
          <w:color w:val="auto"/>
        </w:rPr>
        <w:t>Certificates; Reports; Other Information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3"/>
        <w:spacing w:after="0" w:line="236" w:lineRule="auto"/>
        <w:tabs>
          <w:tab w:leader="none" w:pos="2397"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Borrower shall deliver to Agent and to each Lender (solely to the extent such Lender has delivered written notice to Borrower that such Lender elects to receive material non-public information, which notice has not been rescinded by such Lender in writing), concurrently with the delivery of any financial statements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5.1, a Compliance Certificate executed by a Responsible Officer of each Loan Party for the period ending as of the last day of the calendar month or Fiscal Year of the Loan Parties, as the case may be;</w:t>
      </w:r>
    </w:p>
    <w:p>
      <w:pPr>
        <w:spacing w:after="0" w:line="194"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Agent shall be provided, so long as the Agent has delivered written notice to Borrower that it elects to receive material non-public information, and such notice has not been rescinded by Agent by written notice to the Borrower, access and monitoring rights with respect to each Deposit Account (including, without limitation, for the avoidance of doubt, each Excluded Deposit Account) of a Loan Party;</w:t>
      </w:r>
    </w:p>
    <w:p>
      <w:pPr>
        <w:spacing w:after="0" w:line="176" w:lineRule="exact"/>
        <w:rPr>
          <w:rFonts w:ascii="Times New Roman" w:cs="Times New Roman" w:eastAsia="Times New Roman" w:hAnsi="Times New Roman"/>
          <w:sz w:val="22"/>
          <w:szCs w:val="22"/>
          <w:color w:val="010000"/>
        </w:rPr>
      </w:pPr>
    </w:p>
    <w:p>
      <w:pPr>
        <w:jc w:val="both"/>
        <w:ind w:left="1100" w:firstLine="654"/>
        <w:spacing w:after="0" w:line="235" w:lineRule="auto"/>
        <w:tabs>
          <w:tab w:leader="none" w:pos="239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Loan Parties shall promptly (and in any event within three (3) Business Days following receipt thereof), deliver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all notices and other material communications from or with the SEC or any other Official Body with respect to the SPAC Transaction;</w:t>
      </w:r>
    </w:p>
    <w:p>
      <w:pPr>
        <w:spacing w:after="0" w:line="191" w:lineRule="exact"/>
        <w:rPr>
          <w:rFonts w:ascii="Times New Roman" w:cs="Times New Roman" w:eastAsia="Times New Roman" w:hAnsi="Times New Roman"/>
          <w:sz w:val="22"/>
          <w:szCs w:val="22"/>
          <w:color w:val="010000"/>
        </w:rPr>
      </w:pPr>
    </w:p>
    <w:p>
      <w:pPr>
        <w:ind w:left="1100" w:firstLine="654"/>
        <w:spacing w:after="0" w:line="258" w:lineRule="auto"/>
        <w:tabs>
          <w:tab w:leader="none" w:pos="239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Loan Parties shall promptly upon receipt or delivery thereof deliver to Agent (so long as the Agent has delivered written notice to Borrower that it elects to receive material</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51</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2" w:name="page73"/>
    <w:bookmarkEnd w:id="72"/>
    <w:p>
      <w:pPr>
        <w:jc w:val="both"/>
        <w:ind w:left="1100"/>
        <w:spacing w:after="0" w:line="244" w:lineRule="auto"/>
        <w:rPr>
          <w:sz w:val="20"/>
          <w:szCs w:val="20"/>
          <w:color w:val="auto"/>
        </w:rPr>
      </w:pPr>
      <w:r>
        <w:rPr>
          <w:rFonts w:ascii="Times New Roman" w:cs="Times New Roman" w:eastAsia="Times New Roman" w:hAnsi="Times New Roman"/>
          <w:sz w:val="21"/>
          <w:szCs w:val="21"/>
          <w:color w:val="auto"/>
        </w:rPr>
        <w:t>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any correspondence with the lender of any PPP Loan, the U.S. Small Business Administration or any other applicable Official Body with respect to such PPP Loan (including any notices of defaults thereunder, any requirement of Loan Party or any affiliate or any shareholder, member or partner of any of the foregoing to make any payment on such</w:t>
      </w:r>
    </w:p>
    <w:p>
      <w:pPr>
        <w:spacing w:after="0" w:line="6" w:lineRule="exact"/>
        <w:rPr>
          <w:sz w:val="20"/>
          <w:szCs w:val="20"/>
          <w:color w:val="auto"/>
        </w:rPr>
      </w:pPr>
    </w:p>
    <w:p>
      <w:pPr>
        <w:jc w:val="both"/>
        <w:ind w:left="1100" w:firstLine="6"/>
        <w:spacing w:after="0" w:line="235" w:lineRule="auto"/>
        <w:tabs>
          <w:tab w:leader="none" w:pos="153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and the forgiveness of all or any portion of such PPP Loan, any notice of investigation, request for information or similar communication regarding such PPP Loan, including the incurrence, use, forgiveness thereof);</w:t>
      </w:r>
    </w:p>
    <w:p>
      <w:pPr>
        <w:spacing w:after="0" w:line="191" w:lineRule="exact"/>
        <w:rPr>
          <w:rFonts w:ascii="Times New Roman" w:cs="Times New Roman" w:eastAsia="Times New Roman" w:hAnsi="Times New Roman"/>
          <w:sz w:val="22"/>
          <w:szCs w:val="22"/>
          <w:color w:val="auto"/>
        </w:rPr>
      </w:pPr>
    </w:p>
    <w:p>
      <w:pPr>
        <w:jc w:val="both"/>
        <w:ind w:left="1100" w:firstLine="653"/>
        <w:spacing w:after="0" w:line="235" w:lineRule="auto"/>
        <w:tabs>
          <w:tab w:leader="none" w:pos="2397" w:val="left"/>
        </w:tabs>
        <w:numPr>
          <w:ilvl w:val="1"/>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Borrower shall deliver on a monthly basis, as soon as available, but in any event not later than forty-five (45) days after the end of each calendar month, beginning with the calendar month ending September 30, 2022,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key performance indicators, including details on paid pilots and the status of conversions;</w:t>
      </w:r>
    </w:p>
    <w:p>
      <w:pPr>
        <w:spacing w:after="0" w:line="178"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1"/>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Borrower shall make key members of management available to Agent upon Agent’s reasonable written request (which, for the avoidance of doubt, may be by electronic mail) to discuss the financial status and performance of Borrower’s business; and</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1"/>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Loan Parties shall promptly deliver to Agent and to each Lender (solely to the extent such Lender has delivered written notice to Borrower that such Lender elects to receive material non-public information, which notice has not been rescinded by such Lender in writing), such additional information concerning any Loan Party, its business or its operations as Agent may from time to time reasonably request.</w:t>
      </w:r>
    </w:p>
    <w:p>
      <w:pPr>
        <w:spacing w:after="0" w:line="186"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5.3 </w:t>
      </w:r>
      <w:r>
        <w:rPr>
          <w:rFonts w:ascii="Times New Roman" w:cs="Times New Roman" w:eastAsia="Times New Roman" w:hAnsi="Times New Roman"/>
          <w:sz w:val="22"/>
          <w:szCs w:val="22"/>
          <w:b w:val="1"/>
          <w:bCs w:val="1"/>
          <w:color w:val="000000"/>
        </w:rPr>
        <w:t>Payment of Obligations</w:t>
      </w:r>
      <w:r>
        <w:rPr>
          <w:rFonts w:ascii="Times New Roman" w:cs="Times New Roman" w:eastAsia="Times New Roman" w:hAnsi="Times New Roman"/>
          <w:sz w:val="22"/>
          <w:szCs w:val="22"/>
          <w:color w:val="000000"/>
        </w:rPr>
        <w:t>. Each Loan Party shall pay, discharge or otherwise satisfy at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the books of Borrower.</w:t>
      </w:r>
    </w:p>
    <w:p>
      <w:pPr>
        <w:spacing w:after="0" w:line="177" w:lineRule="exact"/>
        <w:rPr>
          <w:sz w:val="20"/>
          <w:szCs w:val="20"/>
          <w:color w:val="auto"/>
        </w:rPr>
      </w:pPr>
    </w:p>
    <w:p>
      <w:pPr>
        <w:jc w:val="both"/>
        <w:ind w:left="110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5.4 </w:t>
      </w:r>
      <w:r>
        <w:rPr>
          <w:rFonts w:ascii="Times New Roman" w:cs="Times New Roman" w:eastAsia="Times New Roman" w:hAnsi="Times New Roman"/>
          <w:sz w:val="22"/>
          <w:szCs w:val="22"/>
          <w:b w:val="1"/>
          <w:bCs w:val="1"/>
          <w:color w:val="000000"/>
        </w:rPr>
        <w:t>Maintenance of Existence; Compliance with Requirements of Law</w:t>
      </w:r>
      <w:r>
        <w:rPr>
          <w:rFonts w:ascii="Times New Roman" w:cs="Times New Roman" w:eastAsia="Times New Roman" w:hAnsi="Times New Roman"/>
          <w:sz w:val="22"/>
          <w:szCs w:val="22"/>
          <w:color w:val="000000"/>
        </w:rPr>
        <w:t>. Each Loan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Party shall:</w:t>
      </w:r>
    </w:p>
    <w:p>
      <w:pPr>
        <w:spacing w:after="0" w:line="167" w:lineRule="exact"/>
        <w:rPr>
          <w:sz w:val="20"/>
          <w:szCs w:val="20"/>
          <w:color w:val="auto"/>
        </w:rPr>
      </w:pPr>
    </w:p>
    <w:p>
      <w:pPr>
        <w:ind w:left="2400" w:hanging="646"/>
        <w:spacing w:after="0"/>
        <w:tabs>
          <w:tab w:leader="none" w:pos="2400" w:val="left"/>
        </w:tabs>
        <w:numPr>
          <w:ilvl w:val="1"/>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Preserve, renew and keep in full force and effect its organizational existence and</w:t>
      </w:r>
    </w:p>
    <w:p>
      <w:pPr>
        <w:spacing w:after="0" w:line="14" w:lineRule="exact"/>
        <w:rPr>
          <w:rFonts w:ascii="Times New Roman" w:cs="Times New Roman" w:eastAsia="Times New Roman" w:hAnsi="Times New Roman"/>
          <w:sz w:val="22"/>
          <w:szCs w:val="22"/>
          <w:color w:val="010000"/>
        </w:rPr>
      </w:pPr>
    </w:p>
    <w:p>
      <w:pPr>
        <w:jc w:val="both"/>
        <w:ind w:left="1100" w:firstLine="6"/>
        <w:spacing w:after="0" w:line="234" w:lineRule="auto"/>
        <w:tabs>
          <w:tab w:leader="none" w:pos="143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reasonable action to maintain or obtain all Governmental Approvals and all other rights, privileges and franchises necessary or desirable in the normal conduct of its business, except, in the case of clause (ii) above, to the extent that failure to do so could not reasonably be expected to have a Material Adverse Effect.</w:t>
      </w:r>
    </w:p>
    <w:p>
      <w:pPr>
        <w:spacing w:after="0" w:line="190" w:lineRule="exact"/>
        <w:rPr>
          <w:rFonts w:ascii="Times New Roman" w:cs="Times New Roman" w:eastAsia="Times New Roman" w:hAnsi="Times New Roman"/>
          <w:sz w:val="22"/>
          <w:szCs w:val="22"/>
          <w:color w:val="auto"/>
        </w:rPr>
      </w:pPr>
    </w:p>
    <w:p>
      <w:pPr>
        <w:ind w:left="1100" w:firstLine="654"/>
        <w:spacing w:after="0" w:line="258" w:lineRule="auto"/>
        <w:tabs>
          <w:tab w:leader="none" w:pos="2396"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 with all Requirements of Law in all material respects and all Contractual Obligations except as would not be expected to result in a Material Adverse Effect.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52</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3" w:name="page74"/>
    <w:bookmarkEnd w:id="73"/>
    <w:p>
      <w:pPr>
        <w:jc w:val="both"/>
        <w:ind w:left="1100" w:firstLine="654"/>
        <w:spacing w:after="0" w:line="236" w:lineRule="auto"/>
        <w:tabs>
          <w:tab w:leader="none" w:pos="2396"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 all amounts necessary to fund all present pension, profit sharing and deferred compensation plans in accordance with their terms and maintain each “employee benefit plan” (within the meaning of Section 3(3) of ERISA, whether or not subject to ERISA) that is sponsored, contributed to or required to be contributed to by the Borrower, Parent or their respective ERISA Affiliates in compliance in all material respects with the applicable provisions of ERISA, the Code or other Federal or state law.</w:t>
      </w:r>
    </w:p>
    <w:p>
      <w:pPr>
        <w:spacing w:after="0" w:line="191"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5.5</w:t>
      </w:r>
      <w:r>
        <w:rPr>
          <w:sz w:val="20"/>
          <w:szCs w:val="20"/>
          <w:color w:val="auto"/>
        </w:rPr>
        <w:tab/>
      </w:r>
      <w:r>
        <w:rPr>
          <w:rFonts w:ascii="Times New Roman" w:cs="Times New Roman" w:eastAsia="Times New Roman" w:hAnsi="Times New Roman"/>
          <w:sz w:val="21"/>
          <w:szCs w:val="21"/>
          <w:b w:val="1"/>
          <w:bCs w:val="1"/>
          <w:color w:val="auto"/>
        </w:rPr>
        <w:t>Maintenance of Property; Insurance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100" w:firstLine="654"/>
        <w:spacing w:after="0" w:line="258" w:lineRule="auto"/>
        <w:tabs>
          <w:tab w:leader="none" w:pos="239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Loan Party shall keep all property useful and necessary in its business in good working order and condition, ordinary wear and tear excepted,</w:t>
      </w:r>
    </w:p>
    <w:p>
      <w:pPr>
        <w:spacing w:after="0" w:line="158" w:lineRule="exact"/>
        <w:rPr>
          <w:rFonts w:ascii="Times New Roman" w:cs="Times New Roman" w:eastAsia="Times New Roman" w:hAnsi="Times New Roman"/>
          <w:sz w:val="22"/>
          <w:szCs w:val="22"/>
          <w:color w:val="010000"/>
        </w:rPr>
      </w:pPr>
    </w:p>
    <w:p>
      <w:pPr>
        <w:jc w:val="both"/>
        <w:ind w:left="1100" w:firstLine="654"/>
        <w:spacing w:after="0" w:line="243" w:lineRule="auto"/>
        <w:tabs>
          <w:tab w:leader="none" w:pos="2396"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Loan Party shall (i) maintain with financially sound and reputable insurance companies insurance on all its property and against at least such risks and, in any case, in at least such amounts as are usually insured against by companies engaged in the same or a similar business as determined by Agent from time to time in its Permitted Discretion, and (ii) subject to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cause each issuer of any insurance policy to list each Loan Party and its Subsidiaries as primary insured and provide Agent with an endorsement (x) showing Agent as “lender loss payee” or “Lender loss payable” with respect to each policy of property or casualty insurance and naming Agent as “additional insured” with respect to each policy of liability insurance, as applicable, as its interests may appear, and (y) containing (A) a clause requiring the insurer to give not less than ten (10) days’ prior written notice to Agent, as applicable, in the event of cancellation of the policy for nonpayment of premium and not less than thirty (30) days’ prior written notice to Agent in the event of cancellation of the policy for any other reason whatsoever and (B) a clause specifying that the interest of Agent, as applicable, shall not be impaired or invalidated by any act or neglect of any Loan Party, any of their Subsidiaries or the owner of any property or by the occupation of the premises for purposes more hazardous than are permitted by such policy and (z) reasonably acceptable in all other respects to Agent. All proceeds of business interruption insurance (if any) of the Loan Parties shall be remitted to Agent for application to the outstanding balance of the Term Loan,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2.1(c)</w:t>
      </w:r>
      <w:r>
        <w:rPr>
          <w:rFonts w:ascii="Times New Roman" w:cs="Times New Roman" w:eastAsia="Times New Roman" w:hAnsi="Times New Roman"/>
          <w:sz w:val="21"/>
          <w:szCs w:val="21"/>
          <w:color w:val="auto"/>
        </w:rPr>
        <w:t>. If any improvements located upon any property are located in an area identified by the Federal Emergency Management Agency as an area having special flood hazards and in which flood insurance has been made available under the National Flood Insurance Act of 1968 (or any amendment or successor act thereto), then the applicable Loan Party shall maintain, or cause to be maintained, with a financially sound and reputable insurer, flood insurance in an amount sufficient to comply with all applicable rules and regulations promulgated pursuant to such Act.</w:t>
      </w:r>
    </w:p>
    <w:p>
      <w:pPr>
        <w:spacing w:after="0" w:line="194" w:lineRule="exact"/>
        <w:rPr>
          <w:rFonts w:ascii="Times New Roman" w:cs="Times New Roman" w:eastAsia="Times New Roman" w:hAnsi="Times New Roman"/>
          <w:sz w:val="21"/>
          <w:szCs w:val="21"/>
          <w:color w:val="010000"/>
        </w:rPr>
      </w:pPr>
    </w:p>
    <w:p>
      <w:pPr>
        <w:jc w:val="both"/>
        <w:ind w:left="1100" w:firstLine="654"/>
        <w:spacing w:after="0" w:line="244" w:lineRule="auto"/>
        <w:tabs>
          <w:tab w:leader="none" w:pos="239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addition to the foregoing clause (b), Borrower shall satisfy any other insurance requirements as Agent may reasonably require pursuant to any insurance diligence report delivered pursuant to </w:t>
      </w:r>
      <w:r>
        <w:rPr>
          <w:rFonts w:ascii="Times New Roman" w:cs="Times New Roman" w:eastAsia="Times New Roman" w:hAnsi="Times New Roman"/>
          <w:sz w:val="22"/>
          <w:szCs w:val="22"/>
          <w:u w:val="single" w:color="auto"/>
          <w:color w:val="auto"/>
        </w:rPr>
        <w:t>Section 5.5(d)</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reasonable times and upon reasonable notice (provided that no notice is required if an Event of Default has occurred and is continuing), Agent or its agents, shall have the right to conduct a review of the Borrowers’ insurance coverage at the Loan Parties’ expense; provided that, so long as an Event of Default has not occurred and is continuing, in any Fiscal Year, the Loan Parties only shall be responsible for the costs and expenses of one (1) review.</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53</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4" w:name="page75"/>
    <w:bookmarkEnd w:id="74"/>
    <w:p>
      <w:pPr>
        <w:jc w:val="both"/>
        <w:ind w:left="1100" w:firstLine="654"/>
        <w:spacing w:after="0" w:line="234" w:lineRule="auto"/>
        <w:tabs>
          <w:tab w:leader="none" w:pos="2396"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in this Agreement to the contrary, if at any time Agent is not in receipt of written evidence that all policies of insurance required under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are in full force and effect, Agent shall have the right, without written notice to Borrower, to take such action as Agent deems necessary to protect its interest in the Collateral, including the obtaining of such insurance coverage as Agent in its reasonable discretion deems appropriate; all premiums incurred by Agent in connection with such action or in obtaining such insurance and keeping it in effect shall be paid by Borrower to Agent upon demand and, until paid, shall constitute “Obligations” hereunder, shall be secured by the Security Documents and shall bear interest at the Interest Rate plus the Default Rate.</w:t>
      </w:r>
    </w:p>
    <w:p>
      <w:pPr>
        <w:spacing w:after="0" w:line="193"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5.6 </w:t>
      </w:r>
      <w:r>
        <w:rPr>
          <w:rFonts w:ascii="Times New Roman" w:cs="Times New Roman" w:eastAsia="Times New Roman" w:hAnsi="Times New Roman"/>
          <w:sz w:val="22"/>
          <w:szCs w:val="22"/>
          <w:b w:val="1"/>
          <w:bCs w:val="1"/>
          <w:color w:val="000000"/>
        </w:rPr>
        <w:t>Inspection of Property; Books and Records; Discussions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Each Loan Party shall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keep proper books of records and account in which full, true and correct entries in conformity with GAAP and all Requirements of Law shall be made of all dealings and transactions in relation to its business and activities and (b) permit representatives and independent contractors of Agent and any Lender to visit, inspect and audit any of its properties and examine and make abstracts from any of its books and records at any reasonable time and as often as may reasonably be desired and to discuss the business, operations, properties and financial and other condition of the Loan Parties with officers, directors and employees of Loan Parties and with its independent certified public accountants; provided, so long as an Event of Default has not occurred and is continuing, the Loan Parties shall not be responsible for the costs and expenses of more than two (2) inspections or audits in any Fiscal Year.</w:t>
      </w:r>
    </w:p>
    <w:p>
      <w:pPr>
        <w:spacing w:after="0" w:line="176" w:lineRule="exact"/>
        <w:rPr>
          <w:sz w:val="20"/>
          <w:szCs w:val="20"/>
          <w:color w:val="auto"/>
        </w:rPr>
      </w:pPr>
    </w:p>
    <w:p>
      <w:pPr>
        <w:jc w:val="both"/>
        <w:ind w:left="1100" w:firstLine="648"/>
        <w:spacing w:after="0" w:line="252" w:lineRule="auto"/>
        <w:rPr>
          <w:sz w:val="20"/>
          <w:szCs w:val="20"/>
          <w:color w:val="auto"/>
        </w:rPr>
      </w:pPr>
      <w:r>
        <w:rPr>
          <w:rFonts w:ascii="Times New Roman" w:cs="Times New Roman" w:eastAsia="Times New Roman" w:hAnsi="Times New Roman"/>
          <w:sz w:val="21"/>
          <w:szCs w:val="21"/>
          <w:b w:val="1"/>
          <w:bCs w:val="1"/>
          <w:color w:val="010000"/>
        </w:rPr>
        <w:t xml:space="preserve">5.7 </w:t>
      </w:r>
      <w:r>
        <w:rPr>
          <w:rFonts w:ascii="Times New Roman" w:cs="Times New Roman" w:eastAsia="Times New Roman" w:hAnsi="Times New Roman"/>
          <w:sz w:val="21"/>
          <w:szCs w:val="21"/>
          <w:b w:val="1"/>
          <w:bCs w:val="1"/>
          <w:color w:val="000000"/>
        </w:rPr>
        <w:t>Notices</w:t>
      </w:r>
      <w:r>
        <w:rPr>
          <w:rFonts w:ascii="Times New Roman" w:cs="Times New Roman" w:eastAsia="Times New Roman" w:hAnsi="Times New Roman"/>
          <w:sz w:val="21"/>
          <w:szCs w:val="21"/>
          <w:color w:val="000000"/>
        </w:rPr>
        <w:t>. Each Loan Party shall give prompt written notice (and in no event later than</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 xml:space="preserve">five (5) Business Days (or with respect to </w:t>
      </w:r>
      <w:r>
        <w:rPr>
          <w:rFonts w:ascii="Times New Roman" w:cs="Times New Roman" w:eastAsia="Times New Roman" w:hAnsi="Times New Roman"/>
          <w:sz w:val="21"/>
          <w:szCs w:val="21"/>
          <w:u w:val="single" w:color="auto"/>
          <w:color w:val="000000"/>
        </w:rPr>
        <w:t>Sections 5.7(a)</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u w:val="single" w:color="auto"/>
          <w:color w:val="000000"/>
        </w:rPr>
        <w:t>(h)</w:t>
      </w:r>
      <w:r>
        <w:rPr>
          <w:rFonts w:ascii="Times New Roman" w:cs="Times New Roman" w:eastAsia="Times New Roman" w:hAnsi="Times New Roman"/>
          <w:sz w:val="21"/>
          <w:szCs w:val="21"/>
          <w:color w:val="000000"/>
        </w:rPr>
        <w:t xml:space="preserve"> below, two (2) Business Days) after such Loan Party knows or should have known of such events) to Agent and to each Lender (solely to the extent such Lender has delivered written notice to Borrower that such Lender elects to receive material non-public information, which notice has not been rescinded by such Lender in writing) of:</w:t>
      </w:r>
    </w:p>
    <w:p>
      <w:pPr>
        <w:spacing w:after="0" w:line="181" w:lineRule="exact"/>
        <w:rPr>
          <w:sz w:val="20"/>
          <w:szCs w:val="20"/>
          <w:color w:val="auto"/>
        </w:rPr>
      </w:pPr>
    </w:p>
    <w:p>
      <w:pPr>
        <w:jc w:val="both"/>
        <w:ind w:left="1100" w:firstLine="653"/>
        <w:spacing w:after="0" w:line="244" w:lineRule="auto"/>
        <w:tabs>
          <w:tab w:leader="none" w:pos="2397" w:val="left"/>
        </w:tabs>
        <w:numPr>
          <w:ilvl w:val="1"/>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occurrence of any Default or Event of Default together with a written statement of a Responsible Officer of such Loan Party setting forth the details of such event and the action the Loan Parties propose to take with respect thereto;</w:t>
      </w:r>
    </w:p>
    <w:p>
      <w:pPr>
        <w:spacing w:after="0" w:line="186" w:lineRule="exact"/>
        <w:rPr>
          <w:rFonts w:ascii="Times New Roman" w:cs="Times New Roman" w:eastAsia="Times New Roman" w:hAnsi="Times New Roman"/>
          <w:sz w:val="22"/>
          <w:szCs w:val="22"/>
          <w:color w:val="010000"/>
        </w:rPr>
      </w:pPr>
    </w:p>
    <w:p>
      <w:pPr>
        <w:ind w:left="1100" w:firstLine="654"/>
        <w:spacing w:after="0" w:line="241" w:lineRule="auto"/>
        <w:tabs>
          <w:tab w:leader="none" w:pos="2396" w:val="left"/>
        </w:tabs>
        <w:numPr>
          <w:ilvl w:val="1"/>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(i) default or event of default under any Material Contract, the Nirvana Debt, or any Subordinated Indebtedness, (ii) any notice of non-renewal under any Material Contract,</w:t>
      </w:r>
    </w:p>
    <w:p>
      <w:pPr>
        <w:spacing w:after="0" w:line="1" w:lineRule="exact"/>
        <w:rPr>
          <w:rFonts w:ascii="Times New Roman" w:cs="Times New Roman" w:eastAsia="Times New Roman" w:hAnsi="Times New Roman"/>
          <w:sz w:val="22"/>
          <w:szCs w:val="22"/>
          <w:color w:val="010000"/>
        </w:rPr>
      </w:pPr>
    </w:p>
    <w:p>
      <w:pPr>
        <w:jc w:val="both"/>
        <w:ind w:left="1100" w:firstLine="6"/>
        <w:spacing w:after="0" w:line="235" w:lineRule="auto"/>
        <w:tabs>
          <w:tab w:leader="none" w:pos="148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to the terms of any Material Contract that are reasonably expected to result in a decrease of ten percent (10%) or more in revenue to the Loan Parties from such Material Contract;</w:t>
      </w:r>
    </w:p>
    <w:p>
      <w:pPr>
        <w:spacing w:after="0" w:line="177" w:lineRule="exact"/>
        <w:rPr>
          <w:rFonts w:ascii="Times New Roman" w:cs="Times New Roman" w:eastAsia="Times New Roman" w:hAnsi="Times New Roman"/>
          <w:sz w:val="22"/>
          <w:szCs w:val="22"/>
          <w:color w:val="auto"/>
        </w:rPr>
      </w:pPr>
    </w:p>
    <w:p>
      <w:pPr>
        <w:jc w:val="both"/>
        <w:ind w:left="1100" w:firstLine="654"/>
        <w:spacing w:after="0" w:line="238" w:lineRule="auto"/>
        <w:tabs>
          <w:tab w:leader="none" w:pos="2396"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(i) pending or threatened legal action, litigation, suit, investigation, arbitration, dispute resolution proceeding, or administrative or regulatory proceeding that may exist at any time between any Loan Party and any Governmental Authority, or (ii) litigation or proceeding affecting any Loan Party (including any such litigation in which a Loan Party is the plaintiff) in which the amount involved is $1,000,000 or more or which relates to any Loan Document;</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54</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5" w:name="page76"/>
    <w:bookmarkEnd w:id="75"/>
    <w:p>
      <w:pPr>
        <w:ind w:left="1100" w:right="20" w:firstLine="654"/>
        <w:spacing w:after="0" w:line="258" w:lineRule="auto"/>
        <w:tabs>
          <w:tab w:leader="none" w:pos="2396"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material change in accounting policies or financial reporting practices by any Loan Party (other than as permitted by </w:t>
      </w:r>
      <w:r>
        <w:rPr>
          <w:rFonts w:ascii="Times New Roman" w:cs="Times New Roman" w:eastAsia="Times New Roman" w:hAnsi="Times New Roman"/>
          <w:sz w:val="22"/>
          <w:szCs w:val="22"/>
          <w:u w:val="single" w:color="auto"/>
          <w:color w:val="auto"/>
        </w:rPr>
        <w:t>Section 1.2(e)</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occurrence of any ERISA Event that, alone or together with any other ERISA Events that have occurred, could reasonably be expected to result in liability of the Loan Parties in an aggregate amount in excess of $500,000;</w:t>
      </w:r>
    </w:p>
    <w:p>
      <w:pPr>
        <w:spacing w:after="0" w:line="173" w:lineRule="exact"/>
        <w:rPr>
          <w:rFonts w:ascii="Times New Roman" w:cs="Times New Roman" w:eastAsia="Times New Roman" w:hAnsi="Times New Roman"/>
          <w:sz w:val="22"/>
          <w:szCs w:val="22"/>
          <w:color w:val="010000"/>
        </w:rPr>
      </w:pPr>
    </w:p>
    <w:p>
      <w:pPr>
        <w:jc w:val="both"/>
        <w:ind w:left="1100" w:firstLine="653"/>
        <w:spacing w:after="0" w:line="244" w:lineRule="auto"/>
        <w:tabs>
          <w:tab w:leader="none" w:pos="2397"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amendment to the organizational documents of any Loan Party, provided that Loan Parties shall provide at least twenty (20) day’s prior written notice of any change to its name, identity, structure, or state of formation, incorporation or organization;</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9" w:lineRule="auto"/>
        <w:tabs>
          <w:tab w:leader="none" w:pos="2396"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any Loan Party or their accountants conclude or advise that any previously issued financial statement, audit report or interim review should no longer be relied upon in any material respect or that disclosure should be made or action should be taken to prevent future reliance thereon;</w:t>
      </w:r>
    </w:p>
    <w:p>
      <w:pPr>
        <w:spacing w:after="0" w:line="193" w:lineRule="exact"/>
        <w:rPr>
          <w:rFonts w:ascii="Times New Roman" w:cs="Times New Roman" w:eastAsia="Times New Roman" w:hAnsi="Times New Roman"/>
          <w:sz w:val="22"/>
          <w:szCs w:val="22"/>
          <w:color w:val="010000"/>
        </w:rPr>
      </w:pPr>
    </w:p>
    <w:p>
      <w:pPr>
        <w:ind w:left="2400" w:hanging="650"/>
        <w:spacing w:after="0"/>
        <w:tabs>
          <w:tab w:leader="none" w:pos="2400"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(i) amendment or proposed amendment to, (ii) any breach or default under,</w:t>
      </w:r>
    </w:p>
    <w:p>
      <w:pPr>
        <w:spacing w:after="0" w:line="14" w:lineRule="exact"/>
        <w:rPr>
          <w:rFonts w:ascii="Times New Roman" w:cs="Times New Roman" w:eastAsia="Times New Roman" w:hAnsi="Times New Roman"/>
          <w:sz w:val="22"/>
          <w:szCs w:val="22"/>
          <w:color w:val="010000"/>
        </w:rPr>
      </w:pPr>
    </w:p>
    <w:p>
      <w:pPr>
        <w:jc w:val="both"/>
        <w:ind w:left="1100" w:firstLine="6"/>
        <w:spacing w:after="0" w:line="234" w:lineRule="auto"/>
        <w:tabs>
          <w:tab w:leader="none" w:pos="14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or threatened termination of or (iv) any litigation or proceeding commenced or threated by any Person, in each case, with respect to the SPAC Merger Agreement, any SPAC Subscription Agreement or any other instrument, document or agreement executed in connection with the SPAC Transaction; and</w:t>
      </w:r>
    </w:p>
    <w:p>
      <w:pPr>
        <w:spacing w:after="0" w:line="177" w:lineRule="exact"/>
        <w:rPr>
          <w:rFonts w:ascii="Times New Roman" w:cs="Times New Roman" w:eastAsia="Times New Roman" w:hAnsi="Times New Roman"/>
          <w:sz w:val="22"/>
          <w:szCs w:val="22"/>
          <w:color w:val="auto"/>
        </w:rPr>
      </w:pPr>
    </w:p>
    <w:p>
      <w:pPr>
        <w:ind w:left="1100" w:firstLine="654"/>
        <w:spacing w:after="0" w:line="258" w:lineRule="auto"/>
        <w:tabs>
          <w:tab w:leader="none" w:pos="2060"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development or event that has had or could reasonably be expected to have a Material Adverse Effect.</w:t>
      </w:r>
    </w:p>
    <w:p>
      <w:pPr>
        <w:spacing w:after="0" w:line="172" w:lineRule="exact"/>
        <w:rPr>
          <w:sz w:val="20"/>
          <w:szCs w:val="20"/>
          <w:color w:val="auto"/>
        </w:rPr>
      </w:pPr>
    </w:p>
    <w:p>
      <w:pPr>
        <w:jc w:val="both"/>
        <w:ind w:left="1100"/>
        <w:spacing w:after="0" w:line="244" w:lineRule="auto"/>
        <w:rPr>
          <w:sz w:val="20"/>
          <w:szCs w:val="20"/>
          <w:color w:val="auto"/>
        </w:rPr>
      </w:pPr>
      <w:r>
        <w:rPr>
          <w:rFonts w:ascii="Times New Roman" w:cs="Times New Roman" w:eastAsia="Times New Roman" w:hAnsi="Times New Roman"/>
          <w:sz w:val="22"/>
          <w:szCs w:val="22"/>
          <w:color w:val="auto"/>
        </w:rPr>
        <w:t xml:space="preserve">Each notice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5.7 shall be accompanied by a statement of a Responsible Officer setting forth details of the occurrence referred to therein and stating what action such Loan Party proposes to take with respect thereto.</w:t>
      </w:r>
    </w:p>
    <w:p>
      <w:pPr>
        <w:spacing w:after="0" w:line="183" w:lineRule="exact"/>
        <w:rPr>
          <w:sz w:val="20"/>
          <w:szCs w:val="20"/>
          <w:color w:val="auto"/>
        </w:rPr>
      </w:pPr>
    </w:p>
    <w:p>
      <w:pPr>
        <w:ind w:left="174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010000"/>
        </w:rPr>
        <w:t>5.8</w:t>
      </w:r>
      <w:r>
        <w:rPr>
          <w:sz w:val="20"/>
          <w:szCs w:val="20"/>
          <w:color w:val="auto"/>
        </w:rPr>
        <w:tab/>
      </w:r>
      <w:r>
        <w:rPr>
          <w:rFonts w:ascii="Times New Roman" w:cs="Times New Roman" w:eastAsia="Times New Roman" w:hAnsi="Times New Roman"/>
          <w:sz w:val="21"/>
          <w:szCs w:val="21"/>
          <w:b w:val="1"/>
          <w:bCs w:val="1"/>
          <w:color w:val="auto"/>
        </w:rPr>
        <w:t>Compliance with Laws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4"/>
        <w:spacing w:after="0" w:line="244" w:lineRule="auto"/>
        <w:tabs>
          <w:tab w:leader="none" w:pos="2396"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Each Loan Party shall comply in all material respects with the Requirements of Law applicable to it and all orders, writs, injunctions and decrees applicable to it or to its business or property.</w:t>
      </w:r>
    </w:p>
    <w:p>
      <w:pPr>
        <w:spacing w:after="0" w:line="173" w:lineRule="exact"/>
        <w:rPr>
          <w:rFonts w:ascii="Times New Roman" w:cs="Times New Roman" w:eastAsia="Times New Roman" w:hAnsi="Times New Roman"/>
          <w:sz w:val="22"/>
          <w:szCs w:val="22"/>
          <w:color w:val="010000"/>
        </w:rPr>
      </w:pPr>
    </w:p>
    <w:p>
      <w:pPr>
        <w:ind w:left="2400" w:hanging="650"/>
        <w:spacing w:after="0"/>
        <w:tabs>
          <w:tab w:leader="none" w:pos="2400"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Each Loan Party shall:</w:t>
      </w:r>
    </w:p>
    <w:p>
      <w:pPr>
        <w:spacing w:after="0" w:line="219" w:lineRule="exact"/>
        <w:rPr>
          <w:rFonts w:ascii="Times New Roman" w:cs="Times New Roman" w:eastAsia="Times New Roman" w:hAnsi="Times New Roman"/>
          <w:sz w:val="22"/>
          <w:szCs w:val="22"/>
          <w:color w:val="010000"/>
        </w:rPr>
      </w:pPr>
    </w:p>
    <w:p>
      <w:pPr>
        <w:jc w:val="both"/>
        <w:ind w:left="1760" w:firstLine="642"/>
        <w:spacing w:after="0" w:line="251" w:lineRule="auto"/>
        <w:tabs>
          <w:tab w:leader="none" w:pos="3056" w:val="left"/>
        </w:tabs>
        <w:numPr>
          <w:ilvl w:val="1"/>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81" w:lineRule="exact"/>
        <w:rPr>
          <w:rFonts w:ascii="Times New Roman" w:cs="Times New Roman" w:eastAsia="Times New Roman" w:hAnsi="Times New Roman"/>
          <w:sz w:val="21"/>
          <w:szCs w:val="21"/>
          <w:color w:val="010000"/>
        </w:rPr>
      </w:pPr>
    </w:p>
    <w:p>
      <w:pPr>
        <w:ind w:left="1760" w:firstLine="642"/>
        <w:spacing w:after="0" w:line="258" w:lineRule="auto"/>
        <w:tabs>
          <w:tab w:leader="none" w:pos="3056" w:val="left"/>
        </w:tabs>
        <w:numPr>
          <w:ilvl w:val="1"/>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Conduct and complete all investigations, studies, sampling and testing, and all remedial, removal and other actions required under Environmental Laws and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55</w:t>
            </w:r>
          </w:p>
        </w:tc>
      </w:tr>
      <w:tr>
        <w:trPr>
          <w:trHeight w:val="777"/>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6" w:name="page77"/>
    <w:bookmarkEnd w:id="76"/>
    <w:p>
      <w:pPr>
        <w:ind w:left="1760" w:right="1000"/>
        <w:spacing w:after="0" w:line="258" w:lineRule="auto"/>
        <w:rPr>
          <w:sz w:val="20"/>
          <w:szCs w:val="20"/>
          <w:color w:val="auto"/>
        </w:rPr>
      </w:pPr>
      <w:r>
        <w:rPr>
          <w:rFonts w:ascii="Times New Roman" w:cs="Times New Roman" w:eastAsia="Times New Roman" w:hAnsi="Times New Roman"/>
          <w:sz w:val="22"/>
          <w:szCs w:val="22"/>
          <w:color w:val="auto"/>
        </w:rPr>
        <w:t>promptly comply in all material respects with all lawful orders and directives of all Governmental Authorities regarding Environmental Laws; and</w:t>
      </w:r>
    </w:p>
    <w:p>
      <w:pPr>
        <w:spacing w:after="0" w:line="172" w:lineRule="exact"/>
        <w:rPr>
          <w:sz w:val="20"/>
          <w:szCs w:val="20"/>
          <w:color w:val="auto"/>
        </w:rPr>
      </w:pPr>
    </w:p>
    <w:p>
      <w:pPr>
        <w:ind w:left="1760" w:right="220" w:firstLine="642"/>
        <w:spacing w:after="0" w:line="258" w:lineRule="auto"/>
        <w:tabs>
          <w:tab w:leader="none" w:pos="3055"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Remediate any notices of non-compliance from any Governmental Authority with respect to any Environmental Law.</w:t>
      </w:r>
    </w:p>
    <w:p>
      <w:pPr>
        <w:spacing w:after="0" w:line="154"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5.9 </w:t>
      </w:r>
      <w:r>
        <w:rPr>
          <w:rFonts w:ascii="Times New Roman" w:cs="Times New Roman" w:eastAsia="Times New Roman" w:hAnsi="Times New Roman"/>
          <w:sz w:val="22"/>
          <w:szCs w:val="22"/>
          <w:b w:val="1"/>
          <w:bCs w:val="1"/>
          <w:color w:val="000000"/>
        </w:rPr>
        <w:t>Audits</w:t>
      </w:r>
      <w:r>
        <w:rPr>
          <w:rFonts w:ascii="Times New Roman" w:cs="Times New Roman" w:eastAsia="Times New Roman" w:hAnsi="Times New Roman"/>
          <w:sz w:val="22"/>
          <w:szCs w:val="22"/>
          <w:color w:val="000000"/>
        </w:rPr>
        <w:t>. At reasonable times and upon reasonable notice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that no notice is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required if an Event of Default has occurred and is continuing), Lender or its agents, shall have the right, during normal business hours, to inspect the Collateral and the right to audit and copy (subject to applicable data security and privacy Laws)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so long as an Event of Default has not occurred and is continuing, the Loan Parties shall not be responsible for the costs and expenses of more than two (2) inspections or audits in any Fiscal Year.</w:t>
      </w:r>
    </w:p>
    <w:p>
      <w:pPr>
        <w:spacing w:after="0" w:line="193"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5.10 </w:t>
      </w:r>
      <w:r>
        <w:rPr>
          <w:rFonts w:ascii="Times New Roman" w:cs="Times New Roman" w:eastAsia="Times New Roman" w:hAnsi="Times New Roman"/>
          <w:sz w:val="22"/>
          <w:szCs w:val="22"/>
          <w:b w:val="1"/>
          <w:bCs w:val="1"/>
          <w:color w:val="000000"/>
        </w:rPr>
        <w:t>Further Assurances</w:t>
      </w:r>
      <w:r>
        <w:rPr>
          <w:rFonts w:ascii="Times New Roman" w:cs="Times New Roman" w:eastAsia="Times New Roman" w:hAnsi="Times New Roman"/>
          <w:sz w:val="22"/>
          <w:szCs w:val="22"/>
          <w:color w:val="000000"/>
        </w:rPr>
        <w:t>. Each Loan Party shall execute and deliver to Agent and Lenders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such amendments to the Loan Documents, Security Documents or such other documents as Agent deems necessary and take all actions necessary or advisable in the opinion of Agent (in its Permitted Discretion) to effectuate the terms of the Loan Documents and protect Agent’s and Lenders’ interests in the Collateral, and shall do such other acts and things as Agent in its Permitted Discretion may deem necessary or advisable from time to time in order to preserve, perfect and protect the Liens granted under the Loan Documents and to exercise and enforce its rights and remedies thereunder with respect to the Collateral.</w:t>
      </w:r>
    </w:p>
    <w:p>
      <w:pPr>
        <w:spacing w:after="0" w:line="192" w:lineRule="exact"/>
        <w:rPr>
          <w:sz w:val="20"/>
          <w:szCs w:val="20"/>
          <w:color w:val="auto"/>
        </w:rPr>
      </w:pPr>
    </w:p>
    <w:p>
      <w:pPr>
        <w:jc w:val="both"/>
        <w:ind w:left="110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5.11 </w:t>
      </w:r>
      <w:r>
        <w:rPr>
          <w:rFonts w:ascii="Times New Roman" w:cs="Times New Roman" w:eastAsia="Times New Roman" w:hAnsi="Times New Roman"/>
          <w:sz w:val="22"/>
          <w:szCs w:val="22"/>
          <w:b w:val="1"/>
          <w:bCs w:val="1"/>
          <w:color w:val="000000"/>
        </w:rPr>
        <w:t>Use of Proceeds</w:t>
      </w:r>
      <w:r>
        <w:rPr>
          <w:rFonts w:ascii="Times New Roman" w:cs="Times New Roman" w:eastAsia="Times New Roman" w:hAnsi="Times New Roman"/>
          <w:sz w:val="22"/>
          <w:szCs w:val="22"/>
          <w:color w:val="000000"/>
        </w:rPr>
        <w:t>. Borrower shall use the proceeds of each Term Loan only for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purposes specified in </w:t>
      </w:r>
      <w:r>
        <w:rPr>
          <w:rFonts w:ascii="Times New Roman" w:cs="Times New Roman" w:eastAsia="Times New Roman" w:hAnsi="Times New Roman"/>
          <w:sz w:val="22"/>
          <w:szCs w:val="22"/>
          <w:u w:val="single" w:color="auto"/>
          <w:color w:val="000000"/>
        </w:rPr>
        <w:t>Section 3.12</w:t>
      </w:r>
      <w:r>
        <w:rPr>
          <w:rFonts w:ascii="Times New Roman" w:cs="Times New Roman" w:eastAsia="Times New Roman" w:hAnsi="Times New Roman"/>
          <w:sz w:val="22"/>
          <w:szCs w:val="22"/>
          <w:color w:val="000000"/>
        </w:rPr>
        <w:t>.</w:t>
      </w:r>
    </w:p>
    <w:p>
      <w:pPr>
        <w:spacing w:after="0" w:line="150"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5.12 </w:t>
      </w:r>
      <w:r>
        <w:rPr>
          <w:rFonts w:ascii="Times New Roman" w:cs="Times New Roman" w:eastAsia="Times New Roman" w:hAnsi="Times New Roman"/>
          <w:sz w:val="22"/>
          <w:szCs w:val="22"/>
          <w:b w:val="1"/>
          <w:bCs w:val="1"/>
          <w:color w:val="000000"/>
        </w:rPr>
        <w:t>Taxes</w:t>
      </w:r>
      <w:r>
        <w:rPr>
          <w:rFonts w:ascii="Times New Roman" w:cs="Times New Roman" w:eastAsia="Times New Roman" w:hAnsi="Times New Roman"/>
          <w:sz w:val="22"/>
          <w:szCs w:val="22"/>
          <w:color w:val="000000"/>
        </w:rPr>
        <w:t>. Each Loan Party shall file or cause to be filed (and shall cause its Subsidiaries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to file or cause to be filed) all federal, state and other material Tax returns and reports that are required to be filed by such Loan Party or any of its Subsidiaries and pay all federal, state and other material Taxes due and payable by it (whether or not shown to be due and payable on any Tax returns and reports) or on any assessments made against such Loan Party or any of its Subsidiaries or any of their assets (other than Taxes that are currently being contested in good faith by appropriate proceedings which stay the enforcement of any Lien resulting from the non-payment thereof and with respect to which adequate reserves have been set aside by the Loan Parties for the payment thereof in conformity with GAAP).</w:t>
      </w:r>
    </w:p>
    <w:p>
      <w:pPr>
        <w:spacing w:after="0" w:line="187"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5.13 </w:t>
      </w:r>
      <w:r>
        <w:rPr>
          <w:rFonts w:ascii="Times New Roman" w:cs="Times New Roman" w:eastAsia="Times New Roman" w:hAnsi="Times New Roman"/>
          <w:sz w:val="22"/>
          <w:szCs w:val="22"/>
          <w:b w:val="1"/>
          <w:bCs w:val="1"/>
          <w:color w:val="000000"/>
        </w:rPr>
        <w:t>Post-Closing Obligations</w:t>
      </w:r>
      <w:r>
        <w:rPr>
          <w:rFonts w:ascii="Times New Roman" w:cs="Times New Roman" w:eastAsia="Times New Roman" w:hAnsi="Times New Roman"/>
          <w:sz w:val="22"/>
          <w:szCs w:val="22"/>
          <w:color w:val="000000"/>
        </w:rPr>
        <w:t>. On or before the date set forth below for each covenant (or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such longer period as approved by Agent in its sole discretion), the Borrower shall cause the following to occur:</w:t>
      </w:r>
    </w:p>
    <w:p>
      <w:pPr>
        <w:spacing w:after="0" w:line="185" w:lineRule="exact"/>
        <w:rPr>
          <w:sz w:val="20"/>
          <w:szCs w:val="20"/>
          <w:color w:val="auto"/>
        </w:rPr>
      </w:pPr>
    </w:p>
    <w:p>
      <w:pPr>
        <w:jc w:val="both"/>
        <w:ind w:left="1100" w:firstLine="654"/>
        <w:spacing w:after="0" w:line="244" w:lineRule="auto"/>
        <w:tabs>
          <w:tab w:leader="none" w:pos="2396"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forty-five (45) days after the Closing Date, the Loan Parties shall have delivered insurance endorsements to Agent with respect to each general liability insurance policy and each property insurance policy, including, in each case, sub-policies thereunder, of each</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56</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7" w:name="page78"/>
    <w:bookmarkEnd w:id="77"/>
    <w:p>
      <w:pPr>
        <w:ind w:left="1100" w:right="340"/>
        <w:spacing w:after="0" w:line="258" w:lineRule="auto"/>
        <w:rPr>
          <w:sz w:val="20"/>
          <w:szCs w:val="20"/>
          <w:color w:val="auto"/>
        </w:rPr>
      </w:pPr>
      <w:r>
        <w:rPr>
          <w:rFonts w:ascii="Times New Roman" w:cs="Times New Roman" w:eastAsia="Times New Roman" w:hAnsi="Times New Roman"/>
          <w:sz w:val="22"/>
          <w:szCs w:val="22"/>
          <w:color w:val="auto"/>
        </w:rPr>
        <w:t>Loan Party, endorsing Agent, as additional insured and lender loss payee, respectively, under such policies as its interests appear;</w:t>
      </w:r>
    </w:p>
    <w:p>
      <w:pPr>
        <w:spacing w:after="0" w:line="172" w:lineRule="exact"/>
        <w:rPr>
          <w:sz w:val="20"/>
          <w:szCs w:val="20"/>
          <w:color w:val="auto"/>
        </w:rPr>
      </w:pPr>
    </w:p>
    <w:p>
      <w:pPr>
        <w:jc w:val="both"/>
        <w:ind w:left="1100" w:firstLine="654"/>
        <w:spacing w:after="0" w:line="244" w:lineRule="auto"/>
        <w:tabs>
          <w:tab w:leader="none" w:pos="239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Within forty-five (45) days of the Closing Date, deliver Control Agreements, executed and delivered by the applicable Loan Party, Lender and the applicable depository institution with respect to each Deposit Account set forth on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xml:space="preserve"> hereto;</w:t>
      </w:r>
    </w:p>
    <w:p>
      <w:pPr>
        <w:spacing w:after="0" w:line="173" w:lineRule="exact"/>
        <w:rPr>
          <w:rFonts w:ascii="Times New Roman" w:cs="Times New Roman" w:eastAsia="Times New Roman" w:hAnsi="Times New Roman"/>
          <w:sz w:val="22"/>
          <w:szCs w:val="22"/>
          <w:color w:val="010000"/>
        </w:rPr>
      </w:pPr>
    </w:p>
    <w:p>
      <w:pPr>
        <w:jc w:val="both"/>
        <w:ind w:left="1100" w:right="20" w:firstLine="654"/>
        <w:spacing w:after="0" w:line="239" w:lineRule="auto"/>
        <w:tabs>
          <w:tab w:leader="none" w:pos="239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thirty (30) days of the Closing Date, Agent shall receive all certificates evidencing the outstanding Equity Interests and other Collateral evidenced by certificates owned by Borrower, together with duly executed stock powers or other transfer powers in form and substance reasonably satisfactory to Agent;</w:t>
      </w:r>
    </w:p>
    <w:p>
      <w:pPr>
        <w:spacing w:after="0" w:line="193"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use commercially reasonable efforts to cause UCC-3 termination statements to be authorized and filed in respect of each of the following existing UCC filings within sixty (60) days of the Closing Date:</w:t>
      </w:r>
    </w:p>
    <w:p>
      <w:pPr>
        <w:spacing w:after="0" w:line="186" w:lineRule="exact"/>
        <w:rPr>
          <w:rFonts w:ascii="Times New Roman" w:cs="Times New Roman" w:eastAsia="Times New Roman" w:hAnsi="Times New Roman"/>
          <w:sz w:val="22"/>
          <w:szCs w:val="22"/>
          <w:color w:val="010000"/>
        </w:rPr>
      </w:pPr>
    </w:p>
    <w:p>
      <w:pPr>
        <w:ind w:left="1760" w:firstLine="1458"/>
        <w:spacing w:after="0" w:line="258" w:lineRule="auto"/>
        <w:tabs>
          <w:tab w:leader="none" w:pos="377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UCC Financing Statement # 20170704249 filed with the Delaware Secretary of State on or about October 25, 2017 by Innovative Energy Solutions;</w:t>
      </w:r>
    </w:p>
    <w:p>
      <w:pPr>
        <w:spacing w:after="0" w:line="158" w:lineRule="exact"/>
        <w:rPr>
          <w:rFonts w:ascii="Times New Roman" w:cs="Times New Roman" w:eastAsia="Times New Roman" w:hAnsi="Times New Roman"/>
          <w:sz w:val="22"/>
          <w:szCs w:val="22"/>
          <w:color w:val="auto"/>
        </w:rPr>
      </w:pPr>
    </w:p>
    <w:p>
      <w:pPr>
        <w:jc w:val="both"/>
        <w:ind w:left="1760" w:firstLine="1458"/>
        <w:spacing w:after="0" w:line="244" w:lineRule="auto"/>
        <w:tabs>
          <w:tab w:leader="none" w:pos="37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UCC Financing Statement # 20185345810 filed with the Delaware Secretary of State on or about August 3, 2018 by Corporation Service Company, as Representative and identified as relating to Secured Party CIT Bank N.A.;</w:t>
      </w:r>
    </w:p>
    <w:p>
      <w:pPr>
        <w:spacing w:after="0" w:line="173" w:lineRule="exact"/>
        <w:rPr>
          <w:rFonts w:ascii="Times New Roman" w:cs="Times New Roman" w:eastAsia="Times New Roman" w:hAnsi="Times New Roman"/>
          <w:sz w:val="22"/>
          <w:szCs w:val="22"/>
          <w:color w:val="auto"/>
        </w:rPr>
      </w:pPr>
    </w:p>
    <w:p>
      <w:pPr>
        <w:jc w:val="both"/>
        <w:ind w:left="1760" w:firstLine="1458"/>
        <w:spacing w:after="0" w:line="244" w:lineRule="auto"/>
        <w:tabs>
          <w:tab w:leader="none" w:pos="370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county tax lien # 2021-157199 filed on or about 11/10/2021 in the Records of the San Mateo County Assessor, Clerk, Recorder by the Yolo County Department of Financial Services in the amount of $146.48; and</w:t>
      </w:r>
    </w:p>
    <w:p>
      <w:pPr>
        <w:spacing w:after="0" w:line="186" w:lineRule="exact"/>
        <w:rPr>
          <w:rFonts w:ascii="Times New Roman" w:cs="Times New Roman" w:eastAsia="Times New Roman" w:hAnsi="Times New Roman"/>
          <w:sz w:val="22"/>
          <w:szCs w:val="22"/>
          <w:color w:val="auto"/>
        </w:rPr>
      </w:pPr>
    </w:p>
    <w:p>
      <w:pPr>
        <w:jc w:val="both"/>
        <w:ind w:left="1760" w:firstLine="1458"/>
        <w:spacing w:after="0" w:line="244" w:lineRule="auto"/>
        <w:tabs>
          <w:tab w:leader="none" w:pos="3825"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judgment lien # 2021-173224 filed on or about December 17, 2021 in the Records of the San Mateo County Assessor, Clerk, Recorder by Banc of America Leasing &amp; Capital, LLC in the amount of $321,509.09.</w:t>
      </w:r>
    </w:p>
    <w:p>
      <w:pPr>
        <w:spacing w:after="0" w:line="186" w:lineRule="exact"/>
        <w:rPr>
          <w:rFonts w:ascii="Times New Roman" w:cs="Times New Roman" w:eastAsia="Times New Roman" w:hAnsi="Times New Roman"/>
          <w:sz w:val="22"/>
          <w:szCs w:val="22"/>
          <w:color w:val="auto"/>
        </w:rPr>
      </w:pPr>
    </w:p>
    <w:p>
      <w:pPr>
        <w:jc w:val="both"/>
        <w:ind w:left="1100" w:firstLine="654"/>
        <w:spacing w:after="0" w:line="244" w:lineRule="auto"/>
        <w:tabs>
          <w:tab w:leader="none" w:pos="239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Borrower shall use commercially reasonable efforts to cause each landlord that is party to a lease with Borrower to execute and deliver a landlord consent, in form and substance reasonably satisfactory to Agent, within thirty (30) days of the Closing Date; </w:t>
      </w:r>
      <w:r>
        <w:rPr>
          <w:rFonts w:ascii="Times New Roman" w:cs="Times New Roman" w:eastAsia="Times New Roman" w:hAnsi="Times New Roman"/>
          <w:sz w:val="22"/>
          <w:szCs w:val="22"/>
          <w:color w:val="FF0000"/>
        </w:rPr>
        <w:t>and</w:t>
      </w:r>
    </w:p>
    <w:p>
      <w:pPr>
        <w:spacing w:after="0" w:line="173"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Parent shall cause the Founder Shares to be registered on the same registration statement as the PIPE Transactions pursuant to the terms of the </w:t>
      </w:r>
      <w:r>
        <w:rPr>
          <w:rFonts w:ascii="Times New Roman" w:cs="Times New Roman" w:eastAsia="Times New Roman" w:hAnsi="Times New Roman"/>
          <w:sz w:val="22"/>
          <w:szCs w:val="22"/>
          <w:u w:val="single" w:color="auto"/>
          <w:color w:val="0000FF"/>
        </w:rPr>
        <w:t>Closing Date</w:t>
      </w:r>
      <w:r>
        <w:rPr>
          <w:rFonts w:ascii="Times New Roman" w:cs="Times New Roman" w:eastAsia="Times New Roman" w:hAnsi="Times New Roman"/>
          <w:sz w:val="22"/>
          <w:szCs w:val="22"/>
          <w:color w:val="auto"/>
        </w:rPr>
        <w:t xml:space="preserve"> Registration Rights Agreement</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u w:val="single" w:color="auto"/>
          <w:color w:val="0000FF"/>
        </w:rPr>
        <w:t>; and</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90"/>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Within forty-five (45) days of the First Amendment Effective Date, the Loan Parties shall have delivered updated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w:t>
      </w:r>
    </w:p>
    <w:p>
      <w:pPr>
        <w:spacing w:after="0" w:line="190" w:lineRule="exact"/>
        <w:rPr>
          <w:rFonts w:ascii="Times New Roman" w:cs="Times New Roman" w:eastAsia="Times New Roman" w:hAnsi="Times New Roman"/>
          <w:sz w:val="22"/>
          <w:szCs w:val="22"/>
          <w:color w:val="0000FF"/>
        </w:rPr>
      </w:pPr>
    </w:p>
    <w:p>
      <w:pPr>
        <w:ind w:left="1100" w:right="20" w:firstLine="654"/>
        <w:spacing w:after="0" w:line="258" w:lineRule="auto"/>
        <w:tabs>
          <w:tab w:leader="none" w:pos="2396" w:val="left"/>
        </w:tabs>
        <w:numPr>
          <w:ilvl w:val="0"/>
          <w:numId w:val="90"/>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Within forty-five (45) days of the First Amendment Effective Date the Loan Parties shall have delivered Control Agreements, executed by the applicable Loan Party,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-2067560</wp:posOffset>
            </wp:positionV>
            <wp:extent cx="2324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57</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8" w:name="page79"/>
    <w:bookmarkEnd w:id="78"/>
    <w:p>
      <w:pPr>
        <w:ind w:left="1100" w:right="700"/>
        <w:spacing w:after="0" w:line="258" w:lineRule="auto"/>
        <w:rPr>
          <w:sz w:val="20"/>
          <w:szCs w:val="20"/>
          <w:color w:val="auto"/>
        </w:rPr>
      </w:pPr>
      <w:r>
        <w:rPr>
          <w:rFonts w:ascii="Times New Roman" w:cs="Times New Roman" w:eastAsia="Times New Roman" w:hAnsi="Times New Roman"/>
          <w:sz w:val="22"/>
          <w:szCs w:val="22"/>
          <w:u w:val="single" w:color="auto"/>
          <w:color w:val="0000FF"/>
        </w:rPr>
        <w:t>and the applicable depository institution with respect to any Deposit Account opened after the Closing Date, together with an updated Schedule 1.1(b) to the Credit Agreement; and</w:t>
      </w:r>
    </w:p>
    <w:p>
      <w:pPr>
        <w:spacing w:after="0" w:line="172" w:lineRule="exact"/>
        <w:rPr>
          <w:sz w:val="20"/>
          <w:szCs w:val="20"/>
          <w:color w:val="auto"/>
        </w:rPr>
      </w:pPr>
    </w:p>
    <w:p>
      <w:pPr>
        <w:jc w:val="both"/>
        <w:ind w:left="1100" w:firstLine="654"/>
        <w:spacing w:after="0" w:line="238" w:lineRule="auto"/>
        <w:tabs>
          <w:tab w:leader="none" w:pos="2396" w:val="left"/>
        </w:tabs>
        <w:numPr>
          <w:ilvl w:val="0"/>
          <w:numId w:val="9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Within forty-five (45) days of the First Amendment Effective Date Agent shall receive all certificates evidencing the outstanding Equity Interests and other Collateral evidenced by certificates owned by Loan Parties, including any such Collateral obtained after the Closing Date, together with duly executed stock powers or other transfer powers in form and substance reasonably satisfactory to Agent.</w:t>
      </w:r>
    </w:p>
    <w:p>
      <w:pPr>
        <w:spacing w:after="0" w:line="173" w:lineRule="exact"/>
        <w:rPr>
          <w:sz w:val="20"/>
          <w:szCs w:val="20"/>
          <w:color w:val="auto"/>
        </w:rPr>
      </w:pPr>
    </w:p>
    <w:p>
      <w:pPr>
        <w:jc w:val="both"/>
        <w:ind w:left="110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5.14 </w:t>
      </w:r>
      <w:r>
        <w:rPr>
          <w:rFonts w:ascii="Times New Roman" w:cs="Times New Roman" w:eastAsia="Times New Roman" w:hAnsi="Times New Roman"/>
          <w:sz w:val="22"/>
          <w:szCs w:val="22"/>
          <w:b w:val="1"/>
          <w:bCs w:val="1"/>
          <w:color w:val="000000"/>
        </w:rPr>
        <w:t>Location of Assets</w:t>
      </w:r>
      <w:r>
        <w:rPr>
          <w:rFonts w:ascii="Times New Roman" w:cs="Times New Roman" w:eastAsia="Times New Roman" w:hAnsi="Times New Roman"/>
          <w:sz w:val="22"/>
          <w:szCs w:val="22"/>
          <w:color w:val="000000"/>
        </w:rPr>
        <w:t>. The Loan Parties shall maintain all Collateral at the Specified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Locations.</w:t>
      </w:r>
    </w:p>
    <w:p>
      <w:pPr>
        <w:spacing w:after="0" w:line="163" w:lineRule="exact"/>
        <w:rPr>
          <w:sz w:val="20"/>
          <w:szCs w:val="20"/>
          <w:color w:val="auto"/>
        </w:rPr>
      </w:pPr>
    </w:p>
    <w:p>
      <w:pPr>
        <w:jc w:val="both"/>
        <w:ind w:left="1100" w:firstLine="648"/>
        <w:spacing w:after="0" w:line="244" w:lineRule="auto"/>
        <w:rPr>
          <w:sz w:val="20"/>
          <w:szCs w:val="20"/>
          <w:color w:val="auto"/>
        </w:rPr>
      </w:pPr>
      <w:r>
        <w:rPr>
          <w:rFonts w:ascii="Times New Roman" w:cs="Times New Roman" w:eastAsia="Times New Roman" w:hAnsi="Times New Roman"/>
          <w:sz w:val="21"/>
          <w:szCs w:val="21"/>
          <w:b w:val="1"/>
          <w:bCs w:val="1"/>
          <w:color w:val="010000"/>
        </w:rPr>
        <w:t xml:space="preserve">5.15 </w:t>
      </w:r>
      <w:r>
        <w:rPr>
          <w:rFonts w:ascii="Times New Roman" w:cs="Times New Roman" w:eastAsia="Times New Roman" w:hAnsi="Times New Roman"/>
          <w:sz w:val="21"/>
          <w:szCs w:val="21"/>
          <w:b w:val="1"/>
          <w:bCs w:val="1"/>
          <w:color w:val="000000"/>
        </w:rPr>
        <w:t>Additional Subsidiaries</w:t>
      </w:r>
      <w:r>
        <w:rPr>
          <w:rFonts w:ascii="Times New Roman" w:cs="Times New Roman" w:eastAsia="Times New Roman" w:hAnsi="Times New Roman"/>
          <w:sz w:val="21"/>
          <w:szCs w:val="21"/>
          <w:color w:val="000000"/>
        </w:rPr>
        <w:t>.In the event that any Person becomes a Domestic Subsidiary</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 xml:space="preserve">of a Loan Party, such Loan Party shall concurrently with such Person becoming a Domestic Subsidiary, cause such Person to (i) become a Guarantor and a grantor under the Security Agreement by executing and delivering to Agent a joinder in form and substance acceptable to Agent, (ii) take all such other action as shall be necessary or reasonably appropriate to establish, create, preserve, protect and perfect a first priority Lien (subject only to Permitted Liens) in favor of Agent for the benefit of the Lenders on substantially all assets, both real and personal, in which such Domestic Subsidiary has or may thereafter acquire any interest, to the extent required by this Agreement, the Security Agreement, or any other Loan Document, including the execution and delivery of all such documents, instruments, agreements, and certificates as are similar to those delivered by the other Loan Parties as described in </w:t>
      </w:r>
      <w:r>
        <w:rPr>
          <w:rFonts w:ascii="Times New Roman" w:cs="Times New Roman" w:eastAsia="Times New Roman" w:hAnsi="Times New Roman"/>
          <w:sz w:val="21"/>
          <w:szCs w:val="21"/>
          <w:u w:val="single" w:color="auto"/>
          <w:color w:val="000000"/>
        </w:rPr>
        <w:t>Section 4.1</w:t>
      </w:r>
      <w:r>
        <w:rPr>
          <w:rFonts w:ascii="Times New Roman" w:cs="Times New Roman" w:eastAsia="Times New Roman" w:hAnsi="Times New Roman"/>
          <w:sz w:val="21"/>
          <w:szCs w:val="21"/>
          <w:color w:val="000000"/>
        </w:rPr>
        <w:t>, and (iii) promptly send to Agent written notice setting forth with respect to such Domestic Subsidiary, the date on which such Person became a Domestic Subsidiary of a Loan Party, updated Schedules to this Agreement and each other applicable Loan Document, and a Perfection Certificate, in each case with respect to such Person.</w:t>
      </w:r>
    </w:p>
    <w:p>
      <w:pPr>
        <w:spacing w:after="0" w:line="194" w:lineRule="exact"/>
        <w:rPr>
          <w:sz w:val="20"/>
          <w:szCs w:val="20"/>
          <w:color w:val="auto"/>
        </w:rPr>
      </w:pPr>
    </w:p>
    <w:p>
      <w:pPr>
        <w:jc w:val="both"/>
        <w:ind w:left="1100" w:firstLine="648"/>
        <w:spacing w:after="0" w:line="233" w:lineRule="auto"/>
        <w:rPr>
          <w:sz w:val="20"/>
          <w:szCs w:val="20"/>
          <w:color w:val="auto"/>
        </w:rPr>
      </w:pPr>
      <w:r>
        <w:rPr>
          <w:rFonts w:ascii="Times New Roman" w:cs="Times New Roman" w:eastAsia="Times New Roman" w:hAnsi="Times New Roman"/>
          <w:sz w:val="22"/>
          <w:szCs w:val="22"/>
          <w:b w:val="1"/>
          <w:bCs w:val="1"/>
          <w:color w:val="010000"/>
        </w:rPr>
        <w:t xml:space="preserve">5.16 </w:t>
      </w:r>
      <w:r>
        <w:rPr>
          <w:rFonts w:ascii="Times New Roman" w:cs="Times New Roman" w:eastAsia="Times New Roman" w:hAnsi="Times New Roman"/>
          <w:sz w:val="22"/>
          <w:szCs w:val="22"/>
          <w:b w:val="1"/>
          <w:bCs w:val="1"/>
          <w:color w:val="000000"/>
        </w:rPr>
        <w:t>Board Observation Rights</w:t>
      </w:r>
      <w:r>
        <w:rPr>
          <w:rFonts w:ascii="Times New Roman" w:cs="Times New Roman" w:eastAsia="Times New Roman" w:hAnsi="Times New Roman"/>
          <w:sz w:val="22"/>
          <w:szCs w:val="22"/>
          <w:color w:val="000000"/>
        </w:rPr>
        <w:t>. For so long as the Obligations remain outstanding Agent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shall have the right to designate one (1) representative (“</w:t>
      </w:r>
      <w:r>
        <w:rPr>
          <w:rFonts w:ascii="Times New Roman" w:cs="Times New Roman" w:eastAsia="Times New Roman" w:hAnsi="Times New Roman"/>
          <w:sz w:val="22"/>
          <w:szCs w:val="22"/>
          <w:b w:val="1"/>
          <w:bCs w:val="1"/>
          <w:i w:val="1"/>
          <w:iCs w:val="1"/>
          <w:color w:val="000000"/>
        </w:rPr>
        <w:t>Representative</w:t>
      </w:r>
      <w:r>
        <w:rPr>
          <w:rFonts w:ascii="Times New Roman" w:cs="Times New Roman" w:eastAsia="Times New Roman" w:hAnsi="Times New Roman"/>
          <w:sz w:val="22"/>
          <w:szCs w:val="22"/>
          <w:color w:val="000000"/>
        </w:rPr>
        <w:t>”) which Representative shall either be (i) a person employed by Agent or one of its Affiliates or (ii) any other person designated by the Agent and reasonably acceptable to the Borrower, who shall: (a) solely to the extent the Agent has delivered written notice to Borrower that it elects to receive material non-public information, and such notice has not been rescinded by Agent by written notice to the Borrower, receive prior notice of all meetings (both regular and special) of the board of directors or similar governing body (the “</w:t>
      </w:r>
      <w:r>
        <w:rPr>
          <w:rFonts w:ascii="Times New Roman" w:cs="Times New Roman" w:eastAsia="Times New Roman" w:hAnsi="Times New Roman"/>
          <w:sz w:val="22"/>
          <w:szCs w:val="22"/>
          <w:b w:val="1"/>
          <w:bCs w:val="1"/>
          <w:i w:val="1"/>
          <w:iCs w:val="1"/>
          <w:color w:val="000000"/>
        </w:rPr>
        <w:t>Governing Body</w:t>
      </w:r>
      <w:r>
        <w:rPr>
          <w:rFonts w:ascii="Times New Roman" w:cs="Times New Roman" w:eastAsia="Times New Roman" w:hAnsi="Times New Roman"/>
          <w:sz w:val="22"/>
          <w:szCs w:val="22"/>
          <w:color w:val="000000"/>
        </w:rPr>
        <w:t>”) and/or the holders of the Equity Interests of and of each committee of any such Governing Body of (i) each Loan Party,</w:t>
      </w:r>
    </w:p>
    <w:p>
      <w:pPr>
        <w:ind w:left="1440" w:hanging="334"/>
        <w:spacing w:after="0" w:line="234" w:lineRule="auto"/>
        <w:tabs>
          <w:tab w:leader="none" w:pos="14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any Loan Party’s Subsidiaries, and (iii) each direct or indirect parent of any Loan Party;</w:t>
      </w:r>
    </w:p>
    <w:p>
      <w:pPr>
        <w:jc w:val="both"/>
        <w:ind w:left="1100" w:firstLine="6"/>
        <w:spacing w:after="0" w:line="232" w:lineRule="auto"/>
        <w:tabs>
          <w:tab w:leader="none" w:pos="143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to the extent the Agent has delivered written notice to Borrower that it elects to receive material non-public information, and such notice has not been rescinded by Agent by written notice to the Borrower, be entitled to attend (or, at the option of such Representative, monitor by telephone) all such meetings; (c) solely to the extent the Agent has delivered written notice to Borrower that it elects to receive material non-public information, and such notice has not been rescinded by Agent by written notice to the Borrower, receive all notices, information, reports and minutes of meetings, which are furnished (or made available) to the members of any such Governing Body and/or committee and/or holders of Equity Interests at or around the same time and in the same (in all material respects) manner as the same is furnished (or made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58</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79" w:name="page80"/>
    <w:bookmarkEnd w:id="79"/>
    <w:p>
      <w:pPr>
        <w:ind w:left="1100" w:right="20"/>
        <w:spacing w:after="0" w:line="242" w:lineRule="auto"/>
        <w:rPr>
          <w:sz w:val="20"/>
          <w:szCs w:val="20"/>
          <w:color w:val="auto"/>
        </w:rPr>
      </w:pPr>
      <w:r>
        <w:rPr>
          <w:rFonts w:ascii="Times New Roman" w:cs="Times New Roman" w:eastAsia="Times New Roman" w:hAnsi="Times New Roman"/>
          <w:sz w:val="21"/>
          <w:szCs w:val="21"/>
          <w:color w:val="auto"/>
        </w:rPr>
        <w:t xml:space="preserve">available) to such members; and (d) solely to the extent the Agent has delivered written notice to Borrower that it elects to receive material non-public information, and such notice has not been rescinded by Agent by written notice to the Borrower, be entitled to participate in all discussions conducted at such meetings. Solely to the extent the Agent has delivered written notice to Borrower that it elects to receive material non-public information, and such notice has not been rescinded by Agent by written notice to the Borrower, if any action is proposed to be taken by any such Governing Body and/or committee by written consent in lieu of a meeting, the Loan Parties shall give, or shall cause to be given, written notice thereof to each Representative, which notice shall describe in reasonable detail the nature and substance of such proposed action before any such action is taken and in any event not materially later than the date upon which any member of any such board of directors (or similar governing body) and/or committee receives the same. Solely to the extent the Agent has delivered written notice to Borrower that it elects to receive material non-public information, and such notice has not been rescinded by Agent by written notice to the Borrower, the Loan Parties shall furnish, or shall cause to be furnished, to each Representative with a copy of each such written consent at or around the same time, and in the same (in all material respects) manner as the same is furnished (or made available) to such members. The Loan Parties shall be required to reimburse Agent for its reasonable and documented out-of-pocket costs and expenses under this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with respect to attending such board or committee meetings, which costs and expenses shall be reimbursed promptly upon submission of customary expense reports and documentation. For the avoidance of doubt, each Representative (x) shall not constitute a director and/or member of a board committee; (y) shall not be entitled to vote or consent on any matters presented by meetings of the Governing Body and/or committee or actions taken in lieu of a meeting; and (z) shall not be entitled to any rights other than those provided by this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The parties hereto agree that the Representative does not have a fiduciary duty or any other duties or responsibilities to the Loan Parties or any of their respective Affiliates. Subject to the first sentence of this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Agent may designate a new individual to serve as the Representative at any time and at its sole discretion. Notwithstanding the foregoing, the Representative shall not be entitled to receive materials relating to, or be in attendance for any discussions relating to, topics which, based upon the advice of counsel</w:t>
      </w:r>
    </w:p>
    <w:p>
      <w:pPr>
        <w:spacing w:after="0" w:line="10" w:lineRule="exact"/>
        <w:rPr>
          <w:sz w:val="20"/>
          <w:szCs w:val="20"/>
          <w:color w:val="auto"/>
        </w:rPr>
      </w:pPr>
    </w:p>
    <w:p>
      <w:pPr>
        <w:ind w:left="1100" w:right="140" w:firstLine="5"/>
        <w:spacing w:after="0" w:line="233" w:lineRule="auto"/>
        <w:tabs>
          <w:tab w:leader="none" w:pos="135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Representative’s access to such information or attendance for such discussion would reasonably be expected to terminate the attorney client privilege between any Loan Party or its Subsidiaries and its counsel, or (ii) concern the Loan Parties’ strategy or negotiations with respect to the Loan Documents or otherwise would present a conflict of interest for such Representative or the Agent or the Lenders.</w:t>
      </w:r>
    </w:p>
    <w:p>
      <w:pPr>
        <w:spacing w:after="0" w:line="189" w:lineRule="exact"/>
        <w:rPr>
          <w:sz w:val="20"/>
          <w:szCs w:val="20"/>
          <w:color w:val="auto"/>
        </w:rPr>
      </w:pPr>
    </w:p>
    <w:p>
      <w:pPr>
        <w:ind w:left="1740"/>
        <w:spacing w:after="0"/>
        <w:tabs>
          <w:tab w:leader="none" w:pos="2420" w:val="left"/>
        </w:tabs>
        <w:rPr>
          <w:sz w:val="20"/>
          <w:szCs w:val="20"/>
          <w:color w:val="auto"/>
        </w:rPr>
      </w:pPr>
      <w:r>
        <w:rPr>
          <w:rFonts w:ascii="Times New Roman" w:cs="Times New Roman" w:eastAsia="Times New Roman" w:hAnsi="Times New Roman"/>
          <w:sz w:val="22"/>
          <w:szCs w:val="22"/>
          <w:b w:val="1"/>
          <w:bCs w:val="1"/>
          <w:color w:val="010000"/>
        </w:rPr>
        <w:t>5.17</w:t>
      </w:r>
      <w:r>
        <w:rPr>
          <w:sz w:val="20"/>
          <w:szCs w:val="20"/>
          <w:color w:val="auto"/>
        </w:rPr>
        <w:tab/>
      </w:r>
      <w:r>
        <w:rPr>
          <w:rFonts w:ascii="Times New Roman" w:cs="Times New Roman" w:eastAsia="Times New Roman" w:hAnsi="Times New Roman"/>
          <w:sz w:val="21"/>
          <w:szCs w:val="21"/>
          <w:b w:val="1"/>
          <w:bCs w:val="1"/>
          <w:color w:val="auto"/>
        </w:rPr>
        <w:t>MNPI</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4"/>
        <w:spacing w:after="0" w:line="234" w:lineRule="auto"/>
        <w:tabs>
          <w:tab w:leader="none" w:pos="2396"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Loan Parties shall not, and each Loan Party shall cause each of its Subsidiaries and each of its and their respective officers, directors, employees and agents not to, provide the Agent or any Lender with any material, non-public information regarding the Loan Parties or any of their Subsidiaries from and after the date hereof unless the Agent or such Lender, as applicable has delivered written notice to the Borrower that it elects to receive material non-public information regarding the Loan Parties (which election may be made in each of the Agent’s or such Lender’s, as applicable, sole discretion) and in such case shall only deliver such material, non-public information to the Agent or such Lender, as applicable, that has made such election and only so long as the Agent or such Lender, as applicable has not rescinded such election by written notice to the Borrower (collectively, “</w:t>
      </w:r>
      <w:r>
        <w:rPr>
          <w:rFonts w:ascii="Times New Roman" w:cs="Times New Roman" w:eastAsia="Times New Roman" w:hAnsi="Times New Roman"/>
          <w:sz w:val="22"/>
          <w:szCs w:val="22"/>
          <w:b w:val="1"/>
          <w:bCs w:val="1"/>
          <w:i w:val="1"/>
          <w:iCs w:val="1"/>
          <w:color w:val="auto"/>
        </w:rPr>
        <w:t>Requested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59</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0" w:name="page81"/>
    <w:bookmarkEnd w:id="80"/>
    <w:p>
      <w:pPr>
        <w:jc w:val="both"/>
        <w:ind w:left="1100"/>
        <w:spacing w:after="0" w:line="244" w:lineRule="auto"/>
        <w:rPr>
          <w:sz w:val="20"/>
          <w:szCs w:val="20"/>
          <w:color w:val="auto"/>
        </w:rPr>
      </w:pPr>
      <w:r>
        <w:rPr>
          <w:rFonts w:ascii="Times New Roman" w:cs="Times New Roman" w:eastAsia="Times New Roman" w:hAnsi="Times New Roman"/>
          <w:sz w:val="22"/>
          <w:szCs w:val="22"/>
          <w:color w:val="auto"/>
        </w:rPr>
        <w:t xml:space="preserve">that nothing herein shall restrict the Loan Parties from providing the information to the Agent as required pursuant to </w:t>
      </w:r>
      <w:r>
        <w:rPr>
          <w:rFonts w:ascii="Times New Roman" w:cs="Times New Roman" w:eastAsia="Times New Roman" w:hAnsi="Times New Roman"/>
          <w:sz w:val="22"/>
          <w:szCs w:val="22"/>
          <w:u w:val="single" w:color="auto"/>
          <w:color w:val="auto"/>
        </w:rPr>
        <w:t>Section 5.1(c)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(together with the Requested Information, the “</w:t>
      </w:r>
      <w:r>
        <w:rPr>
          <w:rFonts w:ascii="Times New Roman" w:cs="Times New Roman" w:eastAsia="Times New Roman" w:hAnsi="Times New Roman"/>
          <w:sz w:val="22"/>
          <w:szCs w:val="22"/>
          <w:b w:val="1"/>
          <w:bCs w:val="1"/>
          <w:i w:val="1"/>
          <w:iCs w:val="1"/>
          <w:color w:val="auto"/>
        </w:rPr>
        <w:t>Permitted Information</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left="1100" w:firstLine="654"/>
        <w:spacing w:after="0" w:line="239" w:lineRule="auto"/>
        <w:tabs>
          <w:tab w:leader="none" w:pos="2396"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Agent and each Lender acknowledges that Permitted Information may include material, non-public information concerning the Loan Parties and their Affiliates or their respective securities, and confirms that it will handle such material, non-public information in accordance with applicable law, including Federal and state securities laws.</w:t>
      </w:r>
    </w:p>
    <w:p>
      <w:pPr>
        <w:spacing w:after="0" w:line="180" w:lineRule="exact"/>
        <w:rPr>
          <w:rFonts w:ascii="Times New Roman" w:cs="Times New Roman" w:eastAsia="Times New Roman" w:hAnsi="Times New Roman"/>
          <w:sz w:val="22"/>
          <w:szCs w:val="22"/>
          <w:color w:val="010000"/>
        </w:rPr>
      </w:pPr>
    </w:p>
    <w:p>
      <w:pPr>
        <w:jc w:val="both"/>
        <w:ind w:left="1100" w:firstLine="654"/>
        <w:spacing w:after="0" w:line="236" w:lineRule="auto"/>
        <w:tabs>
          <w:tab w:leader="none" w:pos="2396"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Borrower delivers material, non-public information (as determined by Agent or the applicable Lender, acting reasonably, in consultation with the Borrower) regarding any of the Loan Parties or any of their Subsidiaries to the Agent or the Lender, in each case, other than any Permitted Information, then promptly (but in any event within three Business Days) following written request from the Agent or the applicable Lender, the Parent shall make a public disclosure with respect to such material, non-public information.</w:t>
      </w:r>
    </w:p>
    <w:p>
      <w:pPr>
        <w:spacing w:after="0" w:line="194" w:lineRule="exact"/>
        <w:rPr>
          <w:rFonts w:ascii="Times New Roman" w:cs="Times New Roman" w:eastAsia="Times New Roman" w:hAnsi="Times New Roman"/>
          <w:sz w:val="22"/>
          <w:szCs w:val="22"/>
          <w:color w:val="010000"/>
        </w:rPr>
      </w:pPr>
    </w:p>
    <w:p>
      <w:pPr>
        <w:jc w:val="both"/>
        <w:ind w:left="1100" w:firstLine="654"/>
        <w:spacing w:after="0" w:line="233" w:lineRule="auto"/>
        <w:tabs>
          <w:tab w:leader="none" w:pos="2396"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of a breach of any of </w:t>
      </w:r>
      <w:r>
        <w:rPr>
          <w:rFonts w:ascii="Times New Roman" w:cs="Times New Roman" w:eastAsia="Times New Roman" w:hAnsi="Times New Roman"/>
          <w:sz w:val="22"/>
          <w:szCs w:val="22"/>
          <w:u w:val="single" w:color="auto"/>
          <w:color w:val="auto"/>
        </w:rPr>
        <w:t>Section 5.17(c)</w:t>
      </w:r>
      <w:r>
        <w:rPr>
          <w:rFonts w:ascii="Times New Roman" w:cs="Times New Roman" w:eastAsia="Times New Roman" w:hAnsi="Times New Roman"/>
          <w:sz w:val="22"/>
          <w:szCs w:val="22"/>
          <w:color w:val="auto"/>
        </w:rPr>
        <w:t>, in addition to any other remedy provided herein or in the Loan Documents, the Agent shall have the right to make a public disclosure, in the form of a press release or otherwise, of such material, non-public information (other than any Permitted Information), as applicable, without the prior approval by the Loan Party, any of its Subsidiaries, or any of its or their respective officers, directors, employees or agents. The Agent shall not have any liability to the Loan Parties, any of their Subsidiaries, or any of its or their respective officers, directors, employees, affiliates, stockholders or agents, for any such disclosure. To the extent that any Loan Party delivers any material, non-public information to the Agent or a Lender (other than Permitted Information), each Loan Party hereby covenants and agrees that the Agent or such Lender, as applicable, shall not have any duty of confidentiality with respect to, or such material, non-public information.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82" w:lineRule="exact"/>
        <w:rPr>
          <w:sz w:val="20"/>
          <w:szCs w:val="20"/>
          <w:color w:val="auto"/>
        </w:rPr>
      </w:pPr>
    </w:p>
    <w:p>
      <w:pPr>
        <w:jc w:val="both"/>
        <w:ind w:left="1100" w:firstLine="648"/>
        <w:spacing w:after="0" w:line="244" w:lineRule="auto"/>
        <w:rPr>
          <w:sz w:val="20"/>
          <w:szCs w:val="20"/>
          <w:color w:val="auto"/>
        </w:rPr>
      </w:pPr>
      <w:r>
        <w:rPr>
          <w:rFonts w:ascii="Times New Roman" w:cs="Times New Roman" w:eastAsia="Times New Roman" w:hAnsi="Times New Roman"/>
          <w:sz w:val="22"/>
          <w:szCs w:val="22"/>
          <w:color w:val="auto"/>
        </w:rPr>
        <w:t>Each Loan Party, on its own behalf and on behalf of its Subsidiaries, hereby agrees that, until the Term Loan Commitment has been terminated and the Obligations have been paid in full (other than inchoate indemnification obligations):</w:t>
      </w:r>
    </w:p>
    <w:p>
      <w:pPr>
        <w:spacing w:after="0" w:line="183" w:lineRule="exact"/>
        <w:rPr>
          <w:sz w:val="20"/>
          <w:szCs w:val="20"/>
          <w:color w:val="auto"/>
        </w:rPr>
      </w:pPr>
    </w:p>
    <w:p>
      <w:pPr>
        <w:jc w:val="both"/>
        <w:ind w:left="1100" w:right="2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6.1 </w:t>
      </w:r>
      <w:r>
        <w:rPr>
          <w:rFonts w:ascii="Times New Roman" w:cs="Times New Roman" w:eastAsia="Times New Roman" w:hAnsi="Times New Roman"/>
          <w:sz w:val="22"/>
          <w:szCs w:val="22"/>
          <w:b w:val="1"/>
          <w:bCs w:val="1"/>
          <w:color w:val="000000"/>
        </w:rPr>
        <w:t>Indebtedness</w:t>
      </w:r>
      <w:r>
        <w:rPr>
          <w:rFonts w:ascii="Times New Roman" w:cs="Times New Roman" w:eastAsia="Times New Roman" w:hAnsi="Times New Roman"/>
          <w:sz w:val="22"/>
          <w:szCs w:val="22"/>
          <w:color w:val="000000"/>
        </w:rPr>
        <w:t>. No Loan Party shall, and shall not permit any Subsidiary to, create,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issue, incur, assume, become liable in respect of or suffer to exist any Indebtedness, except Indebtedness pursuant to the Loan Documents and Permitted Indebtedness.</w:t>
      </w:r>
    </w:p>
    <w:p>
      <w:pPr>
        <w:spacing w:after="0" w:line="181"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6.2 </w:t>
      </w:r>
      <w:r>
        <w:rPr>
          <w:rFonts w:ascii="Times New Roman" w:cs="Times New Roman" w:eastAsia="Times New Roman" w:hAnsi="Times New Roman"/>
          <w:sz w:val="22"/>
          <w:szCs w:val="22"/>
          <w:b w:val="1"/>
          <w:bCs w:val="1"/>
          <w:color w:val="000000"/>
        </w:rPr>
        <w:t>Liens</w:t>
      </w:r>
      <w:r>
        <w:rPr>
          <w:rFonts w:ascii="Times New Roman" w:cs="Times New Roman" w:eastAsia="Times New Roman" w:hAnsi="Times New Roman"/>
          <w:sz w:val="22"/>
          <w:szCs w:val="22"/>
          <w:color w:val="000000"/>
        </w:rPr>
        <w:t>. No Loan Party shall, and shall not permit any Subsidiary to, create, incur,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assume or suffer to exist any Lien upon any of its property, whether now owned or hereafter acquired, except Permitted Liens.</w:t>
      </w:r>
    </w:p>
    <w:p>
      <w:pPr>
        <w:spacing w:after="0" w:line="167"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6.3 </w:t>
      </w:r>
      <w:r>
        <w:rPr>
          <w:rFonts w:ascii="Times New Roman" w:cs="Times New Roman" w:eastAsia="Times New Roman" w:hAnsi="Times New Roman"/>
          <w:sz w:val="22"/>
          <w:szCs w:val="22"/>
          <w:b w:val="1"/>
          <w:bCs w:val="1"/>
          <w:color w:val="000000"/>
        </w:rPr>
        <w:t>Fundamental Changes</w:t>
      </w:r>
      <w:r>
        <w:rPr>
          <w:rFonts w:ascii="Times New Roman" w:cs="Times New Roman" w:eastAsia="Times New Roman" w:hAnsi="Times New Roman"/>
          <w:sz w:val="22"/>
          <w:szCs w:val="22"/>
          <w:color w:val="000000"/>
        </w:rPr>
        <w:t>. No Loan Party shall, and shall not permit any Subsidiary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enter into any merger, consolidation or amalgamation (other than the SPAC Transaction on the Closing Date or any Permitted Acquisition), or sale of substantially all of its assets, or liquidate, wind up or dissolve itself (or suffer any liquidation or dissolution) or permit any Division/Series Transaction; provided, that: (a) any Subsidiary of a Loan Party may merge,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60</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1" w:name="page82"/>
    <w:bookmarkEnd w:id="81"/>
    <w:p>
      <w:pPr>
        <w:jc w:val="both"/>
        <w:ind w:left="1100"/>
        <w:spacing w:after="0" w:line="246" w:lineRule="auto"/>
        <w:rPr>
          <w:sz w:val="20"/>
          <w:szCs w:val="20"/>
          <w:color w:val="auto"/>
        </w:rPr>
      </w:pPr>
      <w:r>
        <w:rPr>
          <w:rFonts w:ascii="Times New Roman" w:cs="Times New Roman" w:eastAsia="Times New Roman" w:hAnsi="Times New Roman"/>
          <w:sz w:val="21"/>
          <w:szCs w:val="21"/>
          <w:color w:val="auto"/>
        </w:rPr>
        <w:t>consolidate or otherwise combine with any Loan Party other than Parent; provided, that (i) such Loan Party is the surviving entity, and (ii) no Domestic Subsidiary may merge, consolidate or combine with or into a Foreign Subsidiary unless a Domestic Subsidiary is the surviving entity; and (b) any Subsidiary of a Loan Party that is not a Loan Party may merge, consolidate or otherwise combine with and into any other Subsidiary of a Loan Party that is not a Loan Party, in each case, so long as,</w:t>
      </w:r>
    </w:p>
    <w:p>
      <w:pPr>
        <w:spacing w:after="0" w:line="1" w:lineRule="exact"/>
        <w:rPr>
          <w:sz w:val="20"/>
          <w:szCs w:val="20"/>
          <w:color w:val="auto"/>
        </w:rPr>
      </w:pPr>
    </w:p>
    <w:p>
      <w:pPr>
        <w:ind w:left="1100" w:firstLine="6"/>
        <w:spacing w:after="0" w:line="230" w:lineRule="auto"/>
        <w:tabs>
          <w:tab w:leader="none" w:pos="146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or would be caused thereby, (B) Borrower provides Agent with at least ten (10) Business Days’ prior written notice thereof, and</w:t>
      </w:r>
    </w:p>
    <w:p>
      <w:pPr>
        <w:spacing w:after="0" w:line="1" w:lineRule="exact"/>
        <w:rPr>
          <w:rFonts w:ascii="Times New Roman" w:cs="Times New Roman" w:eastAsia="Times New Roman" w:hAnsi="Times New Roman"/>
          <w:sz w:val="22"/>
          <w:szCs w:val="22"/>
          <w:color w:val="auto"/>
        </w:rPr>
      </w:pPr>
    </w:p>
    <w:p>
      <w:pPr>
        <w:ind w:left="1100" w:firstLine="6"/>
        <w:spacing w:after="0" w:line="237" w:lineRule="auto"/>
        <w:tabs>
          <w:tab w:leader="none" w:pos="144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deliver all documents necessary or reasonably requested to preserve, protect and perfect Agent’s Lien on all Collateral that is the subject thereof.</w:t>
      </w:r>
    </w:p>
    <w:p>
      <w:pPr>
        <w:spacing w:after="0" w:line="188"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6.4 </w:t>
      </w:r>
      <w:r>
        <w:rPr>
          <w:rFonts w:ascii="Times New Roman" w:cs="Times New Roman" w:eastAsia="Times New Roman" w:hAnsi="Times New Roman"/>
          <w:sz w:val="22"/>
          <w:szCs w:val="22"/>
          <w:b w:val="1"/>
          <w:bCs w:val="1"/>
          <w:color w:val="000000"/>
        </w:rPr>
        <w:t>Disposition of Property</w:t>
      </w:r>
      <w:r>
        <w:rPr>
          <w:rFonts w:ascii="Times New Roman" w:cs="Times New Roman" w:eastAsia="Times New Roman" w:hAnsi="Times New Roman"/>
          <w:sz w:val="22"/>
          <w:szCs w:val="22"/>
          <w:color w:val="000000"/>
        </w:rPr>
        <w:t>. No Loan Party shall, and shall not permit any Subsidiary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Dispose, assign or otherwise transfer any of its rights, title and interest in and to any of the Collateral other than:</w:t>
      </w:r>
    </w:p>
    <w:p>
      <w:pPr>
        <w:spacing w:after="0" w:line="171" w:lineRule="exact"/>
        <w:rPr>
          <w:sz w:val="20"/>
          <w:szCs w:val="20"/>
          <w:color w:val="auto"/>
        </w:rPr>
      </w:pPr>
    </w:p>
    <w:p>
      <w:pPr>
        <w:ind w:left="2380" w:hanging="630"/>
        <w:spacing w:after="0"/>
        <w:tabs>
          <w:tab w:leader="none" w:pos="2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cash and inventory in the ordinary course of business;</w:t>
      </w:r>
    </w:p>
    <w:p>
      <w:pPr>
        <w:spacing w:after="0" w:line="219" w:lineRule="exact"/>
        <w:rPr>
          <w:rFonts w:ascii="Times New Roman" w:cs="Times New Roman" w:eastAsia="Times New Roman" w:hAnsi="Times New Roman"/>
          <w:sz w:val="22"/>
          <w:szCs w:val="22"/>
          <w:color w:val="auto"/>
        </w:rPr>
      </w:pPr>
    </w:p>
    <w:p>
      <w:pPr>
        <w:ind w:left="1100" w:firstLine="654"/>
        <w:spacing w:after="0" w:line="258" w:lineRule="auto"/>
        <w:tabs>
          <w:tab w:leader="none" w:pos="23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obsolete, damaged or worn out property or property no longer useful or useable in the conduct of any Loan Party’s business made in the ordinary course of business;</w:t>
      </w:r>
    </w:p>
    <w:p>
      <w:pPr>
        <w:spacing w:after="0" w:line="171" w:lineRule="exact"/>
        <w:rPr>
          <w:rFonts w:ascii="Times New Roman" w:cs="Times New Roman" w:eastAsia="Times New Roman" w:hAnsi="Times New Roman"/>
          <w:sz w:val="22"/>
          <w:szCs w:val="22"/>
          <w:color w:val="auto"/>
        </w:rPr>
      </w:pPr>
    </w:p>
    <w:p>
      <w:pPr>
        <w:ind w:left="2380" w:hanging="630"/>
        <w:spacing w:after="0"/>
        <w:tabs>
          <w:tab w:leader="none" w:pos="2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of Intellectual Property in the ordinary course of business;</w:t>
      </w:r>
    </w:p>
    <w:p>
      <w:pPr>
        <w:spacing w:after="0" w:line="219" w:lineRule="exact"/>
        <w:rPr>
          <w:rFonts w:ascii="Times New Roman" w:cs="Times New Roman" w:eastAsia="Times New Roman" w:hAnsi="Times New Roman"/>
          <w:sz w:val="22"/>
          <w:szCs w:val="22"/>
          <w:color w:val="auto"/>
        </w:rPr>
      </w:pPr>
    </w:p>
    <w:p>
      <w:pPr>
        <w:jc w:val="both"/>
        <w:ind w:left="1100" w:firstLine="654"/>
        <w:spacing w:after="0" w:line="244" w:lineRule="auto"/>
        <w:tabs>
          <w:tab w:leader="none" w:pos="23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exists, Dispositions of other property for its reasonable fair market value to non-Affiliates not to exceed Five Hundred Thousand Dollars ($500,000) in any calendar year;</w:t>
      </w:r>
    </w:p>
    <w:p>
      <w:pPr>
        <w:spacing w:after="0" w:line="186" w:lineRule="exact"/>
        <w:rPr>
          <w:rFonts w:ascii="Times New Roman" w:cs="Times New Roman" w:eastAsia="Times New Roman" w:hAnsi="Times New Roman"/>
          <w:sz w:val="22"/>
          <w:szCs w:val="22"/>
          <w:color w:val="auto"/>
        </w:rPr>
      </w:pPr>
    </w:p>
    <w:p>
      <w:pPr>
        <w:ind w:left="1100" w:right="20" w:firstLine="654"/>
        <w:spacing w:after="0" w:line="258" w:lineRule="auto"/>
        <w:tabs>
          <w:tab w:leader="none" w:pos="206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subleases and assignments of real property lease interests not otherwise prohibited under this Agreement;</w:t>
      </w:r>
    </w:p>
    <w:p>
      <w:pPr>
        <w:spacing w:after="0" w:line="158" w:lineRule="exact"/>
        <w:rPr>
          <w:rFonts w:ascii="Times New Roman" w:cs="Times New Roman" w:eastAsia="Times New Roman" w:hAnsi="Times New Roman"/>
          <w:sz w:val="22"/>
          <w:szCs w:val="22"/>
          <w:color w:val="auto"/>
        </w:rPr>
      </w:pPr>
    </w:p>
    <w:p>
      <w:pPr>
        <w:ind w:left="2400" w:hanging="646"/>
        <w:spacing w:after="0"/>
        <w:tabs>
          <w:tab w:leader="none" w:pos="24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permitted under the definition of Permitted Liens with respect to</w:t>
      </w:r>
    </w:p>
    <w:p>
      <w:pPr>
        <w:spacing w:after="0" w:line="14" w:lineRule="exact"/>
        <w:rPr>
          <w:rFonts w:ascii="Times New Roman" w:cs="Times New Roman" w:eastAsia="Times New Roman" w:hAnsi="Times New Roman"/>
          <w:sz w:val="22"/>
          <w:szCs w:val="22"/>
          <w:color w:val="auto"/>
        </w:rPr>
      </w:pPr>
    </w:p>
    <w:p>
      <w:pPr>
        <w:ind w:left="1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and</w:t>
      </w:r>
    </w:p>
    <w:p>
      <w:pPr>
        <w:spacing w:after="0" w:line="195" w:lineRule="exact"/>
        <w:rPr>
          <w:rFonts w:ascii="Times New Roman" w:cs="Times New Roman" w:eastAsia="Times New Roman" w:hAnsi="Times New Roman"/>
          <w:sz w:val="22"/>
          <w:szCs w:val="22"/>
          <w:color w:val="auto"/>
        </w:rPr>
      </w:pPr>
    </w:p>
    <w:p>
      <w:pPr>
        <w:ind w:left="2380" w:hanging="630"/>
        <w:spacing w:after="0"/>
        <w:tabs>
          <w:tab w:leader="none" w:pos="2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approved in writing by Agent in its sole discretion.</w:t>
      </w:r>
    </w:p>
    <w:p>
      <w:pPr>
        <w:spacing w:after="0" w:line="216"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6.5 </w:t>
      </w:r>
      <w:r>
        <w:rPr>
          <w:rFonts w:ascii="Times New Roman" w:cs="Times New Roman" w:eastAsia="Times New Roman" w:hAnsi="Times New Roman"/>
          <w:sz w:val="22"/>
          <w:szCs w:val="22"/>
          <w:b w:val="1"/>
          <w:bCs w:val="1"/>
          <w:color w:val="000000"/>
        </w:rPr>
        <w:t>Restricted Payments</w:t>
      </w:r>
      <w:r>
        <w:rPr>
          <w:rFonts w:ascii="Times New Roman" w:cs="Times New Roman" w:eastAsia="Times New Roman" w:hAnsi="Times New Roman"/>
          <w:sz w:val="22"/>
          <w:szCs w:val="22"/>
          <w:color w:val="000000"/>
        </w:rPr>
        <w:t>. No Loan Party shall, and shall not permit any Subsidiary to,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declare or pay any dividend (other than dividends payable solely in common stock of the Person making such dividend) on, or make any payment on account of, or set apart assets for a sinking or other analogous fund for, the purchase, redemption, defeasance, retirement, cancellation, termination or other acquisition of, any Equity Interests (including, without limitation, any Disqualified Equity Interests) of any Loan Party, whether now or hereafter outstanding, or (b) make any other distribution (or payment of Indebtedness owed to an Affiliate) in respect thereof, either directly or indirectly, whether in cash or property or in obligations of Loan Party, (c) make any distribution to Parent for the purposes of making such dividend or payment, or (d) any payment, loan contribution or other transfer of funds of other property to any holder of Equity Interests of such Loan Party (collectively, “</w:t>
      </w:r>
      <w:r>
        <w:rPr>
          <w:rFonts w:ascii="Times New Roman" w:cs="Times New Roman" w:eastAsia="Times New Roman" w:hAnsi="Times New Roman"/>
          <w:sz w:val="22"/>
          <w:szCs w:val="22"/>
          <w:b w:val="1"/>
          <w:bCs w:val="1"/>
          <w:i w:val="1"/>
          <w:iCs w:val="1"/>
          <w:color w:val="000000"/>
        </w:rPr>
        <w:t>Restricted Payments</w:t>
      </w:r>
      <w:r>
        <w:rPr>
          <w:rFonts w:ascii="Times New Roman" w:cs="Times New Roman" w:eastAsia="Times New Roman" w:hAnsi="Times New Roman"/>
          <w:sz w:val="22"/>
          <w:szCs w:val="22"/>
          <w:color w:val="000000"/>
        </w:rPr>
        <w:t>”) other than:</w:t>
      </w:r>
    </w:p>
    <w:p>
      <w:pPr>
        <w:spacing w:after="0" w:line="193" w:lineRule="exact"/>
        <w:rPr>
          <w:sz w:val="20"/>
          <w:szCs w:val="20"/>
          <w:color w:val="auto"/>
        </w:rPr>
      </w:pPr>
    </w:p>
    <w:p>
      <w:pPr>
        <w:ind w:left="1100" w:firstLine="654"/>
        <w:spacing w:after="0" w:line="258" w:lineRule="auto"/>
        <w:tabs>
          <w:tab w:leader="none" w:pos="239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and their Subsidiaries shall be permitted to repurchase Equity Interests (i) from former employees, officers, directors, consultants or other persons who</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61</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2" w:name="page83"/>
    <w:bookmarkEnd w:id="82"/>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performed services for the Loan Parties or any of their Subsidiaries in connection with the cessation of such employment or service, (ii) pursuant to the terms of employee stock plans, employee restricted stock agreements or similar arrangements by the cancellation of Indebtedness, (iii) upon the exercise of stock options or warrants if such transaction is non-cash and such repurchased Equity Interests represent a portion of the exercise price of such options or warrants, and (iv) upon withholding of a portion of the Equity Interests granted or awarded to a current or former director, officer, employee or consultant to pay for the taxes payable by such Person upon such grant or award (or upon vesting thereof); provided that all repurchases pursuant to the foregoing clauses (i) or (ii) do not exceed an aggregate of $1,000,000 per Fiscal Year for all such payments; and</w:t>
      </w:r>
    </w:p>
    <w:p>
      <w:pPr>
        <w:spacing w:after="0" w:line="197" w:lineRule="exact"/>
        <w:rPr>
          <w:sz w:val="20"/>
          <w:szCs w:val="20"/>
          <w:color w:val="auto"/>
        </w:rPr>
      </w:pPr>
    </w:p>
    <w:p>
      <w:pPr>
        <w:ind w:left="1100" w:firstLine="654"/>
        <w:spacing w:after="0" w:line="258" w:lineRule="auto"/>
        <w:tabs>
          <w:tab w:leader="none" w:pos="239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or would result therefrom, Borrower may make Tax Distributions.</w:t>
      </w:r>
    </w:p>
    <w:p>
      <w:pPr>
        <w:spacing w:after="0" w:line="154"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6.6 </w:t>
      </w:r>
      <w:r>
        <w:rPr>
          <w:rFonts w:ascii="Times New Roman" w:cs="Times New Roman" w:eastAsia="Times New Roman" w:hAnsi="Times New Roman"/>
          <w:sz w:val="22"/>
          <w:szCs w:val="22"/>
          <w:b w:val="1"/>
          <w:bCs w:val="1"/>
          <w:color w:val="000000"/>
        </w:rPr>
        <w:t>Investments</w:t>
      </w:r>
      <w:r>
        <w:rPr>
          <w:rFonts w:ascii="Times New Roman" w:cs="Times New Roman" w:eastAsia="Times New Roman" w:hAnsi="Times New Roman"/>
          <w:sz w:val="22"/>
          <w:szCs w:val="22"/>
          <w:color w:val="000000"/>
        </w:rPr>
        <w:t>. No Loan Party shall, and shall not permit any Subsidiary to, make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advance, loan, extension of credit (by way of guarantee or otherwise) or capital contribution to, or purchase any Equity Interests, bonds, notes, debentures or other debt securities of, or any assets constituting all or substantially all of the assets of any Person, or a business unit of any Person, or make any other investment in, any Person (all of the foregoing, “</w:t>
      </w:r>
      <w:r>
        <w:rPr>
          <w:rFonts w:ascii="Times New Roman" w:cs="Times New Roman" w:eastAsia="Times New Roman" w:hAnsi="Times New Roman"/>
          <w:sz w:val="22"/>
          <w:szCs w:val="22"/>
          <w:b w:val="1"/>
          <w:bCs w:val="1"/>
          <w:i w:val="1"/>
          <w:iCs w:val="1"/>
          <w:color w:val="000000"/>
        </w:rPr>
        <w:t>Investments</w:t>
      </w:r>
      <w:r>
        <w:rPr>
          <w:rFonts w:ascii="Times New Roman" w:cs="Times New Roman" w:eastAsia="Times New Roman" w:hAnsi="Times New Roman"/>
          <w:sz w:val="22"/>
          <w:szCs w:val="22"/>
          <w:color w:val="000000"/>
        </w:rPr>
        <w:t>”), except:</w:t>
      </w:r>
    </w:p>
    <w:p>
      <w:pPr>
        <w:spacing w:after="0" w:line="181" w:lineRule="exact"/>
        <w:rPr>
          <w:sz w:val="20"/>
          <w:szCs w:val="20"/>
          <w:color w:val="auto"/>
        </w:rPr>
      </w:pPr>
    </w:p>
    <w:p>
      <w:pPr>
        <w:ind w:left="2380" w:hanging="630"/>
        <w:spacing w:after="0"/>
        <w:tabs>
          <w:tab w:leader="none" w:pos="2380"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cash and Cash Equivalents;</w:t>
      </w:r>
    </w:p>
    <w:p>
      <w:pPr>
        <w:spacing w:after="0" w:line="219"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by one Loan Party in any other Loan Party (other than Parent);</w:t>
      </w:r>
    </w:p>
    <w:p>
      <w:pPr>
        <w:spacing w:after="0" w:line="219"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by any Loan Party in any Subsidiary provided that the aggregate amount of such Investments do not exceed $250,000 in the aggregate in any fiscal year; and Investments by any Subsidiary that is not a Loan Party in any other Subsidiary or Loan Party;</w:t>
      </w:r>
    </w:p>
    <w:p>
      <w:pPr>
        <w:spacing w:after="0" w:line="186" w:lineRule="exact"/>
        <w:rPr>
          <w:rFonts w:ascii="Times New Roman" w:cs="Times New Roman" w:eastAsia="Times New Roman" w:hAnsi="Times New Roman"/>
          <w:sz w:val="22"/>
          <w:szCs w:val="22"/>
          <w:color w:val="010000"/>
        </w:rPr>
      </w:pPr>
    </w:p>
    <w:p>
      <w:pPr>
        <w:ind w:left="1100" w:firstLine="654"/>
        <w:spacing w:after="0" w:line="258" w:lineRule="auto"/>
        <w:tabs>
          <w:tab w:leader="none" w:pos="23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the ordinary course of business consisting of endorsements of negotiable instruments for collection or deposit;</w:t>
      </w:r>
    </w:p>
    <w:p>
      <w:pPr>
        <w:spacing w:after="0" w:line="171"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received in settlement of amounts due to Borrower effected in the ordinary course of business or owing to any Loan Party as a result of insolvency proceedings or upon the foreclosure or enforcement of any Lien in favor of a Loan Party or otherwise in settlement of delinquent obligations of, and other disputes with, customers or suppliers arising in the ordinary course of Borrower’s business;</w:t>
      </w:r>
    </w:p>
    <w:p>
      <w:pPr>
        <w:spacing w:after="0" w:line="176"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Investments set forth on </w:t>
      </w:r>
      <w:r>
        <w:rPr>
          <w:rFonts w:ascii="Times New Roman" w:cs="Times New Roman" w:eastAsia="Times New Roman" w:hAnsi="Times New Roman"/>
          <w:sz w:val="22"/>
          <w:szCs w:val="22"/>
          <w:u w:val="single" w:color="auto"/>
          <w:color w:val="auto"/>
        </w:rPr>
        <w:t>Schedule 6.6</w:t>
      </w:r>
      <w:r>
        <w:rPr>
          <w:rFonts w:ascii="Times New Roman" w:cs="Times New Roman" w:eastAsia="Times New Roman" w:hAnsi="Times New Roman"/>
          <w:sz w:val="22"/>
          <w:szCs w:val="22"/>
          <w:color w:val="auto"/>
        </w:rPr>
        <w:t xml:space="preserve"> existing as of the Closing Date;</w:t>
      </w:r>
    </w:p>
    <w:p>
      <w:pPr>
        <w:spacing w:after="0" w:line="233" w:lineRule="exact"/>
        <w:rPr>
          <w:rFonts w:ascii="Times New Roman" w:cs="Times New Roman" w:eastAsia="Times New Roman" w:hAnsi="Times New Roman"/>
          <w:sz w:val="22"/>
          <w:szCs w:val="22"/>
          <w:color w:val="010000"/>
        </w:rPr>
      </w:pPr>
    </w:p>
    <w:p>
      <w:pPr>
        <w:ind w:left="1100" w:firstLine="654"/>
        <w:spacing w:after="0" w:line="258" w:lineRule="auto"/>
        <w:tabs>
          <w:tab w:leader="none" w:pos="23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advances (including to trade creditors) made in connection with the purchases of goods or services in the ordinary course of business;</w:t>
      </w:r>
    </w:p>
    <w:p>
      <w:pPr>
        <w:spacing w:after="0" w:line="158"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extensions of trade credit in the ordinary course of business;</w:t>
      </w:r>
    </w:p>
    <w:p>
      <w:pPr>
        <w:spacing w:after="0" w:line="219"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guarantees permitted under the definition of Permitted Indebtedness;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62</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3" w:name="page84"/>
    <w:bookmarkEnd w:id="83"/>
    <w:p>
      <w:pPr>
        <w:ind w:left="2400" w:hanging="646"/>
        <w:spacing w:after="0"/>
        <w:tabs>
          <w:tab w:leader="none" w:pos="2400" w:val="left"/>
        </w:tabs>
        <w:numPr>
          <w:ilvl w:val="0"/>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Investments accepted in connection with any transaction permitted pursuant to </w:t>
      </w:r>
      <w:r>
        <w:rPr>
          <w:rFonts w:ascii="Times New Roman" w:cs="Times New Roman" w:eastAsia="Times New Roman" w:hAnsi="Times New Roman"/>
          <w:sz w:val="21"/>
          <w:szCs w:val="21"/>
          <w:u w:val="single" w:color="auto"/>
          <w:color w:val="auto"/>
        </w:rPr>
        <w:t>Section</w:t>
      </w:r>
    </w:p>
    <w:p>
      <w:pPr>
        <w:spacing w:after="0" w:line="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u w:val="single" w:color="auto"/>
          <w:color w:val="auto"/>
        </w:rPr>
        <w:t>6.4</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left="1100" w:firstLine="654"/>
        <w:spacing w:after="0" w:line="244" w:lineRule="auto"/>
        <w:tabs>
          <w:tab w:leader="none" w:pos="2396"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the form of non-cash loans and advances to employees, officers, and directors of Borrower or any of its Subsidiaries for the purpose of purchasing stock in Borrower so long as the proceeds of such loans are used in their entirety to purchase such stock in Borrower;</w:t>
      </w:r>
    </w:p>
    <w:p>
      <w:pPr>
        <w:spacing w:after="0" w:line="173" w:lineRule="exact"/>
        <w:rPr>
          <w:rFonts w:ascii="Times New Roman" w:cs="Times New Roman" w:eastAsia="Times New Roman" w:hAnsi="Times New Roman"/>
          <w:sz w:val="22"/>
          <w:szCs w:val="22"/>
          <w:color w:val="010000"/>
        </w:rPr>
      </w:pPr>
    </w:p>
    <w:p>
      <w:pPr>
        <w:jc w:val="both"/>
        <w:ind w:left="1100" w:firstLine="654"/>
        <w:spacing w:after="0" w:line="239" w:lineRule="auto"/>
        <w:tabs>
          <w:tab w:leader="none" w:pos="2396"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loans and advances to employees, directors and officers of Borrower or any of its Subsidiaries in the ordinary course of business (including for travel, entertainment and relocation expenses) in an aggregate amount for Borrower and its Subsidiaries on a consolidated basis not to exceed $500,000 at any time outstanding;</w:t>
      </w:r>
    </w:p>
    <w:p>
      <w:pPr>
        <w:spacing w:after="0" w:line="193" w:lineRule="exact"/>
        <w:rPr>
          <w:rFonts w:ascii="Times New Roman" w:cs="Times New Roman" w:eastAsia="Times New Roman" w:hAnsi="Times New Roman"/>
          <w:sz w:val="22"/>
          <w:szCs w:val="22"/>
          <w:color w:val="010000"/>
        </w:rPr>
      </w:pPr>
    </w:p>
    <w:p>
      <w:pPr>
        <w:jc w:val="both"/>
        <w:ind w:left="1100" w:firstLine="653"/>
        <w:spacing w:after="0" w:line="244" w:lineRule="auto"/>
        <w:tabs>
          <w:tab w:leader="none" w:pos="2397"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consisting of notes receivable of, or prepaid royalties and other credit extensions, to customers and suppliers who are not Affiliates, in the ordinary course of business, provided that this subparagraph (n) shall not apply to Investments of Borrower in any Subsidiary;</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9" w:lineRule="auto"/>
        <w:tabs>
          <w:tab w:leader="none" w:pos="2396"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80"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Investments aggregating not in excess of $250,000 at any time;</w:t>
      </w:r>
    </w:p>
    <w:p>
      <w:pPr>
        <w:spacing w:after="0" w:line="219"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Permitted Acquisitions; and</w:t>
      </w:r>
    </w:p>
    <w:p>
      <w:pPr>
        <w:spacing w:after="0" w:line="219"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approved by Agent in its sole discretion.</w:t>
      </w:r>
    </w:p>
    <w:p>
      <w:pPr>
        <w:spacing w:after="0" w:line="216"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6.7 </w:t>
      </w:r>
      <w:r>
        <w:rPr>
          <w:rFonts w:ascii="Times New Roman" w:cs="Times New Roman" w:eastAsia="Times New Roman" w:hAnsi="Times New Roman"/>
          <w:sz w:val="22"/>
          <w:szCs w:val="22"/>
          <w:b w:val="1"/>
          <w:bCs w:val="1"/>
          <w:color w:val="000000"/>
        </w:rPr>
        <w:t>ERISA</w:t>
      </w:r>
      <w:r>
        <w:rPr>
          <w:rFonts w:ascii="Times New Roman" w:cs="Times New Roman" w:eastAsia="Times New Roman" w:hAnsi="Times New Roman"/>
          <w:sz w:val="22"/>
          <w:szCs w:val="22"/>
          <w:color w:val="000000"/>
        </w:rPr>
        <w:t>. No Loan Party shall, and shall not permit any Subsidiary to, nor shall permit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it’s ERISA Affiliates to, establish, maintain, contribute or agree to contribute to, or otherwise incur any liability, contingent or otherwise, with respect to any “employee benefit plan” that (a) is covered by Title IV of ERISA or Section 412 of the Code or (b) provides for post-employment medical or other welfare benefits, except as required by applicable Requirements of Law and at the sole expense of the plan participants.</w:t>
      </w:r>
    </w:p>
    <w:p>
      <w:pPr>
        <w:spacing w:after="0" w:line="189"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6.8 </w:t>
      </w:r>
      <w:r>
        <w:rPr>
          <w:rFonts w:ascii="Times New Roman" w:cs="Times New Roman" w:eastAsia="Times New Roman" w:hAnsi="Times New Roman"/>
          <w:sz w:val="22"/>
          <w:szCs w:val="22"/>
          <w:b w:val="1"/>
          <w:bCs w:val="1"/>
          <w:color w:val="000000"/>
        </w:rPr>
        <w:t>Transactions with Affiliates</w:t>
      </w:r>
      <w:r>
        <w:rPr>
          <w:rFonts w:ascii="Times New Roman" w:cs="Times New Roman" w:eastAsia="Times New Roman" w:hAnsi="Times New Roman"/>
          <w:sz w:val="22"/>
          <w:szCs w:val="22"/>
          <w:color w:val="000000"/>
        </w:rPr>
        <w:t>. No Loan Party shall, and shall not permit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Subsidiary to, enter into any transaction, including any purchase, sale, lease or exchange of property, the rendering of any service or the payment of any management, advisory or similar fees, with any Affiliate, other than:</w:t>
      </w:r>
    </w:p>
    <w:p>
      <w:pPr>
        <w:spacing w:after="0" w:line="189" w:lineRule="exact"/>
        <w:rPr>
          <w:sz w:val="20"/>
          <w:szCs w:val="20"/>
          <w:color w:val="auto"/>
        </w:rPr>
      </w:pPr>
    </w:p>
    <w:p>
      <w:pPr>
        <w:ind w:left="2380" w:hanging="630"/>
        <w:spacing w:after="0"/>
        <w:tabs>
          <w:tab w:leader="none" w:pos="23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transactions that are otherwise permitted under this Agreement;</w:t>
      </w:r>
    </w:p>
    <w:p>
      <w:pPr>
        <w:spacing w:after="0" w:line="219" w:lineRule="exact"/>
        <w:rPr>
          <w:rFonts w:ascii="Times New Roman" w:cs="Times New Roman" w:eastAsia="Times New Roman" w:hAnsi="Times New Roman"/>
          <w:sz w:val="22"/>
          <w:szCs w:val="22"/>
          <w:color w:val="auto"/>
        </w:rPr>
      </w:pPr>
    </w:p>
    <w:p>
      <w:pPr>
        <w:jc w:val="both"/>
        <w:ind w:left="1100" w:firstLine="654"/>
        <w:spacing w:after="0" w:line="239" w:lineRule="auto"/>
        <w:tabs>
          <w:tab w:leader="none" w:pos="23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transactions that are in the ordinary course of business of such Loan Party and are upon fair and reasonable terms no less favorable to such Loan Party, as determined by Agent in Agent’s Permitted Discretion, than it would obtain in a comparable arm’s length transaction with a Person that is not an Affiliate;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63</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4" w:name="page85"/>
    <w:bookmarkEnd w:id="84"/>
    <w:p>
      <w:pPr>
        <w:jc w:val="both"/>
        <w:ind w:left="1100" w:firstLine="654"/>
        <w:spacing w:after="0" w:line="239" w:lineRule="auto"/>
        <w:tabs>
          <w:tab w:leader="none" w:pos="239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arrangements and employee benefit plan, director compensation (including bonuses), and other director and employee benefits (including retirement, health, stock option and other benefit plans) and indemnification arrangements, in each case entered into in the ordinary course of business;</w:t>
      </w:r>
    </w:p>
    <w:p>
      <w:pPr>
        <w:spacing w:after="0" w:line="193" w:lineRule="exact"/>
        <w:rPr>
          <w:rFonts w:ascii="Times New Roman" w:cs="Times New Roman" w:eastAsia="Times New Roman" w:hAnsi="Times New Roman"/>
          <w:sz w:val="22"/>
          <w:szCs w:val="22"/>
          <w:color w:val="auto"/>
        </w:rPr>
      </w:pPr>
    </w:p>
    <w:p>
      <w:pPr>
        <w:ind w:left="1100" w:firstLine="654"/>
        <w:spacing w:after="0" w:line="258" w:lineRule="auto"/>
        <w:tabs>
          <w:tab w:leader="none" w:pos="239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on account of indemnification claims made by directors or officers of Borrower or its Subsidiaries or attributable to the operations of the Borrower or its Subsidiaries;</w:t>
      </w:r>
    </w:p>
    <w:p>
      <w:pPr>
        <w:spacing w:after="0" w:line="158" w:lineRule="exact"/>
        <w:rPr>
          <w:rFonts w:ascii="Times New Roman" w:cs="Times New Roman" w:eastAsia="Times New Roman" w:hAnsi="Times New Roman"/>
          <w:sz w:val="22"/>
          <w:szCs w:val="22"/>
          <w:color w:val="auto"/>
        </w:rPr>
      </w:pPr>
    </w:p>
    <w:p>
      <w:pPr>
        <w:ind w:left="1100" w:firstLine="707"/>
        <w:spacing w:after="0" w:line="258" w:lineRule="auto"/>
        <w:tabs>
          <w:tab w:leader="none" w:pos="239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among the Borrower and its Subsidiaries in respect of transfer pricing arrangements, cost plus arrangements, reseller arrangement and similar transactions; and</w:t>
      </w:r>
    </w:p>
    <w:p>
      <w:pPr>
        <w:spacing w:after="0" w:line="172" w:lineRule="exact"/>
        <w:rPr>
          <w:sz w:val="20"/>
          <w:szCs w:val="20"/>
          <w:color w:val="auto"/>
        </w:rPr>
      </w:pPr>
    </w:p>
    <w:p>
      <w:pPr>
        <w:ind w:left="2380" w:hanging="630"/>
        <w:spacing w:after="0"/>
        <w:tabs>
          <w:tab w:leader="none" w:pos="23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solely among the Loan Parties, not involving other Affiliates.</w:t>
      </w:r>
    </w:p>
    <w:p>
      <w:pPr>
        <w:spacing w:after="0" w:line="216"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6.9 </w:t>
      </w:r>
      <w:r>
        <w:rPr>
          <w:rFonts w:ascii="Times New Roman" w:cs="Times New Roman" w:eastAsia="Times New Roman" w:hAnsi="Times New Roman"/>
          <w:sz w:val="22"/>
          <w:szCs w:val="22"/>
          <w:b w:val="1"/>
          <w:bCs w:val="1"/>
          <w:color w:val="000000"/>
        </w:rPr>
        <w:t>Accounting Changes</w:t>
      </w:r>
      <w:r>
        <w:rPr>
          <w:rFonts w:ascii="Times New Roman" w:cs="Times New Roman" w:eastAsia="Times New Roman" w:hAnsi="Times New Roman"/>
          <w:sz w:val="22"/>
          <w:szCs w:val="22"/>
          <w:color w:val="000000"/>
        </w:rPr>
        <w:t>. No Loan Party shall, and shall not permit any Subsidiary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make any change in its (a) accounting policies or reporting practices, except as required by GAAP or pursuant to </w:t>
      </w:r>
      <w:r>
        <w:rPr>
          <w:rFonts w:ascii="Times New Roman" w:cs="Times New Roman" w:eastAsia="Times New Roman" w:hAnsi="Times New Roman"/>
          <w:sz w:val="22"/>
          <w:szCs w:val="22"/>
          <w:u w:val="single" w:color="auto"/>
          <w:color w:val="000000"/>
        </w:rPr>
        <w:t>Section 1.2(e)</w:t>
      </w:r>
      <w:r>
        <w:rPr>
          <w:rFonts w:ascii="Times New Roman" w:cs="Times New Roman" w:eastAsia="Times New Roman" w:hAnsi="Times New Roman"/>
          <w:sz w:val="22"/>
          <w:szCs w:val="22"/>
          <w:color w:val="000000"/>
        </w:rPr>
        <w:t>, or (b) Fiscal Year.</w:t>
      </w:r>
    </w:p>
    <w:p>
      <w:pPr>
        <w:spacing w:after="0" w:line="181"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6.10 </w:t>
      </w:r>
      <w:r>
        <w:rPr>
          <w:rFonts w:ascii="Times New Roman" w:cs="Times New Roman" w:eastAsia="Times New Roman" w:hAnsi="Times New Roman"/>
          <w:sz w:val="22"/>
          <w:szCs w:val="22"/>
          <w:b w:val="1"/>
          <w:bCs w:val="1"/>
          <w:color w:val="000000"/>
        </w:rPr>
        <w:t>Negative Pledge Clauses</w:t>
      </w:r>
      <w:r>
        <w:rPr>
          <w:rFonts w:ascii="Times New Roman" w:cs="Times New Roman" w:eastAsia="Times New Roman" w:hAnsi="Times New Roman"/>
          <w:sz w:val="22"/>
          <w:szCs w:val="22"/>
          <w:color w:val="000000"/>
        </w:rPr>
        <w:t>. No Loan Party shall, and shall not permit any Subsidiary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to, enter into or suffer to exist or become effective any agreement that prohibits or limits the ability of any Loan Party to create, incur, assume or suffer to exist any Lien upon any of its property or revenues, whether now owned or hereafter acquired, to secure its Obligations under the Loan Documents to which it is a party, other than (i) this Agreement and the other Loan Document, (ii) restrictions and conditions applicable to property or assets being sold pursuant to </w:t>
      </w:r>
      <w:r>
        <w:rPr>
          <w:rFonts w:ascii="Times New Roman" w:cs="Times New Roman" w:eastAsia="Times New Roman" w:hAnsi="Times New Roman"/>
          <w:sz w:val="22"/>
          <w:szCs w:val="22"/>
          <w:u w:val="single" w:color="auto"/>
          <w:color w:val="000000"/>
        </w:rPr>
        <w:t>Section 6.4</w:t>
      </w:r>
      <w:r>
        <w:rPr>
          <w:rFonts w:ascii="Times New Roman" w:cs="Times New Roman" w:eastAsia="Times New Roman" w:hAnsi="Times New Roman"/>
          <w:sz w:val="22"/>
          <w:szCs w:val="22"/>
          <w:color w:val="000000"/>
        </w:rPr>
        <w:t>, (iii) restrictions or conditions imposed by any agreement evidencing a Permitted Lien, and (iv) customary restrictions and conditions in real property leases, equipment leases and in-bound licenses of Intellectual Property.</w:t>
      </w:r>
    </w:p>
    <w:p>
      <w:pPr>
        <w:spacing w:after="0" w:line="174"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6.11</w:t>
      </w:r>
      <w:r>
        <w:rPr>
          <w:sz w:val="20"/>
          <w:szCs w:val="20"/>
          <w:color w:val="auto"/>
        </w:rPr>
        <w:tab/>
      </w:r>
      <w:r>
        <w:rPr>
          <w:rFonts w:ascii="Times New Roman" w:cs="Times New Roman" w:eastAsia="Times New Roman" w:hAnsi="Times New Roman"/>
          <w:sz w:val="21"/>
          <w:szCs w:val="21"/>
          <w:b w:val="1"/>
          <w:bCs w:val="1"/>
          <w:color w:val="auto"/>
        </w:rPr>
        <w:t>Lines of Business; Subsidiaries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4"/>
        <w:spacing w:after="0" w:line="244" w:lineRule="auto"/>
        <w:tabs>
          <w:tab w:leader="none" w:pos="239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shall, and shall not permit any Subsidiary to (i) enter into any business except for the business in which Borrower and the other Loan Parties are engaged on the Closing Date; or (ii) form or acquire any Subsidiaries.</w:t>
      </w:r>
    </w:p>
    <w:p>
      <w:pPr>
        <w:spacing w:after="0" w:line="186" w:lineRule="exact"/>
        <w:rPr>
          <w:rFonts w:ascii="Times New Roman" w:cs="Times New Roman" w:eastAsia="Times New Roman" w:hAnsi="Times New Roman"/>
          <w:sz w:val="22"/>
          <w:szCs w:val="22"/>
          <w:color w:val="auto"/>
        </w:rPr>
      </w:pPr>
    </w:p>
    <w:p>
      <w:pPr>
        <w:ind w:left="2380" w:hanging="630"/>
        <w:spacing w:after="0"/>
        <w:tabs>
          <w:tab w:leader="none" w:pos="23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not:</w:t>
      </w:r>
    </w:p>
    <w:p>
      <w:pPr>
        <w:spacing w:after="0" w:line="219" w:lineRule="exact"/>
        <w:rPr>
          <w:rFonts w:ascii="Times New Roman" w:cs="Times New Roman" w:eastAsia="Times New Roman" w:hAnsi="Times New Roman"/>
          <w:sz w:val="22"/>
          <w:szCs w:val="22"/>
          <w:color w:val="auto"/>
        </w:rPr>
      </w:pPr>
    </w:p>
    <w:p>
      <w:pPr>
        <w:jc w:val="both"/>
        <w:ind w:left="2400" w:firstLine="650"/>
        <w:spacing w:after="0" w:line="239" w:lineRule="auto"/>
        <w:tabs>
          <w:tab w:leader="none" w:pos="333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any assets other than (A) the Equity Interests of Borrower, (B) agreements relating to the issuance sale, purchase, repurchase or registration of the Equity Interests of Parent, (C) minute books and other corporate books and records of Parent, and (D) other miscellaneous non-material assets;</w:t>
      </w:r>
    </w:p>
    <w:p>
      <w:pPr>
        <w:spacing w:after="0" w:line="193" w:lineRule="exact"/>
        <w:rPr>
          <w:rFonts w:ascii="Times New Roman" w:cs="Times New Roman" w:eastAsia="Times New Roman" w:hAnsi="Times New Roman"/>
          <w:sz w:val="22"/>
          <w:szCs w:val="22"/>
          <w:color w:val="auto"/>
        </w:rPr>
      </w:pPr>
    </w:p>
    <w:p>
      <w:pPr>
        <w:jc w:val="both"/>
        <w:ind w:left="2400" w:firstLine="650"/>
        <w:spacing w:after="0" w:line="238" w:lineRule="auto"/>
        <w:tabs>
          <w:tab w:leader="none" w:pos="342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liabilities other than (A) the liabilities under the Loan Documents, (B) guarantees of any refinancing of the foregoing, (C) tax liabilities arising in the ordinary course of business, (D) corporate, administrative and operating expenses in the ordinary course of business and (E) liabilities under any contracts or agreements described in clause (i)(B) above;</w:t>
      </w:r>
    </w:p>
    <w:p>
      <w:pPr>
        <w:spacing w:after="0" w:line="176" w:lineRule="exact"/>
        <w:rPr>
          <w:rFonts w:ascii="Times New Roman" w:cs="Times New Roman" w:eastAsia="Times New Roman" w:hAnsi="Times New Roman"/>
          <w:sz w:val="22"/>
          <w:szCs w:val="22"/>
          <w:color w:val="auto"/>
        </w:rPr>
      </w:pPr>
    </w:p>
    <w:p>
      <w:pPr>
        <w:ind w:left="2400" w:firstLine="650"/>
        <w:spacing w:after="0" w:line="258" w:lineRule="auto"/>
        <w:tabs>
          <w:tab w:leader="none" w:pos="342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activities or business other than (A) issuing shares of its own Equity Interests, (B) holding the assets and incurring the liabilities described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64</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5" w:name="page86"/>
    <w:bookmarkEnd w:id="85"/>
    <w:p>
      <w:pPr>
        <w:jc w:val="both"/>
        <w:ind w:left="2400"/>
        <w:spacing w:after="0" w:line="239" w:lineRule="auto"/>
        <w:rPr>
          <w:sz w:val="20"/>
          <w:szCs w:val="20"/>
          <w:color w:val="auto"/>
        </w:rPr>
      </w:pPr>
      <w:r>
        <w:rPr>
          <w:rFonts w:ascii="Times New Roman" w:cs="Times New Roman" w:eastAsia="Times New Roman" w:hAnsi="Times New Roman"/>
          <w:sz w:val="22"/>
          <w:szCs w:val="22"/>
          <w:color w:val="auto"/>
        </w:rPr>
        <w:t xml:space="preserve">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and activities incidental and related thereto, (C) making payments, dividends, distributions, issuances or other activities otherwise permitted pursuant to this Agreement; and (D) activities and business incidental to its existence as a holding company; or</w:t>
      </w:r>
    </w:p>
    <w:p>
      <w:pPr>
        <w:spacing w:after="0" w:line="194" w:lineRule="exact"/>
        <w:rPr>
          <w:sz w:val="20"/>
          <w:szCs w:val="20"/>
          <w:color w:val="auto"/>
        </w:rPr>
      </w:pPr>
    </w:p>
    <w:p>
      <w:pPr>
        <w:jc w:val="both"/>
        <w:ind w:left="2400" w:firstLine="650"/>
        <w:spacing w:after="0" w:line="235" w:lineRule="auto"/>
        <w:tabs>
          <w:tab w:leader="none" w:pos="34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create, incur, assume or suffer to exist, any Lien on the Equity Interests of any Loan Party, whether now owned or hereafter acquired by Parent other than the Lien securing the Obligations, or (B) enter into, assume or be subject to any agreement prohibiting or otherwise restricting the creation of any Lien on the Equity Interests of any Loan Party, whether now owned or hereafter acquired by Parent, to secure the Obligations or requiring the grant of a Lien on the Equity Interests of the Borrower to secure any other obligation.</w:t>
      </w:r>
    </w:p>
    <w:p>
      <w:pPr>
        <w:spacing w:after="0" w:line="179"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6.12 </w:t>
      </w:r>
      <w:r>
        <w:rPr>
          <w:rFonts w:ascii="Times New Roman" w:cs="Times New Roman" w:eastAsia="Times New Roman" w:hAnsi="Times New Roman"/>
          <w:sz w:val="22"/>
          <w:szCs w:val="22"/>
          <w:b w:val="1"/>
          <w:bCs w:val="1"/>
          <w:color w:val="000000"/>
        </w:rPr>
        <w:t>Payment of Nirvana Debt and Subordinated Indebtedness; Amendments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b w:val="1"/>
          <w:bCs w:val="1"/>
          <w:color w:val="000000"/>
        </w:rPr>
        <w:t>Organizational Agreements; Material Contracts; Employment Agreements</w:t>
      </w:r>
      <w:r>
        <w:rPr>
          <w:rFonts w:ascii="Times New Roman" w:cs="Times New Roman" w:eastAsia="Times New Roman" w:hAnsi="Times New Roman"/>
          <w:sz w:val="22"/>
          <w:szCs w:val="22"/>
          <w:color w:val="000000"/>
        </w:rPr>
        <w:t>. No Loan Party shall,</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and shall not permit any Subsidiary to:</w:t>
      </w:r>
    </w:p>
    <w:p>
      <w:pPr>
        <w:spacing w:after="0" w:line="185" w:lineRule="exact"/>
        <w:rPr>
          <w:sz w:val="20"/>
          <w:szCs w:val="20"/>
          <w:color w:val="auto"/>
        </w:rPr>
      </w:pPr>
    </w:p>
    <w:p>
      <w:pPr>
        <w:jc w:val="both"/>
        <w:ind w:left="1100" w:firstLine="653"/>
        <w:spacing w:after="0" w:line="235" w:lineRule="auto"/>
        <w:tabs>
          <w:tab w:leader="none" w:pos="2397"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 voluntarily prepay, redeem, purchase, repurchase, defease or otherwise satisfy prior to the scheduled maturity thereof the Nirvana Debt, (ii) make any payments with respect to the Nirvana Debt, unless at the time of such payment, (A) no Default or Event of Default has occurred or is continuing or would result therefrom, and (B) after giving effect to such payment, Loan Parties will be in compliance with the financial covenants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or (iii) amend, modify or change in any manner any term or condition of the documents entered into in respect of Nirvana Debt in a manner that would be adverse to any Loan Party;</w:t>
      </w:r>
    </w:p>
    <w:p>
      <w:pPr>
        <w:spacing w:after="0" w:line="196"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or permit any amendments to any Loan Party’s organizational documents to the extent any such amendment would be adverse to the Lenders in their capacity as a holder of secured debt of the Borrower;</w:t>
      </w:r>
    </w:p>
    <w:p>
      <w:pPr>
        <w:spacing w:after="0" w:line="173" w:lineRule="exact"/>
        <w:rPr>
          <w:rFonts w:ascii="Times New Roman" w:cs="Times New Roman" w:eastAsia="Times New Roman" w:hAnsi="Times New Roman"/>
          <w:sz w:val="22"/>
          <w:szCs w:val="22"/>
          <w:color w:val="010000"/>
        </w:rPr>
      </w:pPr>
    </w:p>
    <w:p>
      <w:pPr>
        <w:jc w:val="both"/>
        <w:ind w:left="1100" w:firstLine="654"/>
        <w:spacing w:after="0" w:line="239" w:lineRule="auto"/>
        <w:tabs>
          <w:tab w:leader="none" w:pos="2396"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voluntarily prepay, redeem, purchase, repurchase, defease or otherwise satisfy prior to the scheduled maturity thereof any Subordinated Indebtedness or make any payment at any time in violation of any subordination terms thereof or amend, modify or change in any manner any term or condition of the documents entered into in respect of such Subordinated Indebtedness;</w:t>
      </w:r>
    </w:p>
    <w:p>
      <w:pPr>
        <w:spacing w:after="0" w:line="193"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modify or change in any manner any term or condition of Disqualified Equity Interests to the extent any such amendment would be adverse to the Agent or any Lenders in their capacity as a holder of secured debt of the Borrower; or</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or permit any amendments to, or terminate or waive any provision of the SPAC Merger Agreement, any SPAC Subscription Agreement, the Sponsor Support Agreement, the Stockholder Support Agreement or any other agreement in connection with the SPAC Transaction, in each case, to the extent any such amendment would be adverse to the Agent or any Lender in their capacity as a holder of secured debt of the Loan Parties.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65</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6" w:name="page87"/>
    <w:bookmarkEnd w:id="86"/>
    <w:p>
      <w:pPr>
        <w:jc w:val="both"/>
        <w:ind w:left="1100" w:firstLine="648"/>
        <w:spacing w:after="0" w:line="236" w:lineRule="auto"/>
        <w:rPr>
          <w:sz w:val="20"/>
          <w:szCs w:val="20"/>
          <w:color w:val="auto"/>
        </w:rPr>
      </w:pPr>
      <w:r>
        <w:rPr>
          <w:rFonts w:ascii="Times New Roman" w:cs="Times New Roman" w:eastAsia="Times New Roman" w:hAnsi="Times New Roman"/>
          <w:sz w:val="22"/>
          <w:szCs w:val="22"/>
          <w:b w:val="1"/>
          <w:bCs w:val="1"/>
          <w:color w:val="010000"/>
        </w:rPr>
        <w:t xml:space="preserve">6.13 </w:t>
      </w:r>
      <w:r>
        <w:rPr>
          <w:rFonts w:ascii="Times New Roman" w:cs="Times New Roman" w:eastAsia="Times New Roman" w:hAnsi="Times New Roman"/>
          <w:sz w:val="22"/>
          <w:szCs w:val="22"/>
          <w:b w:val="1"/>
          <w:bCs w:val="1"/>
          <w:color w:val="000000"/>
        </w:rPr>
        <w:t>Use of Proceeds</w:t>
      </w:r>
      <w:r>
        <w:rPr>
          <w:rFonts w:ascii="Times New Roman" w:cs="Times New Roman" w:eastAsia="Times New Roman" w:hAnsi="Times New Roman"/>
          <w:sz w:val="22"/>
          <w:szCs w:val="22"/>
          <w:color w:val="000000"/>
        </w:rPr>
        <w:t>. No Loan Party shall, and shall not permit any Subsidiary to, use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proceeds of the Term Loan, whether directly or indirectly, and whether 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 hostile acquisition or (c) for any purposes other than as specified in </w:t>
      </w:r>
      <w:r>
        <w:rPr>
          <w:rFonts w:ascii="Times New Roman" w:cs="Times New Roman" w:eastAsia="Times New Roman" w:hAnsi="Times New Roman"/>
          <w:sz w:val="22"/>
          <w:szCs w:val="22"/>
          <w:u w:val="single" w:color="auto"/>
          <w:color w:val="000000"/>
        </w:rPr>
        <w:t>Section 3.12</w:t>
      </w:r>
      <w:r>
        <w:rPr>
          <w:rFonts w:ascii="Times New Roman" w:cs="Times New Roman" w:eastAsia="Times New Roman" w:hAnsi="Times New Roman"/>
          <w:sz w:val="22"/>
          <w:szCs w:val="22"/>
          <w:color w:val="000000"/>
        </w:rPr>
        <w:t>.</w:t>
      </w:r>
    </w:p>
    <w:p>
      <w:pPr>
        <w:spacing w:after="0" w:line="189" w:lineRule="exact"/>
        <w:rPr>
          <w:sz w:val="20"/>
          <w:szCs w:val="20"/>
          <w:color w:val="auto"/>
        </w:rPr>
      </w:pPr>
    </w:p>
    <w:p>
      <w:pPr>
        <w:jc w:val="both"/>
        <w:ind w:left="110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6.14 </w:t>
      </w:r>
      <w:r>
        <w:rPr>
          <w:rFonts w:ascii="Times New Roman" w:cs="Times New Roman" w:eastAsia="Times New Roman" w:hAnsi="Times New Roman"/>
          <w:sz w:val="22"/>
          <w:szCs w:val="22"/>
          <w:b w:val="1"/>
          <w:bCs w:val="1"/>
          <w:color w:val="000000"/>
        </w:rPr>
        <w:t>Sale Leaseback Transactions</w:t>
      </w:r>
      <w:r>
        <w:rPr>
          <w:rFonts w:ascii="Times New Roman" w:cs="Times New Roman" w:eastAsia="Times New Roman" w:hAnsi="Times New Roman"/>
          <w:sz w:val="22"/>
          <w:szCs w:val="22"/>
          <w:color w:val="000000"/>
        </w:rPr>
        <w:t>. No Loan Party shall, and shall not permit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Subsidiary to, enter into any sale-leaseback transaction.</w:t>
      </w:r>
    </w:p>
    <w:p>
      <w:pPr>
        <w:spacing w:after="0" w:line="150"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6.15 </w:t>
      </w:r>
      <w:r>
        <w:rPr>
          <w:rFonts w:ascii="Times New Roman" w:cs="Times New Roman" w:eastAsia="Times New Roman" w:hAnsi="Times New Roman"/>
          <w:sz w:val="22"/>
          <w:szCs w:val="22"/>
          <w:b w:val="1"/>
          <w:bCs w:val="1"/>
          <w:color w:val="000000"/>
        </w:rPr>
        <w:t>Guaranty</w:t>
      </w:r>
      <w:r>
        <w:rPr>
          <w:rFonts w:ascii="Times New Roman" w:cs="Times New Roman" w:eastAsia="Times New Roman" w:hAnsi="Times New Roman"/>
          <w:sz w:val="22"/>
          <w:szCs w:val="22"/>
          <w:color w:val="000000"/>
        </w:rPr>
        <w:t>. No Loan Party shall, and shall not permit any Subsidiary to, guaranty 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otherwise, in any way, become liable with respect to the obligations or liabilities of any Person other than other Loan Parties to the extent permitted by </w:t>
      </w:r>
      <w:r>
        <w:rPr>
          <w:rFonts w:ascii="Times New Roman" w:cs="Times New Roman" w:eastAsia="Times New Roman" w:hAnsi="Times New Roman"/>
          <w:sz w:val="22"/>
          <w:szCs w:val="22"/>
          <w:u w:val="single" w:color="auto"/>
          <w:color w:val="000000"/>
        </w:rPr>
        <w:t>Section 6.1</w:t>
      </w:r>
      <w:r>
        <w:rPr>
          <w:rFonts w:ascii="Times New Roman" w:cs="Times New Roman" w:eastAsia="Times New Roman" w:hAnsi="Times New Roman"/>
          <w:sz w:val="22"/>
          <w:szCs w:val="22"/>
          <w:color w:val="000000"/>
        </w:rPr>
        <w:t>, except by endorsement of instruments or items of payment for deposit to the general account of a Loan Party or for delivery to Agent on account of the Obligations.</w:t>
      </w:r>
    </w:p>
    <w:p>
      <w:pPr>
        <w:spacing w:after="0" w:line="190" w:lineRule="exact"/>
        <w:rPr>
          <w:sz w:val="20"/>
          <w:szCs w:val="20"/>
          <w:color w:val="auto"/>
        </w:rPr>
      </w:pPr>
    </w:p>
    <w:p>
      <w:pPr>
        <w:jc w:val="both"/>
        <w:ind w:left="1100" w:firstLine="648"/>
        <w:spacing w:after="0" w:line="250" w:lineRule="auto"/>
        <w:rPr>
          <w:sz w:val="20"/>
          <w:szCs w:val="20"/>
          <w:color w:val="auto"/>
        </w:rPr>
      </w:pPr>
      <w:r>
        <w:rPr>
          <w:rFonts w:ascii="Times New Roman" w:cs="Times New Roman" w:eastAsia="Times New Roman" w:hAnsi="Times New Roman"/>
          <w:sz w:val="21"/>
          <w:szCs w:val="21"/>
          <w:b w:val="1"/>
          <w:bCs w:val="1"/>
          <w:color w:val="010000"/>
        </w:rPr>
        <w:t xml:space="preserve">6.16 </w:t>
      </w:r>
      <w:r>
        <w:rPr>
          <w:rFonts w:ascii="Times New Roman" w:cs="Times New Roman" w:eastAsia="Times New Roman" w:hAnsi="Times New Roman"/>
          <w:sz w:val="21"/>
          <w:szCs w:val="21"/>
          <w:b w:val="1"/>
          <w:bCs w:val="1"/>
          <w:color w:val="000000"/>
        </w:rPr>
        <w:t>No Burdensome Restrictions</w:t>
      </w:r>
      <w:r>
        <w:rPr>
          <w:rFonts w:ascii="Times New Roman" w:cs="Times New Roman" w:eastAsia="Times New Roman" w:hAnsi="Times New Roman"/>
          <w:sz w:val="21"/>
          <w:szCs w:val="21"/>
          <w:color w:val="000000"/>
        </w:rPr>
        <w:t>. No Loan Party shall, and shall not permit any</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Subsidiary to, create or otherwise cause, incur, assume, suffer or permit to exist or become effective any encumbrance or restriction of any kind exists which materially and adversely affects the ability of</w:t>
      </w:r>
    </w:p>
    <w:p>
      <w:pPr>
        <w:spacing w:after="0" w:line="2" w:lineRule="exact"/>
        <w:rPr>
          <w:sz w:val="20"/>
          <w:szCs w:val="20"/>
          <w:color w:val="auto"/>
        </w:rPr>
      </w:pPr>
    </w:p>
    <w:p>
      <w:pPr>
        <w:jc w:val="both"/>
        <w:ind w:left="1100" w:firstLine="5"/>
        <w:spacing w:after="0" w:line="241" w:lineRule="auto"/>
        <w:tabs>
          <w:tab w:leader="none" w:pos="141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of any Loan Party (i) to pay dividends or to make any other distribution on its Equity Interests owned by its parent, (ii) to pay or prepay any Indebtedness owed to any Loan Party,</w:t>
      </w:r>
    </w:p>
    <w:p>
      <w:pPr>
        <w:spacing w:after="0" w:line="1" w:lineRule="exact"/>
        <w:rPr>
          <w:rFonts w:ascii="Times New Roman" w:cs="Times New Roman" w:eastAsia="Times New Roman" w:hAnsi="Times New Roman"/>
          <w:sz w:val="21"/>
          <w:szCs w:val="21"/>
          <w:color w:val="auto"/>
        </w:rPr>
      </w:pPr>
    </w:p>
    <w:p>
      <w:pPr>
        <w:jc w:val="both"/>
        <w:ind w:left="1100" w:firstLine="5"/>
        <w:spacing w:after="0" w:line="235" w:lineRule="auto"/>
        <w:tabs>
          <w:tab w:leader="none" w:pos="149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loans or advances to any Loan Party, or (iv) to transfer any of its property or assets to any Loan Party, or (b) any Loan Party to grant Liens on the Collateral to Agent, in each case except for restrictions and conditions imposed by applicable law.</w:t>
      </w:r>
    </w:p>
    <w:p>
      <w:pPr>
        <w:spacing w:after="0" w:line="174"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6.17</w:t>
      </w:r>
      <w:r>
        <w:rPr>
          <w:sz w:val="20"/>
          <w:szCs w:val="20"/>
          <w:color w:val="auto"/>
        </w:rPr>
        <w:tab/>
      </w:r>
      <w:r>
        <w:rPr>
          <w:rFonts w:ascii="Times New Roman" w:cs="Times New Roman" w:eastAsia="Times New Roman" w:hAnsi="Times New Roman"/>
          <w:sz w:val="21"/>
          <w:szCs w:val="21"/>
          <w:b w:val="1"/>
          <w:bCs w:val="1"/>
          <w:color w:val="auto"/>
        </w:rPr>
        <w:t>Financial Covenants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3"/>
        <w:spacing w:after="0" w:line="232" w:lineRule="auto"/>
        <w:tabs>
          <w:tab w:leader="none" w:pos="2397"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Borrower shall not permit Unrestricted Cash, measured as of September 30, 2022 and as of the last day of each calendar month thereafter</w:t>
      </w:r>
      <w:r>
        <w:rPr>
          <w:rFonts w:ascii="Times New Roman" w:cs="Times New Roman" w:eastAsia="Times New Roman" w:hAnsi="Times New Roman"/>
          <w:sz w:val="22"/>
          <w:szCs w:val="22"/>
          <w:u w:val="single" w:color="auto"/>
          <w:color w:val="0000FF"/>
        </w:rPr>
        <w:t>, except for the months ending February 28, 2023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and March 31, 2023,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calculated in a manner consistent with the calculation shown 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Exhibit 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to be less than the Minimum Unrestricted Cash Amount as of such date of determination;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that if the aggregate amount of Annual Platform Revenue, determined as of such date, exceeds $50,000,000, then the Minimum Unrestricted Cash Amount shall be deemed to be $10,000,000</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provided further, if as of any date of determination the Borrower has not delivered financial statements required pursuant to Section 5.1(c) for the period ending on such date, then the Minimum Unrestricted Cash Amount shall be deemed to be $35,000,000; provided further, that, for purposes of calculating compliance with this Section 6.17(a), to the extent that as of any date of determination a Compliance Certificate and/or any financial statements required to be delivered pursuant to Section 5.1 for the period ending as of the applicable date of determination has not been delivered as and when required hereunder, the Borrower’s Unrestricted Cash shall be deemed to be $0 for the applicable period until such time as the applicable Compliance Certificate and related financial statements complying with Section</w:t>
      </w:r>
    </w:p>
    <w:p>
      <w:pPr>
        <w:ind w:left="11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0000FF"/>
        </w:rPr>
        <w:t>5.1 are delivered demonstrating the Borrower’s Unrestricted Cash.</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66</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1" w:right="999" w:bottom="1440" w:gutter="0" w:footer="0" w:header="0"/>
        </w:sectPr>
      </w:pPr>
    </w:p>
    <w:bookmarkStart w:id="87" w:name="page88"/>
    <w:bookmarkEnd w:id="87"/>
    <w:p>
      <w:pPr>
        <w:jc w:val="both"/>
        <w:ind w:left="1100" w:firstLine="653"/>
        <w:spacing w:after="0" w:line="239" w:lineRule="auto"/>
        <w:tabs>
          <w:tab w:leader="none" w:pos="2397"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Borrower shall not permit the Net Leverage Ratio, measured as of September 30, 2022 and as of the last day of each calendar month thereafter </w:t>
      </w:r>
      <w:r>
        <w:rPr>
          <w:rFonts w:ascii="Times New Roman" w:cs="Times New Roman" w:eastAsia="Times New Roman" w:hAnsi="Times New Roman"/>
          <w:sz w:val="22"/>
          <w:szCs w:val="22"/>
          <w:u w:val="single" w:color="auto"/>
          <w:color w:val="0000FF"/>
        </w:rPr>
        <w:t>except for the months ending February 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2023, March 31, 2023, April 30, 2023, and May 31, 2023,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calculated in a manner consistent with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calculation shown on </w:t>
      </w:r>
      <w:r>
        <w:rPr>
          <w:rFonts w:ascii="Times New Roman" w:cs="Times New Roman" w:eastAsia="Times New Roman" w:hAnsi="Times New Roman"/>
          <w:sz w:val="22"/>
          <w:szCs w:val="22"/>
          <w:u w:val="single" w:color="auto"/>
          <w:color w:val="000000"/>
        </w:rPr>
        <w:t>Exhibit E</w:t>
      </w:r>
      <w:r>
        <w:rPr>
          <w:rFonts w:ascii="Times New Roman" w:cs="Times New Roman" w:eastAsia="Times New Roman" w:hAnsi="Times New Roman"/>
          <w:sz w:val="22"/>
          <w:szCs w:val="22"/>
          <w:color w:val="000000"/>
        </w:rPr>
        <w:t>, to be less than 1.20 to 1.00.</w:t>
      </w:r>
    </w:p>
    <w:p>
      <w:pPr>
        <w:spacing w:after="0" w:line="193" w:lineRule="exact"/>
        <w:rPr>
          <w:rFonts w:ascii="Times New Roman" w:cs="Times New Roman" w:eastAsia="Times New Roman" w:hAnsi="Times New Roman"/>
          <w:sz w:val="22"/>
          <w:szCs w:val="22"/>
          <w:color w:val="010000"/>
        </w:rPr>
      </w:pPr>
    </w:p>
    <w:p>
      <w:pPr>
        <w:ind w:left="1100" w:right="40" w:firstLine="654"/>
        <w:spacing w:after="0" w:line="231" w:lineRule="auto"/>
        <w:tabs>
          <w:tab w:leader="none" w:pos="2395"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the Loan Parties fail to comply with the financial covenant set forth in </w:t>
      </w:r>
      <w:r>
        <w:rPr>
          <w:rFonts w:ascii="Times New Roman" w:cs="Times New Roman" w:eastAsia="Times New Roman" w:hAnsi="Times New Roman"/>
          <w:sz w:val="22"/>
          <w:szCs w:val="22"/>
          <w:u w:val="single" w:color="auto"/>
          <w:color w:val="auto"/>
        </w:rPr>
        <w:t>Section 6.17(a)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6.17(b)</w:t>
      </w:r>
      <w:r>
        <w:rPr>
          <w:rFonts w:ascii="Times New Roman" w:cs="Times New Roman" w:eastAsia="Times New Roman" w:hAnsi="Times New Roman"/>
          <w:sz w:val="22"/>
          <w:szCs w:val="22"/>
          <w:color w:val="auto"/>
        </w:rPr>
        <w:t xml:space="preserve"> above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(other than a Default occurring under Section 6.17(a)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the months ending April 30, 2023 or May 31, 2023, for which there shall be no cure right),</w:t>
      </w:r>
      <w:r>
        <w:rPr>
          <w:rFonts w:ascii="Times New Roman" w:cs="Times New Roman" w:eastAsia="Times New Roman" w:hAnsi="Times New Roman"/>
          <w:sz w:val="22"/>
          <w:szCs w:val="22"/>
          <w:color w:val="000000"/>
        </w:rPr>
        <w:t>subject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terms and conditions hereof, Borrower shall have the right (the “</w:t>
      </w:r>
      <w:r>
        <w:rPr>
          <w:rFonts w:ascii="Times New Roman" w:cs="Times New Roman" w:eastAsia="Times New Roman" w:hAnsi="Times New Roman"/>
          <w:sz w:val="22"/>
          <w:szCs w:val="22"/>
          <w:b w:val="1"/>
          <w:bCs w:val="1"/>
          <w:i w:val="1"/>
          <w:iCs w:val="1"/>
          <w:color w:val="000000"/>
        </w:rPr>
        <w:t>Cure Right</w:t>
      </w:r>
      <w:r>
        <w:rPr>
          <w:rFonts w:ascii="Times New Roman" w:cs="Times New Roman" w:eastAsia="Times New Roman" w:hAnsi="Times New Roman"/>
          <w:sz w:val="22"/>
          <w:szCs w:val="22"/>
          <w:color w:val="000000"/>
        </w:rPr>
        <w:t xml:space="preserve">”) until the expiration of the thirtieth (30th) day subsequent to the date the relevant Compliance Certificate reporting such failure is required to be delivered pursuant to </w:t>
      </w:r>
      <w:r>
        <w:rPr>
          <w:rFonts w:ascii="Times New Roman" w:cs="Times New Roman" w:eastAsia="Times New Roman" w:hAnsi="Times New Roman"/>
          <w:sz w:val="22"/>
          <w:szCs w:val="22"/>
          <w:u w:val="single" w:color="auto"/>
          <w:color w:val="000000"/>
        </w:rPr>
        <w:t>Section 5.2(a)</w:t>
      </w:r>
      <w:r>
        <w:rPr>
          <w:rFonts w:ascii="Times New Roman" w:cs="Times New Roman" w:eastAsia="Times New Roman" w:hAnsi="Times New Roman"/>
          <w:sz w:val="22"/>
          <w:szCs w:val="22"/>
          <w:color w:val="000000"/>
        </w:rPr>
        <w:t>, to issue Permitted Cure Securities for cash or otherwise receive, as additional paid in capital, cash contributions from its equity holders, in either case resulting in Net Cash Proceeds in an aggregate amount equal to, but not greater than, the amount necessary to cure the relevant financial covenant (hereinafter, the “</w:t>
      </w:r>
      <w:r>
        <w:rPr>
          <w:rFonts w:ascii="Times New Roman" w:cs="Times New Roman" w:eastAsia="Times New Roman" w:hAnsi="Times New Roman"/>
          <w:sz w:val="22"/>
          <w:szCs w:val="22"/>
          <w:b w:val="1"/>
          <w:bCs w:val="1"/>
          <w:i w:val="1"/>
          <w:iCs w:val="1"/>
          <w:color w:val="000000"/>
        </w:rPr>
        <w:t>Cure Amount</w:t>
      </w:r>
      <w:r>
        <w:rPr>
          <w:rFonts w:ascii="Times New Roman" w:cs="Times New Roman" w:eastAsia="Times New Roman" w:hAnsi="Times New Roman"/>
          <w:sz w:val="22"/>
          <w:szCs w:val="22"/>
          <w:color w:val="000000"/>
        </w:rPr>
        <w:t xml:space="preserve">”), and upon the receipt by Borrower of the Net Cash Proceeds thereof, the financial covenant shall then be recalculated giving effect to the following pro forma adjustments: (1) solely in respect of a failure to satisfy the financial covenant set forth in </w:t>
      </w:r>
      <w:r>
        <w:rPr>
          <w:rFonts w:ascii="Times New Roman" w:cs="Times New Roman" w:eastAsia="Times New Roman" w:hAnsi="Times New Roman"/>
          <w:sz w:val="22"/>
          <w:szCs w:val="22"/>
          <w:u w:val="single" w:color="auto"/>
          <w:color w:val="000000"/>
        </w:rPr>
        <w:t>Section 6.17(a),</w:t>
      </w:r>
      <w:r>
        <w:rPr>
          <w:rFonts w:ascii="Times New Roman" w:cs="Times New Roman" w:eastAsia="Times New Roman" w:hAnsi="Times New Roman"/>
          <w:sz w:val="22"/>
          <w:szCs w:val="22"/>
          <w:color w:val="000000"/>
        </w:rPr>
        <w:t xml:space="preserve"> Unrestricted Cash shall be increased by an amount equal to the Cure Amount deposited into a Deposit Account of the Borrower subject to a control agreement in favor of the Agent; (2) solely in respect of any Cure Right exercised in respect of a failure to satisfy the financial covenant set forth in </w:t>
      </w:r>
      <w:r>
        <w:rPr>
          <w:rFonts w:ascii="Times New Roman" w:cs="Times New Roman" w:eastAsia="Times New Roman" w:hAnsi="Times New Roman"/>
          <w:sz w:val="22"/>
          <w:szCs w:val="22"/>
          <w:u w:val="single" w:color="auto"/>
          <w:color w:val="000000"/>
        </w:rPr>
        <w:t>Section 6.17(b)</w:t>
      </w:r>
      <w:r>
        <w:rPr>
          <w:rFonts w:ascii="Times New Roman" w:cs="Times New Roman" w:eastAsia="Times New Roman" w:hAnsi="Times New Roman"/>
          <w:sz w:val="22"/>
          <w:szCs w:val="22"/>
          <w:color w:val="000000"/>
        </w:rPr>
        <w:t xml:space="preserve"> above, Annual Platform Revenue shall be increased for the applicable three consecutive month period, solely for the purposes of measuring such financial covenant and not for any other purpose under this Agreement, by an amount equal to the Cure Amount deposited into a Deposit Account of the Borrower subject to a control agreement in favor of Agent; provided, that such Cure Amount shall not be included as Unrestricted Cash for purposes of calculating such financial covenant for the applicable three </w:t>
      </w:r>
      <w:r>
        <w:rPr>
          <w:rFonts w:ascii="Times New Roman" w:cs="Times New Roman" w:eastAsia="Times New Roman" w:hAnsi="Times New Roman"/>
          <w:sz w:val="22"/>
          <w:szCs w:val="22"/>
          <w:u w:val="single" w:color="auto"/>
          <w:color w:val="0000FF"/>
        </w:rPr>
        <w:t>(3)</w:t>
      </w:r>
      <w:r>
        <w:rPr>
          <w:rFonts w:ascii="Times New Roman" w:cs="Times New Roman" w:eastAsia="Times New Roman" w:hAnsi="Times New Roman"/>
          <w:sz w:val="22"/>
          <w:szCs w:val="22"/>
          <w:color w:val="000000"/>
        </w:rPr>
        <w:t xml:space="preserve"> consecutive month period, (3) any prepayment of the </w:t>
      </w:r>
      <w:r>
        <w:rPr>
          <w:rFonts w:ascii="Times New Roman" w:cs="Times New Roman" w:eastAsia="Times New Roman" w:hAnsi="Times New Roman"/>
          <w:sz w:val="22"/>
          <w:szCs w:val="22"/>
          <w:color w:val="FF0000"/>
          <w:strike w:val="1"/>
        </w:rPr>
        <w:t>Loans</w:t>
      </w:r>
      <w:r>
        <w:rPr>
          <w:rFonts w:ascii="Times New Roman" w:cs="Times New Roman" w:eastAsia="Times New Roman" w:hAnsi="Times New Roman"/>
          <w:sz w:val="22"/>
          <w:szCs w:val="22"/>
          <w:u w:val="single" w:color="auto"/>
          <w:color w:val="0000FF"/>
        </w:rPr>
        <w:t>Term Loan</w:t>
      </w:r>
      <w:r>
        <w:rPr>
          <w:rFonts w:ascii="Times New Roman" w:cs="Times New Roman" w:eastAsia="Times New Roman" w:hAnsi="Times New Roman"/>
          <w:sz w:val="22"/>
          <w:szCs w:val="22"/>
          <w:color w:val="000000"/>
        </w:rPr>
        <w:t xml:space="preserve"> made with respect to such Cure Amount shall not serve as a reduction to Indebtedness for purposes of calculating the Net Leverage Ratio for the applicable three consecutive month period; and (4) if, after giving effect to the foregoing recalculations, the Loan Parties shall then be in compliance with the requirements of </w:t>
      </w:r>
      <w:r>
        <w:rPr>
          <w:rFonts w:ascii="Times New Roman" w:cs="Times New Roman" w:eastAsia="Times New Roman" w:hAnsi="Times New Roman"/>
          <w:sz w:val="22"/>
          <w:szCs w:val="22"/>
          <w:u w:val="single" w:color="auto"/>
          <w:color w:val="000000"/>
        </w:rPr>
        <w:t>Section 6.17</w:t>
      </w:r>
      <w:r>
        <w:rPr>
          <w:rFonts w:ascii="Times New Roman" w:cs="Times New Roman" w:eastAsia="Times New Roman" w:hAnsi="Times New Roman"/>
          <w:sz w:val="22"/>
          <w:szCs w:val="22"/>
          <w:color w:val="000000"/>
        </w:rPr>
        <w:t xml:space="preserve">, the Loan Parties shall be deemed to have been in compliance with such financial covenant as of the relevant date of determination with the same effect as though there had been no failure to comply therewith at such date, and the applicable breach or Default of such financial covenant that had occurred shall be deemed not to have occurred for this purpose of the Agreement. In the event that (i) no Default exists other than that arising due to failure of the Loan Parties to comply with a financial covenant set forth in </w:t>
      </w:r>
      <w:r>
        <w:rPr>
          <w:rFonts w:ascii="Times New Roman" w:cs="Times New Roman" w:eastAsia="Times New Roman" w:hAnsi="Times New Roman"/>
          <w:sz w:val="22"/>
          <w:szCs w:val="22"/>
          <w:u w:val="single" w:color="auto"/>
          <w:color w:val="000000"/>
        </w:rPr>
        <w:t>Section 6.17</w:t>
      </w:r>
      <w:r>
        <w:rPr>
          <w:rFonts w:ascii="Times New Roman" w:cs="Times New Roman" w:eastAsia="Times New Roman" w:hAnsi="Times New Roman"/>
          <w:sz w:val="22"/>
          <w:szCs w:val="22"/>
          <w:color w:val="000000"/>
        </w:rPr>
        <w:t xml:space="preserve">, and (ii) Borrower shall have delivered to Agent written notice of its intention to exercise the Cure Right (which notice shall be delivered no earlier than </w:t>
      </w:r>
      <w:r>
        <w:rPr>
          <w:rFonts w:ascii="Times New Roman" w:cs="Times New Roman" w:eastAsia="Times New Roman" w:hAnsi="Times New Roman"/>
          <w:sz w:val="22"/>
          <w:szCs w:val="22"/>
          <w:color w:val="FF0000"/>
          <w:strike w:val="1"/>
        </w:rPr>
        <w:t>five</w:t>
      </w:r>
      <w:r>
        <w:rPr>
          <w:rFonts w:ascii="Times New Roman" w:cs="Times New Roman" w:eastAsia="Times New Roman" w:hAnsi="Times New Roman"/>
          <w:sz w:val="22"/>
          <w:szCs w:val="22"/>
          <w:u w:val="single" w:color="auto"/>
          <w:color w:val="0000FF"/>
        </w:rPr>
        <w:t>seven</w:t>
      </w:r>
    </w:p>
    <w:p>
      <w:pPr>
        <w:spacing w:after="0" w:line="8" w:lineRule="exact"/>
        <w:rPr>
          <w:rFonts w:ascii="Times New Roman" w:cs="Times New Roman" w:eastAsia="Times New Roman" w:hAnsi="Times New Roman"/>
          <w:sz w:val="22"/>
          <w:szCs w:val="22"/>
          <w:color w:val="010000"/>
        </w:rPr>
      </w:pPr>
    </w:p>
    <w:p>
      <w:pPr>
        <w:jc w:val="both"/>
        <w:ind w:left="1100"/>
        <w:spacing w:after="0" w:line="232"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5</w:t>
      </w:r>
      <w:r>
        <w:rPr>
          <w:rFonts w:ascii="Times New Roman" w:cs="Times New Roman" w:eastAsia="Times New Roman" w:hAnsi="Times New Roman"/>
          <w:sz w:val="22"/>
          <w:szCs w:val="22"/>
          <w:u w:val="single" w:color="auto"/>
          <w:color w:val="0000FF"/>
        </w:rPr>
        <w:t>7</w:t>
      </w:r>
      <w:r>
        <w:rPr>
          <w:rFonts w:ascii="Times New Roman" w:cs="Times New Roman" w:eastAsia="Times New Roman" w:hAnsi="Times New Roman"/>
          <w:sz w:val="22"/>
          <w:szCs w:val="22"/>
          <w:color w:val="auto"/>
        </w:rPr>
        <w:t xml:space="preserve">) Business Days following the date the relevant Compliance Certificate reporting such failure is required to be delivered pursuant to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which exercise if fully consummated would be sufficient in accordance with the terms hereof to cause the Loan Parties to be in compliance with the financial covenant as of the relevant date of determination, then from and following receipt by Agent of any such notice and until the date that is the earlier of (x) the thirtieth (30th) day subsequent to the date the applicable Compliance Certificate reporting such failure is required to be delivered pursuant to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and (y) the date, if any, on which any Loan Party notifies Agent in writing that such Cure Right shall not be exercised, then neither Agent nor any Lender shall exercise any remedies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hereof during such</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67</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8" w:name="page89"/>
    <w:bookmarkEnd w:id="88"/>
    <w:p>
      <w:pPr>
        <w:jc w:val="both"/>
        <w:ind w:left="1100"/>
        <w:spacing w:after="0" w:line="239" w:lineRule="auto"/>
        <w:rPr>
          <w:sz w:val="20"/>
          <w:szCs w:val="20"/>
          <w:color w:val="auto"/>
        </w:rPr>
      </w:pPr>
      <w:r>
        <w:rPr>
          <w:rFonts w:ascii="Times New Roman" w:cs="Times New Roman" w:eastAsia="Times New Roman" w:hAnsi="Times New Roman"/>
          <w:sz w:val="22"/>
          <w:szCs w:val="22"/>
          <w:color w:val="auto"/>
        </w:rPr>
        <w:t xml:space="preserve">period. Notwithstanding anything herein to the contrary, (i) the Cure Right may be used only one (1) time in any rolling twelve (12) month period, (ii) the dollar amount of the applicable Cure Amount shall be no greater than the amount required for purposes of complying with the applicable covenant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and (iii) no Cure Amount shall be used to make a Restricted Payment.</w:t>
      </w:r>
    </w:p>
    <w:p>
      <w:pPr>
        <w:spacing w:after="0" w:line="190"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6.18</w:t>
      </w:r>
      <w:r>
        <w:rPr>
          <w:sz w:val="20"/>
          <w:szCs w:val="20"/>
          <w:color w:val="auto"/>
        </w:rPr>
        <w:tab/>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Permit or incur any Change of Control.</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78" w:lineRule="exact"/>
        <w:rPr>
          <w:sz w:val="20"/>
          <w:szCs w:val="20"/>
          <w:color w:val="auto"/>
        </w:rPr>
      </w:pPr>
    </w:p>
    <w:p>
      <w:pPr>
        <w:ind w:left="176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010000"/>
        </w:rPr>
        <w:t>7.1</w:t>
      </w:r>
      <w:r>
        <w:rPr>
          <w:sz w:val="20"/>
          <w:szCs w:val="20"/>
          <w:color w:val="auto"/>
        </w:rPr>
        <w:tab/>
      </w:r>
      <w:r>
        <w:rPr>
          <w:rFonts w:ascii="Times New Roman" w:cs="Times New Roman" w:eastAsia="Times New Roman" w:hAnsi="Times New Roman"/>
          <w:sz w:val="21"/>
          <w:szCs w:val="21"/>
          <w:b w:val="1"/>
          <w:bCs w:val="1"/>
          <w:color w:val="auto"/>
        </w:rPr>
        <w:t>Events of Default</w:t>
      </w:r>
      <w:r>
        <w:rPr>
          <w:rFonts w:ascii="Times New Roman" w:cs="Times New Roman" w:eastAsia="Times New Roman" w:hAnsi="Times New Roman"/>
          <w:sz w:val="21"/>
          <w:szCs w:val="21"/>
          <w:color w:val="auto"/>
        </w:rPr>
        <w:t>. The occurrence of any of the following shall constitute an Event of</w:t>
      </w:r>
    </w:p>
    <w:p>
      <w:pPr>
        <w:spacing w:after="0" w:line="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Default:</w:t>
      </w:r>
    </w:p>
    <w:p>
      <w:pPr>
        <w:spacing w:after="0" w:line="196" w:lineRule="exact"/>
        <w:rPr>
          <w:sz w:val="20"/>
          <w:szCs w:val="20"/>
          <w:color w:val="auto"/>
        </w:rPr>
      </w:pPr>
    </w:p>
    <w:p>
      <w:pPr>
        <w:jc w:val="both"/>
        <w:ind w:left="1100" w:firstLine="654"/>
        <w:spacing w:after="0" w:line="238" w:lineRule="auto"/>
        <w:tabs>
          <w:tab w:leader="none" w:pos="2396"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Borrower shall (i) fail to pay any amount of principal of the Term Loan or Make Whole Premium when due in accordance with the terms hereof, or (ii) fail to pay any amount of interest on the Term Loan, or any other amount payable hereunder or under any other Loan Document, within three (3) Business Days after any such interest or other amount becomes due in accordance with the terms hereof; or</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36" w:lineRule="auto"/>
        <w:tabs>
          <w:tab w:leader="none" w:pos="2396"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81" w:lineRule="exact"/>
        <w:rPr>
          <w:rFonts w:ascii="Times New Roman" w:cs="Times New Roman" w:eastAsia="Times New Roman" w:hAnsi="Times New Roman"/>
          <w:sz w:val="22"/>
          <w:szCs w:val="22"/>
          <w:color w:val="010000"/>
        </w:rPr>
      </w:pPr>
    </w:p>
    <w:p>
      <w:pPr>
        <w:ind w:left="1100" w:right="20" w:firstLine="654"/>
        <w:spacing w:after="0" w:line="241" w:lineRule="auto"/>
        <w:tabs>
          <w:tab w:leader="none" w:pos="2396"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 any Loan Party fails to perform or comply with any term or condition contained in </w:t>
      </w:r>
      <w:r>
        <w:rPr>
          <w:rFonts w:ascii="Times New Roman" w:cs="Times New Roman" w:eastAsia="Times New Roman" w:hAnsi="Times New Roman"/>
          <w:sz w:val="22"/>
          <w:szCs w:val="22"/>
          <w:u w:val="single" w:color="auto"/>
          <w:color w:val="auto"/>
        </w:rPr>
        <w:t>Sections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Certificates; Reports; Other Information</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010000"/>
        </w:rPr>
      </w:pPr>
    </w:p>
    <w:p>
      <w:pPr>
        <w:jc w:val="both"/>
        <w:ind w:left="1100"/>
        <w:spacing w:after="0" w:line="230"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5.4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Maintenance of Existence; Compliance with Requirements of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Maintenance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Collateral; Insurance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Inspection of Property; Books and Records; Discussions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Environmental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Assurances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p>
    <w:p>
      <w:pPr>
        <w:spacing w:after="0" w:line="1" w:lineRule="exact"/>
        <w:rPr>
          <w:rFonts w:ascii="Times New Roman" w:cs="Times New Roman" w:eastAsia="Times New Roman" w:hAnsi="Times New Roman"/>
          <w:sz w:val="22"/>
          <w:szCs w:val="22"/>
          <w:color w:val="010000"/>
        </w:rPr>
      </w:pPr>
    </w:p>
    <w:p>
      <w:pPr>
        <w:jc w:val="both"/>
        <w:ind w:left="1100"/>
        <w:spacing w:after="0" w:line="232"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Post-Closing Covenants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Additional Subsidiaries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Board Observation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Rights</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Negative Covenants</w:t>
      </w:r>
      <w:r>
        <w:rPr>
          <w:rFonts w:ascii="Times New Roman" w:cs="Times New Roman" w:eastAsia="Times New Roman" w:hAnsi="Times New Roman"/>
          <w:sz w:val="22"/>
          <w:szCs w:val="22"/>
          <w:color w:val="auto"/>
        </w:rPr>
        <w:t>] or (ii) any Loan Party or any Affiliate of the Obligations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fails or neglects to perform, keep or observe any other term, provision, condition or covenant contained in this Agreement or in the Loan Documents, which is required to be performed, kept or observed by it (exclusive of payment obligations and other occurrences described in other provisions of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and the same is not cured to Agent’s reasonable satisfaction within thirty (30) days after Agent gives it written notice identifying such Default, provided that if the same cannot reasonably be cured within the aforesaid thirty (30) day period, it shall have such additional time as Agent may grant in its sole discretion to cure the same so long as it is diligently pursuing to cure the same; or</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39" w:lineRule="auto"/>
        <w:tabs>
          <w:tab w:leader="none" w:pos="2396"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any Loan Party shall commence any case, proceeding or other action (a) under any Debtor Relief Law seeking to have an order for relief entered with respect to it, or seeking to adjudicate it as bankrupt or insolvent, or seeking reorganization, arrangement, adjustment, winding up, liquidation, dissolution, composition or other relief with respect to it or its debts, or</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68</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89" w:name="page90"/>
    <w:bookmarkEnd w:id="89"/>
    <w:p>
      <w:pPr>
        <w:jc w:val="both"/>
        <w:ind w:left="1100" w:firstLine="6"/>
        <w:spacing w:after="0" w:line="232" w:lineRule="auto"/>
        <w:tabs>
          <w:tab w:leader="none" w:pos="145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appointment of a receiver, trustee, custodian, conservator, judicial manager or other similar official for it or for all or any substantial part of its assets, or any Loan Party shall make a general assignment for the benefit of its creditors; or (ii) there shall be commenced against any Loan Party any case, proceeding or other action of a nature referred to in clause (i) above that results in the entry of an order for relief or any such adjudication or appointment or remains undismissed, undischarged or unbonded for a period of sixty (60) days; or (iii) 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w:t>
      </w:r>
    </w:p>
    <w:p>
      <w:pPr>
        <w:spacing w:after="0" w:line="8" w:lineRule="exact"/>
        <w:rPr>
          <w:rFonts w:ascii="Times New Roman" w:cs="Times New Roman" w:eastAsia="Times New Roman" w:hAnsi="Times New Roman"/>
          <w:sz w:val="22"/>
          <w:szCs w:val="22"/>
          <w:color w:val="auto"/>
        </w:rPr>
      </w:pPr>
    </w:p>
    <w:p>
      <w:pPr>
        <w:jc w:val="both"/>
        <w:ind w:left="110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any Loan Party shall take any action in furtherance of, or indicating its consent to, approval of, or acquiescence in, any of the acts set forth in clause (i), (ii), or (iii) above; or (v) any Loan Party shall generally not, or shall be unable to, or shall admit in writing its inability to, pay its debts as they become due; or</w:t>
      </w:r>
    </w:p>
    <w:p>
      <w:pPr>
        <w:spacing w:after="0" w:line="190" w:lineRule="exact"/>
        <w:rPr>
          <w:rFonts w:ascii="Times New Roman" w:cs="Times New Roman" w:eastAsia="Times New Roman" w:hAnsi="Times New Roman"/>
          <w:sz w:val="22"/>
          <w:szCs w:val="22"/>
          <w:color w:val="auto"/>
        </w:rPr>
      </w:pPr>
    </w:p>
    <w:p>
      <w:pPr>
        <w:jc w:val="both"/>
        <w:ind w:left="1100" w:firstLine="653"/>
        <w:spacing w:after="0" w:line="243" w:lineRule="auto"/>
        <w:tabs>
          <w:tab w:leader="none" w:pos="2397" w:val="left"/>
        </w:tabs>
        <w:numPr>
          <w:ilvl w:val="1"/>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any default or breach occurs, which is not cured within any applicable grace period or waived, (x) in the payment of any amount with respect to any Indebtedness (other than the Obligations and any Subordinated Indebtedness) of Borrower or any other Loan Party for borrowed money having an aggregate principal amount in excess of $500,000 individually or in the aggregate, or (y) in the performance, observance or fulfillment of any provision contained in any agreement, contract, document or instrument to which Borrower or any other Loan Party is a party or to which any of their properties or assets are subject or bound under or pursuant to which any Indebtedness (other than any Subordinated Indebtedness) having an aggregate principal amount in excess of $500,000 individually or in the aggregate was issued, created, assumed, guaranteed or secured and such default or breach continues for more than any applicable grace period and permits the holder of any such Indebtedness to accelerate the maturity thereof; or (ii) any Indebtedness (other than the Obligations and any Subordinated Indebtedness) of Borrower or any other Loan Party for borrowed money having an aggregate principal amount in excess of $500,000 individually or in the aggregate is declared to be due and payable or is required to be prepaid (other than by a regularly scheduled payment or a payment due on the voluntary termination of a Capital Lease) prior to the stated maturity thereof, or any obligation of such Person for the payment of Indebtedness for borrowed money having an aggregate principal amount in excess of $500,000 individually or in the aggregate (other than the Obligations and any Subordinated Indebtedness) is not paid when due or within any applicable grace period, or any such obligation becomes or is declared to be due and payable before the expressed maturity thereof, or there occurs any event which would cause any such obligation to become, or allow any such obligation to be declared, due and payable; or</w:t>
      </w:r>
    </w:p>
    <w:p>
      <w:pPr>
        <w:spacing w:after="0" w:line="184" w:lineRule="exact"/>
        <w:rPr>
          <w:rFonts w:ascii="Times New Roman" w:cs="Times New Roman" w:eastAsia="Times New Roman" w:hAnsi="Times New Roman"/>
          <w:sz w:val="21"/>
          <w:szCs w:val="21"/>
          <w:color w:val="010000"/>
        </w:rPr>
      </w:pPr>
    </w:p>
    <w:p>
      <w:pPr>
        <w:jc w:val="both"/>
        <w:ind w:left="1100" w:firstLine="654"/>
        <w:spacing w:after="0" w:line="238" w:lineRule="auto"/>
        <w:tabs>
          <w:tab w:leader="none" w:pos="2396"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occurrence of any default or breach by Borrower or any Loan Party under the Nirvana Debt or any Subordinated Indebtedness, or any of the instruments or other documents executed in connection therewith and, in each case, such default or breach continues for more than any applicable grace period and permits the holder of any such Indebtedness to accelerate the maturity thereof; or</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entered against any Loan Party (i) one or more final judgments or orders for the payment of money involving in the aggregate a liability (not paid or fully covered by insurance as to which the relevant insurance company has acknowledged coverage) of</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69</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0" w:name="page91"/>
    <w:bookmarkEnd w:id="90"/>
    <w:p>
      <w:pPr>
        <w:jc w:val="both"/>
        <w:ind w:left="1100"/>
        <w:spacing w:after="0" w:line="238" w:lineRule="auto"/>
        <w:rPr>
          <w:sz w:val="20"/>
          <w:szCs w:val="20"/>
          <w:color w:val="auto"/>
        </w:rPr>
      </w:pPr>
      <w:r>
        <w:rPr>
          <w:rFonts w:ascii="Times New Roman" w:cs="Times New Roman" w:eastAsia="Times New Roman" w:hAnsi="Times New Roman"/>
          <w:sz w:val="22"/>
          <w:szCs w:val="22"/>
          <w:color w:val="auto"/>
        </w:rPr>
        <w:t>$1,000,000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thirty (30) days from the entry thereof; or</w:t>
      </w:r>
    </w:p>
    <w:p>
      <w:pPr>
        <w:spacing w:after="0" w:line="190" w:lineRule="exact"/>
        <w:rPr>
          <w:sz w:val="20"/>
          <w:szCs w:val="20"/>
          <w:color w:val="auto"/>
        </w:rPr>
      </w:pPr>
    </w:p>
    <w:p>
      <w:pPr>
        <w:jc w:val="both"/>
        <w:ind w:left="1100" w:firstLine="654"/>
        <w:spacing w:after="0" w:line="239" w:lineRule="auto"/>
        <w:tabs>
          <w:tab w:leader="none" w:pos="2396"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of the Security Documents shall cease, for any reason other than the action or inaction of the Agent or a Lender, to be in full force and effect (other than pursuant to the terms thereof), or any party thereto shall so assert, or any Lien created by any of the Security Documents shall cease to be enforceable and of the same effect and priority purported to be created thereby; or</w:t>
      </w:r>
    </w:p>
    <w:p>
      <w:pPr>
        <w:spacing w:after="0" w:line="180"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thirty (30) days from the entry thereof; or</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36" w:lineRule="auto"/>
        <w:tabs>
          <w:tab w:leader="none" w:pos="2396"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Borrower, any other Loan Party or any of their respective ERISA Affiliates establishes, maintains, contributes or agrees to contribute to, or otherwise incurs any liability, contingent or otherwise, with respect to, any “employee benefit plan” that (i) is covered by Title IV of ERISA or Section 412 of the Code or (ii) provides for post-employment medical or other welfare benefits, except as required by applicable Requirements of Law and at the sole expense of the plan participants; or</w:t>
      </w:r>
    </w:p>
    <w:p>
      <w:pPr>
        <w:spacing w:after="0" w:line="194"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of Control shall occur; or</w:t>
      </w:r>
    </w:p>
    <w:p>
      <w:pPr>
        <w:spacing w:after="0" w:line="219"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Adverse Effect shall occur; or</w:t>
      </w:r>
    </w:p>
    <w:p>
      <w:pPr>
        <w:spacing w:after="0" w:line="219"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license or permit material (in the Agent’s sole discretion) to the operation of the business of any Loan Party is terminated, revoked, suspended or not renewed, the result of which could reasonably be expected to result in a Material Adverse Effect; or</w:t>
      </w:r>
    </w:p>
    <w:p>
      <w:pPr>
        <w:spacing w:after="0" w:line="173" w:lineRule="exact"/>
        <w:rPr>
          <w:rFonts w:ascii="Times New Roman" w:cs="Times New Roman" w:eastAsia="Times New Roman" w:hAnsi="Times New Roman"/>
          <w:sz w:val="22"/>
          <w:szCs w:val="22"/>
          <w:color w:val="010000"/>
        </w:rPr>
      </w:pPr>
    </w:p>
    <w:p>
      <w:pPr>
        <w:jc w:val="both"/>
        <w:ind w:left="1100" w:firstLine="654"/>
        <w:spacing w:after="0" w:line="236" w:lineRule="auto"/>
        <w:tabs>
          <w:tab w:leader="none" w:pos="2396"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notice of lien, levy or assessment is filed of record with respect to all or any substantial portion of any Borrower’s assets by the United States, or any department, agency or instrumentality thereof, or by any state, county, municipal or other governmental agency, including, without limitation, the Pension Benefit Guaranty Corporation, or any Taxes or debts owing to any of the foregoing becomes a lien or encumbrance upon the Collateral or any of its other assets and such lien or encumbrance is not released within thirty (30) days after its creation; or</w:t>
      </w:r>
    </w:p>
    <w:p>
      <w:pPr>
        <w:spacing w:after="0" w:line="194" w:lineRule="exact"/>
        <w:rPr>
          <w:rFonts w:ascii="Times New Roman" w:cs="Times New Roman" w:eastAsia="Times New Roman" w:hAnsi="Times New Roman"/>
          <w:sz w:val="22"/>
          <w:szCs w:val="22"/>
          <w:color w:val="010000"/>
        </w:rPr>
      </w:pPr>
    </w:p>
    <w:p>
      <w:pPr>
        <w:jc w:val="both"/>
        <w:ind w:left="1100" w:firstLine="653"/>
        <w:spacing w:after="0" w:line="239" w:lineRule="auto"/>
        <w:tabs>
          <w:tab w:leader="none" w:pos="2397"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Borrower or any other Loan Party or any of their directors, managing members or senior officers is criminally indicted or convicted (i) of a felony, or (ii) under any Law that could reasonably be expected to lead to a forfeiture of any material (as determined by Agent in its sole discretion) portion of the Collateral; or</w:t>
      </w:r>
    </w:p>
    <w:p>
      <w:pPr>
        <w:spacing w:after="0" w:line="193"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[reserved]; or</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70</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1" w:name="page92"/>
    <w:bookmarkEnd w:id="91"/>
    <w:p>
      <w:pPr>
        <w:jc w:val="both"/>
        <w:ind w:left="1100" w:firstLine="654"/>
        <w:spacing w:after="0" w:line="244" w:lineRule="auto"/>
        <w:tabs>
          <w:tab w:leader="none" w:pos="2396"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trading of the Parent’s common shares shall be suspended by the SEC, the Principal Market or FINRA, or otherwise halted for any reason and such common stock shall not be approved for listing or quotation on or delisted from the Principal Market; or</w:t>
      </w:r>
    </w:p>
    <w:p>
      <w:pPr>
        <w:spacing w:after="0" w:line="186"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Loan Party breaches or defaults under any term of the SPAC Merger Agreement, any SPAC Subscription Agreement or any other agreement in connection with the SPAC Transaction in a manner that could reasonably be expected to result in liability of</w:t>
      </w:r>
    </w:p>
    <w:p>
      <w:pPr>
        <w:ind w:left="11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$1,000,000 or more.</w:t>
      </w:r>
    </w:p>
    <w:p>
      <w:pPr>
        <w:spacing w:after="0" w:line="178" w:lineRule="exact"/>
        <w:rPr>
          <w:sz w:val="20"/>
          <w:szCs w:val="20"/>
          <w:color w:val="auto"/>
        </w:rPr>
      </w:pPr>
    </w:p>
    <w:p>
      <w:pPr>
        <w:ind w:left="176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010000"/>
        </w:rPr>
        <w:t>7.2</w:t>
      </w:r>
      <w:r>
        <w:rPr>
          <w:sz w:val="20"/>
          <w:szCs w:val="20"/>
          <w:color w:val="auto"/>
        </w:rPr>
        <w:tab/>
      </w:r>
      <w:r>
        <w:rPr>
          <w:rFonts w:ascii="Times New Roman" w:cs="Times New Roman" w:eastAsia="Times New Roman" w:hAnsi="Times New Roman"/>
          <w:sz w:val="22"/>
          <w:szCs w:val="22"/>
          <w:b w:val="1"/>
          <w:bCs w:val="1"/>
          <w:color w:val="auto"/>
        </w:rPr>
        <w:t>Remedies Upon Event of Default</w:t>
      </w:r>
      <w:r>
        <w:rPr>
          <w:rFonts w:ascii="Times New Roman" w:cs="Times New Roman" w:eastAsia="Times New Roman" w:hAnsi="Times New Roman"/>
          <w:sz w:val="22"/>
          <w:szCs w:val="22"/>
          <w:color w:val="auto"/>
        </w:rPr>
        <w:t>. If any Event of Default occurs and is continuing,</w:t>
      </w:r>
    </w:p>
    <w:p>
      <w:pPr>
        <w:spacing w:after="0" w:line="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Agent may take any or all of the following actions:</w:t>
      </w:r>
    </w:p>
    <w:p>
      <w:pPr>
        <w:spacing w:after="0" w:line="196" w:lineRule="exact"/>
        <w:rPr>
          <w:sz w:val="20"/>
          <w:szCs w:val="20"/>
          <w:color w:val="auto"/>
        </w:rPr>
      </w:pPr>
    </w:p>
    <w:p>
      <w:pPr>
        <w:jc w:val="both"/>
        <w:ind w:left="1100" w:firstLine="654"/>
        <w:spacing w:after="0" w:line="238" w:lineRule="auto"/>
        <w:tabs>
          <w:tab w:leader="none" w:pos="2396" w:val="left"/>
        </w:tabs>
        <w:numPr>
          <w:ilvl w:val="1"/>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such event is an Event of Default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7.1</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the Term Loan Commitment shall immediately terminate automatically and the Term Loan (with accrued interest thereon) and all other amounts owing under this Agreement and the other Loan Documents shall automatically immediately become due and payable, without demand, notice or legal process of any kind, with such rights are hereby waived by the Loan Parties; and</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32" w:lineRule="auto"/>
        <w:tabs>
          <w:tab w:leader="none" w:pos="2396" w:val="left"/>
        </w:tabs>
        <w:numPr>
          <w:ilvl w:val="1"/>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event is any other Event of Default, Agent may, or at the direction of the Required Lenders, shall: (i) immediately terminate the Term Loan Commitment; (ii) declare the Term Loan (with accrued interest thereon) and all other Obligations and other amounts owing under this Agreement and the other Loan Documents to be due and payable forthwith, whereupon the same shall immediately become due and payable, without demand, notice or legal process of any kind, which such rights are hereby waived by the Loan Parties; and (iii) exercise all rights and remedies available to it hereunder and under any other Loan Document, under the UCC or at Law or in equity (in each case, in compliance with all applicable law), including, without limitation the right to (A) apply any property of any Loan Party held by Agent or any Lender to reduce the Obligations, (B) foreclose the Liens created under the Loan Documents, (C) realize upon, take possession of and/or sell any Collateral, with or without judicial process, (D) exercise all rights and powers with respect to the Collateral as such Loan Party might exercise,</w:t>
      </w:r>
    </w:p>
    <w:p>
      <w:pPr>
        <w:spacing w:after="0" w:line="5" w:lineRule="exact"/>
        <w:rPr>
          <w:rFonts w:ascii="Times New Roman" w:cs="Times New Roman" w:eastAsia="Times New Roman" w:hAnsi="Times New Roman"/>
          <w:sz w:val="22"/>
          <w:szCs w:val="22"/>
          <w:color w:val="010000"/>
        </w:rPr>
      </w:pPr>
    </w:p>
    <w:p>
      <w:pPr>
        <w:jc w:val="both"/>
        <w:ind w:left="1100" w:firstLine="6"/>
        <w:spacing w:after="0" w:line="244" w:lineRule="auto"/>
        <w:tabs>
          <w:tab w:leader="none" w:pos="1439"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collect and send notices regarding the Collateral, with or without judicial process, (F) by its own means or with judicial assistance, enter any premises at which Collateral is located, or render any of the foregoing unusable or dispose of the Collateral on such premises without any liability for rent, storage, utilities, or other sums, and no Loan Party shall, or permit any Subsidiary or Affiliate to, resist or interfere with such action, (G) at the Loan Parties’ expense, require that all or any part of the Collateral be assembled and made available to Agent at any place designated by Agent in its sole discretion, and/or (H) relinquish or abandon any Collateral or securities pledged or any Lien thereon.</w:t>
      </w:r>
    </w:p>
    <w:p>
      <w:pPr>
        <w:spacing w:after="0" w:line="174" w:lineRule="exact"/>
        <w:rPr>
          <w:sz w:val="20"/>
          <w:szCs w:val="20"/>
          <w:color w:val="auto"/>
        </w:rPr>
      </w:pPr>
    </w:p>
    <w:p>
      <w:pPr>
        <w:jc w:val="both"/>
        <w:ind w:left="1100"/>
        <w:spacing w:after="0" w:line="253" w:lineRule="auto"/>
        <w:rPr>
          <w:sz w:val="20"/>
          <w:szCs w:val="20"/>
          <w:color w:val="auto"/>
        </w:rPr>
      </w:pPr>
      <w:r>
        <w:rPr>
          <w:rFonts w:ascii="Times New Roman" w:cs="Times New Roman" w:eastAsia="Times New Roman" w:hAnsi="Times New Roman"/>
          <w:sz w:val="21"/>
          <w:szCs w:val="21"/>
          <w:color w:val="auto"/>
        </w:rPr>
        <w:t>Notwithstanding any provision of any Loan Document, Agent, in its sole discretion, shall have the right, at any time that any Loan Party fails to do so, after an Event of Default, without prior notice, to:</w:t>
      </w:r>
    </w:p>
    <w:p>
      <w:pPr>
        <w:ind w:left="1460" w:hanging="354"/>
        <w:spacing w:after="0" w:line="231" w:lineRule="auto"/>
        <w:tabs>
          <w:tab w:leader="none" w:pos="14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insurance covering any of the Collateral to the extent required hereunder;</w:t>
      </w:r>
    </w:p>
    <w:p>
      <w:pPr>
        <w:jc w:val="both"/>
        <w:ind w:left="1100" w:firstLine="6"/>
        <w:spacing w:after="0" w:line="233" w:lineRule="auto"/>
        <w:tabs>
          <w:tab w:leader="none" w:pos="146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for the performance of any of the Obligations; (C) discharge Taxes, levies and/or Liens on any of the Collateral that are in violation of any Loan Document; and (D) pay for the maintenance, repair and/or preservation of the Collateral. Such expenses and advances (1) shall be deemed loans hereunder and added to the Obligations until reimbursed to Agent and the Lenders, (2) shall be secured by the Collateral, and (3) at Agent’s discretion, shall be deemed 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71</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2" w:name="page93"/>
    <w:bookmarkEnd w:id="92"/>
    <w:p>
      <w:pPr>
        <w:jc w:val="both"/>
        <w:ind w:left="1100"/>
        <w:spacing w:after="0" w:line="242" w:lineRule="auto"/>
        <w:rPr>
          <w:sz w:val="20"/>
          <w:szCs w:val="20"/>
          <w:color w:val="auto"/>
        </w:rPr>
      </w:pPr>
      <w:r>
        <w:rPr>
          <w:rFonts w:ascii="Times New Roman" w:cs="Times New Roman" w:eastAsia="Times New Roman" w:hAnsi="Times New Roman"/>
          <w:sz w:val="21"/>
          <w:szCs w:val="21"/>
          <w:color w:val="auto"/>
        </w:rPr>
        <w:t xml:space="preserve">Protective Advance, and such payments by Agent or any Lender shall not be construed as a waiver by Agent or any Lender of any Event of Default or any other rights or remedies of Agent or any Lender. Each Loan Party agrees that notice received at least ten (10) calendar days before the time of any intended public sale, or the time after which any private sale or other disposition of Collateral is to be made, shall be deemed to be reasonable notice of such sale or other disposition. Each Loan Party acknowledges and agrees that (A) a private sale may result in a lower price than if such sale were a public sale, and notwithstanding such circumstances, agrees that such lower price shall not make such private sale unreasonable, and (B) Agent shall be under no obligation to delay a sale of any of the Collateral for the period of time necessary to permit the issuer thereof to register such securities or other interests for public sale under the Securities Act, or under applicable state securities Laws, even if such registration would result in a higher price than a private sale. If permitted by applicable law, any perishable Collateral which threatens to speedily decline in value or which is sold on a recognized market may be sold immediately by Agent without prior notice to any Loan Party. At any sale or disposition of Collateral or securities pledged, Agent may (to the extent permitted by applicable law) purchase all or any part thereof on behalf of itself and the Lenders free from any right of redemption by any Loan Party which right is hereby waived and released. Each Loan Party covenants and agrees not to, and to cause its Subsidiaries and Agents not to, interfere with or impose any obstacle to Agent’s exercise of its rights and remedies with respect to the Collateral. In dealing with or disposing of the Collateral or any part thereof, Agent shall not be required to give priority or preference to any item of Collateral or otherwise to marshal assets or to take possession or sell any Collateral with judicial process. Presentment, demand, protest and all other notices of any kind with respect to the remedies provided in this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are hereby expressly waived by each Loan Party. Each Loan Party hereby irrevocably appoints Agent as its attorney-in-fact for the limited purpose of taking any action permitted under the Loan Documents that Agent deems necessary or desirable (in Agent’s sole discretion) upon the occurrence and during the continuation of an Event of Default to protect and realize upon Agent’s Lien in the Collateral, including the execution and delivery of any and all documents or instruments related to the Collateral in each Loan Party’s name, and said appointment shall create in Agent a power coupled with an interest. Such power of attorney, and proxy with respect thereto, is irrevocable and coupled with an interest and may not be terminated or revoked until all Obligations are paid in full in cash (other than inchoate indemnification obligations for which no claim has been asserted) and all Term Loan Commitments have expired or terminated.</w:t>
      </w:r>
    </w:p>
    <w:p>
      <w:pPr>
        <w:spacing w:after="0" w:line="210"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2"/>
          <w:szCs w:val="22"/>
          <w:b w:val="1"/>
          <w:bCs w:val="1"/>
          <w:color w:val="010000"/>
        </w:rPr>
        <w:t xml:space="preserve">7.3 </w:t>
      </w:r>
      <w:r>
        <w:rPr>
          <w:rFonts w:ascii="Times New Roman" w:cs="Times New Roman" w:eastAsia="Times New Roman" w:hAnsi="Times New Roman"/>
          <w:sz w:val="22"/>
          <w:szCs w:val="22"/>
          <w:b w:val="1"/>
          <w:bCs w:val="1"/>
          <w:color w:val="000000"/>
        </w:rPr>
        <w:t>Application of Funds</w:t>
      </w:r>
      <w:r>
        <w:rPr>
          <w:rFonts w:ascii="Times New Roman" w:cs="Times New Roman" w:eastAsia="Times New Roman" w:hAnsi="Times New Roman"/>
          <w:sz w:val="22"/>
          <w:szCs w:val="22"/>
          <w:color w:val="000000"/>
        </w:rPr>
        <w:t>. After the exercise of remedies provided for in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7.2,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amounts received by Agent or any Lender on account of the Obligations shall be applied by Agent in the following order:</w:t>
      </w:r>
    </w:p>
    <w:p>
      <w:pPr>
        <w:spacing w:after="0" w:line="171" w:lineRule="exact"/>
        <w:rPr>
          <w:sz w:val="20"/>
          <w:szCs w:val="20"/>
          <w:color w:val="auto"/>
        </w:rPr>
      </w:pPr>
    </w:p>
    <w:p>
      <w:pPr>
        <w:ind w:left="1100" w:firstLine="654"/>
        <w:spacing w:after="0" w:line="258" w:lineRule="auto"/>
        <w:tabs>
          <w:tab w:leader="none" w:pos="2396"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Agent, for the benefit of itself and Lenders, an amount equal to any interest owed with respect to all Protective Advances until paid in full;</w:t>
      </w:r>
    </w:p>
    <w:p>
      <w:pPr>
        <w:spacing w:after="0" w:line="171" w:lineRule="exact"/>
        <w:rPr>
          <w:rFonts w:ascii="Times New Roman" w:cs="Times New Roman" w:eastAsia="Times New Roman" w:hAnsi="Times New Roman"/>
          <w:sz w:val="22"/>
          <w:szCs w:val="22"/>
          <w:color w:val="010000"/>
        </w:rPr>
      </w:pPr>
    </w:p>
    <w:p>
      <w:pPr>
        <w:ind w:left="1100" w:firstLine="654"/>
        <w:spacing w:after="0" w:line="258" w:lineRule="auto"/>
        <w:tabs>
          <w:tab w:leader="none" w:pos="2396"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Agent, for the benefit of itself and Lenders, an amount equal to any principal owed with respect to all Protective Advances until paid in full;</w:t>
      </w:r>
    </w:p>
    <w:p>
      <w:pPr>
        <w:spacing w:after="0" w:line="171"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fees, reimbursements under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indemnities and other amounts (other than principal, interest, and the Monitoring Fee (as defined in the Fee Letter)) payable to Agent and Lenders (including</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72</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3" w:name="page94"/>
    <w:bookmarkEnd w:id="93"/>
    <w:p>
      <w:pPr>
        <w:ind w:left="1100" w:right="360"/>
        <w:spacing w:after="0" w:line="258" w:lineRule="auto"/>
        <w:rPr>
          <w:sz w:val="20"/>
          <w:szCs w:val="20"/>
          <w:color w:val="auto"/>
        </w:rPr>
      </w:pPr>
      <w:r>
        <w:rPr>
          <w:rFonts w:ascii="Times New Roman" w:cs="Times New Roman" w:eastAsia="Times New Roman" w:hAnsi="Times New Roman"/>
          <w:sz w:val="22"/>
          <w:szCs w:val="22"/>
          <w:color w:val="auto"/>
        </w:rPr>
        <w:t>reasonable fees, charges and disbursements of counsel required to be paid hereunder) until paid in full;</w:t>
      </w:r>
    </w:p>
    <w:p>
      <w:pPr>
        <w:spacing w:after="0" w:line="158" w:lineRule="exact"/>
        <w:rPr>
          <w:sz w:val="20"/>
          <w:szCs w:val="20"/>
          <w:color w:val="auto"/>
        </w:rPr>
      </w:pPr>
    </w:p>
    <w:p>
      <w:pPr>
        <w:ind w:left="2380" w:hanging="630"/>
        <w:spacing w:after="0"/>
        <w:tabs>
          <w:tab w:leader="none" w:pos="238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Agent, any accrued and unpaid Monitoring Fee;</w:t>
      </w:r>
    </w:p>
    <w:p>
      <w:pPr>
        <w:spacing w:after="0" w:line="219" w:lineRule="exact"/>
        <w:rPr>
          <w:rFonts w:ascii="Times New Roman" w:cs="Times New Roman" w:eastAsia="Times New Roman" w:hAnsi="Times New Roman"/>
          <w:sz w:val="22"/>
          <w:szCs w:val="22"/>
          <w:color w:val="010000"/>
        </w:rPr>
      </w:pPr>
    </w:p>
    <w:p>
      <w:pPr>
        <w:ind w:left="2400" w:hanging="646"/>
        <w:spacing w:after="0"/>
        <w:tabs>
          <w:tab w:leader="none" w:pos="24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payment of that portion of the Obligations constituting accrued and unpaid</w:t>
      </w:r>
    </w:p>
    <w:p>
      <w:pPr>
        <w:spacing w:after="0" w:line="14" w:lineRule="exact"/>
        <w:rPr>
          <w:rFonts w:ascii="Times New Roman" w:cs="Times New Roman" w:eastAsia="Times New Roman" w:hAnsi="Times New Roman"/>
          <w:sz w:val="22"/>
          <w:szCs w:val="22"/>
          <w:color w:val="010000"/>
        </w:rPr>
      </w:pPr>
    </w:p>
    <w:p>
      <w:pPr>
        <w:ind w:left="11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interest;</w:t>
      </w:r>
    </w:p>
    <w:p>
      <w:pPr>
        <w:spacing w:after="0" w:line="195" w:lineRule="exact"/>
        <w:rPr>
          <w:rFonts w:ascii="Times New Roman" w:cs="Times New Roman" w:eastAsia="Times New Roman" w:hAnsi="Times New Roman"/>
          <w:sz w:val="22"/>
          <w:szCs w:val="22"/>
          <w:color w:val="010000"/>
        </w:rPr>
      </w:pPr>
    </w:p>
    <w:p>
      <w:pPr>
        <w:ind w:left="2380" w:hanging="630"/>
        <w:spacing w:after="0"/>
        <w:tabs>
          <w:tab w:leader="none" w:pos="238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to payment of any Make Whole Premium, if applicable;</w:t>
      </w:r>
    </w:p>
    <w:p>
      <w:pPr>
        <w:spacing w:after="0" w:line="219" w:lineRule="exact"/>
        <w:rPr>
          <w:rFonts w:ascii="Times New Roman" w:cs="Times New Roman" w:eastAsia="Times New Roman" w:hAnsi="Times New Roman"/>
          <w:sz w:val="22"/>
          <w:szCs w:val="22"/>
          <w:color w:val="010000"/>
        </w:rPr>
      </w:pPr>
    </w:p>
    <w:p>
      <w:pPr>
        <w:ind w:left="1100" w:firstLine="654"/>
        <w:spacing w:after="0" w:line="258" w:lineRule="auto"/>
        <w:tabs>
          <w:tab w:leader="none" w:pos="2396"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Seventh</w:t>
      </w:r>
      <w:r>
        <w:rPr>
          <w:rFonts w:ascii="Times New Roman" w:cs="Times New Roman" w:eastAsia="Times New Roman" w:hAnsi="Times New Roman"/>
          <w:sz w:val="22"/>
          <w:szCs w:val="22"/>
          <w:color w:val="auto"/>
        </w:rPr>
        <w:t>, to payment of that portion of the Obligations constituting unpaid principal and all other Obligations; and</w:t>
      </w:r>
    </w:p>
    <w:p>
      <w:pPr>
        <w:spacing w:after="0" w:line="158"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(other than inchoate indemnification obligations for which no claim has been asserted), to Borrower or as otherwise required by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2"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8.1 </w:t>
      </w:r>
      <w:r>
        <w:rPr>
          <w:rFonts w:ascii="Times New Roman" w:cs="Times New Roman" w:eastAsia="Times New Roman" w:hAnsi="Times New Roman"/>
          <w:sz w:val="22"/>
          <w:szCs w:val="22"/>
          <w:b w:val="1"/>
          <w:bCs w:val="1"/>
          <w:color w:val="000000"/>
        </w:rPr>
        <w:t>Amendments and Waivers</w:t>
      </w:r>
      <w:r>
        <w:rPr>
          <w:rFonts w:ascii="Times New Roman" w:cs="Times New Roman" w:eastAsia="Times New Roman" w:hAnsi="Times New Roman"/>
          <w:sz w:val="22"/>
          <w:szCs w:val="22"/>
          <w:color w:val="000000"/>
        </w:rPr>
        <w:t>. Neither this Agreement nor any other Loan Document,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nor any terms hereof or thereof, may be amended, changed, waived or otherwise modified unless such amendment, change, waiver or other modification is in writing and signed by the applicable Loan Parties, Agent, and the Required Lenders or by Agent acting at the written direction of the Required Lenders;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w:t>
      </w:r>
    </w:p>
    <w:p>
      <w:pPr>
        <w:spacing w:after="0" w:line="181" w:lineRule="exact"/>
        <w:rPr>
          <w:sz w:val="20"/>
          <w:szCs w:val="20"/>
          <w:color w:val="auto"/>
        </w:rPr>
      </w:pPr>
    </w:p>
    <w:p>
      <w:pPr>
        <w:ind w:left="2380" w:hanging="630"/>
        <w:spacing w:after="0"/>
        <w:tabs>
          <w:tab w:leader="none" w:pos="23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 waiver or other modification shall:</w:t>
      </w:r>
    </w:p>
    <w:p>
      <w:pPr>
        <w:spacing w:after="0" w:line="219" w:lineRule="exact"/>
        <w:rPr>
          <w:rFonts w:ascii="Times New Roman" w:cs="Times New Roman" w:eastAsia="Times New Roman" w:hAnsi="Times New Roman"/>
          <w:sz w:val="22"/>
          <w:szCs w:val="22"/>
          <w:color w:val="auto"/>
        </w:rPr>
      </w:pPr>
    </w:p>
    <w:p>
      <w:pPr>
        <w:ind w:left="1760" w:firstLine="642"/>
        <w:spacing w:after="0" w:line="258" w:lineRule="auto"/>
        <w:tabs>
          <w:tab w:leader="none" w:pos="3056" w:val="left"/>
        </w:tabs>
        <w:numPr>
          <w:ilvl w:val="2"/>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increase the Term Loan Commitment of a Lender without the written consent of such Lender whose Term Loan Commitment is being increased;</w:t>
      </w:r>
    </w:p>
    <w:p>
      <w:pPr>
        <w:spacing w:after="0" w:line="171" w:lineRule="exact"/>
        <w:rPr>
          <w:rFonts w:ascii="Times New Roman" w:cs="Times New Roman" w:eastAsia="Times New Roman" w:hAnsi="Times New Roman"/>
          <w:sz w:val="22"/>
          <w:szCs w:val="22"/>
          <w:color w:val="010000"/>
        </w:rPr>
      </w:pPr>
    </w:p>
    <w:p>
      <w:pPr>
        <w:jc w:val="both"/>
        <w:ind w:left="1760" w:firstLine="642"/>
        <w:spacing w:after="0" w:line="244" w:lineRule="auto"/>
        <w:tabs>
          <w:tab w:leader="none" w:pos="3056" w:val="left"/>
        </w:tabs>
        <w:numPr>
          <w:ilvl w:val="2"/>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(x) extend any date fixed by this Agreement for any payment of principal due to the Lenders (or any of them) or under any other Loan Document without the written consent of each Lender entitled to receive such payment;</w:t>
      </w:r>
    </w:p>
    <w:p>
      <w:pPr>
        <w:spacing w:after="0" w:line="186" w:lineRule="exact"/>
        <w:rPr>
          <w:rFonts w:ascii="Times New Roman" w:cs="Times New Roman" w:eastAsia="Times New Roman" w:hAnsi="Times New Roman"/>
          <w:sz w:val="22"/>
          <w:szCs w:val="22"/>
          <w:color w:val="010000"/>
        </w:rPr>
      </w:pPr>
    </w:p>
    <w:p>
      <w:pPr>
        <w:ind w:left="3040" w:hanging="642"/>
        <w:spacing w:after="0"/>
        <w:tabs>
          <w:tab w:leader="none" w:pos="3040" w:val="left"/>
        </w:tabs>
        <w:numPr>
          <w:ilvl w:val="2"/>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(x) reduce the principal amount of the Term Loan made by any Lender or</w:t>
      </w:r>
    </w:p>
    <w:p>
      <w:pPr>
        <w:spacing w:after="0" w:line="14" w:lineRule="exact"/>
        <w:rPr>
          <w:rFonts w:ascii="Times New Roman" w:cs="Times New Roman" w:eastAsia="Times New Roman" w:hAnsi="Times New Roman"/>
          <w:sz w:val="22"/>
          <w:szCs w:val="22"/>
          <w:color w:val="010000"/>
        </w:rPr>
      </w:pPr>
    </w:p>
    <w:p>
      <w:pPr>
        <w:ind w:left="1760" w:right="720" w:hanging="6"/>
        <w:spacing w:after="0" w:line="237" w:lineRule="auto"/>
        <w:tabs>
          <w:tab w:leader="none" w:pos="206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of interest thereon, in each case without the written consent of such Lender;</w:t>
      </w:r>
    </w:p>
    <w:p>
      <w:pPr>
        <w:spacing w:after="0" w:line="178" w:lineRule="exact"/>
        <w:rPr>
          <w:rFonts w:ascii="Times New Roman" w:cs="Times New Roman" w:eastAsia="Times New Roman" w:hAnsi="Times New Roman"/>
          <w:sz w:val="22"/>
          <w:szCs w:val="22"/>
          <w:color w:val="auto"/>
        </w:rPr>
      </w:pPr>
    </w:p>
    <w:p>
      <w:pPr>
        <w:jc w:val="both"/>
        <w:ind w:left="1760" w:firstLine="642"/>
        <w:spacing w:after="0" w:line="244" w:lineRule="auto"/>
        <w:tabs>
          <w:tab w:leader="none" w:pos="3056" w:val="left"/>
        </w:tabs>
        <w:numPr>
          <w:ilvl w:val="2"/>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reduce the rate or extend the time of payment of, or excuse the payment of, any fees to which any Lender is entitled hereunder without the written consent of each Lender entitled to receive such fees;</w:t>
      </w:r>
    </w:p>
    <w:p>
      <w:pPr>
        <w:spacing w:after="0" w:line="186" w:lineRule="exact"/>
        <w:rPr>
          <w:rFonts w:ascii="Times New Roman" w:cs="Times New Roman" w:eastAsia="Times New Roman" w:hAnsi="Times New Roman"/>
          <w:sz w:val="22"/>
          <w:szCs w:val="22"/>
          <w:color w:val="010000"/>
        </w:rPr>
      </w:pPr>
    </w:p>
    <w:p>
      <w:pPr>
        <w:jc w:val="both"/>
        <w:ind w:left="1760" w:firstLine="642"/>
        <w:spacing w:after="0" w:line="244" w:lineRule="auto"/>
        <w:tabs>
          <w:tab w:leader="none" w:pos="3056" w:val="left"/>
        </w:tabs>
        <w:numPr>
          <w:ilvl w:val="2"/>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release or permit the subordination of any portion of the Collateral securing the Obligations, or release any Guarantor from its obligations under any Loan Document (other than a disposition permitted hereunder) without the written consent of each Lender</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73</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4" w:name="page95"/>
    <w:bookmarkEnd w:id="94"/>
    <w:p>
      <w:pPr>
        <w:jc w:val="both"/>
        <w:ind w:left="1760" w:firstLine="641"/>
        <w:spacing w:after="0" w:line="238" w:lineRule="auto"/>
        <w:tabs>
          <w:tab w:leader="none" w:pos="3057"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amend, modify or waive any provision of (x)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 (y) any other provision of any of the Loan Documents pursuant to which the consent or approval of all Lenders, or a number or specified percentage or other required grouping of Lenders holding any portion of the Term Loan, is by the terms of such provision explicitly required, in each case without the written consent of each Lender directly affected thereby;</w:t>
      </w:r>
    </w:p>
    <w:p>
      <w:pPr>
        <w:spacing w:after="0" w:line="190" w:lineRule="exact"/>
        <w:rPr>
          <w:rFonts w:ascii="Times New Roman" w:cs="Times New Roman" w:eastAsia="Times New Roman" w:hAnsi="Times New Roman"/>
          <w:sz w:val="22"/>
          <w:szCs w:val="22"/>
          <w:color w:val="010000"/>
        </w:rPr>
      </w:pPr>
    </w:p>
    <w:p>
      <w:pPr>
        <w:jc w:val="both"/>
        <w:ind w:left="1760" w:firstLine="642"/>
        <w:spacing w:after="0" w:line="244" w:lineRule="auto"/>
        <w:tabs>
          <w:tab w:leader="none" w:pos="3056"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reduce the percentage specified in, or otherwise modify, the definition of Required Lender, in each case without the written consent of each Lender directly affected thereby;</w:t>
      </w:r>
    </w:p>
    <w:p>
      <w:pPr>
        <w:spacing w:after="0" w:line="173" w:lineRule="exact"/>
        <w:rPr>
          <w:rFonts w:ascii="Times New Roman" w:cs="Times New Roman" w:eastAsia="Times New Roman" w:hAnsi="Times New Roman"/>
          <w:sz w:val="22"/>
          <w:szCs w:val="22"/>
          <w:color w:val="010000"/>
        </w:rPr>
      </w:pPr>
    </w:p>
    <w:p>
      <w:pPr>
        <w:jc w:val="both"/>
        <w:ind w:left="1760" w:firstLine="642"/>
        <w:spacing w:after="0" w:line="236" w:lineRule="auto"/>
        <w:tabs>
          <w:tab w:leader="none" w:pos="3056"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release Borrower, any other Loan Party or any other Guarantor from any of their respective obligations hereunder or under any other Loan Document (other than in connection with a disposition permitted hereunder) or consent to the assignment or transfer by Borrower or any other Loan Party of any of their respective rights and obligations under this Agreement or any of the other Loan Documents, in each case without the written consent of each Lender;</w:t>
      </w:r>
    </w:p>
    <w:p>
      <w:pPr>
        <w:spacing w:after="0" w:line="194" w:lineRule="exact"/>
        <w:rPr>
          <w:rFonts w:ascii="Times New Roman" w:cs="Times New Roman" w:eastAsia="Times New Roman" w:hAnsi="Times New Roman"/>
          <w:sz w:val="22"/>
          <w:szCs w:val="22"/>
          <w:color w:val="010000"/>
        </w:rPr>
      </w:pPr>
    </w:p>
    <w:p>
      <w:pPr>
        <w:jc w:val="both"/>
        <w:ind w:left="1760" w:firstLine="642"/>
        <w:spacing w:after="0" w:line="261" w:lineRule="auto"/>
        <w:tabs>
          <w:tab w:leader="none" w:pos="3056" w:val="left"/>
        </w:tabs>
        <w:numPr>
          <w:ilvl w:val="0"/>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amend, modify or waive any provision with respect to application of payments so as to alter the pro rata sharing of any payment in respect of the Obligations or proceeds of Collateral, in each case without the written consent of each Lender directly affected thereby;</w:t>
      </w:r>
    </w:p>
    <w:p>
      <w:pPr>
        <w:spacing w:after="0" w:line="170" w:lineRule="exact"/>
        <w:rPr>
          <w:rFonts w:ascii="Times New Roman" w:cs="Times New Roman" w:eastAsia="Times New Roman" w:hAnsi="Times New Roman"/>
          <w:sz w:val="21"/>
          <w:szCs w:val="21"/>
          <w:color w:val="010000"/>
        </w:rPr>
      </w:pPr>
    </w:p>
    <w:p>
      <w:pPr>
        <w:jc w:val="both"/>
        <w:ind w:left="1760" w:firstLine="642"/>
        <w:spacing w:after="0" w:line="261" w:lineRule="auto"/>
        <w:tabs>
          <w:tab w:leader="none" w:pos="3056" w:val="left"/>
        </w:tabs>
        <w:numPr>
          <w:ilvl w:val="0"/>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amend, modify or waive any provision in a manner that adversely affects a particular Lender in a manner that is disproportionate in relation to other Lenders, in each case without the written consent of the Lender that is disproportionately affected thereby; and</w:t>
      </w:r>
    </w:p>
    <w:p>
      <w:pPr>
        <w:spacing w:after="0" w:line="157" w:lineRule="exact"/>
        <w:rPr>
          <w:rFonts w:ascii="Times New Roman" w:cs="Times New Roman" w:eastAsia="Times New Roman" w:hAnsi="Times New Roman"/>
          <w:sz w:val="21"/>
          <w:szCs w:val="21"/>
          <w:color w:val="010000"/>
        </w:rPr>
      </w:pPr>
    </w:p>
    <w:p>
      <w:pPr>
        <w:ind w:left="3040" w:hanging="642"/>
        <w:spacing w:after="0"/>
        <w:tabs>
          <w:tab w:leader="none" w:pos="3040"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amend any provision of </w:t>
      </w:r>
      <w:r>
        <w:rPr>
          <w:rFonts w:ascii="Times New Roman" w:cs="Times New Roman" w:eastAsia="Times New Roman" w:hAnsi="Times New Roman"/>
          <w:sz w:val="22"/>
          <w:szCs w:val="22"/>
          <w:u w:val="single" w:color="auto"/>
          <w:color w:val="auto"/>
        </w:rPr>
        <w:t>Section 8.18</w:t>
      </w:r>
      <w:r>
        <w:rPr>
          <w:rFonts w:ascii="Times New Roman" w:cs="Times New Roman" w:eastAsia="Times New Roman" w:hAnsi="Times New Roman"/>
          <w:sz w:val="22"/>
          <w:szCs w:val="22"/>
          <w:color w:val="auto"/>
        </w:rPr>
        <w:t xml:space="preserve"> without the consent of Agent; and</w:t>
      </w:r>
    </w:p>
    <w:p>
      <w:pPr>
        <w:spacing w:after="0" w:line="220" w:lineRule="exact"/>
        <w:rPr>
          <w:sz w:val="20"/>
          <w:szCs w:val="20"/>
          <w:color w:val="auto"/>
        </w:rPr>
      </w:pPr>
    </w:p>
    <w:p>
      <w:pPr>
        <w:jc w:val="both"/>
        <w:ind w:left="1100" w:firstLine="654"/>
        <w:spacing w:after="0" w:line="244" w:lineRule="auto"/>
        <w:tabs>
          <w:tab w:leader="none" w:pos="23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waiver or consent with respect to this Agreement or any other Loan Document given or made in accordance with this Section shall be effective only in the specific instance and for the specific purpose for which it was given or made.</w:t>
      </w:r>
    </w:p>
    <w:p>
      <w:pPr>
        <w:spacing w:after="0" w:line="169"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8.2</w:t>
      </w:r>
      <w:r>
        <w:rPr>
          <w:sz w:val="20"/>
          <w:szCs w:val="20"/>
          <w:color w:val="auto"/>
        </w:rPr>
        <w:tab/>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1100" w:firstLine="654"/>
        <w:spacing w:after="0" w:line="235" w:lineRule="auto"/>
        <w:tabs>
          <w:tab w:leader="none" w:pos="2396"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notices, requests and demands to or upon the respective parties hereto to be effective shall be in writing (including by electronic mail), and, unless otherwise expressly provided herein, shall be deemed to have been duly given or made when delivered, or three (3) Business Days after being deposited in the mail, postage prepaid, or one (1) Business Day after being deposited with an overnight courier, or, in the case of electronic mail notice, pursuant to clause (c)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notice or communication delivered by mail must also be accompanied by delivery via electronic mail in accordance with clause (c) below, in each case addressed as follows or to such other address as may be hereafter notified by the respective parties 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Borrower:</w:t>
            </w:r>
          </w:p>
        </w:tc>
        <w:tc>
          <w:tcPr>
            <w:tcW w:w="7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 La Carte, LLC</w:t>
            </w:r>
          </w:p>
        </w:tc>
      </w:tr>
      <w:tr>
        <w:trPr>
          <w:trHeight w:val="282"/>
        </w:trPr>
        <w:tc>
          <w:tcPr>
            <w:tcW w:w="2200" w:type="dxa"/>
            <w:vAlign w:val="bottom"/>
          </w:tcPr>
          <w:p>
            <w:pPr>
              <w:spacing w:after="0"/>
              <w:rPr>
                <w:sz w:val="24"/>
                <w:szCs w:val="24"/>
                <w:color w:val="auto"/>
              </w:rPr>
            </w:pPr>
          </w:p>
        </w:tc>
        <w:tc>
          <w:tcPr>
            <w:tcW w:w="7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816 Hamilton St.</w:t>
            </w:r>
          </w:p>
        </w:tc>
      </w:tr>
      <w:tr>
        <w:trPr>
          <w:trHeight w:val="69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7720" w:type="dxa"/>
            <w:vAlign w:val="bottom"/>
          </w:tcPr>
          <w:p>
            <w:pPr>
              <w:jc w:val="right"/>
              <w:ind w:right="4758"/>
              <w:spacing w:after="0"/>
              <w:rPr>
                <w:sz w:val="20"/>
                <w:szCs w:val="20"/>
                <w:color w:val="auto"/>
              </w:rPr>
            </w:pPr>
            <w:r>
              <w:rPr>
                <w:rFonts w:ascii="Times New Roman" w:cs="Times New Roman" w:eastAsia="Times New Roman" w:hAnsi="Times New Roman"/>
                <w:sz w:val="18"/>
                <w:szCs w:val="18"/>
                <w:color w:val="auto"/>
              </w:rPr>
              <w:t>74</w:t>
            </w:r>
          </w:p>
        </w:tc>
      </w:tr>
      <w:tr>
        <w:trPr>
          <w:trHeight w:val="776"/>
        </w:trPr>
        <w:tc>
          <w:tcPr>
            <w:tcW w:w="22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5" w:name="page96"/>
    <w:bookmarkEnd w:id="95"/>
    <w:p>
      <w:pPr>
        <w:ind w:left="2400"/>
        <w:spacing w:after="0"/>
        <w:rPr>
          <w:sz w:val="20"/>
          <w:szCs w:val="20"/>
          <w:color w:val="auto"/>
        </w:rPr>
      </w:pPr>
      <w:r>
        <w:rPr>
          <w:rFonts w:ascii="Times New Roman" w:cs="Times New Roman" w:eastAsia="Times New Roman" w:hAnsi="Times New Roman"/>
          <w:sz w:val="22"/>
          <w:szCs w:val="22"/>
          <w:color w:val="auto"/>
        </w:rPr>
        <w:t>Redwood City, CA 94063</w:t>
      </w:r>
    </w:p>
    <w:p>
      <w:pPr>
        <w:spacing w:after="0" w:line="1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Attention: Chief Financial Officer</w:t>
      </w:r>
    </w:p>
    <w:p>
      <w:pPr>
        <w:spacing w:after="0" w:line="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E-Mail: ashish@presto.com</w:t>
      </w:r>
    </w:p>
    <w:p>
      <w:pPr>
        <w:sectPr>
          <w:pgSz w:w="11900" w:h="16838" w:orient="portrait"/>
          <w:cols w:equalWidth="0" w:num="1">
            <w:col w:w="9920"/>
          </w:cols>
          <w:pgMar w:left="980" w:top="1165" w:right="999" w:bottom="1440" w:gutter="0" w:footer="0" w:header="0"/>
        </w:sectPr>
      </w:pPr>
    </w:p>
    <w:p>
      <w:pPr>
        <w:spacing w:after="0" w:line="2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Parent: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816 Hamilton St.</w:t>
      </w:r>
    </w:p>
    <w:p>
      <w:pPr>
        <w:spacing w:after="0" w:line="230" w:lineRule="auto"/>
        <w:rPr>
          <w:sz w:val="20"/>
          <w:szCs w:val="20"/>
          <w:color w:val="auto"/>
        </w:rPr>
      </w:pPr>
      <w:r>
        <w:rPr>
          <w:rFonts w:ascii="Times New Roman" w:cs="Times New Roman" w:eastAsia="Times New Roman" w:hAnsi="Times New Roman"/>
          <w:sz w:val="22"/>
          <w:szCs w:val="22"/>
          <w:color w:val="auto"/>
        </w:rPr>
        <w:t>Redwood City, CA 94063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Chief Financial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ashish@presto.com</w:t>
      </w:r>
    </w:p>
    <w:p>
      <w:pPr>
        <w:spacing w:after="0" w:line="200" w:lineRule="exact"/>
        <w:rPr>
          <w:sz w:val="20"/>
          <w:szCs w:val="20"/>
          <w:color w:val="auto"/>
        </w:rPr>
      </w:pPr>
    </w:p>
    <w:p>
      <w:pPr>
        <w:sectPr>
          <w:pgSz w:w="11900" w:h="16838" w:orient="portrait"/>
          <w:cols w:equalWidth="0" w:num="2">
            <w:col w:w="1720" w:space="680"/>
            <w:col w:w="7520"/>
          </w:cols>
          <w:pgMar w:left="980" w:top="1165" w:right="999" w:bottom="1440" w:gutter="0" w:footer="0" w:header="0"/>
          <w:type w:val="continuous"/>
        </w:sectPr>
      </w:pP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in each case:</w:t>
      </w:r>
    </w:p>
    <w:p>
      <w:pPr>
        <w:spacing w:after="0" w:line="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with a copy</w:t>
      </w:r>
    </w:p>
    <w:p>
      <w:pPr>
        <w:ind w:left="1100"/>
        <w:spacing w:after="0" w:line="230" w:lineRule="auto"/>
        <w:rPr>
          <w:sz w:val="20"/>
          <w:szCs w:val="20"/>
          <w:color w:val="auto"/>
        </w:rPr>
      </w:pPr>
      <w:r>
        <w:rPr>
          <w:rFonts w:ascii="Times New Roman" w:cs="Times New Roman" w:eastAsia="Times New Roman" w:hAnsi="Times New Roman"/>
          <w:sz w:val="22"/>
          <w:szCs w:val="22"/>
          <w:color w:val="auto"/>
        </w:rPr>
        <w:t>to (which</w:t>
      </w:r>
    </w:p>
    <w:p>
      <w:pPr>
        <w:ind w:left="1100"/>
        <w:spacing w:after="0" w:line="231" w:lineRule="auto"/>
        <w:rPr>
          <w:sz w:val="20"/>
          <w:szCs w:val="20"/>
          <w:color w:val="auto"/>
        </w:rPr>
      </w:pPr>
      <w:r>
        <w:rPr>
          <w:rFonts w:ascii="Times New Roman" w:cs="Times New Roman" w:eastAsia="Times New Roman" w:hAnsi="Times New Roman"/>
          <w:sz w:val="22"/>
          <w:szCs w:val="22"/>
          <w:color w:val="auto"/>
        </w:rPr>
        <w:t>shall not be</w:t>
      </w:r>
    </w:p>
    <w:p>
      <w:pPr>
        <w:ind w:left="1100"/>
        <w:spacing w:after="0" w:line="230" w:lineRule="auto"/>
        <w:rPr>
          <w:sz w:val="20"/>
          <w:szCs w:val="20"/>
          <w:color w:val="auto"/>
        </w:rPr>
      </w:pPr>
      <w:r>
        <w:rPr>
          <w:rFonts w:ascii="Times New Roman" w:cs="Times New Roman" w:eastAsia="Times New Roman" w:hAnsi="Times New Roman"/>
          <w:sz w:val="22"/>
          <w:szCs w:val="22"/>
          <w:color w:val="auto"/>
        </w:rPr>
        <w:t>deemed to</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be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Fenwick &amp;West LLP</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801 California St.</w:t>
      </w:r>
    </w:p>
    <w:p>
      <w:pPr>
        <w:ind w:left="60"/>
        <w:spacing w:after="0" w:line="230" w:lineRule="auto"/>
        <w:rPr>
          <w:sz w:val="20"/>
          <w:szCs w:val="20"/>
          <w:color w:val="auto"/>
        </w:rPr>
      </w:pPr>
      <w:r>
        <w:rPr>
          <w:rFonts w:ascii="Times New Roman" w:cs="Times New Roman" w:eastAsia="Times New Roman" w:hAnsi="Times New Roman"/>
          <w:sz w:val="22"/>
          <w:szCs w:val="22"/>
          <w:color w:val="auto"/>
        </w:rPr>
        <w:t>Mountain View, CA 94041</w:t>
      </w:r>
    </w:p>
    <w:p>
      <w:pPr>
        <w:spacing w:after="0" w:line="231" w:lineRule="auto"/>
        <w:rPr>
          <w:sz w:val="20"/>
          <w:szCs w:val="20"/>
          <w:color w:val="auto"/>
        </w:rPr>
      </w:pPr>
      <w:r>
        <w:rPr>
          <w:rFonts w:ascii="Times New Roman" w:cs="Times New Roman" w:eastAsia="Times New Roman" w:hAnsi="Times New Roman"/>
          <w:sz w:val="22"/>
          <w:szCs w:val="22"/>
          <w:color w:val="auto"/>
        </w:rPr>
        <w:t>Attention: Faisal Rashid</w:t>
      </w:r>
    </w:p>
    <w:p>
      <w:pPr>
        <w:spacing w:after="0"/>
        <w:rPr>
          <w:sz w:val="20"/>
          <w:szCs w:val="20"/>
          <w:color w:val="auto"/>
        </w:rPr>
      </w:pPr>
      <w:r>
        <w:rPr>
          <w:rFonts w:ascii="Times New Roman" w:cs="Times New Roman" w:eastAsia="Times New Roman" w:hAnsi="Times New Roman"/>
          <w:sz w:val="21"/>
          <w:szCs w:val="21"/>
          <w:color w:val="auto"/>
        </w:rPr>
        <w:t>Telephone No.: 310-434-5402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Faisal Rashid</w:t>
      </w:r>
    </w:p>
    <w:p>
      <w:pPr>
        <w:spacing w:after="0" w:line="200" w:lineRule="exact"/>
        <w:rPr>
          <w:sz w:val="20"/>
          <w:szCs w:val="20"/>
          <w:color w:val="auto"/>
        </w:rPr>
      </w:pPr>
    </w:p>
    <w:p>
      <w:pPr>
        <w:sectPr>
          <w:pgSz w:w="11900" w:h="16838" w:orient="portrait"/>
          <w:cols w:equalWidth="0" w:num="2">
            <w:col w:w="2200" w:space="200"/>
            <w:col w:w="7520"/>
          </w:cols>
          <w:pgMar w:left="980" w:top="1165" w:right="999" w:bottom="1440" w:gutter="0" w:footer="0" w:header="0"/>
          <w:type w:val="continuous"/>
        </w:sectPr>
      </w:pPr>
    </w:p>
    <w:p>
      <w:pPr>
        <w:spacing w:after="0" w:line="1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Agent: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Metropolitan Partners Group Administration, LLC</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850 Third Avenue, 18th Floor</w:t>
      </w:r>
    </w:p>
    <w:p>
      <w:pPr>
        <w:ind w:left="2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20"/>
        <w:spacing w:after="0" w:line="231" w:lineRule="auto"/>
        <w:rPr>
          <w:sz w:val="20"/>
          <w:szCs w:val="20"/>
          <w:color w:val="auto"/>
        </w:rPr>
      </w:pPr>
      <w:r>
        <w:rPr>
          <w:rFonts w:ascii="Times New Roman" w:cs="Times New Roman" w:eastAsia="Times New Roman" w:hAnsi="Times New Roman"/>
          <w:sz w:val="22"/>
          <w:szCs w:val="22"/>
          <w:color w:val="auto"/>
        </w:rPr>
        <w:t>Attention: Paul Lisiak</w:t>
      </w:r>
    </w:p>
    <w:p>
      <w:pPr>
        <w:ind w:left="20"/>
        <w:spacing w:after="0" w:line="230" w:lineRule="auto"/>
        <w:rPr>
          <w:sz w:val="20"/>
          <w:szCs w:val="20"/>
          <w:color w:val="auto"/>
        </w:rPr>
      </w:pPr>
      <w:r>
        <w:rPr>
          <w:rFonts w:ascii="Times New Roman" w:cs="Times New Roman" w:eastAsia="Times New Roman" w:hAnsi="Times New Roman"/>
          <w:sz w:val="22"/>
          <w:szCs w:val="22"/>
          <w:color w:val="auto"/>
        </w:rPr>
        <w:t>Telephone No.: (212) 561-1250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E-Mail: plisiak@metpg.com</w:t>
      </w:r>
    </w:p>
    <w:p>
      <w:pPr>
        <w:spacing w:after="0" w:line="200" w:lineRule="exact"/>
        <w:rPr>
          <w:sz w:val="20"/>
          <w:szCs w:val="20"/>
          <w:color w:val="auto"/>
        </w:rPr>
      </w:pPr>
    </w:p>
    <w:p>
      <w:pPr>
        <w:sectPr>
          <w:pgSz w:w="11900" w:h="16838" w:orient="portrait"/>
          <w:cols w:equalWidth="0" w:num="2">
            <w:col w:w="1680" w:space="700"/>
            <w:col w:w="7540"/>
          </w:cols>
          <w:pgMar w:left="980" w:top="1165" w:right="999" w:bottom="1440" w:gutter="0" w:footer="0" w:header="0"/>
          <w:type w:val="continuous"/>
        </w:sectPr>
      </w:pP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with a copy:</w:t>
      </w:r>
    </w:p>
    <w:p>
      <w:pPr>
        <w:spacing w:after="0" w:line="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to (which</w:t>
      </w:r>
    </w:p>
    <w:p>
      <w:pPr>
        <w:ind w:left="1100"/>
        <w:spacing w:after="0" w:line="230" w:lineRule="auto"/>
        <w:rPr>
          <w:sz w:val="20"/>
          <w:szCs w:val="20"/>
          <w:color w:val="auto"/>
        </w:rPr>
      </w:pPr>
      <w:r>
        <w:rPr>
          <w:rFonts w:ascii="Times New Roman" w:cs="Times New Roman" w:eastAsia="Times New Roman" w:hAnsi="Times New Roman"/>
          <w:sz w:val="22"/>
          <w:szCs w:val="22"/>
          <w:color w:val="auto"/>
        </w:rPr>
        <w:t>shall not be</w:t>
      </w:r>
    </w:p>
    <w:p>
      <w:pPr>
        <w:ind w:left="1100"/>
        <w:spacing w:after="0" w:line="231" w:lineRule="auto"/>
        <w:rPr>
          <w:sz w:val="20"/>
          <w:szCs w:val="20"/>
          <w:color w:val="auto"/>
        </w:rPr>
      </w:pPr>
      <w:r>
        <w:rPr>
          <w:rFonts w:ascii="Times New Roman" w:cs="Times New Roman" w:eastAsia="Times New Roman" w:hAnsi="Times New Roman"/>
          <w:sz w:val="22"/>
          <w:szCs w:val="22"/>
          <w:color w:val="auto"/>
        </w:rPr>
        <w:t>deemed to</w:t>
      </w:r>
    </w:p>
    <w:p>
      <w:pPr>
        <w:ind w:left="1100"/>
        <w:spacing w:after="0"/>
        <w:rPr>
          <w:sz w:val="20"/>
          <w:szCs w:val="20"/>
          <w:color w:val="auto"/>
        </w:rPr>
      </w:pPr>
      <w:r>
        <w:rPr>
          <w:rFonts w:ascii="Times New Roman" w:cs="Times New Roman" w:eastAsia="Times New Roman" w:hAnsi="Times New Roman"/>
          <w:sz w:val="22"/>
          <w:szCs w:val="22"/>
          <w:color w:val="auto"/>
        </w:rPr>
        <w:t>be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K&amp;L Gates LLP</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599 Lexington Avenue</w:t>
      </w:r>
    </w:p>
    <w:p>
      <w:pPr>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231" w:lineRule="auto"/>
        <w:rPr>
          <w:sz w:val="20"/>
          <w:szCs w:val="20"/>
          <w:color w:val="auto"/>
        </w:rPr>
      </w:pPr>
      <w:r>
        <w:rPr>
          <w:rFonts w:ascii="Times New Roman" w:cs="Times New Roman" w:eastAsia="Times New Roman" w:hAnsi="Times New Roman"/>
          <w:sz w:val="22"/>
          <w:szCs w:val="22"/>
          <w:color w:val="auto"/>
        </w:rPr>
        <w:t>Attention: Aaron S. Rothman</w:t>
      </w:r>
    </w:p>
    <w:p>
      <w:pPr>
        <w:spacing w:after="0" w:line="230" w:lineRule="auto"/>
        <w:rPr>
          <w:sz w:val="20"/>
          <w:szCs w:val="20"/>
          <w:color w:val="auto"/>
        </w:rPr>
      </w:pPr>
      <w:r>
        <w:rPr>
          <w:rFonts w:ascii="Times New Roman" w:cs="Times New Roman" w:eastAsia="Times New Roman" w:hAnsi="Times New Roman"/>
          <w:sz w:val="22"/>
          <w:szCs w:val="22"/>
          <w:color w:val="auto"/>
        </w:rPr>
        <w:t>Telephone No.: 704-331-7446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aaron.rothman@klgates.com</w:t>
      </w:r>
    </w:p>
    <w:p>
      <w:pPr>
        <w:spacing w:after="0" w:line="200" w:lineRule="exact"/>
        <w:rPr>
          <w:sz w:val="20"/>
          <w:szCs w:val="20"/>
          <w:color w:val="auto"/>
        </w:rPr>
      </w:pPr>
    </w:p>
    <w:p>
      <w:pPr>
        <w:sectPr>
          <w:pgSz w:w="11900" w:h="16838" w:orient="portrait"/>
          <w:cols w:equalWidth="0" w:num="2">
            <w:col w:w="2180" w:space="220"/>
            <w:col w:w="7520"/>
          </w:cols>
          <w:pgMar w:left="980" w:top="1165" w:right="999" w:bottom="1440" w:gutter="0" w:footer="0" w:header="0"/>
          <w:type w:val="continuous"/>
        </w:sectPr>
      </w:pP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notice, request or demand to or upon Agent shall not be effective until received.</w:t>
      </w:r>
    </w:p>
    <w:p>
      <w:pPr>
        <w:spacing w:after="0" w:line="206" w:lineRule="exact"/>
        <w:rPr>
          <w:sz w:val="20"/>
          <w:szCs w:val="20"/>
          <w:color w:val="auto"/>
        </w:rPr>
      </w:pPr>
    </w:p>
    <w:p>
      <w:pPr>
        <w:ind w:left="1100" w:firstLine="654"/>
        <w:spacing w:after="0" w:line="258" w:lineRule="auto"/>
        <w:tabs>
          <w:tab w:leader="none" w:pos="2396"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party hereto may change its address or electronic mail address for notices and other communications hereunder by notice to the other parties hereto.</w:t>
      </w:r>
    </w:p>
    <w:p>
      <w:pPr>
        <w:spacing w:after="0" w:line="171" w:lineRule="exact"/>
        <w:rPr>
          <w:rFonts w:ascii="Times New Roman" w:cs="Times New Roman" w:eastAsia="Times New Roman" w:hAnsi="Times New Roman"/>
          <w:sz w:val="22"/>
          <w:szCs w:val="22"/>
          <w:color w:val="010000"/>
        </w:rPr>
      </w:pPr>
    </w:p>
    <w:p>
      <w:pPr>
        <w:jc w:val="both"/>
        <w:ind w:left="1100" w:firstLine="654"/>
        <w:spacing w:after="0" w:line="234" w:lineRule="auto"/>
        <w:tabs>
          <w:tab w:leader="none" w:pos="2396"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Notices and other communications to Agent or any Lender hereunder and required to be delivered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may be delivered or furnished by electronic communication (including e-mail and Internet or intranet web sites) pursuant to procedures approved by Agent. Agent and the Loan Parties may, in their discretion, agree in a separate writing to accept notices and other communications to them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Unless Agent otherwise prescribes, (i) notices and other communications sent to an e-mail address shall be deemed received upon the sender’s receipt of an acknowledgement from the intended recipient (such as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75</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type w:val="continuous"/>
        </w:sectPr>
      </w:pPr>
    </w:p>
    <w:bookmarkStart w:id="96" w:name="page97"/>
    <w:bookmarkEnd w:id="96"/>
    <w:p>
      <w:pPr>
        <w:jc w:val="both"/>
        <w:ind w:left="1100"/>
        <w:spacing w:after="0" w:line="234" w:lineRule="auto"/>
        <w:rPr>
          <w:sz w:val="20"/>
          <w:szCs w:val="20"/>
          <w:color w:val="auto"/>
        </w:rPr>
      </w:pPr>
      <w:r>
        <w:rPr>
          <w:rFonts w:ascii="Times New Roman" w:cs="Times New Roman" w:eastAsia="Times New Roman" w:hAnsi="Times New Roman"/>
          <w:sz w:val="22"/>
          <w:szCs w:val="22"/>
          <w:color w:val="auto"/>
        </w:rPr>
        <w:t xml:space="preserve">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if no such acknowledgment is provided, such notice or communication shall be deemed received the next Business Day after being delivered or (y)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 site shall be deemed received upon the deemed receipt by the intended recipient at its e-mail address as described in the foregoing clause (i) of notification that such notice or communication is available and identifying the web site address therefor.</w:t>
      </w:r>
    </w:p>
    <w:p>
      <w:pPr>
        <w:spacing w:after="0" w:line="193"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8.3 </w:t>
      </w:r>
      <w:r>
        <w:rPr>
          <w:rFonts w:ascii="Times New Roman" w:cs="Times New Roman" w:eastAsia="Times New Roman" w:hAnsi="Times New Roman"/>
          <w:sz w:val="22"/>
          <w:szCs w:val="22"/>
          <w:b w:val="1"/>
          <w:bCs w:val="1"/>
          <w:color w:val="000000"/>
        </w:rPr>
        <w:t>No Waiver; Cumulative Remedies</w:t>
      </w:r>
      <w:r>
        <w:rPr>
          <w:rFonts w:ascii="Times New Roman" w:cs="Times New Roman" w:eastAsia="Times New Roman" w:hAnsi="Times New Roman"/>
          <w:sz w:val="22"/>
          <w:szCs w:val="22"/>
          <w:color w:val="000000"/>
        </w:rPr>
        <w:t>. No failure to exercise and no delay in exercising,</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on the part of Agent or any Lender, any right, remedy, power or privilege hereunder or under the other Loan Documents shall operate as a waiver thereof or acquiescence thereto;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privileges and remedies provided by virtue of any statute or rule of Law or in any of the other Loan Documents. Any forbearance or failure to exercise, and any delay in exercising, any right, power, privilege or remedy hereunder or any other Loan Document shall not impair any such right, power, privilege or remedy or be construed to be a waiver thereof, nor shall it preclude the further exercise of any such right, power, privilege or remedy.</w:t>
      </w:r>
    </w:p>
    <w:p>
      <w:pPr>
        <w:spacing w:after="0" w:line="176"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8.4 </w:t>
      </w:r>
      <w:r>
        <w:rPr>
          <w:rFonts w:ascii="Times New Roman" w:cs="Times New Roman" w:eastAsia="Times New Roman" w:hAnsi="Times New Roman"/>
          <w:sz w:val="22"/>
          <w:szCs w:val="22"/>
          <w:b w:val="1"/>
          <w:bCs w:val="1"/>
          <w:color w:val="000000"/>
        </w:rPr>
        <w:t>Survival of Representations and Warranties</w:t>
      </w:r>
      <w:r>
        <w:rPr>
          <w:rFonts w:ascii="Times New Roman" w:cs="Times New Roman" w:eastAsia="Times New Roman" w:hAnsi="Times New Roman"/>
          <w:sz w:val="22"/>
          <w:szCs w:val="22"/>
          <w:color w:val="000000"/>
        </w:rPr>
        <w:t>. All representations and warranties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made hereunder, in the other Loan Documents and in any document, certificate or statement delivered pursuant hereto or in connection herewith shall survive the execution and delivery of this Agreement and the other Loan Documents and the making of the Term Loan and other extensions of credit hereunder.</w:t>
      </w:r>
    </w:p>
    <w:p>
      <w:pPr>
        <w:spacing w:after="0" w:line="190"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8.5</w:t>
      </w:r>
      <w:r>
        <w:rPr>
          <w:sz w:val="20"/>
          <w:szCs w:val="20"/>
          <w:color w:val="auto"/>
        </w:rPr>
        <w:tab/>
      </w:r>
      <w:r>
        <w:rPr>
          <w:rFonts w:ascii="Times New Roman" w:cs="Times New Roman" w:eastAsia="Times New Roman" w:hAnsi="Times New Roman"/>
          <w:sz w:val="21"/>
          <w:szCs w:val="21"/>
          <w:b w:val="1"/>
          <w:bCs w:val="1"/>
          <w:color w:val="auto"/>
        </w:rPr>
        <w:t>Expenses; Indemnity; Damage Waiver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2400" w:hanging="650"/>
        <w:spacing w:after="0"/>
        <w:tabs>
          <w:tab w:leader="none" w:pos="2400"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760" w:firstLine="641"/>
        <w:spacing w:after="0" w:line="234" w:lineRule="auto"/>
        <w:tabs>
          <w:tab w:leader="none" w:pos="3057"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herein, the Loan Parties, jointly and severally, shall pay the reasonable and documented out-of-pocket transaction and diligence expenses of Agent and the Lenders (including the reasonable and documented out-of-pocket fees, charges and disbursements of any counsel for Agent or any Lender and of any consultants to the Lender) in connection with the initial preparation, negotiation, execution and delivery of the Loan Documents and all actual fees, costs and reasonable and documented expenses of creating and perfecting Liens in favor of Agent, for the benefit of Lenders, including filing and recording fees, expenses and Other Taxes, search fees, title insurance premiums and reasonable and documented fees, expenses and disbursements of counsel to Agent; and</w:t>
      </w:r>
    </w:p>
    <w:p>
      <w:pPr>
        <w:spacing w:after="0" w:line="196" w:lineRule="exact"/>
        <w:rPr>
          <w:rFonts w:ascii="Times New Roman" w:cs="Times New Roman" w:eastAsia="Times New Roman" w:hAnsi="Times New Roman"/>
          <w:sz w:val="22"/>
          <w:szCs w:val="22"/>
          <w:color w:val="010000"/>
        </w:rPr>
      </w:pPr>
    </w:p>
    <w:p>
      <w:pPr>
        <w:jc w:val="both"/>
        <w:ind w:left="1760" w:firstLine="642"/>
        <w:spacing w:after="0" w:line="244" w:lineRule="auto"/>
        <w:tabs>
          <w:tab w:leader="none" w:pos="3056"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Loan Parties, jointly and severally, shall pay (a) all reasonable and documented out-of-pocket expenses incurred by Agent or any Lender (including the reasonable and documented out-of-pocket fees, charges and disbursements of any counsel</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76</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7" w:name="page98"/>
    <w:bookmarkEnd w:id="97"/>
    <w:p>
      <w:pPr>
        <w:jc w:val="both"/>
        <w:ind w:left="1760"/>
        <w:spacing w:after="0" w:line="233" w:lineRule="auto"/>
        <w:rPr>
          <w:sz w:val="20"/>
          <w:szCs w:val="20"/>
          <w:color w:val="auto"/>
        </w:rPr>
      </w:pPr>
      <w:r>
        <w:rPr>
          <w:rFonts w:ascii="Times New Roman" w:cs="Times New Roman" w:eastAsia="Times New Roman" w:hAnsi="Times New Roman"/>
          <w:sz w:val="22"/>
          <w:szCs w:val="22"/>
          <w:color w:val="auto"/>
        </w:rPr>
        <w:t xml:space="preserve">for Agent or any Lender) in connection with the administration of this Agreement and the other Loan Documents (including all reasonable and documented out-of-pocket expenses related to the board observation rights set forth in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 or any amendments, modifications or waivers of the provisions hereof or thereof (whether or not the transactions contemplated hereby or thereby shall be consummated), (b) all Agent’s actual costs and reasonable and documented fees, expenses for, and disbursements of any of Agent’s, auditors, accountants, consultants or appraisers whether internal or external (subject to the limitations agreed to herein), and all reasonable and documented out-of-pocket attorneys’ fees, costs, expenses and disbursements incurred by Agent,</w:t>
      </w:r>
    </w:p>
    <w:p>
      <w:pPr>
        <w:spacing w:after="0" w:line="1" w:lineRule="exact"/>
        <w:rPr>
          <w:sz w:val="20"/>
          <w:szCs w:val="20"/>
          <w:color w:val="auto"/>
        </w:rPr>
      </w:pPr>
    </w:p>
    <w:p>
      <w:pPr>
        <w:jc w:val="both"/>
        <w:ind w:left="1760" w:hanging="7"/>
        <w:spacing w:after="0" w:line="242" w:lineRule="auto"/>
        <w:tabs>
          <w:tab w:leader="none" w:pos="2053"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actual costs and reasonable and documented out-of-pocket expenses (including the reasonable and documented out-of-pocket fees, expenses and disbursements of any appraisers, consultants, advisors and agents employed or retained by Agent and its counsel (subject to the limitations agreed to herein)) in connection with the custody or preservation of any of the Collateral, (d) all reasonable and documented out of pocket expenses incurred by Agent or any Lender (including the fees, charges and disbursements of any counsel for Agent or any Lender) in connection with review of the insurance policies maintained by the Loan Parties, limited to a maximum of one (1) review per Fiscal Year, and (e) all out-of-pocket expenses incurred by Agent or any Lender (including the fees, charges and disbursements of any counsel for Agent or any Lender), in connection with the enforcement, collection or protection of its rights (i) in connection with this Agreement and the other Loan Documents, including its rights under this Section, or (ii) in connection with the Term Loan made hereunder, including all such out of pocket expenses incurred during any or in connection with, of negotiation of, any refinancing or restructuring of the credit arrangements provided hereunder in the nature of a “work out” or pursuant to any insolvency or bankruptcy cases or proceedings, or any other proceeding under a Debtor Relief Law.</w:t>
      </w:r>
    </w:p>
    <w:p>
      <w:pPr>
        <w:spacing w:after="0" w:line="198" w:lineRule="exact"/>
        <w:rPr>
          <w:sz w:val="20"/>
          <w:szCs w:val="20"/>
          <w:color w:val="auto"/>
        </w:rPr>
      </w:pPr>
    </w:p>
    <w:p>
      <w:pPr>
        <w:jc w:val="both"/>
        <w:ind w:left="1100" w:firstLine="653"/>
        <w:spacing w:after="0" w:line="232" w:lineRule="auto"/>
        <w:tabs>
          <w:tab w:leader="none" w:pos="2397"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 by Borrower</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8.5(a)(i)</w:t>
      </w:r>
      <w:r>
        <w:rPr>
          <w:rFonts w:ascii="Times New Roman" w:cs="Times New Roman" w:eastAsia="Times New Roman" w:hAnsi="Times New Roman"/>
          <w:sz w:val="22"/>
          <w:szCs w:val="22"/>
          <w:color w:val="auto"/>
        </w:rPr>
        <w:t xml:space="preserve"> above, the Loan Parties, jointly and severally, shall indemnify Agent, each Lender and each Related Party of Agent and each Lender (each such Person being called an “</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Borrower or any other Loan Party), and in all cases, whether or not caused by or arising, in whole or in part, out of the comparative, contributory, or sole negligence of such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the Term Loan or the use or proposed use of the proceeds therefrom, (iii) the SPAC Transaction, (iv) any actual or alleged presence or release of hazardous materials on or from any property owned or operated by any Loan Party, or any environmental liability related in any way to the Loan Parties, or (v) any actual or prospective claim, litigation, investigation or proceeding relating to any of the foregoing, whether based on contract, tort or any other theory, whether brought by a third party or by Borrower, any other Loan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indemnity shall not, as to such Indemnitee, be available to the extent that such losses, claims, damages, liabilities or related expenses are determined by a court of competent jurisdiction by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77</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8" w:name="page99"/>
    <w:bookmarkEnd w:id="98"/>
    <w:p>
      <w:pPr>
        <w:ind w:left="1100" w:right="180"/>
        <w:spacing w:after="0" w:line="258" w:lineRule="auto"/>
        <w:rPr>
          <w:sz w:val="20"/>
          <w:szCs w:val="20"/>
          <w:color w:val="auto"/>
        </w:rPr>
      </w:pPr>
      <w:r>
        <w:rPr>
          <w:rFonts w:ascii="Times New Roman" w:cs="Times New Roman" w:eastAsia="Times New Roman" w:hAnsi="Times New Roman"/>
          <w:sz w:val="22"/>
          <w:szCs w:val="22"/>
          <w:color w:val="auto"/>
        </w:rPr>
        <w:t>final and non-appealable judgment to have resulted from the gross negligence or willful misconduct of such Indemnitee.</w:t>
      </w:r>
    </w:p>
    <w:p>
      <w:pPr>
        <w:spacing w:after="0" w:line="172" w:lineRule="exact"/>
        <w:rPr>
          <w:sz w:val="20"/>
          <w:szCs w:val="20"/>
          <w:color w:val="auto"/>
        </w:rPr>
      </w:pPr>
    </w:p>
    <w:p>
      <w:pPr>
        <w:jc w:val="both"/>
        <w:ind w:left="1100" w:firstLine="654"/>
        <w:spacing w:after="0" w:line="234" w:lineRule="auto"/>
        <w:tabs>
          <w:tab w:leader="none" w:pos="2396"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fullest extent permitted by applicable law, neither Borrower nor any other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the Term Loan,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9" w:lineRule="exact"/>
        <w:rPr>
          <w:rFonts w:ascii="Times New Roman" w:cs="Times New Roman" w:eastAsia="Times New Roman" w:hAnsi="Times New Roman"/>
          <w:sz w:val="22"/>
          <w:szCs w:val="22"/>
          <w:color w:val="010000"/>
        </w:rPr>
      </w:pPr>
    </w:p>
    <w:p>
      <w:pPr>
        <w:ind w:left="2400" w:hanging="646"/>
        <w:spacing w:after="0"/>
        <w:tabs>
          <w:tab w:leader="none" w:pos="2400" w:val="left"/>
        </w:tabs>
        <w:numPr>
          <w:ilvl w:val="0"/>
          <w:numId w:val="1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amounts due under this Section shall be payable promptly after demand</w:t>
      </w:r>
    </w:p>
    <w:p>
      <w:pPr>
        <w:spacing w:after="0" w:line="25" w:lineRule="exact"/>
        <w:rPr>
          <w:rFonts w:ascii="Times New Roman" w:cs="Times New Roman" w:eastAsia="Times New Roman" w:hAnsi="Times New Roman"/>
          <w:sz w:val="21"/>
          <w:szCs w:val="21"/>
          <w:color w:val="010000"/>
        </w:rPr>
      </w:pPr>
    </w:p>
    <w:p>
      <w:pPr>
        <w:ind w:left="110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therefor.</w:t>
      </w:r>
    </w:p>
    <w:p>
      <w:pPr>
        <w:spacing w:after="0" w:line="195" w:lineRule="exact"/>
        <w:rPr>
          <w:rFonts w:ascii="Times New Roman" w:cs="Times New Roman" w:eastAsia="Times New Roman" w:hAnsi="Times New Roman"/>
          <w:sz w:val="21"/>
          <w:szCs w:val="21"/>
          <w:color w:val="010000"/>
        </w:rPr>
      </w:pPr>
    </w:p>
    <w:p>
      <w:pPr>
        <w:ind w:left="1100" w:firstLine="654"/>
        <w:spacing w:after="0" w:line="258" w:lineRule="auto"/>
        <w:tabs>
          <w:tab w:leader="none" w:pos="2396"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Each party’s obligations under this Section shall survive the termination of the Loan Documents and payment of the Obligations hereunder.</w:t>
      </w:r>
    </w:p>
    <w:p>
      <w:pPr>
        <w:spacing w:after="0" w:line="168"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8.6</w:t>
      </w:r>
      <w:r>
        <w:rPr>
          <w:sz w:val="20"/>
          <w:szCs w:val="20"/>
          <w:color w:val="auto"/>
        </w:rPr>
        <w:tab/>
      </w: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100" w:firstLine="654"/>
        <w:spacing w:after="0" w:line="232" w:lineRule="auto"/>
        <w:tabs>
          <w:tab w:leader="none" w:pos="2396"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except that the Borrower and the other Loan Parties, as the case may be, may not assign or otherwise transfer any of its rights or obligations hereunder or under the applicable Loan Document without the prior written consent of Agent and Lenders in their sole discretion. Nothing in this Agreement or any other Loan Document, expressed or implied, shall be construed to confer upon any Person (other than the parties hereto or thereto, Indemnitees under </w:t>
      </w:r>
      <w:r>
        <w:rPr>
          <w:rFonts w:ascii="Times New Roman" w:cs="Times New Roman" w:eastAsia="Times New Roman" w:hAnsi="Times New Roman"/>
          <w:sz w:val="22"/>
          <w:szCs w:val="22"/>
          <w:u w:val="single" w:color="auto"/>
          <w:color w:val="auto"/>
        </w:rPr>
        <w:t>Section 8.5(b)</w:t>
      </w:r>
      <w:r>
        <w:rPr>
          <w:rFonts w:ascii="Times New Roman" w:cs="Times New Roman" w:eastAsia="Times New Roman" w:hAnsi="Times New Roman"/>
          <w:sz w:val="22"/>
          <w:szCs w:val="22"/>
          <w:color w:val="auto"/>
        </w:rPr>
        <w:t xml:space="preserve">, their respective successors and assigns permitted hereby or thereby and, to the extent expressly contemplated hereby or thereby, Affiliates of each of Agent and Lenders) any legal or equitable right, remedy or claim under or by reason of this Agreement or such other Loan Document. Upon notice to Agent, Lender shall have the right at any time to sell, assign or transfer all or a portion of its rights and obligations under this Agreement and the other Loan Documents to any other Person (other than (w) a natural Person, or a holding company, investment vehicle or trust for, or owned and operated for the primary benefit of, a natural Person, or (x) Borrower or any of Borrower’s Affiliates or another Loan Party, (y) so long as no Event of Default has occurred and is continuing, a direct competitor of Borrower as specifically identified in writing by the Borrower to the Agent at least five (5) Business Days prior to the date of the applicable sale, assignment, or transfer, or (z) so long as no Event of Default has occurred and is continuing, a vulture fund or distressed debt fund), including, without limitation, all or a portion of its Term Loan Commitment or the Term Loan owing to it or other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assignment pursuant to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shall not require prior notice to Agent. Upon Agent’s receipt and acceptance of a duly executed and completed assignment agreement (in form and substance reasonably satisfactory to Agent), any forms, certificates or other evidence required by this Agreement in connection therewith, Agent shall record the information contained in such</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78</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99" w:name="page100"/>
    <w:bookmarkEnd w:id="99"/>
    <w:p>
      <w:pPr>
        <w:ind w:left="1100" w:right="780"/>
        <w:spacing w:after="0" w:line="258" w:lineRule="auto"/>
        <w:rPr>
          <w:sz w:val="20"/>
          <w:szCs w:val="20"/>
          <w:color w:val="auto"/>
        </w:rPr>
      </w:pPr>
      <w:r>
        <w:rPr>
          <w:rFonts w:ascii="Times New Roman" w:cs="Times New Roman" w:eastAsia="Times New Roman" w:hAnsi="Times New Roman"/>
          <w:sz w:val="22"/>
          <w:szCs w:val="22"/>
          <w:color w:val="auto"/>
        </w:rPr>
        <w:t>assignment agreement in the Register, shall give prompt notice thereof to Borrower and shall maintain a copy of such assignment agreement.</w:t>
      </w:r>
    </w:p>
    <w:p>
      <w:pPr>
        <w:spacing w:after="0" w:line="172" w:lineRule="exact"/>
        <w:rPr>
          <w:sz w:val="20"/>
          <w:szCs w:val="20"/>
          <w:color w:val="auto"/>
        </w:rPr>
      </w:pPr>
    </w:p>
    <w:p>
      <w:pPr>
        <w:jc w:val="both"/>
        <w:ind w:left="1100" w:firstLine="654"/>
        <w:spacing w:after="0" w:line="234" w:lineRule="auto"/>
        <w:tabs>
          <w:tab w:leader="none" w:pos="2396"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Agent, acting solely for this purpose as an agent of Borrower, shall maintain at one of its offices a copy of each assignment and assumption delivered to it and a register for the recordation of the names and addresses of the Lenders, and the Term Loan Commitments of, and principal amounts (and stated interest) of the Term Loan owing to, each Lender pursuant to the terms hereof from time to time (the “</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83" w:lineRule="exact"/>
        <w:rPr>
          <w:rFonts w:ascii="Times New Roman" w:cs="Times New Roman" w:eastAsia="Times New Roman" w:hAnsi="Times New Roman"/>
          <w:sz w:val="22"/>
          <w:szCs w:val="22"/>
          <w:color w:val="010000"/>
        </w:rPr>
      </w:pPr>
    </w:p>
    <w:p>
      <w:pPr>
        <w:jc w:val="both"/>
        <w:ind w:left="1100" w:firstLine="653"/>
        <w:spacing w:after="0" w:line="233" w:lineRule="auto"/>
        <w:tabs>
          <w:tab w:leader="none" w:pos="2397"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Borrower or Agent, sell participations to any Person (other than a natural Person, or a holding company, investment vehicle or trust for, or owned and operated for the primary benefit of, a natural Person, or Borrower or any of Borrower’s Affiliates or another Loan Party) (each, a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and the other Loan Documents (including all or a portion of its Term Loan Commitment and/or the Term Loan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and the other Loan Documents shall remain unchanged, (ii) such Lender shall remain solely responsible to the other parties hereto for the performance of such obligations, and (iii) Borrower, Agent and Lenders shall continue to deal solely and directly with such Lender in connection with such Lender’s rights and obligations under this Agreement and the other Loan Documents. For the avoidance of doubt, each Lender shall be responsible for the indemnity under </w:t>
      </w:r>
      <w:r>
        <w:rPr>
          <w:rFonts w:ascii="Times New Roman" w:cs="Times New Roman" w:eastAsia="Times New Roman" w:hAnsi="Times New Roman"/>
          <w:sz w:val="22"/>
          <w:szCs w:val="22"/>
          <w:u w:val="single" w:color="auto"/>
          <w:color w:val="auto"/>
        </w:rPr>
        <w:t>Section 8.5(b)</w:t>
      </w:r>
      <w:r>
        <w:rPr>
          <w:rFonts w:ascii="Times New Roman" w:cs="Times New Roman" w:eastAsia="Times New Roman" w:hAnsi="Times New Roman"/>
          <w:sz w:val="22"/>
          <w:szCs w:val="22"/>
          <w:color w:val="auto"/>
        </w:rPr>
        <w:t xml:space="preserve"> with respect to any payments made by such Lender to its Participant(s).</w:t>
      </w:r>
    </w:p>
    <w:p>
      <w:pPr>
        <w:spacing w:after="0" w:line="182" w:lineRule="exact"/>
        <w:rPr>
          <w:rFonts w:ascii="Times New Roman" w:cs="Times New Roman" w:eastAsia="Times New Roman" w:hAnsi="Times New Roman"/>
          <w:sz w:val="22"/>
          <w:szCs w:val="22"/>
          <w:color w:val="010000"/>
        </w:rPr>
      </w:pPr>
    </w:p>
    <w:p>
      <w:pPr>
        <w:jc w:val="both"/>
        <w:ind w:left="1100" w:firstLine="654"/>
        <w:spacing w:after="0" w:line="233" w:lineRule="auto"/>
        <w:tabs>
          <w:tab w:leader="none" w:pos="2396"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 or other obligations under the Loan Documents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Lender shall have any obligation to disclose all or any portion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5" w:lineRule="exact"/>
        <w:rPr>
          <w:rFonts w:ascii="Times New Roman" w:cs="Times New Roman" w:eastAsia="Times New Roman" w:hAnsi="Times New Roman"/>
          <w:sz w:val="22"/>
          <w:szCs w:val="22"/>
          <w:color w:val="010000"/>
        </w:rPr>
      </w:pPr>
    </w:p>
    <w:p>
      <w:pPr>
        <w:ind w:left="1100" w:firstLine="654"/>
        <w:spacing w:after="0" w:line="238" w:lineRule="auto"/>
        <w:tabs>
          <w:tab w:leader="none" w:pos="2396"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Retained Rights Following Sale of Participations</w:t>
      </w:r>
      <w:r>
        <w:rPr>
          <w:rFonts w:ascii="Times New Roman" w:cs="Times New Roman" w:eastAsia="Times New Roman" w:hAnsi="Times New Roman"/>
          <w:sz w:val="22"/>
          <w:szCs w:val="22"/>
          <w:color w:val="auto"/>
        </w:rPr>
        <w:t xml:space="preserve">. Any agreement or instrument pursuant to which a Lender sells such a participation shall provide that such Lender shall retain the sole right to enforce this Agreement and the other Loan Documents against the Loan Parties. Borrower agrees that each Participant shall be entitled to the benefits of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(subject to the requirements and limitations therein, including the requirements under</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79</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0" w:name="page101"/>
    <w:bookmarkEnd w:id="100"/>
    <w:p>
      <w:pPr>
        <w:jc w:val="both"/>
        <w:ind w:left="1100"/>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2.8(g)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8.6(a)(ii)</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2.8(g)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8.6(a)(ii)</w:t>
      </w:r>
      <w:r>
        <w:rPr>
          <w:rFonts w:ascii="Times New Roman" w:cs="Times New Roman" w:eastAsia="Times New Roman" w:hAnsi="Times New Roman"/>
          <w:sz w:val="22"/>
          <w:szCs w:val="22"/>
          <w:color w:val="auto"/>
        </w:rPr>
        <w:t xml:space="preserve"> shall be delivered to the participating Lender)) to the same extent as if it were a Lender and had acquired its interest by assignment pursuant to paragraph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shall not be entitled to receive any greater payment under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with respect to any participation, than its participating Lender would have been entitled to receive.</w:t>
      </w:r>
    </w:p>
    <w:p>
      <w:pPr>
        <w:spacing w:after="0" w:line="191"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8.7</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100" w:firstLine="648"/>
        <w:spacing w:after="0" w:line="234" w:lineRule="auto"/>
        <w:rPr>
          <w:sz w:val="20"/>
          <w:szCs w:val="20"/>
          <w:color w:val="auto"/>
        </w:rPr>
      </w:pPr>
      <w:r>
        <w:rPr>
          <w:rFonts w:ascii="Times New Roman" w:cs="Times New Roman" w:eastAsia="Times New Roman" w:hAnsi="Times New Roman"/>
          <w:sz w:val="22"/>
          <w:szCs w:val="22"/>
          <w:b w:val="1"/>
          <w:bCs w:val="1"/>
          <w:color w:val="010000"/>
        </w:rPr>
        <w:t xml:space="preserve">8.8 </w:t>
      </w:r>
      <w:r>
        <w:rPr>
          <w:rFonts w:ascii="Times New Roman" w:cs="Times New Roman" w:eastAsia="Times New Roman" w:hAnsi="Times New Roman"/>
          <w:sz w:val="22"/>
          <w:szCs w:val="22"/>
          <w:b w:val="1"/>
          <w:bCs w:val="1"/>
          <w:color w:val="000000"/>
        </w:rPr>
        <w:t>Interest Rate Limitation</w:t>
      </w:r>
      <w:r>
        <w:rPr>
          <w:rFonts w:ascii="Times New Roman" w:cs="Times New Roman" w:eastAsia="Times New Roman" w:hAnsi="Times New Roman"/>
          <w:sz w:val="22"/>
          <w:szCs w:val="22"/>
          <w:color w:val="000000"/>
        </w:rPr>
        <w:t>. Notwithstanding anything to the contrary contained in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2"/>
          <w:szCs w:val="22"/>
          <w:b w:val="1"/>
          <w:bCs w:val="1"/>
          <w:i w:val="1"/>
          <w:iCs w:val="1"/>
          <w:color w:val="000000"/>
        </w:rPr>
        <w:t>Maximum Rate</w:t>
      </w:r>
      <w:r>
        <w:rPr>
          <w:rFonts w:ascii="Times New Roman" w:cs="Times New Roman" w:eastAsia="Times New Roman" w:hAnsi="Times New Roman"/>
          <w:sz w:val="22"/>
          <w:szCs w:val="22"/>
          <w:color w:val="000000"/>
        </w:rPr>
        <w:t>”). If Lenders shall receive interest in an amount that exceeds the Maximum Rate, the excess interest shall be applied to the principal of the Term Loan or, if it exceeds such unpaid principal, refunded to Borrower. In determining whether the interest contracted for, charged, or received by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6" w:lineRule="exact"/>
        <w:rPr>
          <w:sz w:val="20"/>
          <w:szCs w:val="20"/>
          <w:color w:val="auto"/>
        </w:rPr>
      </w:pPr>
    </w:p>
    <w:p>
      <w:pPr>
        <w:jc w:val="both"/>
        <w:ind w:left="1100" w:firstLine="648"/>
        <w:spacing w:after="0" w:line="232" w:lineRule="auto"/>
        <w:rPr>
          <w:sz w:val="20"/>
          <w:szCs w:val="20"/>
          <w:color w:val="auto"/>
        </w:rPr>
      </w:pPr>
      <w:r>
        <w:rPr>
          <w:rFonts w:ascii="Times New Roman" w:cs="Times New Roman" w:eastAsia="Times New Roman" w:hAnsi="Times New Roman"/>
          <w:sz w:val="22"/>
          <w:szCs w:val="22"/>
          <w:b w:val="1"/>
          <w:bCs w:val="1"/>
          <w:color w:val="010000"/>
        </w:rPr>
        <w:t xml:space="preserve">8.9 </w:t>
      </w:r>
      <w:r>
        <w:rPr>
          <w:rFonts w:ascii="Times New Roman" w:cs="Times New Roman" w:eastAsia="Times New Roman" w:hAnsi="Times New Roman"/>
          <w:sz w:val="22"/>
          <w:szCs w:val="22"/>
          <w:b w:val="1"/>
          <w:bCs w:val="1"/>
          <w:color w:val="000000"/>
        </w:rPr>
        <w:t>Counterparts</w:t>
      </w:r>
      <w:r>
        <w:rPr>
          <w:rFonts w:ascii="Times New Roman" w:cs="Times New Roman" w:eastAsia="Times New Roman" w:hAnsi="Times New Roman"/>
          <w:sz w:val="22"/>
          <w:szCs w:val="22"/>
          <w:color w:val="000000"/>
        </w:rPr>
        <w:t>. This Agreement may be executed in any number of duplicate originals,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and each duplicate original shall be deemed to be an original. This Agreement (and each duplicate original) also may be executed in any number of counterparts, each of which shall be deemed an original and all of which together constitute a fully executed Agreement even though all signatures do not appear on the same counterpart. Receipt of an executed signature page to this Agreement by portable document format (.pdf) attachment to an email, other electronic transmission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 For the avoidance of doubt, the foregoing also applies to any amendment, extension or renewal of this Agreement. Each of the parties hereto hereby represents and warrants to the other parties hereto that it has the corporation or limited liability capacity and authority to execute this Agreement through electronic means and there are no restrictions for doing so in such party’s constitutive documents, including having the same legal effect, validity or enforceability as a manually executed signature or the use of a paper-based recordkeeping system.</w:t>
      </w:r>
    </w:p>
    <w:p>
      <w:pPr>
        <w:spacing w:after="0" w:line="203"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8.10 </w:t>
      </w:r>
      <w:r>
        <w:rPr>
          <w:rFonts w:ascii="Times New Roman" w:cs="Times New Roman" w:eastAsia="Times New Roman" w:hAnsi="Times New Roman"/>
          <w:sz w:val="22"/>
          <w:szCs w:val="22"/>
          <w:b w:val="1"/>
          <w:bCs w:val="1"/>
          <w:color w:val="000000"/>
        </w:rPr>
        <w:t>Severability</w:t>
      </w:r>
      <w:r>
        <w:rPr>
          <w:rFonts w:ascii="Times New Roman" w:cs="Times New Roman" w:eastAsia="Times New Roman" w:hAnsi="Times New Roman"/>
          <w:sz w:val="22"/>
          <w:szCs w:val="22"/>
          <w:color w:val="000000"/>
        </w:rPr>
        <w:t>. Any provision of this Agreement that is prohibited or unenforceable in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80</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1" w:name="page102"/>
    <w:bookmarkEnd w:id="101"/>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8.11 </w:t>
      </w:r>
      <w:r>
        <w:rPr>
          <w:rFonts w:ascii="Times New Roman" w:cs="Times New Roman" w:eastAsia="Times New Roman" w:hAnsi="Times New Roman"/>
          <w:sz w:val="22"/>
          <w:szCs w:val="22"/>
          <w:b w:val="1"/>
          <w:bCs w:val="1"/>
          <w:color w:val="000000"/>
        </w:rPr>
        <w:t>Integration; Headings</w:t>
      </w:r>
      <w:r>
        <w:rPr>
          <w:rFonts w:ascii="Times New Roman" w:cs="Times New Roman" w:eastAsia="Times New Roman" w:hAnsi="Times New Roman"/>
          <w:sz w:val="22"/>
          <w:szCs w:val="22"/>
          <w:color w:val="000000"/>
        </w:rPr>
        <w:t>. This Agreement and the other Loan Documents represent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entire agreement of Borrower, the other Loan Parties, Agent and Lenders with respect to the subject matter hereof and thereof, and there are no promises, undertakings, representations or warranties by relative to the subject matter hereof not expressly set forth or referred to herein or in the other Loan Documents. The headings of subdivisions in this Agreement are for convenience of reference only, and shall not govern the interpretation of any of the provisions of this Agreement.</w:t>
      </w:r>
    </w:p>
    <w:p>
      <w:pPr>
        <w:spacing w:after="0" w:line="189" w:lineRule="exact"/>
        <w:rPr>
          <w:sz w:val="20"/>
          <w:szCs w:val="20"/>
          <w:color w:val="auto"/>
        </w:rPr>
      </w:pPr>
    </w:p>
    <w:p>
      <w:pPr>
        <w:ind w:left="1100" w:right="18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8.12 </w:t>
      </w:r>
      <w:r>
        <w:rPr>
          <w:rFonts w:ascii="Times New Roman" w:cs="Times New Roman" w:eastAsia="Times New Roman" w:hAnsi="Times New Roman"/>
          <w:sz w:val="22"/>
          <w:szCs w:val="22"/>
          <w:b w:val="1"/>
          <w:bCs w:val="1"/>
          <w:color w:val="000000"/>
        </w:rPr>
        <w:t>GOVERNING LAW. THIS AGREEMENT AND THE RIGHTS AND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b w:val="1"/>
          <w:bCs w:val="1"/>
          <w:color w:val="000000"/>
        </w:rPr>
        <w:t>OBLIGATIONS OF THE PARTIES UNDER THIS AGREEMENT SHALL BE GOVERNED BY, AND CONSTRUED AND INTERPRETED IN ACCORDANCE WITH, THE LAW OF THE STATE OF NEW YORK WITHOUT REGARD TO CONFLICT OF LAWS PRINCIPLES (OTHER THAN SECTIONS 5-1401 AND 5-1402 OF THE NEW YORK GENERAL OBLIGATIONS LAW) THEREOF.</w:t>
      </w:r>
    </w:p>
    <w:p>
      <w:pPr>
        <w:spacing w:after="0" w:line="175" w:lineRule="exact"/>
        <w:rPr>
          <w:sz w:val="20"/>
          <w:szCs w:val="20"/>
          <w:color w:val="auto"/>
        </w:rPr>
      </w:pPr>
    </w:p>
    <w:p>
      <w:pPr>
        <w:ind w:left="110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8.13 </w:t>
      </w:r>
      <w:r>
        <w:rPr>
          <w:rFonts w:ascii="Times New Roman" w:cs="Times New Roman" w:eastAsia="Times New Roman" w:hAnsi="Times New Roman"/>
          <w:sz w:val="22"/>
          <w:szCs w:val="22"/>
          <w:b w:val="1"/>
          <w:bCs w:val="1"/>
          <w:color w:val="000000"/>
        </w:rPr>
        <w:t>Submission to Jurisdiction; Waivers</w:t>
      </w:r>
      <w:r>
        <w:rPr>
          <w:rFonts w:ascii="Times New Roman" w:cs="Times New Roman" w:eastAsia="Times New Roman" w:hAnsi="Times New Roman"/>
          <w:sz w:val="22"/>
          <w:szCs w:val="22"/>
          <w:color w:val="000000"/>
        </w:rPr>
        <w:t>. The parties hereto hereby irrevocably and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unconditionally:</w:t>
      </w:r>
    </w:p>
    <w:p>
      <w:pPr>
        <w:spacing w:after="0" w:line="167" w:lineRule="exact"/>
        <w:rPr>
          <w:sz w:val="20"/>
          <w:szCs w:val="20"/>
          <w:color w:val="auto"/>
        </w:rPr>
      </w:pPr>
    </w:p>
    <w:p>
      <w:pPr>
        <w:jc w:val="both"/>
        <w:ind w:left="1100" w:firstLine="654"/>
        <w:spacing w:after="0" w:line="233" w:lineRule="auto"/>
        <w:tabs>
          <w:tab w:leader="none" w:pos="2396"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submit to the exclusive jurisdiction of the State and Federal courts in New York County,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Agreement shall be deemed to operate to preclude Agent from bringing suit or taking other legal action in any other jurisdiction to realize on the Collateral or any other security for the Obligations, or to enforce a judgment or other court order in favor of Agent or the Lenders. Each party hereto expressly submits and consents in advance to such jurisdiction in any action or suit commenced in any such court, and each party hereto hereby waives any objection that it may have based upon lack of personal jurisdiction, improper venue, or forum non-conveniens and hereby consents to the granting of such legal or equitable relief as is deemed appropriate by such court. Each party hereto hereby waives personal service of the summons, complaints, and other process issued in such action or suit and agrees that service of such summons, complaints, and other process may be made by registered or certified mail addressed to such party at the addresses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8.2 of this Agreement and that service so made shall be deemed completed upon the earlier to occur of such party’s actual receipt thereof or three (3) days after deposit in the U.S. mails, proper postage prepaid; and</w:t>
      </w:r>
    </w:p>
    <w:p>
      <w:pPr>
        <w:spacing w:after="0" w:line="175" w:lineRule="exact"/>
        <w:rPr>
          <w:rFonts w:ascii="Times New Roman" w:cs="Times New Roman" w:eastAsia="Times New Roman" w:hAnsi="Times New Roman"/>
          <w:sz w:val="22"/>
          <w:szCs w:val="22"/>
          <w:color w:val="010000"/>
        </w:rPr>
      </w:pPr>
    </w:p>
    <w:p>
      <w:pPr>
        <w:ind w:left="1100" w:right="40" w:firstLine="654"/>
        <w:spacing w:after="0" w:line="236" w:lineRule="auto"/>
        <w:tabs>
          <w:tab w:leader="none" w:pos="2396"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WAIVE, TO THE EXTENT PERMITTED BY APPLICABLE LAW, THEIR RESPECTIVE RIGHT TO A JURY TRIAL OF ANY CLAIM OR CAUSE OF ACTION ARISING OUT OF OR BASED UPON THIS AGREEMENT, THE OTHER LOAN DOCUMENTS OR ANY CONTEMPLATED TRANSACTION, INCLUDING CONTRACT, TORT, BREACH OF DUTY AND ALL OTHER CLAIMS. THIS WAIVER IS A MATERIAL INDUCEMENT FOR THE PARTIES TO ENTER INTO THIS AGREEMENT. EACH PARTY HAS REVIEWED THIS WAIVER WITH ITS COUNSEL</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center"/>
        <w:ind w:right="80"/>
        <w:spacing w:after="0"/>
        <w:tabs>
          <w:tab w:leader="none" w:pos="260" w:val="left"/>
        </w:tabs>
        <w:rPr>
          <w:sz w:val="20"/>
          <w:szCs w:val="20"/>
          <w:color w:val="auto"/>
        </w:rPr>
      </w:pPr>
      <w:r>
        <w:rPr>
          <w:rFonts w:ascii="Times New Roman" w:cs="Times New Roman" w:eastAsia="Times New Roman" w:hAnsi="Times New Roman"/>
          <w:sz w:val="22"/>
          <w:szCs w:val="22"/>
          <w:b w:val="1"/>
          <w:bCs w:val="1"/>
          <w:color w:val="010000"/>
        </w:rPr>
        <w:t>8.14</w:t>
      </w:r>
      <w:r>
        <w:rPr>
          <w:sz w:val="20"/>
          <w:szCs w:val="20"/>
          <w:color w:val="auto"/>
        </w:rPr>
        <w:tab/>
      </w:r>
      <w:r>
        <w:rPr>
          <w:rFonts w:ascii="Times New Roman" w:cs="Times New Roman" w:eastAsia="Times New Roman" w:hAnsi="Times New Roman"/>
          <w:sz w:val="21"/>
          <w:szCs w:val="21"/>
          <w:b w:val="1"/>
          <w:bCs w:val="1"/>
          <w:color w:val="auto"/>
        </w:rPr>
        <w:t>Acknowledgements</w:t>
      </w:r>
      <w:r>
        <w:rPr>
          <w:rFonts w:ascii="Times New Roman" w:cs="Times New Roman" w:eastAsia="Times New Roman" w:hAnsi="Times New Roman"/>
          <w:sz w:val="21"/>
          <w:szCs w:val="21"/>
          <w:color w:val="auto"/>
        </w:rPr>
        <w:t>. Each Loan Party hereby acknowledges that: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81</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1" w:right="999" w:bottom="1440" w:gutter="0" w:footer="0" w:header="0"/>
        </w:sectPr>
      </w:pPr>
    </w:p>
    <w:bookmarkStart w:id="102" w:name="page103"/>
    <w:bookmarkEnd w:id="102"/>
    <w:p>
      <w:pPr>
        <w:ind w:left="1100" w:firstLine="654"/>
        <w:spacing w:after="0" w:line="258" w:lineRule="auto"/>
        <w:tabs>
          <w:tab w:leader="none" w:pos="2396"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has been advised by counsel in the negotiation, execution and delivery of this Agreement and the other Loan Documents;</w:t>
      </w:r>
    </w:p>
    <w:p>
      <w:pPr>
        <w:spacing w:after="0" w:line="171"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Agent nor any Lender has any fiduciary relationship with or duty to Borrower, any other Loan Party arising out of or in connection with this Agreement or any of the other Loan Documents, and the relationship between Agent and Lenders, on one hand, and Borrower, and any other Loan Party, on the other hand, in connection herewith or therewith is solely that of debtor and creditor; and</w:t>
      </w:r>
    </w:p>
    <w:p>
      <w:pPr>
        <w:spacing w:after="0" w:line="176" w:lineRule="exact"/>
        <w:rPr>
          <w:rFonts w:ascii="Times New Roman" w:cs="Times New Roman" w:eastAsia="Times New Roman" w:hAnsi="Times New Roman"/>
          <w:sz w:val="22"/>
          <w:szCs w:val="22"/>
          <w:color w:val="010000"/>
        </w:rPr>
      </w:pPr>
    </w:p>
    <w:p>
      <w:pPr>
        <w:jc w:val="both"/>
        <w:ind w:left="1100" w:firstLine="654"/>
        <w:spacing w:after="0" w:line="244" w:lineRule="auto"/>
        <w:tabs>
          <w:tab w:leader="none" w:pos="2396"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joint venture is created hereby or by the other Loan Documents or otherwise exists by virtue of the transactions contemplated hereby between Agent, Lenders, Borrower or any other Loan Party.</w:t>
      </w:r>
    </w:p>
    <w:p>
      <w:pPr>
        <w:spacing w:after="0" w:line="183" w:lineRule="exact"/>
        <w:rPr>
          <w:sz w:val="20"/>
          <w:szCs w:val="20"/>
          <w:color w:val="auto"/>
        </w:rPr>
      </w:pPr>
    </w:p>
    <w:p>
      <w:pPr>
        <w:jc w:val="both"/>
        <w:ind w:left="1100" w:firstLine="648"/>
        <w:spacing w:after="0" w:line="246" w:lineRule="auto"/>
        <w:rPr>
          <w:sz w:val="20"/>
          <w:szCs w:val="20"/>
          <w:color w:val="auto"/>
        </w:rPr>
      </w:pPr>
      <w:r>
        <w:rPr>
          <w:rFonts w:ascii="Times New Roman" w:cs="Times New Roman" w:eastAsia="Times New Roman" w:hAnsi="Times New Roman"/>
          <w:sz w:val="21"/>
          <w:szCs w:val="21"/>
          <w:b w:val="1"/>
          <w:bCs w:val="1"/>
          <w:color w:val="010000"/>
        </w:rPr>
        <w:t xml:space="preserve">8.15 </w:t>
      </w:r>
      <w:r>
        <w:rPr>
          <w:rFonts w:ascii="Times New Roman" w:cs="Times New Roman" w:eastAsia="Times New Roman" w:hAnsi="Times New Roman"/>
          <w:sz w:val="21"/>
          <w:szCs w:val="21"/>
          <w:b w:val="1"/>
          <w:bCs w:val="1"/>
          <w:color w:val="000000"/>
        </w:rPr>
        <w:t>Treatment of Certain Information; Confidentiality</w:t>
      </w:r>
      <w:r>
        <w:rPr>
          <w:rFonts w:ascii="Times New Roman" w:cs="Times New Roman" w:eastAsia="Times New Roman" w:hAnsi="Times New Roman"/>
          <w:sz w:val="21"/>
          <w:szCs w:val="21"/>
          <w:color w:val="000000"/>
        </w:rPr>
        <w:t>. Agent and each Lender agrees</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to use commercially reasonable efforts to maintain the confidentiality of the Information (as defined below), except that Information may be disclosed (a) to its Affiliates and to its Related Parties and its fund investors or shareholders (as potential investors and shareholders), and to its lenders, funding or financing sources (it being understood that the Persons to whom such disclosure is made are informed of the confidential nature of such Information and instructed to keep such Information confidential);</w:t>
      </w:r>
    </w:p>
    <w:p>
      <w:pPr>
        <w:spacing w:after="0" w:line="1" w:lineRule="exact"/>
        <w:rPr>
          <w:sz w:val="20"/>
          <w:szCs w:val="20"/>
          <w:color w:val="auto"/>
        </w:rPr>
      </w:pPr>
    </w:p>
    <w:p>
      <w:pPr>
        <w:jc w:val="both"/>
        <w:ind w:left="1100" w:firstLine="5"/>
        <w:spacing w:after="0" w:line="230" w:lineRule="auto"/>
        <w:tabs>
          <w:tab w:leader="none" w:pos="140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or requested by any regulatory authority purporting to have jurisdiction over such Person or its Related Parties; (c) to the extent required by applicable Laws or regulations or by any subpoena or similar legal process, upon the request or demand of any Governmental Authority, in response to any order of any court or other Governmental Authority or as may otherwise be required pursuant to any Requirement of Law or if requested or required to do so in connection with any litigation or similar proceeding (provided that such party will use commercially reasonable efforts to give Borrower prior notice to the extent not prohibited); (d) to any other party hereto; (e) in connection with the exercise of any remedies hereunder or under any other Loan Document or any action or proceeding relating to this Agreement or any other Loan Document or the enforcement of rights hereunder or thereunder; (f) on a confidential basis to any rating agency in connection with rating a Loan Party or the Obligations; (g) with the consent of Borrower; (h) to any Person to whom a Lender offers or proposes to offer to sell, assign or transfer the Term Loan, the Term Loan Commitment or any part thereof or any interest or participation therein (it being understood that the Persons to whom such disclosure is made will be informed of the confidential nature of such Information and instructed to keep such Information confidential) or</w:t>
      </w:r>
    </w:p>
    <w:p>
      <w:pPr>
        <w:spacing w:after="0" w:line="8" w:lineRule="exact"/>
        <w:rPr>
          <w:rFonts w:ascii="Times New Roman" w:cs="Times New Roman" w:eastAsia="Times New Roman" w:hAnsi="Times New Roman"/>
          <w:sz w:val="22"/>
          <w:szCs w:val="22"/>
          <w:color w:val="auto"/>
        </w:rPr>
      </w:pPr>
    </w:p>
    <w:p>
      <w:pPr>
        <w:jc w:val="both"/>
        <w:ind w:left="1100" w:firstLine="5"/>
        <w:spacing w:after="0" w:line="231" w:lineRule="auto"/>
        <w:tabs>
          <w:tab w:leader="none" w:pos="139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Information (x) becomes publicly available other than as a result of a breach of this Section, or (y) becomes available to Agent, a Lender or its Affiliates on a non-confidential basis from a source other than a Loan Party. 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For purposes of this Section,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means all information received from the Loan Parties relating to the Loan Parties or any of their respective businesses, other than any such information that is available to Agent or Lenders on a</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82</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3" w:name="page104"/>
    <w:bookmarkEnd w:id="103"/>
    <w:p>
      <w:pPr>
        <w:jc w:val="both"/>
        <w:ind w:left="1100"/>
        <w:spacing w:after="0" w:line="235" w:lineRule="auto"/>
        <w:rPr>
          <w:sz w:val="20"/>
          <w:szCs w:val="20"/>
          <w:color w:val="auto"/>
        </w:rPr>
      </w:pPr>
      <w:r>
        <w:rPr>
          <w:rFonts w:ascii="Times New Roman" w:cs="Times New Roman" w:eastAsia="Times New Roman" w:hAnsi="Times New Roman"/>
          <w:sz w:val="22"/>
          <w:szCs w:val="22"/>
          <w:color w:val="auto"/>
        </w:rPr>
        <w:t>non-confidential basis prior to disclosure by such Loan Party; provided, that, in the case of information received from the Loan Parties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which degree of care is no less than a reasonable degree of care.</w:t>
      </w:r>
    </w:p>
    <w:p>
      <w:pPr>
        <w:spacing w:after="0" w:line="193" w:lineRule="exact"/>
        <w:rPr>
          <w:sz w:val="20"/>
          <w:szCs w:val="20"/>
          <w:color w:val="auto"/>
        </w:rPr>
      </w:pPr>
    </w:p>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8.16 </w:t>
      </w:r>
      <w:r>
        <w:rPr>
          <w:rFonts w:ascii="Times New Roman" w:cs="Times New Roman" w:eastAsia="Times New Roman" w:hAnsi="Times New Roman"/>
          <w:sz w:val="22"/>
          <w:szCs w:val="22"/>
          <w:b w:val="1"/>
          <w:bCs w:val="1"/>
          <w:color w:val="000000"/>
        </w:rPr>
        <w:t>Beneficial Ownership Regulation; Patriot Act</w:t>
      </w:r>
      <w:r>
        <w:rPr>
          <w:rFonts w:ascii="Times New Roman" w:cs="Times New Roman" w:eastAsia="Times New Roman" w:hAnsi="Times New Roman"/>
          <w:sz w:val="22"/>
          <w:szCs w:val="22"/>
          <w:color w:val="000000"/>
        </w:rPr>
        <w:t>. Agent and Lenders hereby notifies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each Loan Party that, pursuant to the requirements of the Patriot Act, it is required to obtain, verify and record information that identifies such Person, which information includes the names and addresses and other information that will allow Agent or such Lender to identify such Loan Party in accordance with the Patriot Act. Each Loan Party will provide, to the extent required by any Requirement of Law, such information and take such actions as are reasonably requested by Agent or a Lender to assist Agent or such Lender in maintaining compliance with the Patriot Act and the Beneficial Ownership Regulation.</w:t>
      </w:r>
    </w:p>
    <w:p>
      <w:pPr>
        <w:spacing w:after="0" w:line="178" w:lineRule="exact"/>
        <w:rPr>
          <w:sz w:val="20"/>
          <w:szCs w:val="20"/>
          <w:color w:val="auto"/>
        </w:rPr>
      </w:pPr>
    </w:p>
    <w:p>
      <w:pPr>
        <w:jc w:val="both"/>
        <w:ind w:left="1100" w:firstLine="648"/>
        <w:spacing w:after="0" w:line="232" w:lineRule="auto"/>
        <w:rPr>
          <w:sz w:val="20"/>
          <w:szCs w:val="20"/>
          <w:color w:val="auto"/>
        </w:rPr>
      </w:pPr>
      <w:r>
        <w:rPr>
          <w:rFonts w:ascii="Times New Roman" w:cs="Times New Roman" w:eastAsia="Times New Roman" w:hAnsi="Times New Roman"/>
          <w:sz w:val="22"/>
          <w:szCs w:val="22"/>
          <w:b w:val="1"/>
          <w:bCs w:val="1"/>
          <w:color w:val="010000"/>
        </w:rPr>
        <w:t xml:space="preserve">8.17 </w:t>
      </w:r>
      <w:r>
        <w:rPr>
          <w:rFonts w:ascii="Times New Roman" w:cs="Times New Roman" w:eastAsia="Times New Roman" w:hAnsi="Times New Roman"/>
          <w:sz w:val="22"/>
          <w:szCs w:val="22"/>
          <w:b w:val="1"/>
          <w:bCs w:val="1"/>
          <w:color w:val="000000"/>
        </w:rPr>
        <w:t>Marshalling; Setoff</w:t>
      </w:r>
      <w:r>
        <w:rPr>
          <w:rFonts w:ascii="Times New Roman" w:cs="Times New Roman" w:eastAsia="Times New Roman" w:hAnsi="Times New Roman"/>
          <w:sz w:val="22"/>
          <w:szCs w:val="22"/>
          <w:color w:val="000000"/>
        </w:rPr>
        <w:t>. Neither any Agent nor any Lender shall be under any obligation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to marshal any assets in favor of any Loan Party or any other Person or against or in payment of any or all of the Obligations. Each Loan Party grants to Agent and each Lender a continuing Lien, security interest and right of setoff as security for all liabilities and obligations to Agent or such Lender arising under or relating to the Obligations, whether now existing or hereafter arising, upon and against all deposits, credits, collateral and property of such Loan Party, and any other accounts established hereunder for the deposit of cash collateral in order to secure the Obligations, now or hereafter in the possession, custody, safekeeping or control of Agent or such Lender or any entity under the control of Agent or such Lender, and their successors and assigns or in transit to any of them. At any time while an Event of Default exists, without demand or notice (any such notice being expressly waived by such Loan Party), Agent or such Lender may set-off the same or any part thereof and apply the same to any liability or obligation of such Loan Party even though unmatured and regardless of the adequacy of any other Collateral securing the Obligations. ANY AND ALL RIGHTS TO REQUIRE AGENT OR ANY LENDER TO EXERCISE ITS RIGHTS OR REMEDIES WITH RESPECT TO ANY OTHER COLLATERAL WHICH SECURES THE OBLIGATIONS, PRIOR TO EXERCISING ITS RIGHTS OF SETOFF WITH RESPECT TO SUCH DEPOSITS, CREDITS OR OTHER PROPERTY OF THE BORROWER ARE HEREBY KNOWINGLY, VOLUNTARILY AND IRREVOCABLY WAIVED.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SECTION 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Agency Provisions.</w:t>
      </w:r>
    </w:p>
    <w:p>
      <w:pPr>
        <w:spacing w:after="0" w:line="192" w:lineRule="exact"/>
        <w:rPr>
          <w:sz w:val="20"/>
          <w:szCs w:val="20"/>
          <w:color w:val="auto"/>
        </w:rPr>
      </w:pPr>
    </w:p>
    <w:p>
      <w:pPr>
        <w:jc w:val="both"/>
        <w:ind w:left="1100" w:firstLine="648"/>
        <w:spacing w:after="0" w:line="237" w:lineRule="auto"/>
        <w:rPr>
          <w:sz w:val="20"/>
          <w:szCs w:val="20"/>
          <w:color w:val="auto"/>
        </w:rPr>
      </w:pPr>
      <w:r>
        <w:rPr>
          <w:rFonts w:ascii="Times New Roman" w:cs="Times New Roman" w:eastAsia="Times New Roman" w:hAnsi="Times New Roman"/>
          <w:sz w:val="22"/>
          <w:szCs w:val="22"/>
          <w:b w:val="1"/>
          <w:bCs w:val="1"/>
          <w:color w:val="010000"/>
        </w:rPr>
        <w:t xml:space="preserve">9.1 </w:t>
      </w:r>
      <w:r>
        <w:rPr>
          <w:rFonts w:ascii="Times New Roman" w:cs="Times New Roman" w:eastAsia="Times New Roman" w:hAnsi="Times New Roman"/>
          <w:sz w:val="22"/>
          <w:szCs w:val="22"/>
          <w:b w:val="1"/>
          <w:bCs w:val="1"/>
          <w:color w:val="000000"/>
        </w:rPr>
        <w:t>Appointment of Agent</w:t>
      </w:r>
      <w:r>
        <w:rPr>
          <w:rFonts w:ascii="Times New Roman" w:cs="Times New Roman" w:eastAsia="Times New Roman" w:hAnsi="Times New Roman"/>
          <w:sz w:val="22"/>
          <w:szCs w:val="22"/>
          <w:color w:val="000000"/>
        </w:rPr>
        <w:t>. Each Lender hereby appoints Agent as collateral agent,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payment and administrative agent under this Agreement and the other Loan Documents, and Agent hereby accepts such appointment. Lenders hereby authorize Agent to (a) execute and deliver the Loan Documents (including any subordination agreement), as applicable, and accept delivery thereof on its behalf from the Loan Parties, (b) take such action on its behalf and to exercise all rights, powers and remedies and perform the duties as are expressly delegated to</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83</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4" w:name="page105"/>
    <w:bookmarkEnd w:id="104"/>
    <w:p>
      <w:pPr>
        <w:ind w:left="1100" w:right="540"/>
        <w:spacing w:after="0" w:line="258" w:lineRule="auto"/>
        <w:rPr>
          <w:sz w:val="20"/>
          <w:szCs w:val="20"/>
          <w:color w:val="auto"/>
        </w:rPr>
      </w:pPr>
      <w:r>
        <w:rPr>
          <w:rFonts w:ascii="Times New Roman" w:cs="Times New Roman" w:eastAsia="Times New Roman" w:hAnsi="Times New Roman"/>
          <w:sz w:val="22"/>
          <w:szCs w:val="22"/>
          <w:color w:val="auto"/>
        </w:rPr>
        <w:t>Agent under this Agreement and the other Loan Documents and (c) exercise such powers as are reasonably incidental thereto.</w:t>
      </w:r>
    </w:p>
    <w:p>
      <w:pPr>
        <w:spacing w:after="0" w:line="168" w:lineRule="exact"/>
        <w:rPr>
          <w:sz w:val="20"/>
          <w:szCs w:val="20"/>
          <w:color w:val="auto"/>
        </w:rPr>
      </w:pPr>
    </w:p>
    <w:p>
      <w:pPr>
        <w:jc w:val="both"/>
        <w:ind w:left="1100" w:firstLine="648"/>
        <w:spacing w:after="0" w:line="232" w:lineRule="auto"/>
        <w:rPr>
          <w:sz w:val="20"/>
          <w:szCs w:val="20"/>
          <w:color w:val="auto"/>
        </w:rPr>
      </w:pPr>
      <w:r>
        <w:rPr>
          <w:rFonts w:ascii="Times New Roman" w:cs="Times New Roman" w:eastAsia="Times New Roman" w:hAnsi="Times New Roman"/>
          <w:sz w:val="22"/>
          <w:szCs w:val="22"/>
          <w:b w:val="1"/>
          <w:bCs w:val="1"/>
          <w:color w:val="010000"/>
        </w:rPr>
        <w:t xml:space="preserve">9.2 </w:t>
      </w:r>
      <w:r>
        <w:rPr>
          <w:rFonts w:ascii="Times New Roman" w:cs="Times New Roman" w:eastAsia="Times New Roman" w:hAnsi="Times New Roman"/>
          <w:sz w:val="22"/>
          <w:szCs w:val="22"/>
          <w:b w:val="1"/>
          <w:bCs w:val="1"/>
          <w:color w:val="000000"/>
        </w:rPr>
        <w:t>Duties as Agent</w:t>
      </w:r>
      <w:r>
        <w:rPr>
          <w:rFonts w:ascii="Times New Roman" w:cs="Times New Roman" w:eastAsia="Times New Roman" w:hAnsi="Times New Roman"/>
          <w:sz w:val="22"/>
          <w:szCs w:val="22"/>
          <w:color w:val="000000"/>
        </w:rPr>
        <w:t>. Without limiting the generality of</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u w:val="single" w:color="auto"/>
          <w:color w:val="000000"/>
        </w:rPr>
        <w:t>Section 9.1(a)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above, Agent shall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have the sole and exclusive right and authority (to the exclusion of Lenders), and is hereby authorized as provided in this Agreement and the other Loan Documents or as directed in writing by the Required Lenders, to (a) file and prove claims and file other documents necessary or desirable to allow the claims of Lenders, Agent and their respective Related Parties with respect to any obligations hereunder or under the other Loan Documents in any bankruptcy, insolvency or similar proceeding (but not to vote, consent or otherwise act on behalf of such other Lender or Related Party), (b) act as collateral agent for each Lender for purposes of the perfection of all Liens created by such agreements and all other purposes stated therein, (c) manage, supervise and otherwise deal with the Collateral, (d) take such other action as is necessary or desirable to maintain the perfection and priority of the Liens created or purported to be created by this Agreement and the other Loan Documents, (e) except as may be otherwise specified in this Agreement or the other Loan Documents, exercise all remedies given to Agent and Lenders with respect to the Collateral, whether under this Agreement or the other Loan Documents, applicable Laws or otherwise, (f) to credit bid any or all of the obligations on behalf of Lenders in connection with any sale or other disposition of any or all assets or equity of the Loan Parties and</w:t>
      </w:r>
    </w:p>
    <w:p>
      <w:pPr>
        <w:spacing w:after="0" w:line="3" w:lineRule="exact"/>
        <w:rPr>
          <w:sz w:val="20"/>
          <w:szCs w:val="20"/>
          <w:color w:val="auto"/>
        </w:rPr>
      </w:pPr>
    </w:p>
    <w:p>
      <w:pPr>
        <w:jc w:val="both"/>
        <w:ind w:left="1100" w:firstLine="5"/>
        <w:spacing w:after="0" w:line="243" w:lineRule="auto"/>
        <w:tabs>
          <w:tab w:leader="none" w:pos="141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execute any amendment, consent or waiver under this Agreement and the other Loan Documents (including any subordination agreement) on behalf of the Required Lenders that have consented in writing to such amendment, consent or waiver;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Agent hereby appoints, authorizes and directs Lenders to act as collateral sub-agents for Agent and the other Lenders for purposes of the perfection of all Liens with respect to the Collateral, including any deposit account maintained by any Loan Party with, and cash and Cash Equivalents held by, Lenders, and may further authorize and direct Lenders to take further actions as collateral sub-agents for purposes of enforcing such Liens or otherwise to transfer the Collateral subject thereto to Agent and Lenders hereby agree to take such further actions to the extent, and only to the extent, so authorized and directed.</w:t>
      </w:r>
    </w:p>
    <w:p>
      <w:pPr>
        <w:spacing w:after="0" w:line="175" w:lineRule="exact"/>
        <w:rPr>
          <w:sz w:val="20"/>
          <w:szCs w:val="20"/>
          <w:color w:val="auto"/>
        </w:rPr>
      </w:pPr>
    </w:p>
    <w:p>
      <w:pPr>
        <w:jc w:val="both"/>
        <w:ind w:left="1100" w:firstLine="648"/>
        <w:spacing w:after="0" w:line="244" w:lineRule="auto"/>
        <w:rPr>
          <w:sz w:val="20"/>
          <w:szCs w:val="20"/>
          <w:color w:val="auto"/>
        </w:rPr>
      </w:pPr>
      <w:r>
        <w:rPr>
          <w:rFonts w:ascii="Times New Roman" w:cs="Times New Roman" w:eastAsia="Times New Roman" w:hAnsi="Times New Roman"/>
          <w:sz w:val="21"/>
          <w:szCs w:val="21"/>
          <w:b w:val="1"/>
          <w:bCs w:val="1"/>
          <w:color w:val="010000"/>
        </w:rPr>
        <w:t xml:space="preserve">9.3 </w:t>
      </w:r>
      <w:r>
        <w:rPr>
          <w:rFonts w:ascii="Times New Roman" w:cs="Times New Roman" w:eastAsia="Times New Roman" w:hAnsi="Times New Roman"/>
          <w:sz w:val="21"/>
          <w:szCs w:val="21"/>
          <w:b w:val="1"/>
          <w:bCs w:val="1"/>
          <w:color w:val="000000"/>
        </w:rPr>
        <w:t>Limited Duties</w:t>
      </w:r>
      <w:r>
        <w:rPr>
          <w:rFonts w:ascii="Times New Roman" w:cs="Times New Roman" w:eastAsia="Times New Roman" w:hAnsi="Times New Roman"/>
          <w:sz w:val="21"/>
          <w:szCs w:val="21"/>
          <w:color w:val="000000"/>
        </w:rPr>
        <w:t>. Under this Agreement and the other Loan Documents, Agent (a) is</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acting solely on behalf of Lenders with duties that are entirely administrative in nature with respect to the rights delegated to it under this Agreement and the other Loan Documents notwithstanding the use of the defined term “Agent”, which is used for title purposes only, (b) is not assuming any obligation under this Agreement or any other Loan Document other than as expressly set forth therein or herein and is not assuming any role as agent, fiduciary or trustee of or for Lenders or any other Person and (c) shall have no implied functions, responsibilities, duties, obligations or other liabilities under this Agreement or any other Loan Document, and Lenders, by accepting the benefits of this Agreement and the other Loan Documents, hereby waive and agree not to assert any claim against Agent based on the roles, duties and legal relationships expressly disclaimed in clauses (a) through</w:t>
      </w:r>
    </w:p>
    <w:p>
      <w:pPr>
        <w:spacing w:after="0" w:line="3" w:lineRule="exact"/>
        <w:rPr>
          <w:sz w:val="20"/>
          <w:szCs w:val="20"/>
          <w:color w:val="auto"/>
        </w:rPr>
      </w:pPr>
    </w:p>
    <w:p>
      <w:pPr>
        <w:ind w:left="1400" w:hanging="295"/>
        <w:spacing w:after="0"/>
        <w:tabs>
          <w:tab w:leader="none" w:pos="14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9.4 </w:t>
      </w:r>
      <w:r>
        <w:rPr>
          <w:rFonts w:ascii="Times New Roman" w:cs="Times New Roman" w:eastAsia="Times New Roman" w:hAnsi="Times New Roman"/>
          <w:sz w:val="22"/>
          <w:szCs w:val="22"/>
          <w:b w:val="1"/>
          <w:bCs w:val="1"/>
          <w:color w:val="000000"/>
        </w:rPr>
        <w:t>No Actions Without Instructions</w:t>
      </w:r>
      <w:r>
        <w:rPr>
          <w:rFonts w:ascii="Times New Roman" w:cs="Times New Roman" w:eastAsia="Times New Roman" w:hAnsi="Times New Roman"/>
          <w:sz w:val="22"/>
          <w:szCs w:val="22"/>
          <w:color w:val="000000"/>
        </w:rPr>
        <w:t>. Agent shall not be required to exercise 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discretion or take, or to omit to take, any action, including with respect to enforcement or collection, except any action it is required and directed to take, or omit to take, pursuant to instructions approved by the Required Lenders. Notwithstanding the prior sentence, Agent shall not be required to take, or to omit to take, any action (a) unless, upon demand, Agent receives an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84</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5" w:name="page106"/>
    <w:bookmarkEnd w:id="105"/>
    <w:p>
      <w:pPr>
        <w:jc w:val="both"/>
        <w:ind w:left="1100"/>
        <w:spacing w:after="0" w:line="239" w:lineRule="auto"/>
        <w:rPr>
          <w:sz w:val="20"/>
          <w:szCs w:val="20"/>
          <w:color w:val="auto"/>
        </w:rPr>
      </w:pPr>
      <w:r>
        <w:rPr>
          <w:rFonts w:ascii="Times New Roman" w:cs="Times New Roman" w:eastAsia="Times New Roman" w:hAnsi="Times New Roman"/>
          <w:sz w:val="22"/>
          <w:szCs w:val="22"/>
          <w:color w:val="auto"/>
        </w:rPr>
        <w:t>indemnification satisfactory to it from Lenders against all liabilities that, by reason of such action or omission, may be imposed on, incurred by or asserted against Agent or any of its Affiliates or Related Parties or (b) that is, in the opinion of Agent or its counsel, contrary to this Agreement, the other Loan Document or applicable law.</w:t>
      </w:r>
    </w:p>
    <w:p>
      <w:pPr>
        <w:spacing w:after="0" w:line="190" w:lineRule="exact"/>
        <w:rPr>
          <w:sz w:val="20"/>
          <w:szCs w:val="20"/>
          <w:color w:val="auto"/>
        </w:rPr>
      </w:pPr>
    </w:p>
    <w:p>
      <w:pPr>
        <w:jc w:val="both"/>
        <w:ind w:left="1100"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9.5 </w:t>
      </w:r>
      <w:r>
        <w:rPr>
          <w:rFonts w:ascii="Times New Roman" w:cs="Times New Roman" w:eastAsia="Times New Roman" w:hAnsi="Times New Roman"/>
          <w:sz w:val="22"/>
          <w:szCs w:val="22"/>
          <w:b w:val="1"/>
          <w:bCs w:val="1"/>
          <w:color w:val="000000"/>
        </w:rPr>
        <w:t>Delegation of Rights and Duties</w:t>
      </w:r>
      <w:r>
        <w:rPr>
          <w:rFonts w:ascii="Times New Roman" w:cs="Times New Roman" w:eastAsia="Times New Roman" w:hAnsi="Times New Roman"/>
          <w:sz w:val="22"/>
          <w:szCs w:val="22"/>
          <w:color w:val="000000"/>
        </w:rPr>
        <w:t>. Agent may, upon any term or condition it specifies,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delegate or exercise any of its rights, powers and remedies under, and delegate or perform any of its duties or any other action with respect to, this Agreement and the other Loan Documents by or through any Lender or their Related Parties. Any such person shall benefit from this </w:t>
      </w:r>
      <w:r>
        <w:rPr>
          <w:rFonts w:ascii="Times New Roman" w:cs="Times New Roman" w:eastAsia="Times New Roman" w:hAnsi="Times New Roman"/>
          <w:sz w:val="22"/>
          <w:szCs w:val="22"/>
          <w:u w:val="single" w:color="auto"/>
          <w:color w:val="000000"/>
        </w:rPr>
        <w:t>Article 9</w:t>
      </w:r>
      <w:r>
        <w:rPr>
          <w:rFonts w:ascii="Times New Roman" w:cs="Times New Roman" w:eastAsia="Times New Roman" w:hAnsi="Times New Roman"/>
          <w:sz w:val="22"/>
          <w:szCs w:val="22"/>
          <w:color w:val="000000"/>
        </w:rPr>
        <w:t xml:space="preserve"> to the extent provided to Agent.</w:t>
      </w:r>
    </w:p>
    <w:p>
      <w:pPr>
        <w:spacing w:after="0" w:line="177" w:lineRule="exact"/>
        <w:rPr>
          <w:sz w:val="20"/>
          <w:szCs w:val="20"/>
          <w:color w:val="auto"/>
        </w:rPr>
      </w:pPr>
    </w:p>
    <w:p>
      <w:pPr>
        <w:jc w:val="both"/>
        <w:ind w:left="1100" w:firstLine="648"/>
        <w:spacing w:after="0" w:line="231" w:lineRule="auto"/>
        <w:rPr>
          <w:sz w:val="20"/>
          <w:szCs w:val="20"/>
          <w:color w:val="auto"/>
        </w:rPr>
      </w:pPr>
      <w:r>
        <w:rPr>
          <w:rFonts w:ascii="Times New Roman" w:cs="Times New Roman" w:eastAsia="Times New Roman" w:hAnsi="Times New Roman"/>
          <w:sz w:val="22"/>
          <w:szCs w:val="22"/>
          <w:b w:val="1"/>
          <w:bCs w:val="1"/>
          <w:color w:val="010000"/>
        </w:rPr>
        <w:t xml:space="preserve">9.6 </w:t>
      </w:r>
      <w:r>
        <w:rPr>
          <w:rFonts w:ascii="Times New Roman" w:cs="Times New Roman" w:eastAsia="Times New Roman" w:hAnsi="Times New Roman"/>
          <w:sz w:val="22"/>
          <w:szCs w:val="22"/>
          <w:b w:val="1"/>
          <w:bCs w:val="1"/>
          <w:color w:val="000000"/>
        </w:rPr>
        <w:t>Reliance and Liability</w:t>
      </w:r>
      <w:r>
        <w:rPr>
          <w:rFonts w:ascii="Times New Roman" w:cs="Times New Roman" w:eastAsia="Times New Roman" w:hAnsi="Times New Roman"/>
          <w:sz w:val="22"/>
          <w:szCs w:val="22"/>
          <w:color w:val="000000"/>
        </w:rPr>
        <w:t>. Neither Agent nor any of its Related Parties shall be liable 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responsible to any Lender or any of its Related Party or to the Loan Parties for (a) any action taken or omitted to be taken by Agent or any other such Person hereunder or under any related agreement, instrument or document, except in the case of resulting primarily from its gross negligence or willful misconduct as finally determined by a non-appealable court of competent jurisdiction or (b) any action taken or omitted to be taken by Agent or any such Related Party in connection with this Agreement or any other Loan Document with the consent or at the request of the Required Lenders, nor shall Agent or any of its Related Parties be liable or responsible for (i) the execution, legality, validity, effectiveness, sufficiency, enforceability or enforcement of this Agreement and the other Loan Documents or any instrument or document delivered hereunder or thereunder or relating hereto or thereto, or the value of any Collateral, or the attachment, perfection or priority of any Lien created or purported to be created under or in connection with this Agreement and the other Loan Documents; (ii) the title of any Loan Party to any of the Collateral or the right to grant a security interest therein; (iii) the determination, verification or enforcement any Loan Party’s compliance with any of the terms and conditions of this Agreement or the other Loan Documents; (iv) the failure by any Loan Party to deliver any instrument or document required to be delivered pursuant to the terms hereof or any other Loan Document; or (v) the receipt, disbursement, waiver, extension or other handling of proceeds made or received with respect to the Collateral, or the payment thereof, the servicing of the Collateral or the enforcement or the collection of any amounts owing with respect to the Collateral. Agent shall not incur any liability by acting in reliance upon any notice, consent, certificate, statement or other writing (which may be a bank wire, telex, facsimile transmission, e-mail or similar writing) reasonably believed by it to be genuine or to be signed by the proper party or parties. Agent makes no warranty or representation, and shall not be responsible, to any Lender for any statement, document, information, representation or warranty made or furnished by or on behalf of any of its Related Parties or any Loan Party in connection with this Agreement or the other Loan Documents or any transaction contemplated herein or therein or any other document or information transmitted by Agent, if any, including as to completeness, accuracy, scope or adequacy thereof, or for the scope, nature or results of any due diligence performed by Agent in connection with this Agreement and the other Loan Documents.</w:t>
      </w:r>
    </w:p>
    <w:p>
      <w:pPr>
        <w:spacing w:after="0" w:line="202"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9.7 </w:t>
      </w:r>
      <w:r>
        <w:rPr>
          <w:rFonts w:ascii="Times New Roman" w:cs="Times New Roman" w:eastAsia="Times New Roman" w:hAnsi="Times New Roman"/>
          <w:sz w:val="22"/>
          <w:szCs w:val="22"/>
          <w:b w:val="1"/>
          <w:bCs w:val="1"/>
          <w:color w:val="000000"/>
        </w:rPr>
        <w:t>Agent Individually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To the extent Agent is owed an obligation as a Lender or made a</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Protective Advance and is a party to the other Loan Documents, it shall have and may exercise the same rights and powers hereunder and thereunder, and shall be subject to the same obligations and liabilities as, any other Lender.</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85</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6" w:name="page107"/>
    <w:bookmarkEnd w:id="106"/>
    <w:p>
      <w:pPr>
        <w:jc w:val="both"/>
        <w:ind w:left="1100" w:firstLine="648"/>
        <w:spacing w:after="0" w:line="235" w:lineRule="auto"/>
        <w:rPr>
          <w:sz w:val="20"/>
          <w:szCs w:val="20"/>
          <w:color w:val="auto"/>
        </w:rPr>
      </w:pPr>
      <w:r>
        <w:rPr>
          <w:rFonts w:ascii="Times New Roman" w:cs="Times New Roman" w:eastAsia="Times New Roman" w:hAnsi="Times New Roman"/>
          <w:sz w:val="22"/>
          <w:szCs w:val="22"/>
          <w:b w:val="1"/>
          <w:bCs w:val="1"/>
          <w:color w:val="010000"/>
        </w:rPr>
        <w:t xml:space="preserve">9.8 </w:t>
      </w:r>
      <w:r>
        <w:rPr>
          <w:rFonts w:ascii="Times New Roman" w:cs="Times New Roman" w:eastAsia="Times New Roman" w:hAnsi="Times New Roman"/>
          <w:sz w:val="22"/>
          <w:szCs w:val="22"/>
          <w:b w:val="1"/>
          <w:bCs w:val="1"/>
          <w:color w:val="000000"/>
        </w:rPr>
        <w:t>Agent Costs and Expenses</w:t>
      </w:r>
      <w:r>
        <w:rPr>
          <w:rFonts w:ascii="Times New Roman" w:cs="Times New Roman" w:eastAsia="Times New Roman" w:hAnsi="Times New Roman"/>
          <w:sz w:val="22"/>
          <w:szCs w:val="22"/>
          <w:color w:val="000000"/>
        </w:rPr>
        <w:t>. Lenders agree to reimburse Agent and each of its Related</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Parties (to the extent not reimbursed by the Loan Parties as required pursuant to this Agreement) promptly upon demand, severally and ratably with each other Lender, for any documented costs and expenses (including reasonable fees and expenses of legal counsel) that may be incurred by Agent or any of its Related Parties in connection with the administration, modification, consent, waiver or enforcement (whether through negotiations, through any work-out, bankruptcy, restructuring or other legal or other proceeding or otherwise) of, or legal advice in respect of its rights or responsibilities under, this Agreement or any other Loan Document. This </w:t>
      </w:r>
      <w:r>
        <w:rPr>
          <w:rFonts w:ascii="Times New Roman" w:cs="Times New Roman" w:eastAsia="Times New Roman" w:hAnsi="Times New Roman"/>
          <w:sz w:val="22"/>
          <w:szCs w:val="22"/>
          <w:u w:val="single" w:color="auto"/>
          <w:color w:val="000000"/>
        </w:rPr>
        <w:t>Section9.8</w:t>
      </w:r>
      <w:r>
        <w:rPr>
          <w:rFonts w:ascii="Times New Roman" w:cs="Times New Roman" w:eastAsia="Times New Roman" w:hAnsi="Times New Roman"/>
          <w:sz w:val="22"/>
          <w:szCs w:val="22"/>
          <w:color w:val="000000"/>
        </w:rPr>
        <w:t xml:space="preserve"> shall survive termination of this Agreement and the other Loan Documents.</w:t>
      </w:r>
    </w:p>
    <w:p>
      <w:pPr>
        <w:spacing w:after="0" w:line="187" w:lineRule="exact"/>
        <w:rPr>
          <w:sz w:val="20"/>
          <w:szCs w:val="20"/>
          <w:color w:val="auto"/>
        </w:rPr>
      </w:pPr>
    </w:p>
    <w:p>
      <w:pPr>
        <w:jc w:val="both"/>
        <w:ind w:left="1100" w:firstLine="648"/>
        <w:spacing w:after="0" w:line="232" w:lineRule="auto"/>
        <w:rPr>
          <w:sz w:val="20"/>
          <w:szCs w:val="20"/>
          <w:color w:val="auto"/>
        </w:rPr>
      </w:pPr>
      <w:r>
        <w:rPr>
          <w:rFonts w:ascii="Times New Roman" w:cs="Times New Roman" w:eastAsia="Times New Roman" w:hAnsi="Times New Roman"/>
          <w:sz w:val="22"/>
          <w:szCs w:val="22"/>
          <w:b w:val="1"/>
          <w:bCs w:val="1"/>
          <w:color w:val="010000"/>
        </w:rPr>
        <w:t xml:space="preserve">9.9 </w:t>
      </w:r>
      <w:r>
        <w:rPr>
          <w:rFonts w:ascii="Times New Roman" w:cs="Times New Roman" w:eastAsia="Times New Roman" w:hAnsi="Times New Roman"/>
          <w:sz w:val="22"/>
          <w:szCs w:val="22"/>
          <w:b w:val="1"/>
          <w:bCs w:val="1"/>
          <w:color w:val="000000"/>
        </w:rPr>
        <w:t>Indemnification of Agent</w:t>
      </w:r>
      <w:r>
        <w:rPr>
          <w:rFonts w:ascii="Times New Roman" w:cs="Times New Roman" w:eastAsia="Times New Roman" w:hAnsi="Times New Roman"/>
          <w:sz w:val="22"/>
          <w:szCs w:val="22"/>
          <w:color w:val="000000"/>
        </w:rPr>
        <w:t>. Lenders further agree to indemnify Agent and each of its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Related Parties (to the extent not reimbursed by the Loan Parties as required pursuant to this Agreement), severally and ratably with each other Lender, from and against any and all liabilities, obligations, losses, damages, penalties, actions, judgments, suits, claims, costs, expenses and disbursements of any kind or nature whatsoever (including the reasonable fees and disbursements of counsel for Agent or such Related Parties) in connection with any investigative, administrative or judicial proceeding, enforcement action or any other action taken or omitted to be taken by Agent or any of its Related Parties under or with respect to this Agreement or the other Loan Documents, or any other act, event or transaction related, contemplated or attendant thereto, whether or not Agent or such Related Party shall be designated a party thereto and including any such proceeding initiated by or on behalf of the Loan Parties which may be imposed on, incurred by or asserted against Agent or such Related Party as a result of or in connection with this Agreement or the other Loan Documents;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Lenders shall not be liable to Agent or any of its Related Parties to the extent such liability has resulted primarily from the gross negligence or willful misconduct of Agent or, as the case may be, such Related Party, as determined by a court of competent jurisdiction in a final non-appealable judgment or order. This </w:t>
      </w:r>
      <w:r>
        <w:rPr>
          <w:rFonts w:ascii="Times New Roman" w:cs="Times New Roman" w:eastAsia="Times New Roman" w:hAnsi="Times New Roman"/>
          <w:sz w:val="22"/>
          <w:szCs w:val="22"/>
          <w:u w:val="single" w:color="auto"/>
          <w:color w:val="000000"/>
        </w:rPr>
        <w:t>Section 9.9</w:t>
      </w:r>
      <w:r>
        <w:rPr>
          <w:rFonts w:ascii="Times New Roman" w:cs="Times New Roman" w:eastAsia="Times New Roman" w:hAnsi="Times New Roman"/>
          <w:sz w:val="22"/>
          <w:szCs w:val="22"/>
          <w:color w:val="000000"/>
        </w:rPr>
        <w:t xml:space="preserve"> shall survive termination of this Agreement and the other Loan Documents.</w:t>
      </w:r>
    </w:p>
    <w:p>
      <w:pPr>
        <w:spacing w:after="0" w:line="190" w:lineRule="exact"/>
        <w:rPr>
          <w:sz w:val="20"/>
          <w:szCs w:val="20"/>
          <w:color w:val="auto"/>
        </w:rPr>
      </w:pPr>
    </w:p>
    <w:p>
      <w:pPr>
        <w:jc w:val="both"/>
        <w:ind w:left="1100" w:firstLine="648"/>
        <w:spacing w:after="0" w:line="233" w:lineRule="auto"/>
        <w:rPr>
          <w:sz w:val="20"/>
          <w:szCs w:val="20"/>
          <w:color w:val="auto"/>
        </w:rPr>
      </w:pPr>
      <w:r>
        <w:rPr>
          <w:rFonts w:ascii="Times New Roman" w:cs="Times New Roman" w:eastAsia="Times New Roman" w:hAnsi="Times New Roman"/>
          <w:sz w:val="22"/>
          <w:szCs w:val="22"/>
          <w:b w:val="1"/>
          <w:bCs w:val="1"/>
          <w:color w:val="010000"/>
        </w:rPr>
        <w:t xml:space="preserve">9.10 </w:t>
      </w:r>
      <w:r>
        <w:rPr>
          <w:rFonts w:ascii="Times New Roman" w:cs="Times New Roman" w:eastAsia="Times New Roman" w:hAnsi="Times New Roman"/>
          <w:sz w:val="22"/>
          <w:szCs w:val="22"/>
          <w:b w:val="1"/>
          <w:bCs w:val="1"/>
          <w:color w:val="000000"/>
        </w:rPr>
        <w:t>Resignation of Agent</w:t>
      </w:r>
      <w:r>
        <w:rPr>
          <w:rFonts w:ascii="Times New Roman" w:cs="Times New Roman" w:eastAsia="Times New Roman" w:hAnsi="Times New Roman"/>
          <w:sz w:val="22"/>
          <w:szCs w:val="22"/>
          <w:color w:val="000000"/>
        </w:rPr>
        <w:t>. Agent may resign at any time by giving notice thereof to</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Lenders and Borrower. Upon any such resignation, the Required Lenders shall have the right to appoint a successor Agent. If no successor Agent shall have been so appointed by the Required Lenders, and shall have accepted such appointment, within thirty (30) days after the retiring Agent gives notice of resignation, then the retiring Agent may, on behalf of Lenders, appoint a successor Agent, which shall be an entity organized or licensed under the Laws of the United States of America or any state thereof. Upon the acceptance of its appointment as Agent hereunder by a successor Agent, such successor Agent shall thereupon succeed to and become vested with all the rights and duties of the retiring Agent, and the retiring Agent shall be discharged from any further duties and obligations hereunder. After any retiring Agent’s resignation hereunder as Agent, the provisions of this </w:t>
      </w:r>
      <w:r>
        <w:rPr>
          <w:rFonts w:ascii="Times New Roman" w:cs="Times New Roman" w:eastAsia="Times New Roman" w:hAnsi="Times New Roman"/>
          <w:sz w:val="22"/>
          <w:szCs w:val="22"/>
          <w:u w:val="single" w:color="auto"/>
          <w:color w:val="000000"/>
        </w:rPr>
        <w:t>Article 9</w:t>
      </w:r>
      <w:r>
        <w:rPr>
          <w:rFonts w:ascii="Times New Roman" w:cs="Times New Roman" w:eastAsia="Times New Roman" w:hAnsi="Times New Roman"/>
          <w:sz w:val="22"/>
          <w:szCs w:val="22"/>
          <w:color w:val="000000"/>
        </w:rPr>
        <w:t xml:space="preserve"> or otherwise herein shall inure to its benefit as to any actions taken or omitted to be taken by it while it was Agent.</w:t>
      </w:r>
    </w:p>
    <w:p>
      <w:pPr>
        <w:spacing w:after="0" w:line="198" w:lineRule="exact"/>
        <w:rPr>
          <w:sz w:val="20"/>
          <w:szCs w:val="20"/>
          <w:color w:val="auto"/>
        </w:rPr>
      </w:pPr>
    </w:p>
    <w:p>
      <w:pPr>
        <w:jc w:val="both"/>
        <w:ind w:left="1100" w:firstLine="648"/>
        <w:spacing w:after="0" w:line="241" w:lineRule="auto"/>
        <w:rPr>
          <w:sz w:val="20"/>
          <w:szCs w:val="20"/>
          <w:color w:val="auto"/>
        </w:rPr>
      </w:pPr>
      <w:r>
        <w:rPr>
          <w:rFonts w:ascii="Times New Roman" w:cs="Times New Roman" w:eastAsia="Times New Roman" w:hAnsi="Times New Roman"/>
          <w:sz w:val="22"/>
          <w:szCs w:val="22"/>
          <w:b w:val="1"/>
          <w:bCs w:val="1"/>
          <w:color w:val="010000"/>
        </w:rPr>
        <w:t xml:space="preserve">9.11 </w:t>
      </w:r>
      <w:r>
        <w:rPr>
          <w:rFonts w:ascii="Times New Roman" w:cs="Times New Roman" w:eastAsia="Times New Roman" w:hAnsi="Times New Roman"/>
          <w:sz w:val="22"/>
          <w:szCs w:val="22"/>
          <w:b w:val="1"/>
          <w:bCs w:val="1"/>
          <w:color w:val="000000"/>
        </w:rPr>
        <w:t>Release of Collateral</w:t>
      </w:r>
      <w:r>
        <w:rPr>
          <w:rFonts w:ascii="Times New Roman" w:cs="Times New Roman" w:eastAsia="Times New Roman" w:hAnsi="Times New Roman"/>
          <w:sz w:val="22"/>
          <w:szCs w:val="22"/>
          <w:color w:val="000000"/>
        </w:rPr>
        <w:t>. Lenders hereby consent to the automatic release and hereby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directs Agent to release any Lien held by Agent for the benefit of Lenders against (a) any Collateral that is sold by a Loan Party as permitted by this Agreement or the other Loan Documents (including pursuant to a valid waiver or consent), to the extent all Liens required to</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86</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1" w:right="999" w:bottom="1440" w:gutter="0" w:footer="0" w:header="0"/>
        </w:sectPr>
      </w:pPr>
    </w:p>
    <w:bookmarkStart w:id="107" w:name="page108"/>
    <w:bookmarkEnd w:id="107"/>
    <w:p>
      <w:pPr>
        <w:jc w:val="both"/>
        <w:ind w:left="1100"/>
        <w:spacing w:after="0" w:line="235" w:lineRule="auto"/>
        <w:rPr>
          <w:sz w:val="20"/>
          <w:szCs w:val="20"/>
          <w:color w:val="auto"/>
        </w:rPr>
      </w:pPr>
      <w:r>
        <w:rPr>
          <w:rFonts w:ascii="Times New Roman" w:cs="Times New Roman" w:eastAsia="Times New Roman" w:hAnsi="Times New Roman"/>
          <w:sz w:val="22"/>
          <w:szCs w:val="22"/>
          <w:color w:val="auto"/>
        </w:rPr>
        <w:t>be granted in the proceeds of such Collateral after giving effect to such sale have been granted and (b) all of the Collateral of the Loan Parties upon (i) payment and satisfaction in full of all obligations under this Agreement and the other Loan Documents (other than contingent indemnification obligations for which no claim has been asserted), (ii) deposit of cash collateral with respect to all contingent obligations in amounts and on terms and conditions and with parties satisfactory to Agent and each Related Party that is owed such obligations and (iii) to the extent requested by Agent, receipt by Lenders of liability releases from the Loan Parties each in form and substance acceptable to Agent.</w:t>
      </w:r>
    </w:p>
    <w:p>
      <w:pPr>
        <w:spacing w:after="0" w:line="188" w:lineRule="exact"/>
        <w:rPr>
          <w:sz w:val="20"/>
          <w:szCs w:val="20"/>
          <w:color w:val="auto"/>
        </w:rPr>
      </w:pPr>
    </w:p>
    <w:p>
      <w:pPr>
        <w:ind w:left="17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010000"/>
        </w:rPr>
        <w:t>9.12</w:t>
      </w:r>
      <w:r>
        <w:rPr>
          <w:sz w:val="20"/>
          <w:szCs w:val="20"/>
          <w:color w:val="auto"/>
        </w:rPr>
        <w:tab/>
      </w:r>
      <w:r>
        <w:rPr>
          <w:rFonts w:ascii="Times New Roman" w:cs="Times New Roman" w:eastAsia="Times New Roman" w:hAnsi="Times New Roman"/>
          <w:sz w:val="21"/>
          <w:szCs w:val="21"/>
          <w:b w:val="1"/>
          <w:bCs w:val="1"/>
          <w:color w:val="auto"/>
        </w:rPr>
        <w:t>Erroneous Payments</w:t>
      </w:r>
    </w:p>
    <w:p>
      <w:pPr>
        <w:spacing w:after="0" w:line="224" w:lineRule="exact"/>
        <w:rPr>
          <w:sz w:val="20"/>
          <w:szCs w:val="20"/>
          <w:color w:val="auto"/>
        </w:rPr>
      </w:pPr>
    </w:p>
    <w:p>
      <w:pPr>
        <w:jc w:val="both"/>
        <w:ind w:left="1100" w:firstLine="653"/>
        <w:spacing w:after="0" w:line="232" w:lineRule="auto"/>
        <w:tabs>
          <w:tab w:leader="none" w:pos="2397"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Agent (i)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22"/>
          <w:szCs w:val="22"/>
          <w:b w:val="1"/>
          <w:bCs w:val="1"/>
          <w:i w:val="1"/>
          <w:iCs w:val="1"/>
          <w:color w:val="auto"/>
        </w:rPr>
        <w:t>Payment Recipient</w:t>
      </w:r>
      <w:r>
        <w:rPr>
          <w:rFonts w:ascii="Times New Roman" w:cs="Times New Roman" w:eastAsia="Times New Roman" w:hAnsi="Times New Roman"/>
          <w:sz w:val="22"/>
          <w:szCs w:val="22"/>
          <w:color w:val="auto"/>
        </w:rPr>
        <w:t xml:space="preserve">”) that Agent has determined in its sole discretion (whether or not after receipt of any notice under immediately succeeding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 any funds (as set forth in such notice from Agent) received by such Payment Recipient from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2"/>
          <w:szCs w:val="22"/>
          <w:b w:val="1"/>
          <w:bCs w:val="1"/>
          <w:i w:val="1"/>
          <w:iCs w:val="1"/>
          <w:color w:val="auto"/>
        </w:rPr>
        <w:t>Erroneous Payment</w:t>
      </w:r>
      <w:r>
        <w:rPr>
          <w:rFonts w:ascii="Times New Roman" w:cs="Times New Roman" w:eastAsia="Times New Roman" w:hAnsi="Times New Roman"/>
          <w:sz w:val="22"/>
          <w:szCs w:val="22"/>
          <w:color w:val="auto"/>
        </w:rPr>
        <w:t xml:space="preserve">”) and (ii) demands in writing the return of such Erroneous Payment (or a portion thereof), such Erroneous Payment shall at all times remain the property of Agent pending its return or repayment as contemplated below in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and held in trust for the benefit of Agent, and such Lender shall (or, with respect to any Payment Recipient who received such funds on its behalf, shall cause such Payment Recipient to) promptly, but in no event later than two (2) Business Days thereafter (or such later date as Agent may, in its sole discretion, specify in writing), return to Agent the amount of any such Erroneous Payment (or portion thereof) as to which such a demand was made, in same day funds. A notice of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88" w:lineRule="exact"/>
        <w:rPr>
          <w:rFonts w:ascii="Times New Roman" w:cs="Times New Roman" w:eastAsia="Times New Roman" w:hAnsi="Times New Roman"/>
          <w:sz w:val="22"/>
          <w:szCs w:val="22"/>
          <w:color w:val="010000"/>
        </w:rPr>
      </w:pPr>
    </w:p>
    <w:p>
      <w:pPr>
        <w:jc w:val="both"/>
        <w:ind w:left="1100" w:firstLine="654"/>
        <w:spacing w:after="0" w:line="234" w:lineRule="auto"/>
        <w:tabs>
          <w:tab w:leader="none" w:pos="2396"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other such recipient, otherwise becomes aware was transmitted, or received, in error or by mistake (in whole or in part), then in each such case:</w:t>
      </w:r>
    </w:p>
    <w:p>
      <w:pPr>
        <w:spacing w:after="0" w:line="192" w:lineRule="exact"/>
        <w:rPr>
          <w:rFonts w:ascii="Times New Roman" w:cs="Times New Roman" w:eastAsia="Times New Roman" w:hAnsi="Times New Roman"/>
          <w:sz w:val="22"/>
          <w:szCs w:val="22"/>
          <w:color w:val="010000"/>
        </w:rPr>
      </w:pPr>
    </w:p>
    <w:p>
      <w:pPr>
        <w:jc w:val="both"/>
        <w:ind w:left="1760" w:firstLine="642"/>
        <w:spacing w:after="0" w:line="244" w:lineRule="auto"/>
        <w:tabs>
          <w:tab w:leader="none" w:pos="3056"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an error and mistake shall be presumed to have been made (absent written confirmation from Agent to the contrary) or (B) an error and mistake has been</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87</w:t>
            </w:r>
          </w:p>
        </w:tc>
      </w:tr>
      <w:tr>
        <w:trPr>
          <w:trHeight w:val="776"/>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8" w:name="page109"/>
    <w:bookmarkEnd w:id="108"/>
    <w:p>
      <w:pPr>
        <w:ind w:left="1760" w:right="440"/>
        <w:spacing w:after="0" w:line="258" w:lineRule="auto"/>
        <w:rPr>
          <w:sz w:val="20"/>
          <w:szCs w:val="20"/>
          <w:color w:val="auto"/>
        </w:rPr>
      </w:pPr>
      <w:r>
        <w:rPr>
          <w:rFonts w:ascii="Times New Roman" w:cs="Times New Roman" w:eastAsia="Times New Roman" w:hAnsi="Times New Roman"/>
          <w:sz w:val="22"/>
          <w:szCs w:val="22"/>
          <w:color w:val="auto"/>
        </w:rPr>
        <w:t xml:space="preserve">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72" w:lineRule="exact"/>
        <w:rPr>
          <w:sz w:val="20"/>
          <w:szCs w:val="20"/>
          <w:color w:val="auto"/>
        </w:rPr>
      </w:pPr>
    </w:p>
    <w:p>
      <w:pPr>
        <w:jc w:val="both"/>
        <w:ind w:left="1760" w:firstLine="642"/>
        <w:spacing w:after="0" w:line="236" w:lineRule="auto"/>
        <w:tabs>
          <w:tab w:leader="none" w:pos="3056"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such Lender shall (and shall cause any other recipient that receives funds on its respective behalf to) promptly (and, in all events, within one (1) Business Day of its knowledge of the occurrence of any of the circumstances described in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notify Agent of its receipt of such payment, prepayment or repayment, the details thereof (in reasonable detail) and that it is so notifying Agent pursuant to this </w:t>
      </w:r>
      <w:r>
        <w:rPr>
          <w:rFonts w:ascii="Times New Roman" w:cs="Times New Roman" w:eastAsia="Times New Roman" w:hAnsi="Times New Roman"/>
          <w:sz w:val="22"/>
          <w:szCs w:val="22"/>
          <w:u w:val="single" w:color="auto"/>
          <w:color w:val="auto"/>
        </w:rPr>
        <w:t>Section 9.12(b)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11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For the avoidance of doubt, the failure to deliver a notice to Agent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9.12(b)</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9.12(a)</w:t>
      </w:r>
      <w:r>
        <w:rPr>
          <w:rFonts w:ascii="Times New Roman" w:cs="Times New Roman" w:eastAsia="Times New Roman" w:hAnsi="Times New Roman"/>
          <w:sz w:val="22"/>
          <w:szCs w:val="22"/>
          <w:color w:val="auto"/>
        </w:rPr>
        <w:t xml:space="preserve"> or on whether or not an Erroneous Payment has been made.</w:t>
      </w:r>
    </w:p>
    <w:p>
      <w:pPr>
        <w:spacing w:after="0" w:line="187" w:lineRule="exact"/>
        <w:rPr>
          <w:sz w:val="20"/>
          <w:szCs w:val="20"/>
          <w:color w:val="auto"/>
        </w:rPr>
      </w:pPr>
    </w:p>
    <w:p>
      <w:pPr>
        <w:jc w:val="both"/>
        <w:ind w:left="1100" w:firstLine="654"/>
        <w:spacing w:after="0" w:line="238" w:lineRule="auto"/>
        <w:tabs>
          <w:tab w:leader="none" w:pos="2396"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Lender hereby authorizes Agent to set off, net and apply any and all amounts at any time owing to such Lender under any Loan Document, or otherwise payable or distributable by Agent to such Lender under any Loan Document with respect to any payment of principal, interest, fees or other amounts, against any amount that Agent has demanded to be returned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010000"/>
        </w:rPr>
      </w:pPr>
    </w:p>
    <w:p>
      <w:pPr>
        <w:jc w:val="both"/>
        <w:ind w:left="1100" w:firstLine="654"/>
        <w:spacing w:after="0" w:line="243" w:lineRule="auto"/>
        <w:tabs>
          <w:tab w:leader="none" w:pos="2396" w:val="left"/>
        </w:tabs>
        <w:numPr>
          <w:ilvl w:val="0"/>
          <w:numId w:val="1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 In the event that an Erroneous Payment (or portion thereof) is not recovered by Agent for any reason, after demand therefor in accordance with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1"/>
          <w:szCs w:val="21"/>
          <w:b w:val="1"/>
          <w:bCs w:val="1"/>
          <w:i w:val="1"/>
          <w:iCs w:val="1"/>
          <w:color w:val="auto"/>
        </w:rPr>
        <w:t>Erroneous Payment Return Deficiency</w:t>
      </w:r>
      <w:r>
        <w:rPr>
          <w:rFonts w:ascii="Times New Roman" w:cs="Times New Roman" w:eastAsia="Times New Roman" w:hAnsi="Times New Roman"/>
          <w:sz w:val="21"/>
          <w:szCs w:val="21"/>
          <w:color w:val="auto"/>
        </w:rPr>
        <w:t>”), upon Agent’s notice to such Lender at any time, then effective immediately (with the consideration therefor being acknowledged by the parties hereto), (A) such Lender shall be deemed to have assigned its Term Loan (but not its Term Loan Commitments) with respect to which such Erroneous Payment was made in an amount equal to the Erroneous Payment Return Deficiency (or such lesser amount as Agent may specify) (such assignment of the Term Loan (but not Term Loan Commitments), the “</w:t>
      </w:r>
      <w:r>
        <w:rPr>
          <w:rFonts w:ascii="Times New Roman" w:cs="Times New Roman" w:eastAsia="Times New Roman" w:hAnsi="Times New Roman"/>
          <w:sz w:val="21"/>
          <w:szCs w:val="21"/>
          <w:b w:val="1"/>
          <w:bCs w:val="1"/>
          <w:i w:val="1"/>
          <w:iCs w:val="1"/>
          <w:color w:val="auto"/>
        </w:rPr>
        <w:t>Erroneous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Payment Deficiency Assignment</w:t>
      </w:r>
      <w:r>
        <w:rPr>
          <w:rFonts w:ascii="Times New Roman" w:cs="Times New Roman" w:eastAsia="Times New Roman" w:hAnsi="Times New Roman"/>
          <w:sz w:val="21"/>
          <w:szCs w:val="21"/>
          <w:color w:val="auto"/>
        </w:rPr>
        <w:t>”) (on a cashless basis and such amount calculated at par plus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accrued and unpaid interest), and is hereby (together with Borrowers) deemed to execute and deliver an assignment and assumption with respect to such Erroneous Payment Deficiency Assignment, and such Lender shall deliver any Notes evidencing the such portion of the Term Loan to Borrower or Agent (but the failure of such Person to deliver any such Notes shall not affect the effectiveness of the foregoing assignment), (B) Agent as the assignee Lender shall be deemed to have acquired the Erroneous Payment Deficiency Assignment, (C) upon such deemed acquisition,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Term Loan Commitments which shall survive as to such assigning Lender, (D) Agent and Borrowers shall each be deemed to have waived any consents required under this Agreement to any such Erroneous Payment Deficiency Assignment, and (E) Agent will reflect in the Register its ownership interest in the Term Loan subject to the Erroneous Payment Deficiency Assignment. For the avoidance of doubt, no Erroneous Payment Deficiency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88</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09" w:name="page110"/>
    <w:bookmarkEnd w:id="109"/>
    <w:p>
      <w:pPr>
        <w:ind w:left="1100" w:right="1080"/>
        <w:spacing w:after="0" w:line="282" w:lineRule="auto"/>
        <w:rPr>
          <w:sz w:val="20"/>
          <w:szCs w:val="20"/>
          <w:color w:val="auto"/>
        </w:rPr>
      </w:pPr>
      <w:r>
        <w:rPr>
          <w:rFonts w:ascii="Times New Roman" w:cs="Times New Roman" w:eastAsia="Times New Roman" w:hAnsi="Times New Roman"/>
          <w:sz w:val="21"/>
          <w:szCs w:val="21"/>
          <w:color w:val="auto"/>
        </w:rPr>
        <w:t>Assignment will reduce the Term Loan Commitments of any Lender and such Term Loan Commitments shall remain available in accordance with the terms of this Agreement.</w:t>
      </w:r>
    </w:p>
    <w:p>
      <w:pPr>
        <w:spacing w:after="0" w:line="148" w:lineRule="exact"/>
        <w:rPr>
          <w:sz w:val="20"/>
          <w:szCs w:val="20"/>
          <w:color w:val="auto"/>
        </w:rPr>
      </w:pPr>
    </w:p>
    <w:p>
      <w:pPr>
        <w:jc w:val="both"/>
        <w:ind w:left="1760" w:firstLine="642"/>
        <w:spacing w:after="0" w:line="244" w:lineRule="auto"/>
        <w:tabs>
          <w:tab w:leader="none" w:pos="3056" w:val="left"/>
        </w:tabs>
        <w:numPr>
          <w:ilvl w:val="1"/>
          <w:numId w:val="1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8.6</w:t>
      </w:r>
      <w:r>
        <w:rPr>
          <w:rFonts w:ascii="Times New Roman" w:cs="Times New Roman" w:eastAsia="Times New Roman" w:hAnsi="Times New Roman"/>
          <w:sz w:val="21"/>
          <w:szCs w:val="21"/>
          <w:color w:val="auto"/>
        </w:rPr>
        <w:t xml:space="preserve"> (but excluding, in all events, any assignment consent or approval requirements (whether from Borrower or otherwise)), Agent may, in its discretion, sell any portion of the Term Loan acquired pursuant to an Erroneous Payment Deficiency Assignment and upon receipt of the proceeds of such sale, the Erroneous Payment Return Deficiency owing by the applicable Lender shall be reduced by the net proceeds of the sale of such Term Loan (or portion thereof), and Agent shall retain all other rights, remedies and claims against such Lender (and/or against any recipient that receives funds on its respective behalf). In addition, an Erroneous Payment Return Deficiency owing by the applicable Lender</w:t>
      </w:r>
    </w:p>
    <w:p>
      <w:pPr>
        <w:spacing w:after="0" w:line="3" w:lineRule="exact"/>
        <w:rPr>
          <w:rFonts w:ascii="Times New Roman" w:cs="Times New Roman" w:eastAsia="Times New Roman" w:hAnsi="Times New Roman"/>
          <w:sz w:val="21"/>
          <w:szCs w:val="21"/>
          <w:color w:val="010000"/>
        </w:rPr>
      </w:pPr>
    </w:p>
    <w:p>
      <w:pPr>
        <w:jc w:val="both"/>
        <w:ind w:left="1760" w:hanging="6"/>
        <w:spacing w:after="0" w:line="232" w:lineRule="auto"/>
        <w:tabs>
          <w:tab w:leader="none" w:pos="208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reduced by the proceeds of prepayments or repayments of principal and interest, or other distribution in respect of principal and interest, received by Agent on or with respect to such portion of the Term Loan acquired from such Lender pursuant to an Erroneous Payment Deficiency Assignment (to the extent that such Term Loan is then owned by Agent) and (y) may, in the sole discretion of Agent, be reduced by any amount specified by Agent in writing to the applicable Lender from time to time.</w:t>
      </w:r>
    </w:p>
    <w:p>
      <w:pPr>
        <w:spacing w:after="0" w:line="183" w:lineRule="exact"/>
        <w:rPr>
          <w:sz w:val="20"/>
          <w:szCs w:val="20"/>
          <w:color w:val="auto"/>
        </w:rPr>
      </w:pPr>
    </w:p>
    <w:p>
      <w:pPr>
        <w:jc w:val="both"/>
        <w:ind w:left="1100" w:firstLine="654"/>
        <w:spacing w:after="0" w:line="232" w:lineRule="auto"/>
        <w:tabs>
          <w:tab w:leader="none" w:pos="2396" w:val="left"/>
        </w:tabs>
        <w:numPr>
          <w:ilvl w:val="0"/>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hereto agree that (x) irrespective of whether Agent may be equitably subrogated, in the event that an Erroneous Payment (or portion thereof) is not recovered from any Payment Recipient that has received such Erroneous Payment (or portion thereof) for any reason,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22"/>
          <w:szCs w:val="22"/>
          <w:b w:val="1"/>
          <w:bCs w:val="1"/>
          <w:i w:val="1"/>
          <w:iCs w:val="1"/>
          <w:color w:val="auto"/>
        </w:rPr>
        <w:t>Erroneous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Subrogation Rights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the Loan Parties’ Obligations under the Loan Documents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respect of the Erroneous Payment Subrogation Rights shall not be duplicative of such Obligations in respect of any portion of the Term Loan that have been assigned to Agent under an Erroneous Payment Deficiency Assignment) and (y) an Erroneous Payment shall not pay, prepay, repay, discharge or otherwise satisfy any Obligations owed by Borrowers or any other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shall not be interpreted to increase (or accelerate the due date for), or have the effect of increasing (or accelerating the due date for), the Obligations of Borrowers relative to the amount (and/or timing for payment) of the Obligations that would have been payable had such Erroneous Payment not been made by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for the avoidance of doubt,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shall not apply to the extent any such Erroneous Payment is, and solely with respect to the amount of such Erroneous Payment that is, comprised of funds received by Agent from Borrowers for the purpose of making such Erroneous Payment.</w:t>
      </w:r>
    </w:p>
    <w:p>
      <w:pPr>
        <w:spacing w:after="0" w:line="201" w:lineRule="exact"/>
        <w:rPr>
          <w:rFonts w:ascii="Times New Roman" w:cs="Times New Roman" w:eastAsia="Times New Roman" w:hAnsi="Times New Roman"/>
          <w:sz w:val="22"/>
          <w:szCs w:val="22"/>
          <w:color w:val="010000"/>
        </w:rPr>
      </w:pPr>
    </w:p>
    <w:p>
      <w:pPr>
        <w:jc w:val="both"/>
        <w:ind w:left="1100" w:firstLine="654"/>
        <w:spacing w:after="0" w:line="238" w:lineRule="auto"/>
        <w:tabs>
          <w:tab w:leader="none" w:pos="2396" w:val="left"/>
        </w:tabs>
        <w:numPr>
          <w:ilvl w:val="0"/>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Agent for the return of any Erroneous Payment received, including, without limitation, any defense based on “discharge for value” or any similar doctrine.</w:t>
      </w:r>
    </w:p>
    <w:p>
      <w:pPr>
        <w:spacing w:after="0" w:line="190" w:lineRule="exact"/>
        <w:rPr>
          <w:rFonts w:ascii="Times New Roman" w:cs="Times New Roman" w:eastAsia="Times New Roman" w:hAnsi="Times New Roman"/>
          <w:sz w:val="22"/>
          <w:szCs w:val="22"/>
          <w:color w:val="010000"/>
        </w:rPr>
      </w:pPr>
    </w:p>
    <w:p>
      <w:pPr>
        <w:ind w:left="1100" w:firstLine="654"/>
        <w:spacing w:after="0" w:line="258" w:lineRule="auto"/>
        <w:tabs>
          <w:tab w:leader="none" w:pos="2396" w:val="left"/>
        </w:tabs>
        <w:numPr>
          <w:ilvl w:val="0"/>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shall survive the resignation or replacement of Agent, any transfer of rights or obligations by, or the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89</w:t>
            </w:r>
          </w:p>
        </w:tc>
      </w:tr>
      <w:tr>
        <w:trPr>
          <w:trHeight w:val="763"/>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10" w:name="page111"/>
    <w:bookmarkEnd w:id="110"/>
    <w:p>
      <w:pPr>
        <w:ind w:left="1100" w:right="460"/>
        <w:spacing w:after="0" w:line="282" w:lineRule="auto"/>
        <w:rPr>
          <w:sz w:val="20"/>
          <w:szCs w:val="20"/>
          <w:color w:val="auto"/>
        </w:rPr>
      </w:pPr>
      <w:r>
        <w:rPr>
          <w:rFonts w:ascii="Times New Roman" w:cs="Times New Roman" w:eastAsia="Times New Roman" w:hAnsi="Times New Roman"/>
          <w:sz w:val="21"/>
          <w:szCs w:val="21"/>
          <w:color w:val="auto"/>
        </w:rPr>
        <w:t>replacement of, a Lender, the termination of the Term Loan Commitments and/or the repayment, satisfaction or discharge of all Obligations (or any portion thereof) under any Loan Document.</w:t>
      </w:r>
    </w:p>
    <w:p>
      <w:pPr>
        <w:spacing w:after="0" w:line="15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blank intentionally</w:t>
      </w:r>
      <w:r>
        <w:rPr>
          <w:rFonts w:ascii="Times New Roman" w:cs="Times New Roman" w:eastAsia="Times New Roman" w:hAnsi="Times New Roman"/>
          <w:sz w:val="22"/>
          <w:szCs w:val="22"/>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Presto Credit Agreement</w:t>
            </w:r>
          </w:p>
        </w:tc>
        <w:tc>
          <w:tcPr>
            <w:tcW w:w="66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90</w:t>
            </w:r>
          </w:p>
        </w:tc>
      </w:tr>
      <w:tr>
        <w:trPr>
          <w:trHeight w:val="777"/>
        </w:trPr>
        <w:tc>
          <w:tcPr>
            <w:tcW w:w="33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5" w:right="9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SCHEDULE 1.1(</w:t>
      </w:r>
      <w:r>
        <w:rPr>
          <w:rFonts w:ascii="Times New Roman" w:cs="Times New Roman" w:eastAsia="Times New Roman" w:hAnsi="Times New Roman"/>
          <w:sz w:val="22"/>
          <w:szCs w:val="22"/>
          <w:b w:val="1"/>
          <w:bCs w:val="1"/>
          <w:color w:val="FF0000"/>
          <w:strike w:val="1"/>
        </w:rPr>
        <w:t>a</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TERM LOAN COMMITMENTS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00" w:type="dxa"/>
            <w:vAlign w:val="bottom"/>
            <w:tcBorders>
              <w:right w:val="single" w:sz="8" w:color="010101"/>
            </w:tcBorders>
          </w:tcPr>
          <w:p>
            <w:pPr>
              <w:spacing w:after="0"/>
              <w:rPr>
                <w:sz w:val="19"/>
                <w:szCs w:val="19"/>
                <w:color w:val="auto"/>
              </w:rPr>
            </w:pPr>
          </w:p>
        </w:tc>
        <w:tc>
          <w:tcPr>
            <w:tcW w:w="160" w:type="dxa"/>
            <w:vAlign w:val="bottom"/>
            <w:tcBorders>
              <w:top w:val="single" w:sz="8" w:color="010101"/>
            </w:tcBorders>
          </w:tcPr>
          <w:p>
            <w:pPr>
              <w:spacing w:after="0"/>
              <w:rPr>
                <w:sz w:val="19"/>
                <w:szCs w:val="19"/>
                <w:color w:val="auto"/>
              </w:rPr>
            </w:pPr>
          </w:p>
        </w:tc>
        <w:tc>
          <w:tcPr>
            <w:tcW w:w="3200" w:type="dxa"/>
            <w:vAlign w:val="bottom"/>
            <w:tcBorders>
              <w:top w:val="single" w:sz="8" w:color="010101"/>
            </w:tcBorders>
          </w:tcPr>
          <w:p>
            <w:pPr>
              <w:spacing w:after="0"/>
              <w:rPr>
                <w:sz w:val="19"/>
                <w:szCs w:val="19"/>
                <w:color w:val="auto"/>
              </w:rPr>
            </w:pPr>
          </w:p>
        </w:tc>
        <w:tc>
          <w:tcPr>
            <w:tcW w:w="240" w:type="dxa"/>
            <w:vAlign w:val="bottom"/>
            <w:tcBorders>
              <w:top w:val="single" w:sz="8" w:color="010101"/>
              <w:right w:val="single" w:sz="8" w:color="010101"/>
            </w:tcBorders>
          </w:tcPr>
          <w:p>
            <w:pPr>
              <w:spacing w:after="0"/>
              <w:rPr>
                <w:sz w:val="19"/>
                <w:szCs w:val="19"/>
                <w:color w:val="auto"/>
              </w:rPr>
            </w:pPr>
          </w:p>
        </w:tc>
        <w:tc>
          <w:tcPr>
            <w:tcW w:w="1840" w:type="dxa"/>
            <w:vAlign w:val="bottom"/>
            <w:tcBorders>
              <w:top w:val="single" w:sz="8" w:color="010101"/>
              <w:right w:val="single" w:sz="8" w:color="010101"/>
            </w:tcBorders>
            <w:gridSpan w:val="10"/>
          </w:tcPr>
          <w:p>
            <w:pPr>
              <w:jc w:val="right"/>
              <w:ind w:right="280"/>
              <w:spacing w:after="0" w:line="225" w:lineRule="exact"/>
              <w:rPr>
                <w:sz w:val="20"/>
                <w:szCs w:val="20"/>
                <w:color w:val="auto"/>
              </w:rPr>
            </w:pPr>
            <w:r>
              <w:rPr>
                <w:rFonts w:ascii="Times New Roman" w:cs="Times New Roman" w:eastAsia="Times New Roman" w:hAnsi="Times New Roman"/>
                <w:sz w:val="22"/>
                <w:szCs w:val="22"/>
                <w:b w:val="1"/>
                <w:bCs w:val="1"/>
                <w:color w:val="auto"/>
              </w:rPr>
              <w:t>TERM LOAN</w:t>
            </w:r>
          </w:p>
        </w:tc>
        <w:tc>
          <w:tcPr>
            <w:tcW w:w="2140" w:type="dxa"/>
            <w:vAlign w:val="bottom"/>
            <w:tcBorders>
              <w:top w:val="single" w:sz="8" w:color="010101"/>
              <w:right w:val="single" w:sz="8" w:color="010101"/>
            </w:tcBorders>
            <w:gridSpan w:val="6"/>
          </w:tcPr>
          <w:p>
            <w:pPr>
              <w:jc w:val="right"/>
              <w:ind w:right="400"/>
              <w:spacing w:after="0" w:line="225" w:lineRule="exact"/>
              <w:rPr>
                <w:sz w:val="20"/>
                <w:szCs w:val="20"/>
                <w:color w:val="auto"/>
              </w:rPr>
            </w:pPr>
            <w:r>
              <w:rPr>
                <w:rFonts w:ascii="Times New Roman" w:cs="Times New Roman" w:eastAsia="Times New Roman" w:hAnsi="Times New Roman"/>
                <w:sz w:val="22"/>
                <w:szCs w:val="22"/>
                <w:b w:val="1"/>
                <w:bCs w:val="1"/>
                <w:color w:val="auto"/>
              </w:rPr>
              <w:t>APPLICABLE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200" w:type="dxa"/>
            <w:vAlign w:val="bottom"/>
            <w:tcBorders>
              <w:right w:val="single" w:sz="8" w:color="010101"/>
            </w:tcBorders>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Borders>
              <w:right w:val="single" w:sz="8" w:color="010101"/>
            </w:tcBorders>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8"/>
              </w:rPr>
              <w:t>LENDER</w:t>
            </w:r>
          </w:p>
        </w:tc>
        <w:tc>
          <w:tcPr>
            <w:tcW w:w="1840" w:type="dxa"/>
            <w:vAlign w:val="bottom"/>
            <w:tcBorders>
              <w:right w:val="single" w:sz="8" w:color="010101"/>
            </w:tcBorders>
            <w:gridSpan w:val="10"/>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COMMITMEN T</w:t>
            </w:r>
          </w:p>
        </w:tc>
        <w:tc>
          <w:tcPr>
            <w:tcW w:w="2140" w:type="dxa"/>
            <w:vAlign w:val="bottom"/>
            <w:tcBorders>
              <w:right w:val="single" w:sz="8" w:color="010101"/>
            </w:tcBorders>
            <w:gridSpan w:val="6"/>
          </w:tcPr>
          <w:p>
            <w:pPr>
              <w:jc w:val="right"/>
              <w:ind w:right="360"/>
              <w:spacing w:after="0"/>
              <w:rPr>
                <w:sz w:val="20"/>
                <w:szCs w:val="20"/>
                <w:color w:val="auto"/>
              </w:rPr>
            </w:pPr>
            <w:r>
              <w:rPr>
                <w:rFonts w:ascii="Times New Roman" w:cs="Times New Roman" w:eastAsia="Times New Roman" w:hAnsi="Times New Roman"/>
                <w:sz w:val="22"/>
                <w:szCs w:val="22"/>
                <w:b w:val="1"/>
                <w:bCs w:val="1"/>
                <w:color w:val="auto"/>
              </w:rPr>
              <w:t>PERCENTAGE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0" w:type="dxa"/>
            <w:vAlign w:val="bottom"/>
            <w:tcBorders>
              <w:right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200" w:type="dxa"/>
            <w:vAlign w:val="bottom"/>
            <w:tcBorders>
              <w:bottom w:val="single" w:sz="8" w:color="010101"/>
            </w:tcBorders>
          </w:tcPr>
          <w:p>
            <w:pPr>
              <w:spacing w:after="0"/>
              <w:rPr>
                <w:sz w:val="20"/>
                <w:szCs w:val="20"/>
                <w:color w:val="auto"/>
              </w:rPr>
            </w:pPr>
          </w:p>
        </w:tc>
        <w:tc>
          <w:tcPr>
            <w:tcW w:w="240" w:type="dxa"/>
            <w:vAlign w:val="bottom"/>
            <w:tcBorders>
              <w:bottom w:val="single" w:sz="8" w:color="010101"/>
              <w:right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20" w:type="dxa"/>
            <w:vAlign w:val="bottom"/>
            <w:tcBorders>
              <w:bottom w:val="single" w:sz="8" w:color="010101"/>
            </w:tcBorders>
          </w:tcPr>
          <w:p>
            <w:pPr>
              <w:spacing w:after="0"/>
              <w:rPr>
                <w:sz w:val="20"/>
                <w:szCs w:val="20"/>
                <w:color w:val="auto"/>
              </w:rPr>
            </w:pPr>
          </w:p>
        </w:tc>
        <w:tc>
          <w:tcPr>
            <w:tcW w:w="120" w:type="dxa"/>
            <w:vAlign w:val="bottom"/>
            <w:tcBorders>
              <w:bottom w:val="single" w:sz="8" w:color="010101"/>
            </w:tcBorders>
          </w:tcPr>
          <w:p>
            <w:pPr>
              <w:spacing w:after="0"/>
              <w:rPr>
                <w:sz w:val="20"/>
                <w:szCs w:val="20"/>
                <w:color w:val="auto"/>
              </w:rPr>
            </w:pPr>
          </w:p>
        </w:tc>
        <w:tc>
          <w:tcPr>
            <w:tcW w:w="120" w:type="dxa"/>
            <w:vAlign w:val="bottom"/>
            <w:tcBorders>
              <w:bottom w:val="single" w:sz="8" w:color="010101"/>
            </w:tcBorders>
          </w:tcPr>
          <w:p>
            <w:pPr>
              <w:spacing w:after="0"/>
              <w:rPr>
                <w:sz w:val="20"/>
                <w:szCs w:val="20"/>
                <w:color w:val="auto"/>
              </w:rPr>
            </w:pPr>
          </w:p>
        </w:tc>
        <w:tc>
          <w:tcPr>
            <w:tcW w:w="100" w:type="dxa"/>
            <w:vAlign w:val="bottom"/>
            <w:tcBorders>
              <w:bottom w:val="single" w:sz="8" w:color="010101"/>
            </w:tcBorders>
          </w:tcPr>
          <w:p>
            <w:pPr>
              <w:spacing w:after="0"/>
              <w:rPr>
                <w:sz w:val="20"/>
                <w:szCs w:val="20"/>
                <w:color w:val="auto"/>
              </w:rPr>
            </w:pPr>
          </w:p>
        </w:tc>
        <w:tc>
          <w:tcPr>
            <w:tcW w:w="580" w:type="dxa"/>
            <w:vAlign w:val="bottom"/>
            <w:tcBorders>
              <w:bottom w:val="single" w:sz="8" w:color="010101"/>
            </w:tcBorders>
          </w:tcPr>
          <w:p>
            <w:pPr>
              <w:spacing w:after="0"/>
              <w:rPr>
                <w:sz w:val="20"/>
                <w:szCs w:val="20"/>
                <w:color w:val="auto"/>
              </w:rPr>
            </w:pPr>
          </w:p>
        </w:tc>
        <w:tc>
          <w:tcPr>
            <w:tcW w:w="60" w:type="dxa"/>
            <w:vAlign w:val="bottom"/>
            <w:tcBorders>
              <w:bottom w:val="single" w:sz="8" w:color="010101"/>
            </w:tcBorders>
          </w:tcPr>
          <w:p>
            <w:pPr>
              <w:spacing w:after="0"/>
              <w:rPr>
                <w:sz w:val="20"/>
                <w:szCs w:val="20"/>
                <w:color w:val="auto"/>
              </w:rPr>
            </w:pPr>
          </w:p>
        </w:tc>
        <w:tc>
          <w:tcPr>
            <w:tcW w:w="140" w:type="dxa"/>
            <w:vAlign w:val="bottom"/>
            <w:tcBorders>
              <w:bottom w:val="single" w:sz="8" w:color="010101"/>
            </w:tcBorders>
          </w:tcPr>
          <w:p>
            <w:pPr>
              <w:spacing w:after="0"/>
              <w:rPr>
                <w:sz w:val="20"/>
                <w:szCs w:val="20"/>
                <w:color w:val="auto"/>
              </w:rPr>
            </w:pPr>
          </w:p>
        </w:tc>
        <w:tc>
          <w:tcPr>
            <w:tcW w:w="180" w:type="dxa"/>
            <w:vAlign w:val="bottom"/>
            <w:tcBorders>
              <w:bottom w:val="single" w:sz="8" w:color="010101"/>
            </w:tcBorders>
          </w:tcPr>
          <w:p>
            <w:pPr>
              <w:spacing w:after="0"/>
              <w:rPr>
                <w:sz w:val="20"/>
                <w:szCs w:val="20"/>
                <w:color w:val="auto"/>
              </w:rPr>
            </w:pPr>
          </w:p>
        </w:tc>
        <w:tc>
          <w:tcPr>
            <w:tcW w:w="200" w:type="dxa"/>
            <w:vAlign w:val="bottom"/>
            <w:tcBorders>
              <w:bottom w:val="single" w:sz="8" w:color="010101"/>
              <w:right w:val="single" w:sz="8" w:color="010101"/>
            </w:tcBorders>
          </w:tcPr>
          <w:p>
            <w:pPr>
              <w:spacing w:after="0"/>
              <w:rPr>
                <w:sz w:val="20"/>
                <w:szCs w:val="20"/>
                <w:color w:val="auto"/>
              </w:rPr>
            </w:pPr>
          </w:p>
        </w:tc>
        <w:tc>
          <w:tcPr>
            <w:tcW w:w="720" w:type="dxa"/>
            <w:vAlign w:val="bottom"/>
            <w:tcBorders>
              <w:bottom w:val="single" w:sz="8" w:color="010101"/>
            </w:tcBorders>
          </w:tcPr>
          <w:p>
            <w:pPr>
              <w:spacing w:after="0"/>
              <w:rPr>
                <w:sz w:val="20"/>
                <w:szCs w:val="20"/>
                <w:color w:val="auto"/>
              </w:rPr>
            </w:pPr>
          </w:p>
        </w:tc>
        <w:tc>
          <w:tcPr>
            <w:tcW w:w="660" w:type="dxa"/>
            <w:vAlign w:val="bottom"/>
            <w:tcBorders>
              <w:bottom w:val="single" w:sz="8" w:color="010101"/>
            </w:tcBorders>
          </w:tcPr>
          <w:p>
            <w:pPr>
              <w:spacing w:after="0"/>
              <w:rPr>
                <w:sz w:val="20"/>
                <w:szCs w:val="20"/>
                <w:color w:val="auto"/>
              </w:rPr>
            </w:pPr>
          </w:p>
        </w:tc>
        <w:tc>
          <w:tcPr>
            <w:tcW w:w="120" w:type="dxa"/>
            <w:vAlign w:val="bottom"/>
            <w:tcBorders>
              <w:bottom w:val="single" w:sz="8" w:color="010101"/>
            </w:tcBorders>
          </w:tcPr>
          <w:p>
            <w:pPr>
              <w:spacing w:after="0"/>
              <w:rPr>
                <w:sz w:val="20"/>
                <w:szCs w:val="20"/>
                <w:color w:val="auto"/>
              </w:rPr>
            </w:pPr>
          </w:p>
        </w:tc>
        <w:tc>
          <w:tcPr>
            <w:tcW w:w="20" w:type="dxa"/>
            <w:vAlign w:val="bottom"/>
            <w:tcBorders>
              <w:bottom w:val="single" w:sz="8" w:color="010101"/>
            </w:tcBorders>
          </w:tcPr>
          <w:p>
            <w:pPr>
              <w:spacing w:after="0"/>
              <w:rPr>
                <w:sz w:val="20"/>
                <w:szCs w:val="20"/>
                <w:color w:val="auto"/>
              </w:rPr>
            </w:pPr>
          </w:p>
        </w:tc>
        <w:tc>
          <w:tcPr>
            <w:tcW w:w="46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right w:val="single" w:sz="8" w:color="010101"/>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010101"/>
            </w:tcBorders>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right w:val="single" w:sz="8" w:color="010101"/>
            </w:tcBorders>
            <w:gridSpan w:val="2"/>
          </w:tcPr>
          <w:p>
            <w:pPr>
              <w:jc w:val="center"/>
              <w:ind w:right="240"/>
              <w:spacing w:after="0" w:line="196" w:lineRule="exact"/>
              <w:rPr>
                <w:sz w:val="20"/>
                <w:szCs w:val="20"/>
                <w:color w:val="auto"/>
              </w:rPr>
            </w:pPr>
            <w:r>
              <w:rPr>
                <w:rFonts w:ascii="Times New Roman" w:cs="Times New Roman" w:eastAsia="Times New Roman" w:hAnsi="Times New Roman"/>
                <w:sz w:val="22"/>
                <w:szCs w:val="22"/>
                <w:color w:val="auto"/>
                <w:w w:val="98"/>
              </w:rPr>
              <w:t>Metropolitan Levered Partners Fund</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w:t>
            </w:r>
          </w:p>
        </w:tc>
        <w:tc>
          <w:tcPr>
            <w:tcW w:w="1260" w:type="dxa"/>
            <w:vAlign w:val="bottom"/>
            <w:tcBorders>
              <w:right w:val="single" w:sz="8" w:color="010101"/>
            </w:tcBorders>
            <w:gridSpan w:val="6"/>
          </w:tcPr>
          <w:p>
            <w:pPr>
              <w:jc w:val="right"/>
              <w:ind w:right="20"/>
              <w:spacing w:after="0" w:line="196" w:lineRule="exact"/>
              <w:rPr>
                <w:sz w:val="20"/>
                <w:szCs w:val="20"/>
                <w:color w:val="auto"/>
              </w:rPr>
            </w:pPr>
            <w:r>
              <w:rPr>
                <w:rFonts w:ascii="Times New Roman" w:cs="Times New Roman" w:eastAsia="Times New Roman" w:hAnsi="Times New Roman"/>
                <w:sz w:val="22"/>
                <w:szCs w:val="22"/>
                <w:color w:val="auto"/>
                <w:w w:val="96"/>
              </w:rPr>
              <w:t>17,639,344.26</w:t>
            </w:r>
          </w:p>
        </w:tc>
        <w:tc>
          <w:tcPr>
            <w:tcW w:w="15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32.0715350181818</w:t>
            </w:r>
          </w:p>
        </w:tc>
        <w:tc>
          <w:tcPr>
            <w:tcW w:w="620" w:type="dxa"/>
            <w:vAlign w:val="bottom"/>
            <w:tcBorders>
              <w:right w:val="single" w:sz="8" w:color="010101"/>
            </w:tcBorders>
            <w:gridSpan w:val="2"/>
          </w:tcPr>
          <w:p>
            <w:pPr>
              <w:jc w:val="right"/>
              <w:ind w:right="160"/>
              <w:spacing w:after="0" w:line="196" w:lineRule="exact"/>
              <w:rPr>
                <w:sz w:val="20"/>
                <w:szCs w:val="20"/>
                <w:color w:val="auto"/>
              </w:rPr>
            </w:pPr>
            <w:r>
              <w:rPr>
                <w:rFonts w:ascii="Times New Roman" w:cs="Times New Roman" w:eastAsia="Times New Roman" w:hAnsi="Times New Roman"/>
                <w:sz w:val="22"/>
                <w:szCs w:val="22"/>
                <w:color w:val="0000FF"/>
                <w:w w:val="88"/>
              </w:rPr>
              <w:t>32.07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10101"/>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40" w:type="dxa"/>
            <w:vAlign w:val="bottom"/>
            <w:tcBorders>
              <w:right w:val="single" w:sz="8" w:color="010101"/>
            </w:tcBorders>
            <w:gridSpan w:val="2"/>
            <w:vMerge w:val="restart"/>
          </w:tcPr>
          <w:p>
            <w:pPr>
              <w:jc w:val="center"/>
              <w:ind w:right="220"/>
              <w:spacing w:after="0"/>
              <w:rPr>
                <w:sz w:val="20"/>
                <w:szCs w:val="20"/>
                <w:color w:val="auto"/>
              </w:rPr>
            </w:pPr>
            <w:r>
              <w:rPr>
                <w:rFonts w:ascii="Times New Roman" w:cs="Times New Roman" w:eastAsia="Times New Roman" w:hAnsi="Times New Roman"/>
                <w:sz w:val="22"/>
                <w:szCs w:val="22"/>
                <w:color w:val="auto"/>
                <w:w w:val="98"/>
              </w:rPr>
              <w:t>VII, LP</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10101"/>
            </w:tcBorders>
          </w:tcPr>
          <w:p>
            <w:pPr>
              <w:spacing w:after="0" w:line="20" w:lineRule="exact"/>
              <w:rPr>
                <w:sz w:val="1"/>
                <w:szCs w:val="1"/>
                <w:color w:val="auto"/>
              </w:rPr>
            </w:pPr>
          </w:p>
        </w:tc>
        <w:tc>
          <w:tcPr>
            <w:tcW w:w="1380" w:type="dxa"/>
            <w:vAlign w:val="bottom"/>
            <w:gridSpan w:val="2"/>
            <w:vMerge w:val="restart"/>
          </w:tcPr>
          <w:p>
            <w:pPr>
              <w:jc w:val="center"/>
              <w:ind w:left="617"/>
              <w:spacing w:after="0"/>
              <w:rPr>
                <w:sz w:val="20"/>
                <w:szCs w:val="20"/>
                <w:color w:val="auto"/>
              </w:rPr>
            </w:pPr>
            <w:r>
              <w:rPr>
                <w:rFonts w:ascii="Times New Roman" w:cs="Times New Roman" w:eastAsia="Times New Roman" w:hAnsi="Times New Roman"/>
                <w:sz w:val="22"/>
                <w:szCs w:val="22"/>
                <w:color w:val="auto"/>
                <w:w w:val="97"/>
              </w:rPr>
              <w:t>%</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0" w:type="dxa"/>
            <w:vAlign w:val="bottom"/>
            <w:tcBorders>
              <w:right w:val="single" w:sz="8" w:color="010101"/>
            </w:tcBorders>
          </w:tcPr>
          <w:p>
            <w:pPr>
              <w:spacing w:after="0"/>
              <w:rPr>
                <w:sz w:val="20"/>
                <w:szCs w:val="20"/>
                <w:color w:val="auto"/>
              </w:rPr>
            </w:pPr>
          </w:p>
        </w:tc>
        <w:tc>
          <w:tcPr>
            <w:tcW w:w="160" w:type="dxa"/>
            <w:vAlign w:val="bottom"/>
            <w:vMerge w:val="continue"/>
          </w:tcPr>
          <w:p>
            <w:pPr>
              <w:spacing w:after="0"/>
              <w:rPr>
                <w:sz w:val="20"/>
                <w:szCs w:val="20"/>
                <w:color w:val="auto"/>
              </w:rPr>
            </w:pPr>
          </w:p>
        </w:tc>
        <w:tc>
          <w:tcPr>
            <w:tcW w:w="3440" w:type="dxa"/>
            <w:vAlign w:val="bottom"/>
            <w:tcBorders>
              <w:right w:val="single" w:sz="8" w:color="010101"/>
            </w:tcBorders>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010101"/>
            </w:tcBorders>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right w:val="single" w:sz="8" w:color="010101"/>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1200" w:type="dxa"/>
            <w:vAlign w:val="bottom"/>
            <w:tcBorders>
              <w:right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2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right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right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right w:val="single" w:sz="8" w:color="010101"/>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010101"/>
            </w:tcBorders>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right w:val="single" w:sz="8" w:color="010101"/>
            </w:tcBorders>
            <w:gridSpan w:val="2"/>
          </w:tcPr>
          <w:p>
            <w:pPr>
              <w:jc w:val="center"/>
              <w:ind w:right="180"/>
              <w:spacing w:after="0" w:line="196" w:lineRule="exact"/>
              <w:rPr>
                <w:sz w:val="20"/>
                <w:szCs w:val="20"/>
                <w:color w:val="auto"/>
              </w:rPr>
            </w:pPr>
            <w:r>
              <w:rPr>
                <w:rFonts w:ascii="Times New Roman" w:cs="Times New Roman" w:eastAsia="Times New Roman" w:hAnsi="Times New Roman"/>
                <w:sz w:val="22"/>
                <w:szCs w:val="22"/>
                <w:color w:val="auto"/>
                <w:w w:val="98"/>
              </w:rPr>
              <w:t>Metropolitan Partners Fund VII, LP</w:t>
            </w:r>
          </w:p>
        </w:tc>
        <w:tc>
          <w:tcPr>
            <w:tcW w:w="126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$30,360,655.74</w:t>
            </w:r>
          </w:p>
        </w:tc>
        <w:tc>
          <w:tcPr>
            <w:tcW w:w="38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3"/>
              </w:rPr>
              <w:t>24,5</w:t>
            </w:r>
          </w:p>
        </w:tc>
        <w:tc>
          <w:tcPr>
            <w:tcW w:w="200" w:type="dxa"/>
            <w:vAlign w:val="bottom"/>
            <w:tcBorders>
              <w:right w:val="single" w:sz="8" w:color="010101"/>
            </w:tcBorders>
          </w:tcPr>
          <w:p>
            <w:pPr>
              <w:spacing w:after="0"/>
              <w:rPr>
                <w:sz w:val="17"/>
                <w:szCs w:val="17"/>
                <w:color w:val="auto"/>
              </w:rPr>
            </w:pPr>
          </w:p>
        </w:tc>
        <w:tc>
          <w:tcPr>
            <w:tcW w:w="15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55.2011922545455</w:t>
            </w:r>
          </w:p>
        </w:tc>
        <w:tc>
          <w:tcPr>
            <w:tcW w:w="4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0000FF"/>
                <w:w w:val="92"/>
              </w:rPr>
              <w:t>44.63</w:t>
            </w:r>
          </w:p>
        </w:tc>
        <w:tc>
          <w:tcPr>
            <w:tcW w:w="160" w:type="dxa"/>
            <w:vAlign w:val="bottom"/>
            <w:tcBorders>
              <w:right w:val="single" w:sz="8" w:color="010101"/>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1010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260" w:type="dxa"/>
            <w:vAlign w:val="bottom"/>
            <w:gridSpan w:val="6"/>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rPr>
              <w:t>46,135.83</w:t>
            </w:r>
          </w:p>
        </w:tc>
        <w:tc>
          <w:tcPr>
            <w:tcW w:w="6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0" w:type="dxa"/>
            <w:vAlign w:val="bottom"/>
            <w:tcBorders>
              <w:right w:val="single" w:sz="8" w:color="010101"/>
            </w:tcBorders>
          </w:tcPr>
          <w:p>
            <w:pPr>
              <w:spacing w:after="0" w:line="20" w:lineRule="exact"/>
              <w:rPr>
                <w:sz w:val="1"/>
                <w:szCs w:val="1"/>
                <w:color w:val="auto"/>
              </w:rPr>
            </w:pPr>
          </w:p>
        </w:tc>
        <w:tc>
          <w:tcPr>
            <w:tcW w:w="1380" w:type="dxa"/>
            <w:vAlign w:val="bottom"/>
            <w:gridSpan w:val="2"/>
            <w:vMerge w:val="restart"/>
          </w:tcPr>
          <w:p>
            <w:pPr>
              <w:jc w:val="center"/>
              <w:ind w:left="617"/>
              <w:spacing w:after="0" w:line="223" w:lineRule="exact"/>
              <w:rPr>
                <w:sz w:val="20"/>
                <w:szCs w:val="20"/>
                <w:color w:val="auto"/>
              </w:rPr>
            </w:pPr>
            <w:r>
              <w:rPr>
                <w:rFonts w:ascii="Times New Roman" w:cs="Times New Roman" w:eastAsia="Times New Roman" w:hAnsi="Times New Roman"/>
                <w:sz w:val="22"/>
                <w:szCs w:val="22"/>
                <w:color w:val="auto"/>
                <w:w w:val="97"/>
              </w:rPr>
              <w:t>%</w:t>
            </w: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right w:val="single" w:sz="8" w:color="010101"/>
            </w:tcBorders>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Borders>
              <w:right w:val="single" w:sz="8" w:color="010101"/>
            </w:tcBorders>
          </w:tcPr>
          <w:p>
            <w:pPr>
              <w:spacing w:after="0"/>
              <w:rPr>
                <w:sz w:val="15"/>
                <w:szCs w:val="15"/>
                <w:color w:val="auto"/>
              </w:rPr>
            </w:pPr>
          </w:p>
        </w:tc>
        <w:tc>
          <w:tcPr>
            <w:tcW w:w="126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right w:val="single" w:sz="8" w:color="010101"/>
            </w:tcBorders>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right w:val="single" w:sz="8" w:color="010101"/>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1010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10101"/>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00" w:type="dxa"/>
            <w:vAlign w:val="bottom"/>
            <w:tcBorders>
              <w:right w:val="single" w:sz="8" w:color="010101"/>
            </w:tcBorders>
          </w:tcPr>
          <w:p>
            <w:pPr>
              <w:spacing w:after="0"/>
              <w:rPr>
                <w:sz w:val="7"/>
                <w:szCs w:val="7"/>
                <w:color w:val="auto"/>
              </w:rPr>
            </w:pPr>
          </w:p>
        </w:tc>
        <w:tc>
          <w:tcPr>
            <w:tcW w:w="160" w:type="dxa"/>
            <w:vAlign w:val="bottom"/>
            <w:tcBorders>
              <w:bottom w:val="single" w:sz="8" w:color="010101"/>
            </w:tcBorders>
          </w:tcPr>
          <w:p>
            <w:pPr>
              <w:spacing w:after="0"/>
              <w:rPr>
                <w:sz w:val="7"/>
                <w:szCs w:val="7"/>
                <w:color w:val="auto"/>
              </w:rPr>
            </w:pPr>
          </w:p>
        </w:tc>
        <w:tc>
          <w:tcPr>
            <w:tcW w:w="3200" w:type="dxa"/>
            <w:vAlign w:val="bottom"/>
            <w:tcBorders>
              <w:bottom w:val="single" w:sz="8" w:color="010101"/>
            </w:tcBorders>
          </w:tcPr>
          <w:p>
            <w:pPr>
              <w:spacing w:after="0"/>
              <w:rPr>
                <w:sz w:val="7"/>
                <w:szCs w:val="7"/>
                <w:color w:val="auto"/>
              </w:rPr>
            </w:pPr>
          </w:p>
        </w:tc>
        <w:tc>
          <w:tcPr>
            <w:tcW w:w="240" w:type="dxa"/>
            <w:vAlign w:val="bottom"/>
            <w:tcBorders>
              <w:bottom w:val="single" w:sz="8" w:color="010101"/>
              <w:right w:val="single" w:sz="8" w:color="010101"/>
            </w:tcBorders>
          </w:tcPr>
          <w:p>
            <w:pPr>
              <w:spacing w:after="0"/>
              <w:rPr>
                <w:sz w:val="7"/>
                <w:szCs w:val="7"/>
                <w:color w:val="auto"/>
              </w:rPr>
            </w:pPr>
          </w:p>
        </w:tc>
        <w:tc>
          <w:tcPr>
            <w:tcW w:w="320" w:type="dxa"/>
            <w:vAlign w:val="bottom"/>
            <w:tcBorders>
              <w:bottom w:val="single" w:sz="8" w:color="010101"/>
            </w:tcBorders>
          </w:tcPr>
          <w:p>
            <w:pPr>
              <w:spacing w:after="0"/>
              <w:rPr>
                <w:sz w:val="7"/>
                <w:szCs w:val="7"/>
                <w:color w:val="auto"/>
              </w:rPr>
            </w:pPr>
          </w:p>
        </w:tc>
        <w:tc>
          <w:tcPr>
            <w:tcW w:w="20" w:type="dxa"/>
            <w:vAlign w:val="bottom"/>
            <w:tcBorders>
              <w:bottom w:val="single" w:sz="8" w:color="010101"/>
            </w:tcBorders>
          </w:tcPr>
          <w:p>
            <w:pPr>
              <w:spacing w:after="0"/>
              <w:rPr>
                <w:sz w:val="7"/>
                <w:szCs w:val="7"/>
                <w:color w:val="auto"/>
              </w:rPr>
            </w:pPr>
          </w:p>
        </w:tc>
        <w:tc>
          <w:tcPr>
            <w:tcW w:w="120" w:type="dxa"/>
            <w:vAlign w:val="bottom"/>
            <w:tcBorders>
              <w:bottom w:val="single" w:sz="8" w:color="010101"/>
            </w:tcBorders>
          </w:tcPr>
          <w:p>
            <w:pPr>
              <w:spacing w:after="0"/>
              <w:rPr>
                <w:sz w:val="7"/>
                <w:szCs w:val="7"/>
                <w:color w:val="auto"/>
              </w:rPr>
            </w:pPr>
          </w:p>
        </w:tc>
        <w:tc>
          <w:tcPr>
            <w:tcW w:w="120" w:type="dxa"/>
            <w:vAlign w:val="bottom"/>
            <w:tcBorders>
              <w:bottom w:val="single" w:sz="8" w:color="010101"/>
            </w:tcBorders>
          </w:tcPr>
          <w:p>
            <w:pPr>
              <w:spacing w:after="0"/>
              <w:rPr>
                <w:sz w:val="7"/>
                <w:szCs w:val="7"/>
                <w:color w:val="auto"/>
              </w:rPr>
            </w:pPr>
          </w:p>
        </w:tc>
        <w:tc>
          <w:tcPr>
            <w:tcW w:w="100" w:type="dxa"/>
            <w:vAlign w:val="bottom"/>
            <w:tcBorders>
              <w:bottom w:val="single" w:sz="8" w:color="010101"/>
            </w:tcBorders>
          </w:tcPr>
          <w:p>
            <w:pPr>
              <w:spacing w:after="0"/>
              <w:rPr>
                <w:sz w:val="7"/>
                <w:szCs w:val="7"/>
                <w:color w:val="auto"/>
              </w:rPr>
            </w:pPr>
          </w:p>
        </w:tc>
        <w:tc>
          <w:tcPr>
            <w:tcW w:w="580" w:type="dxa"/>
            <w:vAlign w:val="bottom"/>
            <w:tcBorders>
              <w:bottom w:val="single" w:sz="8" w:color="010101"/>
            </w:tcBorders>
          </w:tcPr>
          <w:p>
            <w:pPr>
              <w:spacing w:after="0"/>
              <w:rPr>
                <w:sz w:val="7"/>
                <w:szCs w:val="7"/>
                <w:color w:val="auto"/>
              </w:rPr>
            </w:pPr>
          </w:p>
        </w:tc>
        <w:tc>
          <w:tcPr>
            <w:tcW w:w="60" w:type="dxa"/>
            <w:vAlign w:val="bottom"/>
            <w:tcBorders>
              <w:bottom w:val="single" w:sz="8" w:color="010101"/>
            </w:tcBorders>
          </w:tcPr>
          <w:p>
            <w:pPr>
              <w:spacing w:after="0"/>
              <w:rPr>
                <w:sz w:val="7"/>
                <w:szCs w:val="7"/>
                <w:color w:val="auto"/>
              </w:rPr>
            </w:pPr>
          </w:p>
        </w:tc>
        <w:tc>
          <w:tcPr>
            <w:tcW w:w="140" w:type="dxa"/>
            <w:vAlign w:val="bottom"/>
            <w:tcBorders>
              <w:bottom w:val="single" w:sz="8" w:color="010101"/>
            </w:tcBorders>
          </w:tcPr>
          <w:p>
            <w:pPr>
              <w:spacing w:after="0"/>
              <w:rPr>
                <w:sz w:val="7"/>
                <w:szCs w:val="7"/>
                <w:color w:val="auto"/>
              </w:rPr>
            </w:pPr>
          </w:p>
        </w:tc>
        <w:tc>
          <w:tcPr>
            <w:tcW w:w="180" w:type="dxa"/>
            <w:vAlign w:val="bottom"/>
            <w:tcBorders>
              <w:bottom w:val="single" w:sz="8" w:color="010101"/>
            </w:tcBorders>
          </w:tcPr>
          <w:p>
            <w:pPr>
              <w:spacing w:after="0"/>
              <w:rPr>
                <w:sz w:val="7"/>
                <w:szCs w:val="7"/>
                <w:color w:val="auto"/>
              </w:rPr>
            </w:pPr>
          </w:p>
        </w:tc>
        <w:tc>
          <w:tcPr>
            <w:tcW w:w="200" w:type="dxa"/>
            <w:vAlign w:val="bottom"/>
            <w:tcBorders>
              <w:bottom w:val="single" w:sz="8" w:color="010101"/>
              <w:right w:val="single" w:sz="8" w:color="010101"/>
            </w:tcBorders>
          </w:tcPr>
          <w:p>
            <w:pPr>
              <w:spacing w:after="0"/>
              <w:rPr>
                <w:sz w:val="7"/>
                <w:szCs w:val="7"/>
                <w:color w:val="auto"/>
              </w:rPr>
            </w:pPr>
          </w:p>
        </w:tc>
        <w:tc>
          <w:tcPr>
            <w:tcW w:w="720" w:type="dxa"/>
            <w:vAlign w:val="bottom"/>
            <w:tcBorders>
              <w:bottom w:val="single" w:sz="8" w:color="010101"/>
            </w:tcBorders>
          </w:tcPr>
          <w:p>
            <w:pPr>
              <w:spacing w:after="0"/>
              <w:rPr>
                <w:sz w:val="7"/>
                <w:szCs w:val="7"/>
                <w:color w:val="auto"/>
              </w:rPr>
            </w:pPr>
          </w:p>
        </w:tc>
        <w:tc>
          <w:tcPr>
            <w:tcW w:w="660" w:type="dxa"/>
            <w:vAlign w:val="bottom"/>
            <w:tcBorders>
              <w:bottom w:val="single" w:sz="8" w:color="010101"/>
            </w:tcBorders>
          </w:tcPr>
          <w:p>
            <w:pPr>
              <w:spacing w:after="0"/>
              <w:rPr>
                <w:sz w:val="7"/>
                <w:szCs w:val="7"/>
                <w:color w:val="auto"/>
              </w:rPr>
            </w:pPr>
          </w:p>
        </w:tc>
        <w:tc>
          <w:tcPr>
            <w:tcW w:w="120" w:type="dxa"/>
            <w:vAlign w:val="bottom"/>
            <w:tcBorders>
              <w:bottom w:val="single" w:sz="8" w:color="010101"/>
            </w:tcBorders>
          </w:tcPr>
          <w:p>
            <w:pPr>
              <w:spacing w:after="0"/>
              <w:rPr>
                <w:sz w:val="7"/>
                <w:szCs w:val="7"/>
                <w:color w:val="auto"/>
              </w:rPr>
            </w:pPr>
          </w:p>
        </w:tc>
        <w:tc>
          <w:tcPr>
            <w:tcW w:w="20" w:type="dxa"/>
            <w:vAlign w:val="bottom"/>
            <w:tcBorders>
              <w:bottom w:val="single" w:sz="8" w:color="010101"/>
            </w:tcBorders>
          </w:tcPr>
          <w:p>
            <w:pPr>
              <w:spacing w:after="0"/>
              <w:rPr>
                <w:sz w:val="7"/>
                <w:szCs w:val="7"/>
                <w:color w:val="auto"/>
              </w:rPr>
            </w:pPr>
          </w:p>
        </w:tc>
        <w:tc>
          <w:tcPr>
            <w:tcW w:w="460" w:type="dxa"/>
            <w:vAlign w:val="bottom"/>
            <w:tcBorders>
              <w:bottom w:val="single" w:sz="8" w:color="010101"/>
            </w:tcBorders>
          </w:tcPr>
          <w:p>
            <w:pPr>
              <w:spacing w:after="0"/>
              <w:rPr>
                <w:sz w:val="7"/>
                <w:szCs w:val="7"/>
                <w:color w:val="auto"/>
              </w:rPr>
            </w:pPr>
          </w:p>
        </w:tc>
        <w:tc>
          <w:tcPr>
            <w:tcW w:w="160" w:type="dxa"/>
            <w:vAlign w:val="bottom"/>
            <w:tcBorders>
              <w:bottom w:val="single" w:sz="8" w:color="010101"/>
              <w:right w:val="single" w:sz="8" w:color="010101"/>
            </w:tcBorders>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200" w:type="dxa"/>
            <w:vAlign w:val="bottom"/>
            <w:tcBorders>
              <w:right w:val="single" w:sz="8" w:color="010101"/>
            </w:tcBorders>
          </w:tcPr>
          <w:p>
            <w:pPr>
              <w:spacing w:after="0"/>
              <w:rPr>
                <w:sz w:val="20"/>
                <w:szCs w:val="20"/>
                <w:color w:val="auto"/>
              </w:rPr>
            </w:pPr>
          </w:p>
        </w:tc>
        <w:tc>
          <w:tcPr>
            <w:tcW w:w="160" w:type="dxa"/>
            <w:vAlign w:val="bottom"/>
            <w:shd w:val="clear" w:color="auto" w:fill="D8CFFD"/>
          </w:tcPr>
          <w:p>
            <w:pPr>
              <w:spacing w:after="0"/>
              <w:rPr>
                <w:sz w:val="20"/>
                <w:szCs w:val="20"/>
                <w:color w:val="auto"/>
              </w:rPr>
            </w:pPr>
          </w:p>
        </w:tc>
        <w:tc>
          <w:tcPr>
            <w:tcW w:w="3440" w:type="dxa"/>
            <w:vAlign w:val="bottom"/>
            <w:tcBorders>
              <w:right w:val="single" w:sz="8" w:color="010101"/>
            </w:tcBorders>
            <w:gridSpan w:val="2"/>
            <w:shd w:val="clear" w:color="auto" w:fill="D8CFFD"/>
          </w:tcPr>
          <w:p>
            <w:pPr>
              <w:jc w:val="center"/>
              <w:ind w:right="240"/>
              <w:spacing w:after="0" w:line="196" w:lineRule="exact"/>
              <w:rPr>
                <w:sz w:val="20"/>
                <w:szCs w:val="20"/>
                <w:color w:val="auto"/>
              </w:rPr>
            </w:pPr>
            <w:r>
              <w:rPr>
                <w:rFonts w:ascii="Times New Roman" w:cs="Times New Roman" w:eastAsia="Times New Roman" w:hAnsi="Times New Roman"/>
                <w:sz w:val="22"/>
                <w:szCs w:val="22"/>
                <w:color w:val="0000FF"/>
                <w:w w:val="97"/>
              </w:rPr>
              <w:t>Metropolitan Offshore Partners Fund</w:t>
            </w:r>
          </w:p>
        </w:tc>
        <w:tc>
          <w:tcPr>
            <w:tcW w:w="1460" w:type="dxa"/>
            <w:vAlign w:val="bottom"/>
            <w:gridSpan w:val="8"/>
            <w:shd w:val="clear" w:color="auto" w:fill="D8CFFD"/>
          </w:tcPr>
          <w:p>
            <w:pPr>
              <w:jc w:val="right"/>
              <w:spacing w:after="0" w:line="196" w:lineRule="exact"/>
              <w:rPr>
                <w:sz w:val="20"/>
                <w:szCs w:val="20"/>
                <w:color w:val="auto"/>
              </w:rPr>
            </w:pPr>
            <w:r>
              <w:rPr>
                <w:rFonts w:ascii="Times New Roman" w:cs="Times New Roman" w:eastAsia="Times New Roman" w:hAnsi="Times New Roman"/>
                <w:sz w:val="22"/>
                <w:szCs w:val="22"/>
                <w:color w:val="0000FF"/>
              </w:rPr>
              <w:t>5,814,519.91</w:t>
            </w:r>
          </w:p>
        </w:tc>
        <w:tc>
          <w:tcPr>
            <w:tcW w:w="180" w:type="dxa"/>
            <w:vAlign w:val="bottom"/>
            <w:shd w:val="clear" w:color="auto" w:fill="D8CFFD"/>
          </w:tcPr>
          <w:p>
            <w:pPr>
              <w:spacing w:after="0"/>
              <w:rPr>
                <w:sz w:val="20"/>
                <w:szCs w:val="20"/>
                <w:color w:val="auto"/>
              </w:rPr>
            </w:pPr>
          </w:p>
        </w:tc>
        <w:tc>
          <w:tcPr>
            <w:tcW w:w="200" w:type="dxa"/>
            <w:vAlign w:val="bottom"/>
            <w:tcBorders>
              <w:right w:val="single" w:sz="8" w:color="010101"/>
            </w:tcBorders>
            <w:shd w:val="clear" w:color="auto" w:fill="D8CFFD"/>
          </w:tcPr>
          <w:p>
            <w:pPr>
              <w:spacing w:after="0"/>
              <w:rPr>
                <w:sz w:val="20"/>
                <w:szCs w:val="20"/>
                <w:color w:val="auto"/>
              </w:rPr>
            </w:pPr>
          </w:p>
        </w:tc>
        <w:tc>
          <w:tcPr>
            <w:tcW w:w="1500" w:type="dxa"/>
            <w:vAlign w:val="bottom"/>
            <w:gridSpan w:val="3"/>
            <w:shd w:val="clear" w:color="auto" w:fill="D8CFFD"/>
          </w:tcPr>
          <w:p>
            <w:pPr>
              <w:jc w:val="center"/>
              <w:ind w:left="497"/>
              <w:spacing w:after="0" w:line="196" w:lineRule="exact"/>
              <w:rPr>
                <w:sz w:val="20"/>
                <w:szCs w:val="20"/>
                <w:color w:val="auto"/>
              </w:rPr>
            </w:pPr>
            <w:r>
              <w:rPr>
                <w:rFonts w:ascii="Times New Roman" w:cs="Times New Roman" w:eastAsia="Times New Roman" w:hAnsi="Times New Roman"/>
                <w:sz w:val="22"/>
                <w:szCs w:val="22"/>
                <w:color w:val="0000FF"/>
                <w:w w:val="97"/>
              </w:rPr>
              <w:t>10.57%</w:t>
            </w:r>
          </w:p>
        </w:tc>
        <w:tc>
          <w:tcPr>
            <w:tcW w:w="20" w:type="dxa"/>
            <w:vAlign w:val="bottom"/>
            <w:shd w:val="clear" w:color="auto" w:fill="D8CFFD"/>
          </w:tcPr>
          <w:p>
            <w:pPr>
              <w:spacing w:after="0"/>
              <w:rPr>
                <w:sz w:val="20"/>
                <w:szCs w:val="20"/>
                <w:color w:val="auto"/>
              </w:rPr>
            </w:pPr>
          </w:p>
        </w:tc>
        <w:tc>
          <w:tcPr>
            <w:tcW w:w="460" w:type="dxa"/>
            <w:vAlign w:val="bottom"/>
            <w:shd w:val="clear" w:color="auto" w:fill="D8CFFD"/>
          </w:tcPr>
          <w:p>
            <w:pPr>
              <w:spacing w:after="0"/>
              <w:rPr>
                <w:sz w:val="20"/>
                <w:szCs w:val="20"/>
                <w:color w:val="auto"/>
              </w:rPr>
            </w:pPr>
          </w:p>
        </w:tc>
        <w:tc>
          <w:tcPr>
            <w:tcW w:w="160" w:type="dxa"/>
            <w:vAlign w:val="bottom"/>
            <w:tcBorders>
              <w:right w:val="single" w:sz="8" w:color="010101"/>
            </w:tcBorders>
            <w:shd w:val="clear" w:color="auto" w:fill="D8CFFD"/>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010101"/>
            </w:tcBorders>
          </w:tcPr>
          <w:p>
            <w:pPr>
              <w:spacing w:after="0"/>
              <w:rPr>
                <w:sz w:val="19"/>
                <w:szCs w:val="19"/>
                <w:color w:val="auto"/>
              </w:rPr>
            </w:pPr>
          </w:p>
        </w:tc>
        <w:tc>
          <w:tcPr>
            <w:tcW w:w="160" w:type="dxa"/>
            <w:vAlign w:val="bottom"/>
            <w:tcBorders>
              <w:top w:val="single" w:sz="8" w:color="D8CFFD"/>
            </w:tcBorders>
            <w:shd w:val="clear" w:color="auto" w:fill="D8CFFD"/>
          </w:tcPr>
          <w:p>
            <w:pPr>
              <w:spacing w:after="0"/>
              <w:rPr>
                <w:sz w:val="19"/>
                <w:szCs w:val="19"/>
                <w:color w:val="auto"/>
              </w:rPr>
            </w:pPr>
          </w:p>
        </w:tc>
        <w:tc>
          <w:tcPr>
            <w:tcW w:w="3200" w:type="dxa"/>
            <w:vAlign w:val="bottom"/>
            <w:tcBorders>
              <w:top w:val="single" w:sz="8" w:color="0000FF"/>
            </w:tcBorders>
            <w:shd w:val="clear" w:color="auto" w:fill="D8CFFD"/>
          </w:tcPr>
          <w:p>
            <w:pPr>
              <w:jc w:val="center"/>
              <w:spacing w:after="0" w:line="224" w:lineRule="exact"/>
              <w:rPr>
                <w:sz w:val="20"/>
                <w:szCs w:val="20"/>
                <w:color w:val="auto"/>
              </w:rPr>
            </w:pPr>
            <w:r>
              <w:rPr>
                <w:rFonts w:ascii="Times New Roman" w:cs="Times New Roman" w:eastAsia="Times New Roman" w:hAnsi="Times New Roman"/>
                <w:sz w:val="22"/>
                <w:szCs w:val="22"/>
                <w:color w:val="0000FF"/>
                <w:w w:val="98"/>
              </w:rPr>
              <w:t>VII, LP</w:t>
            </w:r>
          </w:p>
        </w:tc>
        <w:tc>
          <w:tcPr>
            <w:tcW w:w="240" w:type="dxa"/>
            <w:vAlign w:val="bottom"/>
            <w:tcBorders>
              <w:top w:val="single" w:sz="8" w:color="D8CFFD"/>
              <w:right w:val="single" w:sz="8" w:color="010101"/>
            </w:tcBorders>
            <w:shd w:val="clear" w:color="auto" w:fill="D8CFFD"/>
          </w:tcPr>
          <w:p>
            <w:pPr>
              <w:spacing w:after="0"/>
              <w:rPr>
                <w:sz w:val="19"/>
                <w:szCs w:val="19"/>
                <w:color w:val="auto"/>
              </w:rPr>
            </w:pPr>
          </w:p>
        </w:tc>
        <w:tc>
          <w:tcPr>
            <w:tcW w:w="320" w:type="dxa"/>
            <w:vAlign w:val="bottom"/>
            <w:tcBorders>
              <w:top w:val="single" w:sz="8" w:color="D8CFFD"/>
              <w:bottom w:val="single" w:sz="8" w:color="010101"/>
            </w:tcBorders>
            <w:shd w:val="clear" w:color="auto" w:fill="D8CFFD"/>
          </w:tcPr>
          <w:p>
            <w:pPr>
              <w:spacing w:after="0"/>
              <w:rPr>
                <w:sz w:val="19"/>
                <w:szCs w:val="19"/>
                <w:color w:val="auto"/>
              </w:rPr>
            </w:pPr>
          </w:p>
        </w:tc>
        <w:tc>
          <w:tcPr>
            <w:tcW w:w="20" w:type="dxa"/>
            <w:vAlign w:val="bottom"/>
            <w:tcBorders>
              <w:top w:val="single" w:sz="8" w:color="0000FF"/>
              <w:bottom w:val="single" w:sz="8" w:color="010101"/>
            </w:tcBorders>
            <w:shd w:val="clear" w:color="auto" w:fill="D8CFFD"/>
          </w:tcPr>
          <w:p>
            <w:pPr>
              <w:spacing w:after="0"/>
              <w:rPr>
                <w:sz w:val="19"/>
                <w:szCs w:val="19"/>
                <w:color w:val="auto"/>
              </w:rPr>
            </w:pPr>
          </w:p>
        </w:tc>
        <w:tc>
          <w:tcPr>
            <w:tcW w:w="120" w:type="dxa"/>
            <w:vAlign w:val="bottom"/>
            <w:tcBorders>
              <w:top w:val="single" w:sz="8" w:color="0000FF"/>
              <w:bottom w:val="single" w:sz="8" w:color="010101"/>
            </w:tcBorders>
            <w:shd w:val="clear" w:color="auto" w:fill="D8CFFD"/>
          </w:tcPr>
          <w:p>
            <w:pPr>
              <w:spacing w:after="0"/>
              <w:rPr>
                <w:sz w:val="19"/>
                <w:szCs w:val="19"/>
                <w:color w:val="auto"/>
              </w:rPr>
            </w:pPr>
          </w:p>
        </w:tc>
        <w:tc>
          <w:tcPr>
            <w:tcW w:w="120" w:type="dxa"/>
            <w:vAlign w:val="bottom"/>
            <w:tcBorders>
              <w:top w:val="single" w:sz="8" w:color="0000FF"/>
              <w:bottom w:val="single" w:sz="8" w:color="010101"/>
            </w:tcBorders>
            <w:shd w:val="clear" w:color="auto" w:fill="D8CFFD"/>
          </w:tcPr>
          <w:p>
            <w:pPr>
              <w:spacing w:after="0"/>
              <w:rPr>
                <w:sz w:val="19"/>
                <w:szCs w:val="19"/>
                <w:color w:val="auto"/>
              </w:rPr>
            </w:pPr>
          </w:p>
        </w:tc>
        <w:tc>
          <w:tcPr>
            <w:tcW w:w="100" w:type="dxa"/>
            <w:vAlign w:val="bottom"/>
            <w:tcBorders>
              <w:top w:val="single" w:sz="8" w:color="0000FF"/>
              <w:bottom w:val="single" w:sz="8" w:color="010101"/>
            </w:tcBorders>
            <w:shd w:val="clear" w:color="auto" w:fill="D8CFFD"/>
          </w:tcPr>
          <w:p>
            <w:pPr>
              <w:spacing w:after="0"/>
              <w:rPr>
                <w:sz w:val="19"/>
                <w:szCs w:val="19"/>
                <w:color w:val="auto"/>
              </w:rPr>
            </w:pPr>
          </w:p>
        </w:tc>
        <w:tc>
          <w:tcPr>
            <w:tcW w:w="580" w:type="dxa"/>
            <w:vAlign w:val="bottom"/>
            <w:tcBorders>
              <w:top w:val="single" w:sz="8" w:color="0000FF"/>
              <w:bottom w:val="single" w:sz="8" w:color="010101"/>
            </w:tcBorders>
            <w:shd w:val="clear" w:color="auto" w:fill="D8CFFD"/>
          </w:tcPr>
          <w:p>
            <w:pPr>
              <w:spacing w:after="0"/>
              <w:rPr>
                <w:sz w:val="19"/>
                <w:szCs w:val="19"/>
                <w:color w:val="auto"/>
              </w:rPr>
            </w:pPr>
          </w:p>
        </w:tc>
        <w:tc>
          <w:tcPr>
            <w:tcW w:w="60" w:type="dxa"/>
            <w:vAlign w:val="bottom"/>
            <w:tcBorders>
              <w:top w:val="single" w:sz="8" w:color="0000FF"/>
              <w:bottom w:val="single" w:sz="8" w:color="010101"/>
            </w:tcBorders>
            <w:shd w:val="clear" w:color="auto" w:fill="D8CFFD"/>
          </w:tcPr>
          <w:p>
            <w:pPr>
              <w:spacing w:after="0"/>
              <w:rPr>
                <w:sz w:val="19"/>
                <w:szCs w:val="19"/>
                <w:color w:val="auto"/>
              </w:rPr>
            </w:pPr>
          </w:p>
        </w:tc>
        <w:tc>
          <w:tcPr>
            <w:tcW w:w="140" w:type="dxa"/>
            <w:vAlign w:val="bottom"/>
            <w:tcBorders>
              <w:top w:val="single" w:sz="8" w:color="0000FF"/>
              <w:bottom w:val="single" w:sz="8" w:color="010101"/>
            </w:tcBorders>
            <w:shd w:val="clear" w:color="auto" w:fill="D8CFFD"/>
          </w:tcPr>
          <w:p>
            <w:pPr>
              <w:spacing w:after="0"/>
              <w:rPr>
                <w:sz w:val="19"/>
                <w:szCs w:val="19"/>
                <w:color w:val="auto"/>
              </w:rPr>
            </w:pPr>
          </w:p>
        </w:tc>
        <w:tc>
          <w:tcPr>
            <w:tcW w:w="180" w:type="dxa"/>
            <w:vAlign w:val="bottom"/>
            <w:tcBorders>
              <w:top w:val="single" w:sz="8" w:color="D8CFFD"/>
              <w:bottom w:val="single" w:sz="8" w:color="010101"/>
            </w:tcBorders>
            <w:shd w:val="clear" w:color="auto" w:fill="D8CFFD"/>
          </w:tcPr>
          <w:p>
            <w:pPr>
              <w:spacing w:after="0"/>
              <w:rPr>
                <w:sz w:val="19"/>
                <w:szCs w:val="19"/>
                <w:color w:val="auto"/>
              </w:rPr>
            </w:pPr>
          </w:p>
        </w:tc>
        <w:tc>
          <w:tcPr>
            <w:tcW w:w="200" w:type="dxa"/>
            <w:vAlign w:val="bottom"/>
            <w:tcBorders>
              <w:top w:val="single" w:sz="8" w:color="D8CFFD"/>
              <w:bottom w:val="single" w:sz="8" w:color="010101"/>
              <w:right w:val="single" w:sz="8" w:color="010101"/>
            </w:tcBorders>
            <w:shd w:val="clear" w:color="auto" w:fill="D8CFFD"/>
          </w:tcPr>
          <w:p>
            <w:pPr>
              <w:spacing w:after="0"/>
              <w:rPr>
                <w:sz w:val="19"/>
                <w:szCs w:val="19"/>
                <w:color w:val="auto"/>
              </w:rPr>
            </w:pPr>
          </w:p>
        </w:tc>
        <w:tc>
          <w:tcPr>
            <w:tcW w:w="720" w:type="dxa"/>
            <w:vAlign w:val="bottom"/>
            <w:tcBorders>
              <w:top w:val="single" w:sz="8" w:color="D8CFFD"/>
              <w:bottom w:val="single" w:sz="8" w:color="010101"/>
            </w:tcBorders>
            <w:shd w:val="clear" w:color="auto" w:fill="D8CFFD"/>
          </w:tcPr>
          <w:p>
            <w:pPr>
              <w:spacing w:after="0"/>
              <w:rPr>
                <w:sz w:val="19"/>
                <w:szCs w:val="19"/>
                <w:color w:val="auto"/>
              </w:rPr>
            </w:pPr>
          </w:p>
        </w:tc>
        <w:tc>
          <w:tcPr>
            <w:tcW w:w="660" w:type="dxa"/>
            <w:vAlign w:val="bottom"/>
            <w:tcBorders>
              <w:top w:val="single" w:sz="8" w:color="0000FF"/>
              <w:bottom w:val="single" w:sz="8" w:color="010101"/>
            </w:tcBorders>
            <w:shd w:val="clear" w:color="auto" w:fill="D8CFFD"/>
          </w:tcPr>
          <w:p>
            <w:pPr>
              <w:spacing w:after="0"/>
              <w:rPr>
                <w:sz w:val="19"/>
                <w:szCs w:val="19"/>
                <w:color w:val="auto"/>
              </w:rPr>
            </w:pPr>
          </w:p>
        </w:tc>
        <w:tc>
          <w:tcPr>
            <w:tcW w:w="120" w:type="dxa"/>
            <w:vAlign w:val="bottom"/>
            <w:tcBorders>
              <w:top w:val="single" w:sz="8" w:color="D8CFFD"/>
              <w:bottom w:val="single" w:sz="8" w:color="010101"/>
            </w:tcBorders>
            <w:shd w:val="clear" w:color="auto" w:fill="D8CFFD"/>
          </w:tcPr>
          <w:p>
            <w:pPr>
              <w:spacing w:after="0"/>
              <w:rPr>
                <w:sz w:val="19"/>
                <w:szCs w:val="19"/>
                <w:color w:val="auto"/>
              </w:rPr>
            </w:pPr>
          </w:p>
        </w:tc>
        <w:tc>
          <w:tcPr>
            <w:tcW w:w="20" w:type="dxa"/>
            <w:vAlign w:val="bottom"/>
            <w:tcBorders>
              <w:top w:val="single" w:sz="8" w:color="D8CFFD"/>
              <w:bottom w:val="single" w:sz="8" w:color="010101"/>
            </w:tcBorders>
            <w:shd w:val="clear" w:color="auto" w:fill="D8CFFD"/>
          </w:tcPr>
          <w:p>
            <w:pPr>
              <w:spacing w:after="0"/>
              <w:rPr>
                <w:sz w:val="19"/>
                <w:szCs w:val="19"/>
                <w:color w:val="auto"/>
              </w:rPr>
            </w:pPr>
          </w:p>
        </w:tc>
        <w:tc>
          <w:tcPr>
            <w:tcW w:w="460" w:type="dxa"/>
            <w:vAlign w:val="bottom"/>
            <w:tcBorders>
              <w:top w:val="single" w:sz="8" w:color="D8CFFD"/>
              <w:bottom w:val="single" w:sz="8" w:color="010101"/>
            </w:tcBorders>
            <w:shd w:val="clear" w:color="auto" w:fill="D8CFFD"/>
          </w:tcPr>
          <w:p>
            <w:pPr>
              <w:spacing w:after="0"/>
              <w:rPr>
                <w:sz w:val="19"/>
                <w:szCs w:val="19"/>
                <w:color w:val="auto"/>
              </w:rPr>
            </w:pPr>
          </w:p>
        </w:tc>
        <w:tc>
          <w:tcPr>
            <w:tcW w:w="160" w:type="dxa"/>
            <w:vAlign w:val="bottom"/>
            <w:tcBorders>
              <w:top w:val="single" w:sz="8" w:color="D8CFFD"/>
              <w:bottom w:val="single" w:sz="8" w:color="010101"/>
              <w:right w:val="single" w:sz="8" w:color="010101"/>
            </w:tcBorders>
            <w:shd w:val="clear" w:color="auto" w:fill="D8CFFD"/>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010101"/>
            </w:tcBorders>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right w:val="single" w:sz="8" w:color="010101"/>
            </w:tcBorders>
            <w:gridSpan w:val="2"/>
          </w:tcPr>
          <w:p>
            <w:pPr>
              <w:jc w:val="center"/>
              <w:ind w:right="180"/>
              <w:spacing w:after="0" w:line="196" w:lineRule="exact"/>
              <w:rPr>
                <w:sz w:val="20"/>
                <w:szCs w:val="20"/>
                <w:color w:val="auto"/>
              </w:rPr>
            </w:pPr>
            <w:r>
              <w:rPr>
                <w:rFonts w:ascii="Times New Roman" w:cs="Times New Roman" w:eastAsia="Times New Roman" w:hAnsi="Times New Roman"/>
                <w:sz w:val="22"/>
                <w:szCs w:val="22"/>
                <w:color w:val="auto"/>
                <w:w w:val="97"/>
              </w:rPr>
              <w:t>CEOF Holdings LP</w:t>
            </w:r>
          </w:p>
        </w:tc>
        <w:tc>
          <w:tcPr>
            <w:tcW w:w="580" w:type="dxa"/>
            <w:vAlign w:val="bottom"/>
            <w:gridSpan w:val="4"/>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w:t>
            </w:r>
          </w:p>
        </w:tc>
        <w:tc>
          <w:tcPr>
            <w:tcW w:w="1160" w:type="dxa"/>
            <w:vAlign w:val="bottom"/>
            <w:tcBorders>
              <w:right w:val="single" w:sz="8" w:color="010101"/>
            </w:tcBorders>
            <w:gridSpan w:val="5"/>
          </w:tcPr>
          <w:p>
            <w:pPr>
              <w:jc w:val="right"/>
              <w:ind w:right="20"/>
              <w:spacing w:after="0" w:line="196" w:lineRule="exact"/>
              <w:rPr>
                <w:sz w:val="20"/>
                <w:szCs w:val="20"/>
                <w:color w:val="auto"/>
              </w:rPr>
            </w:pPr>
            <w:r>
              <w:rPr>
                <w:rFonts w:ascii="Times New Roman" w:cs="Times New Roman" w:eastAsia="Times New Roman" w:hAnsi="Times New Roman"/>
                <w:sz w:val="22"/>
                <w:szCs w:val="22"/>
                <w:color w:val="auto"/>
                <w:w w:val="96"/>
              </w:rPr>
              <w:t>7,000,000.00</w:t>
            </w:r>
          </w:p>
        </w:tc>
        <w:tc>
          <w:tcPr>
            <w:tcW w:w="15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12.7272727272727</w:t>
            </w:r>
          </w:p>
        </w:tc>
        <w:tc>
          <w:tcPr>
            <w:tcW w:w="620" w:type="dxa"/>
            <w:vAlign w:val="bottom"/>
            <w:tcBorders>
              <w:right w:val="single" w:sz="8" w:color="010101"/>
            </w:tcBorders>
            <w:gridSpan w:val="2"/>
          </w:tcPr>
          <w:p>
            <w:pPr>
              <w:jc w:val="right"/>
              <w:ind w:right="160"/>
              <w:spacing w:after="0" w:line="196" w:lineRule="exact"/>
              <w:rPr>
                <w:sz w:val="20"/>
                <w:szCs w:val="20"/>
                <w:color w:val="auto"/>
              </w:rPr>
            </w:pPr>
            <w:r>
              <w:rPr>
                <w:rFonts w:ascii="Times New Roman" w:cs="Times New Roman" w:eastAsia="Times New Roman" w:hAnsi="Times New Roman"/>
                <w:sz w:val="22"/>
                <w:szCs w:val="22"/>
                <w:color w:val="0000FF"/>
                <w:w w:val="88"/>
              </w:rPr>
              <w:t>12.73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1010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10101"/>
            </w:tcBorders>
          </w:tcPr>
          <w:p>
            <w:pPr>
              <w:spacing w:after="0" w:line="20" w:lineRule="exact"/>
              <w:rPr>
                <w:sz w:val="1"/>
                <w:szCs w:val="1"/>
                <w:color w:val="auto"/>
              </w:rPr>
            </w:pPr>
          </w:p>
        </w:tc>
        <w:tc>
          <w:tcPr>
            <w:tcW w:w="1380" w:type="dxa"/>
            <w:vAlign w:val="bottom"/>
            <w:gridSpan w:val="2"/>
            <w:vMerge w:val="restart"/>
          </w:tcPr>
          <w:p>
            <w:pPr>
              <w:jc w:val="center"/>
              <w:ind w:left="617"/>
              <w:spacing w:after="0"/>
              <w:rPr>
                <w:sz w:val="20"/>
                <w:szCs w:val="20"/>
                <w:color w:val="auto"/>
              </w:rPr>
            </w:pPr>
            <w:r>
              <w:rPr>
                <w:rFonts w:ascii="Times New Roman" w:cs="Times New Roman" w:eastAsia="Times New Roman" w:hAnsi="Times New Roman"/>
                <w:sz w:val="22"/>
                <w:szCs w:val="22"/>
                <w:color w:val="auto"/>
                <w:w w:val="97"/>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0" w:type="dxa"/>
            <w:vAlign w:val="bottom"/>
            <w:tcBorders>
              <w:right w:val="single" w:sz="8" w:color="010101"/>
            </w:tcBorders>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right w:val="single" w:sz="8" w:color="010101"/>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010101"/>
            </w:tcBorders>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right w:val="single" w:sz="8" w:color="010101"/>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1200" w:type="dxa"/>
            <w:vAlign w:val="bottom"/>
            <w:tcBorders>
              <w:right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3200" w:type="dxa"/>
            <w:vAlign w:val="bottom"/>
            <w:tcBorders>
              <w:bottom w:val="single" w:sz="8" w:color="010101"/>
            </w:tcBorders>
          </w:tcPr>
          <w:p>
            <w:pPr>
              <w:spacing w:after="0"/>
              <w:rPr>
                <w:sz w:val="8"/>
                <w:szCs w:val="8"/>
                <w:color w:val="auto"/>
              </w:rPr>
            </w:pPr>
          </w:p>
        </w:tc>
        <w:tc>
          <w:tcPr>
            <w:tcW w:w="240" w:type="dxa"/>
            <w:vAlign w:val="bottom"/>
            <w:tcBorders>
              <w:bottom w:val="single" w:sz="8" w:color="010101"/>
              <w:right w:val="single" w:sz="8" w:color="010101"/>
            </w:tcBorders>
          </w:tcPr>
          <w:p>
            <w:pPr>
              <w:spacing w:after="0"/>
              <w:rPr>
                <w:sz w:val="8"/>
                <w:szCs w:val="8"/>
                <w:color w:val="auto"/>
              </w:rPr>
            </w:pPr>
          </w:p>
        </w:tc>
        <w:tc>
          <w:tcPr>
            <w:tcW w:w="32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120" w:type="dxa"/>
            <w:vAlign w:val="bottom"/>
            <w:tcBorders>
              <w:bottom w:val="single" w:sz="8" w:color="010101"/>
            </w:tcBorders>
          </w:tcPr>
          <w:p>
            <w:pPr>
              <w:spacing w:after="0"/>
              <w:rPr>
                <w:sz w:val="8"/>
                <w:szCs w:val="8"/>
                <w:color w:val="auto"/>
              </w:rPr>
            </w:pPr>
          </w:p>
        </w:tc>
        <w:tc>
          <w:tcPr>
            <w:tcW w:w="120" w:type="dxa"/>
            <w:vAlign w:val="bottom"/>
            <w:tcBorders>
              <w:bottom w:val="single" w:sz="8" w:color="010101"/>
            </w:tcBorders>
          </w:tcPr>
          <w:p>
            <w:pPr>
              <w:spacing w:after="0"/>
              <w:rPr>
                <w:sz w:val="8"/>
                <w:szCs w:val="8"/>
                <w:color w:val="auto"/>
              </w:rPr>
            </w:pPr>
          </w:p>
        </w:tc>
        <w:tc>
          <w:tcPr>
            <w:tcW w:w="100" w:type="dxa"/>
            <w:vAlign w:val="bottom"/>
            <w:tcBorders>
              <w:bottom w:val="single" w:sz="8" w:color="010101"/>
            </w:tcBorders>
          </w:tcPr>
          <w:p>
            <w:pPr>
              <w:spacing w:after="0"/>
              <w:rPr>
                <w:sz w:val="8"/>
                <w:szCs w:val="8"/>
                <w:color w:val="auto"/>
              </w:rPr>
            </w:pPr>
          </w:p>
        </w:tc>
        <w:tc>
          <w:tcPr>
            <w:tcW w:w="580" w:type="dxa"/>
            <w:vAlign w:val="bottom"/>
            <w:tcBorders>
              <w:bottom w:val="single" w:sz="8" w:color="010101"/>
            </w:tcBorders>
          </w:tcPr>
          <w:p>
            <w:pPr>
              <w:spacing w:after="0"/>
              <w:rPr>
                <w:sz w:val="8"/>
                <w:szCs w:val="8"/>
                <w:color w:val="auto"/>
              </w:rPr>
            </w:pPr>
          </w:p>
        </w:tc>
        <w:tc>
          <w:tcPr>
            <w:tcW w:w="60" w:type="dxa"/>
            <w:vAlign w:val="bottom"/>
            <w:tcBorders>
              <w:bottom w:val="single" w:sz="8" w:color="010101"/>
            </w:tcBorders>
          </w:tcPr>
          <w:p>
            <w:pPr>
              <w:spacing w:after="0"/>
              <w:rPr>
                <w:sz w:val="8"/>
                <w:szCs w:val="8"/>
                <w:color w:val="auto"/>
              </w:rPr>
            </w:pPr>
          </w:p>
        </w:tc>
        <w:tc>
          <w:tcPr>
            <w:tcW w:w="140" w:type="dxa"/>
            <w:vAlign w:val="bottom"/>
            <w:tcBorders>
              <w:bottom w:val="single" w:sz="8" w:color="010101"/>
            </w:tcBorders>
          </w:tcPr>
          <w:p>
            <w:pPr>
              <w:spacing w:after="0"/>
              <w:rPr>
                <w:sz w:val="8"/>
                <w:szCs w:val="8"/>
                <w:color w:val="auto"/>
              </w:rPr>
            </w:pPr>
          </w:p>
        </w:tc>
        <w:tc>
          <w:tcPr>
            <w:tcW w:w="180" w:type="dxa"/>
            <w:vAlign w:val="bottom"/>
            <w:tcBorders>
              <w:bottom w:val="single" w:sz="8" w:color="010101"/>
            </w:tcBorders>
          </w:tcPr>
          <w:p>
            <w:pPr>
              <w:spacing w:after="0"/>
              <w:rPr>
                <w:sz w:val="8"/>
                <w:szCs w:val="8"/>
                <w:color w:val="auto"/>
              </w:rPr>
            </w:pPr>
          </w:p>
        </w:tc>
        <w:tc>
          <w:tcPr>
            <w:tcW w:w="200" w:type="dxa"/>
            <w:vAlign w:val="bottom"/>
            <w:tcBorders>
              <w:bottom w:val="single" w:sz="8" w:color="010101"/>
              <w:right w:val="single" w:sz="8" w:color="010101"/>
            </w:tcBorders>
          </w:tcPr>
          <w:p>
            <w:pPr>
              <w:spacing w:after="0"/>
              <w:rPr>
                <w:sz w:val="8"/>
                <w:szCs w:val="8"/>
                <w:color w:val="auto"/>
              </w:rPr>
            </w:pPr>
          </w:p>
        </w:tc>
        <w:tc>
          <w:tcPr>
            <w:tcW w:w="720" w:type="dxa"/>
            <w:vAlign w:val="bottom"/>
            <w:tcBorders>
              <w:bottom w:val="single" w:sz="8" w:color="010101"/>
            </w:tcBorders>
          </w:tcPr>
          <w:p>
            <w:pPr>
              <w:spacing w:after="0"/>
              <w:rPr>
                <w:sz w:val="8"/>
                <w:szCs w:val="8"/>
                <w:color w:val="auto"/>
              </w:rPr>
            </w:pPr>
          </w:p>
        </w:tc>
        <w:tc>
          <w:tcPr>
            <w:tcW w:w="660" w:type="dxa"/>
            <w:vAlign w:val="bottom"/>
            <w:tcBorders>
              <w:bottom w:val="single" w:sz="8" w:color="010101"/>
            </w:tcBorders>
          </w:tcPr>
          <w:p>
            <w:pPr>
              <w:spacing w:after="0"/>
              <w:rPr>
                <w:sz w:val="8"/>
                <w:szCs w:val="8"/>
                <w:color w:val="auto"/>
              </w:rPr>
            </w:pPr>
          </w:p>
        </w:tc>
        <w:tc>
          <w:tcPr>
            <w:tcW w:w="12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460" w:type="dxa"/>
            <w:vAlign w:val="bottom"/>
            <w:tcBorders>
              <w:bottom w:val="single" w:sz="8" w:color="010101"/>
            </w:tcBorders>
          </w:tcPr>
          <w:p>
            <w:pPr>
              <w:spacing w:after="0"/>
              <w:rPr>
                <w:sz w:val="8"/>
                <w:szCs w:val="8"/>
                <w:color w:val="auto"/>
              </w:rPr>
            </w:pPr>
          </w:p>
        </w:tc>
        <w:tc>
          <w:tcPr>
            <w:tcW w:w="160" w:type="dxa"/>
            <w:vAlign w:val="bottom"/>
            <w:tcBorders>
              <w:bottom w:val="single" w:sz="8" w:color="010101"/>
              <w:right w:val="single" w:sz="8" w:color="010101"/>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200" w:type="dxa"/>
            <w:vAlign w:val="bottom"/>
            <w:tcBorders>
              <w:right w:val="single" w:sz="8" w:color="010101"/>
            </w:tcBorders>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Borders>
              <w:right w:val="single" w:sz="8" w:color="010101"/>
            </w:tcBorders>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6"/>
              </w:rPr>
              <w:t>TOTALS</w:t>
            </w:r>
          </w:p>
        </w:tc>
        <w:tc>
          <w:tcPr>
            <w:tcW w:w="1460" w:type="dxa"/>
            <w:vAlign w:val="bottom"/>
            <w:gridSpan w:val="8"/>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$55,000,000</w:t>
            </w:r>
          </w:p>
        </w:tc>
        <w:tc>
          <w:tcPr>
            <w:tcW w:w="180" w:type="dxa"/>
            <w:vAlign w:val="bottom"/>
          </w:tcPr>
          <w:p>
            <w:pPr>
              <w:spacing w:after="0"/>
              <w:rPr>
                <w:sz w:val="24"/>
                <w:szCs w:val="24"/>
                <w:color w:val="auto"/>
              </w:rPr>
            </w:pPr>
          </w:p>
        </w:tc>
        <w:tc>
          <w:tcPr>
            <w:tcW w:w="200" w:type="dxa"/>
            <w:vAlign w:val="bottom"/>
            <w:tcBorders>
              <w:right w:val="single" w:sz="8" w:color="010101"/>
            </w:tcBorders>
          </w:tcPr>
          <w:p>
            <w:pPr>
              <w:spacing w:after="0"/>
              <w:rPr>
                <w:sz w:val="24"/>
                <w:szCs w:val="24"/>
                <w:color w:val="auto"/>
              </w:rPr>
            </w:pPr>
          </w:p>
        </w:tc>
        <w:tc>
          <w:tcPr>
            <w:tcW w:w="1380" w:type="dxa"/>
            <w:vAlign w:val="bottom"/>
            <w:gridSpan w:val="2"/>
          </w:tcPr>
          <w:p>
            <w:pPr>
              <w:jc w:val="center"/>
              <w:ind w:left="617"/>
              <w:spacing w:after="0"/>
              <w:rPr>
                <w:sz w:val="20"/>
                <w:szCs w:val="20"/>
                <w:color w:val="auto"/>
              </w:rPr>
            </w:pPr>
            <w:r>
              <w:rPr>
                <w:rFonts w:ascii="Times New Roman" w:cs="Times New Roman" w:eastAsia="Times New Roman" w:hAnsi="Times New Roman"/>
                <w:sz w:val="22"/>
                <w:szCs w:val="22"/>
                <w:b w:val="1"/>
                <w:bCs w:val="1"/>
                <w:color w:val="auto"/>
                <w:w w:val="98"/>
              </w:rPr>
              <w:t>100%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right w:val="single" w:sz="8" w:color="010101"/>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200" w:type="dxa"/>
            <w:vAlign w:val="bottom"/>
            <w:tcBorders>
              <w:right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3200" w:type="dxa"/>
            <w:vAlign w:val="bottom"/>
            <w:tcBorders>
              <w:bottom w:val="single" w:sz="8" w:color="010101"/>
            </w:tcBorders>
          </w:tcPr>
          <w:p>
            <w:pPr>
              <w:spacing w:after="0"/>
              <w:rPr>
                <w:sz w:val="4"/>
                <w:szCs w:val="4"/>
                <w:color w:val="auto"/>
              </w:rPr>
            </w:pPr>
          </w:p>
        </w:tc>
        <w:tc>
          <w:tcPr>
            <w:tcW w:w="240" w:type="dxa"/>
            <w:vAlign w:val="bottom"/>
            <w:tcBorders>
              <w:bottom w:val="single" w:sz="8" w:color="010101"/>
              <w:right w:val="single" w:sz="8" w:color="010101"/>
            </w:tcBorders>
          </w:tcPr>
          <w:p>
            <w:pPr>
              <w:spacing w:after="0"/>
              <w:rPr>
                <w:sz w:val="4"/>
                <w:szCs w:val="4"/>
                <w:color w:val="auto"/>
              </w:rPr>
            </w:pPr>
          </w:p>
        </w:tc>
        <w:tc>
          <w:tcPr>
            <w:tcW w:w="32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120" w:type="dxa"/>
            <w:vAlign w:val="bottom"/>
            <w:tcBorders>
              <w:bottom w:val="single" w:sz="8" w:color="010101"/>
            </w:tcBorders>
          </w:tcPr>
          <w:p>
            <w:pPr>
              <w:spacing w:after="0"/>
              <w:rPr>
                <w:sz w:val="4"/>
                <w:szCs w:val="4"/>
                <w:color w:val="auto"/>
              </w:rPr>
            </w:pPr>
          </w:p>
        </w:tc>
        <w:tc>
          <w:tcPr>
            <w:tcW w:w="12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58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140" w:type="dxa"/>
            <w:vAlign w:val="bottom"/>
            <w:tcBorders>
              <w:bottom w:val="single" w:sz="8" w:color="010101"/>
            </w:tcBorders>
          </w:tcPr>
          <w:p>
            <w:pPr>
              <w:spacing w:after="0"/>
              <w:rPr>
                <w:sz w:val="4"/>
                <w:szCs w:val="4"/>
                <w:color w:val="auto"/>
              </w:rPr>
            </w:pPr>
          </w:p>
        </w:tc>
        <w:tc>
          <w:tcPr>
            <w:tcW w:w="180" w:type="dxa"/>
            <w:vAlign w:val="bottom"/>
            <w:tcBorders>
              <w:bottom w:val="single" w:sz="8" w:color="010101"/>
            </w:tcBorders>
          </w:tcPr>
          <w:p>
            <w:pPr>
              <w:spacing w:after="0"/>
              <w:rPr>
                <w:sz w:val="4"/>
                <w:szCs w:val="4"/>
                <w:color w:val="auto"/>
              </w:rPr>
            </w:pPr>
          </w:p>
        </w:tc>
        <w:tc>
          <w:tcPr>
            <w:tcW w:w="200" w:type="dxa"/>
            <w:vAlign w:val="bottom"/>
            <w:tcBorders>
              <w:bottom w:val="single" w:sz="8" w:color="010101"/>
              <w:right w:val="single" w:sz="8" w:color="010101"/>
            </w:tcBorders>
          </w:tcPr>
          <w:p>
            <w:pPr>
              <w:spacing w:after="0"/>
              <w:rPr>
                <w:sz w:val="4"/>
                <w:szCs w:val="4"/>
                <w:color w:val="auto"/>
              </w:rPr>
            </w:pPr>
          </w:p>
        </w:tc>
        <w:tc>
          <w:tcPr>
            <w:tcW w:w="720" w:type="dxa"/>
            <w:vAlign w:val="bottom"/>
            <w:tcBorders>
              <w:bottom w:val="single" w:sz="8" w:color="010101"/>
            </w:tcBorders>
          </w:tcPr>
          <w:p>
            <w:pPr>
              <w:spacing w:after="0"/>
              <w:rPr>
                <w:sz w:val="4"/>
                <w:szCs w:val="4"/>
                <w:color w:val="auto"/>
              </w:rPr>
            </w:pPr>
          </w:p>
        </w:tc>
        <w:tc>
          <w:tcPr>
            <w:tcW w:w="660" w:type="dxa"/>
            <w:vAlign w:val="bottom"/>
            <w:tcBorders>
              <w:bottom w:val="single" w:sz="8" w:color="010101"/>
            </w:tcBorders>
          </w:tcPr>
          <w:p>
            <w:pPr>
              <w:spacing w:after="0"/>
              <w:rPr>
                <w:sz w:val="4"/>
                <w:szCs w:val="4"/>
                <w:color w:val="auto"/>
              </w:rPr>
            </w:pPr>
          </w:p>
        </w:tc>
        <w:tc>
          <w:tcPr>
            <w:tcW w:w="12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60" w:type="dxa"/>
            <w:vAlign w:val="bottom"/>
            <w:tcBorders>
              <w:bottom w:val="single" w:sz="8" w:color="010101"/>
              <w:right w:val="single" w:sz="8" w:color="010101"/>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5"/>
        </w:trPr>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64" w:right="99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1.1(A)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LOAN COMMITMENTS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00" w:type="dxa"/>
            <w:vAlign w:val="bottom"/>
            <w:tcBorders>
              <w:right w:val="single" w:sz="8" w:color="auto"/>
            </w:tcBorders>
          </w:tcPr>
          <w:p>
            <w:pPr>
              <w:spacing w:after="0"/>
              <w:rPr>
                <w:sz w:val="19"/>
                <w:szCs w:val="19"/>
                <w:color w:val="auto"/>
              </w:rPr>
            </w:pPr>
          </w:p>
        </w:tc>
        <w:tc>
          <w:tcPr>
            <w:tcW w:w="360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8"/>
              </w:rPr>
              <w:t>LENDER</w:t>
            </w:r>
          </w:p>
        </w:tc>
        <w:tc>
          <w:tcPr>
            <w:tcW w:w="184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7"/>
              </w:rPr>
              <w:t>TERM LOAN</w:t>
            </w:r>
          </w:p>
        </w:tc>
        <w:tc>
          <w:tcPr>
            <w:tcW w:w="220" w:type="dxa"/>
            <w:vAlign w:val="bottom"/>
            <w:tcBorders>
              <w:top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jc w:val="center"/>
              <w:ind w:right="172"/>
              <w:spacing w:after="0" w:line="225" w:lineRule="exact"/>
              <w:rPr>
                <w:sz w:val="20"/>
                <w:szCs w:val="20"/>
                <w:color w:val="auto"/>
              </w:rPr>
            </w:pPr>
            <w:r>
              <w:rPr>
                <w:rFonts w:ascii="Times New Roman" w:cs="Times New Roman" w:eastAsia="Times New Roman" w:hAnsi="Times New Roman"/>
                <w:sz w:val="22"/>
                <w:szCs w:val="22"/>
                <w:b w:val="1"/>
                <w:bCs w:val="1"/>
                <w:color w:val="auto"/>
                <w:w w:val="98"/>
              </w:rPr>
              <w:t>APPLICABLE</w:t>
            </w:r>
          </w:p>
        </w:tc>
        <w:tc>
          <w:tcPr>
            <w:tcW w:w="1140" w:type="dxa"/>
            <w:vAlign w:val="bottom"/>
          </w:tcPr>
          <w:p>
            <w:pPr>
              <w:spacing w:after="0"/>
              <w:rPr>
                <w:sz w:val="19"/>
                <w:szCs w:val="19"/>
                <w:color w:val="auto"/>
              </w:rPr>
            </w:pPr>
          </w:p>
        </w:tc>
      </w:tr>
      <w:tr>
        <w:trPr>
          <w:trHeight w:val="274"/>
        </w:trPr>
        <w:tc>
          <w:tcPr>
            <w:tcW w:w="1200" w:type="dxa"/>
            <w:vAlign w:val="bottom"/>
            <w:tcBorders>
              <w:right w:val="single" w:sz="8" w:color="auto"/>
            </w:tcBorders>
          </w:tcPr>
          <w:p>
            <w:pPr>
              <w:spacing w:after="0"/>
              <w:rPr>
                <w:sz w:val="23"/>
                <w:szCs w:val="23"/>
                <w:color w:val="auto"/>
              </w:rPr>
            </w:pPr>
          </w:p>
        </w:tc>
        <w:tc>
          <w:tcPr>
            <w:tcW w:w="36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6"/>
              </w:rPr>
              <w:t>PERCENTAGE</w:t>
            </w:r>
          </w:p>
        </w:tc>
        <w:tc>
          <w:tcPr>
            <w:tcW w:w="1140" w:type="dxa"/>
            <w:vAlign w:val="bottom"/>
          </w:tcPr>
          <w:p>
            <w:pPr>
              <w:spacing w:after="0"/>
              <w:rPr>
                <w:sz w:val="23"/>
                <w:szCs w:val="23"/>
                <w:color w:val="auto"/>
              </w:rPr>
            </w:pPr>
          </w:p>
        </w:tc>
      </w:tr>
      <w:tr>
        <w:trPr>
          <w:trHeight w:val="209"/>
        </w:trPr>
        <w:tc>
          <w:tcPr>
            <w:tcW w:w="120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Metropolitan Levered Partners Fund</w:t>
            </w:r>
          </w:p>
        </w:tc>
        <w:tc>
          <w:tcPr>
            <w:tcW w:w="18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17,639,344.26</w:t>
            </w:r>
          </w:p>
        </w:tc>
        <w:tc>
          <w:tcPr>
            <w:tcW w:w="220" w:type="dxa"/>
            <w:vAlign w:val="bottom"/>
          </w:tcPr>
          <w:p>
            <w:pPr>
              <w:spacing w:after="0"/>
              <w:rPr>
                <w:sz w:val="18"/>
                <w:szCs w:val="18"/>
                <w:color w:val="auto"/>
              </w:rPr>
            </w:pPr>
          </w:p>
        </w:tc>
        <w:tc>
          <w:tcPr>
            <w:tcW w:w="1920" w:type="dxa"/>
            <w:vAlign w:val="bottom"/>
            <w:tcBorders>
              <w:right w:val="single" w:sz="8" w:color="auto"/>
            </w:tcBorders>
          </w:tcPr>
          <w:p>
            <w:pPr>
              <w:jc w:val="center"/>
              <w:ind w:right="152"/>
              <w:spacing w:after="0" w:line="209" w:lineRule="exact"/>
              <w:rPr>
                <w:sz w:val="20"/>
                <w:szCs w:val="20"/>
                <w:color w:val="auto"/>
              </w:rPr>
            </w:pPr>
            <w:r>
              <w:rPr>
                <w:rFonts w:ascii="Times New Roman" w:cs="Times New Roman" w:eastAsia="Times New Roman" w:hAnsi="Times New Roman"/>
                <w:sz w:val="22"/>
                <w:szCs w:val="22"/>
                <w:color w:val="auto"/>
                <w:w w:val="97"/>
              </w:rPr>
              <w:t>32.07%</w:t>
            </w:r>
          </w:p>
        </w:tc>
        <w:tc>
          <w:tcPr>
            <w:tcW w:w="1140" w:type="dxa"/>
            <w:vAlign w:val="bottom"/>
          </w:tcPr>
          <w:p>
            <w:pPr>
              <w:spacing w:after="0"/>
              <w:rPr>
                <w:sz w:val="18"/>
                <w:szCs w:val="18"/>
                <w:color w:val="auto"/>
              </w:rPr>
            </w:pPr>
          </w:p>
        </w:tc>
      </w:tr>
      <w:tr>
        <w:trPr>
          <w:trHeight w:val="282"/>
        </w:trPr>
        <w:tc>
          <w:tcPr>
            <w:tcW w:w="12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VII, LP</w:t>
            </w:r>
          </w:p>
        </w:tc>
        <w:tc>
          <w:tcPr>
            <w:tcW w:w="18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1200" w:type="dxa"/>
            <w:vAlign w:val="bottom"/>
            <w:tcBorders>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76"/>
        </w:trPr>
        <w:tc>
          <w:tcPr>
            <w:tcW w:w="1200" w:type="dxa"/>
            <w:vAlign w:val="bottom"/>
            <w:tcBorders>
              <w:right w:val="single" w:sz="8" w:color="auto"/>
            </w:tcBorders>
          </w:tcPr>
          <w:p>
            <w:pPr>
              <w:spacing w:after="0"/>
              <w:rPr>
                <w:sz w:val="23"/>
                <w:szCs w:val="23"/>
                <w:color w:val="auto"/>
              </w:rPr>
            </w:pP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Metropolitan Partners Fund VII, LP</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24,546,135.83</w:t>
            </w:r>
          </w:p>
        </w:tc>
        <w:tc>
          <w:tcPr>
            <w:tcW w:w="220" w:type="dxa"/>
            <w:vAlign w:val="bottom"/>
          </w:tcPr>
          <w:p>
            <w:pPr>
              <w:spacing w:after="0"/>
              <w:rPr>
                <w:sz w:val="23"/>
                <w:szCs w:val="23"/>
                <w:color w:val="auto"/>
              </w:rPr>
            </w:pPr>
          </w:p>
        </w:tc>
        <w:tc>
          <w:tcPr>
            <w:tcW w:w="1920" w:type="dxa"/>
            <w:vAlign w:val="bottom"/>
            <w:tcBorders>
              <w:right w:val="single" w:sz="8" w:color="auto"/>
            </w:tcBorders>
          </w:tcPr>
          <w:p>
            <w:pPr>
              <w:jc w:val="center"/>
              <w:ind w:right="152"/>
              <w:spacing w:after="0"/>
              <w:rPr>
                <w:sz w:val="20"/>
                <w:szCs w:val="20"/>
                <w:color w:val="auto"/>
              </w:rPr>
            </w:pPr>
            <w:r>
              <w:rPr>
                <w:rFonts w:ascii="Times New Roman" w:cs="Times New Roman" w:eastAsia="Times New Roman" w:hAnsi="Times New Roman"/>
                <w:sz w:val="22"/>
                <w:szCs w:val="22"/>
                <w:color w:val="auto"/>
                <w:w w:val="97"/>
              </w:rPr>
              <w:t>44.63%</w:t>
            </w:r>
          </w:p>
        </w:tc>
        <w:tc>
          <w:tcPr>
            <w:tcW w:w="1140" w:type="dxa"/>
            <w:vAlign w:val="bottom"/>
          </w:tcPr>
          <w:p>
            <w:pPr>
              <w:spacing w:after="0"/>
              <w:rPr>
                <w:sz w:val="23"/>
                <w:szCs w:val="23"/>
                <w:color w:val="auto"/>
              </w:rPr>
            </w:pPr>
          </w:p>
        </w:tc>
      </w:tr>
      <w:tr>
        <w:trPr>
          <w:trHeight w:val="312"/>
        </w:trPr>
        <w:tc>
          <w:tcPr>
            <w:tcW w:w="1200" w:type="dxa"/>
            <w:vAlign w:val="bottom"/>
            <w:tcBorders>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120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Metropolitan Offshore Partners Fund</w:t>
            </w:r>
          </w:p>
        </w:tc>
        <w:tc>
          <w:tcPr>
            <w:tcW w:w="18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5,814,519.91</w:t>
            </w:r>
          </w:p>
        </w:tc>
        <w:tc>
          <w:tcPr>
            <w:tcW w:w="220" w:type="dxa"/>
            <w:vAlign w:val="bottom"/>
          </w:tcPr>
          <w:p>
            <w:pPr>
              <w:spacing w:after="0"/>
              <w:rPr>
                <w:sz w:val="18"/>
                <w:szCs w:val="18"/>
                <w:color w:val="auto"/>
              </w:rPr>
            </w:pPr>
          </w:p>
        </w:tc>
        <w:tc>
          <w:tcPr>
            <w:tcW w:w="1920" w:type="dxa"/>
            <w:vAlign w:val="bottom"/>
            <w:tcBorders>
              <w:right w:val="single" w:sz="8" w:color="auto"/>
            </w:tcBorders>
          </w:tcPr>
          <w:p>
            <w:pPr>
              <w:jc w:val="center"/>
              <w:ind w:right="152"/>
              <w:spacing w:after="0" w:line="209" w:lineRule="exact"/>
              <w:rPr>
                <w:sz w:val="20"/>
                <w:szCs w:val="20"/>
                <w:color w:val="auto"/>
              </w:rPr>
            </w:pPr>
            <w:r>
              <w:rPr>
                <w:rFonts w:ascii="Times New Roman" w:cs="Times New Roman" w:eastAsia="Times New Roman" w:hAnsi="Times New Roman"/>
                <w:sz w:val="22"/>
                <w:szCs w:val="22"/>
                <w:color w:val="auto"/>
                <w:w w:val="97"/>
              </w:rPr>
              <w:t>10.57%</w:t>
            </w:r>
          </w:p>
        </w:tc>
        <w:tc>
          <w:tcPr>
            <w:tcW w:w="1140" w:type="dxa"/>
            <w:vAlign w:val="bottom"/>
          </w:tcPr>
          <w:p>
            <w:pPr>
              <w:spacing w:after="0"/>
              <w:rPr>
                <w:sz w:val="18"/>
                <w:szCs w:val="18"/>
                <w:color w:val="auto"/>
              </w:rPr>
            </w:pPr>
          </w:p>
        </w:tc>
      </w:tr>
      <w:tr>
        <w:trPr>
          <w:trHeight w:val="270"/>
        </w:trPr>
        <w:tc>
          <w:tcPr>
            <w:tcW w:w="1200" w:type="dxa"/>
            <w:vAlign w:val="bottom"/>
            <w:tcBorders>
              <w:right w:val="single" w:sz="8" w:color="auto"/>
            </w:tcBorders>
          </w:tcPr>
          <w:p>
            <w:pPr>
              <w:spacing w:after="0"/>
              <w:rPr>
                <w:sz w:val="23"/>
                <w:szCs w:val="23"/>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VII, LP</w:t>
            </w:r>
          </w:p>
        </w:tc>
        <w:tc>
          <w:tcPr>
            <w:tcW w:w="184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1200" w:type="dxa"/>
            <w:vAlign w:val="bottom"/>
            <w:tcBorders>
              <w:right w:val="single" w:sz="8" w:color="auto"/>
            </w:tcBorders>
          </w:tcPr>
          <w:p>
            <w:pPr>
              <w:spacing w:after="0"/>
              <w:rPr>
                <w:sz w:val="23"/>
                <w:szCs w:val="23"/>
                <w:color w:val="auto"/>
              </w:rPr>
            </w:pP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CEOF Holdings LP</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7,000,000.00</w:t>
            </w:r>
          </w:p>
        </w:tc>
        <w:tc>
          <w:tcPr>
            <w:tcW w:w="220" w:type="dxa"/>
            <w:vAlign w:val="bottom"/>
          </w:tcPr>
          <w:p>
            <w:pPr>
              <w:spacing w:after="0"/>
              <w:rPr>
                <w:sz w:val="23"/>
                <w:szCs w:val="23"/>
                <w:color w:val="auto"/>
              </w:rPr>
            </w:pPr>
          </w:p>
        </w:tc>
        <w:tc>
          <w:tcPr>
            <w:tcW w:w="1920" w:type="dxa"/>
            <w:vAlign w:val="bottom"/>
            <w:tcBorders>
              <w:right w:val="single" w:sz="8" w:color="auto"/>
            </w:tcBorders>
          </w:tcPr>
          <w:p>
            <w:pPr>
              <w:jc w:val="center"/>
              <w:ind w:right="152"/>
              <w:spacing w:after="0"/>
              <w:rPr>
                <w:sz w:val="20"/>
                <w:szCs w:val="20"/>
                <w:color w:val="auto"/>
              </w:rPr>
            </w:pPr>
            <w:r>
              <w:rPr>
                <w:rFonts w:ascii="Times New Roman" w:cs="Times New Roman" w:eastAsia="Times New Roman" w:hAnsi="Times New Roman"/>
                <w:sz w:val="22"/>
                <w:szCs w:val="22"/>
                <w:color w:val="auto"/>
                <w:w w:val="97"/>
              </w:rPr>
              <w:t>12.73%</w:t>
            </w:r>
          </w:p>
        </w:tc>
        <w:tc>
          <w:tcPr>
            <w:tcW w:w="1140" w:type="dxa"/>
            <w:vAlign w:val="bottom"/>
          </w:tcPr>
          <w:p>
            <w:pPr>
              <w:spacing w:after="0"/>
              <w:rPr>
                <w:sz w:val="23"/>
                <w:szCs w:val="23"/>
                <w:color w:val="auto"/>
              </w:rPr>
            </w:pPr>
          </w:p>
        </w:tc>
      </w:tr>
      <w:tr>
        <w:trPr>
          <w:trHeight w:val="312"/>
        </w:trPr>
        <w:tc>
          <w:tcPr>
            <w:tcW w:w="1200" w:type="dxa"/>
            <w:vAlign w:val="bottom"/>
            <w:tcBorders>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80"/>
        </w:trPr>
        <w:tc>
          <w:tcPr>
            <w:tcW w:w="120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TOTALS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$55,000,000</w:t>
            </w:r>
          </w:p>
        </w:tc>
        <w:tc>
          <w:tcPr>
            <w:tcW w:w="220" w:type="dxa"/>
            <w:vAlign w:val="bottom"/>
          </w:tcPr>
          <w:p>
            <w:pPr>
              <w:spacing w:after="0"/>
              <w:rPr>
                <w:sz w:val="24"/>
                <w:szCs w:val="24"/>
                <w:color w:val="auto"/>
              </w:rPr>
            </w:pPr>
          </w:p>
        </w:tc>
        <w:tc>
          <w:tcPr>
            <w:tcW w:w="1920" w:type="dxa"/>
            <w:vAlign w:val="bottom"/>
            <w:tcBorders>
              <w:right w:val="single" w:sz="8" w:color="auto"/>
            </w:tcBorders>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8"/>
              </w:rPr>
              <w:t>100%</w:t>
            </w:r>
          </w:p>
        </w:tc>
        <w:tc>
          <w:tcPr>
            <w:tcW w:w="1140" w:type="dxa"/>
            <w:vAlign w:val="bottom"/>
          </w:tcPr>
          <w:p>
            <w:pPr>
              <w:spacing w:after="0"/>
              <w:rPr>
                <w:sz w:val="24"/>
                <w:szCs w:val="24"/>
                <w:color w:val="auto"/>
              </w:rPr>
            </w:pPr>
          </w:p>
        </w:tc>
      </w:tr>
      <w:tr>
        <w:trPr>
          <w:trHeight w:val="51"/>
        </w:trPr>
        <w:tc>
          <w:tcPr>
            <w:tcW w:w="1200" w:type="dxa"/>
            <w:vAlign w:val="bottom"/>
            <w:tcBorders>
              <w:right w:val="single" w:sz="8" w:color="auto"/>
            </w:tcBorders>
          </w:tcPr>
          <w:p>
            <w:pPr>
              <w:spacing w:after="0"/>
              <w:rPr>
                <w:sz w:val="4"/>
                <w:szCs w:val="4"/>
                <w:color w:val="auto"/>
              </w:rPr>
            </w:pPr>
          </w:p>
        </w:tc>
        <w:tc>
          <w:tcPr>
            <w:tcW w:w="36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r>
      <w:tr>
        <w:trPr>
          <w:trHeight w:val="426"/>
        </w:trPr>
        <w:tc>
          <w:tcPr>
            <w:tcW w:w="1200" w:type="dxa"/>
            <w:vAlign w:val="bottom"/>
          </w:tcPr>
          <w:p>
            <w:pPr>
              <w:spacing w:after="0"/>
              <w:rPr>
                <w:sz w:val="24"/>
                <w:szCs w:val="24"/>
                <w:color w:val="auto"/>
              </w:rPr>
            </w:pPr>
          </w:p>
        </w:tc>
        <w:tc>
          <w:tcPr>
            <w:tcW w:w="56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Annex II to First Amendment to Credit Agreement</w:t>
            </w: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60"/>
        </w:trPr>
        <w:tc>
          <w:tcPr>
            <w:tcW w:w="1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4" w:right="9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E La Carte, LLC</w:t>
      </w:r>
    </w:p>
    <w:p>
      <w:pPr>
        <w:spacing w:after="0" w:line="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816 Hamilton St.</w:t>
      </w:r>
    </w:p>
    <w:p>
      <w:pPr>
        <w:jc w:val="center"/>
        <w:ind w:right="460"/>
        <w:spacing w:after="0"/>
        <w:rPr>
          <w:sz w:val="20"/>
          <w:szCs w:val="20"/>
          <w:color w:val="auto"/>
        </w:rPr>
      </w:pPr>
      <w:r>
        <w:rPr>
          <w:rFonts w:ascii="Times New Roman" w:cs="Times New Roman" w:eastAsia="Times New Roman" w:hAnsi="Times New Roman"/>
          <w:sz w:val="22"/>
          <w:szCs w:val="22"/>
          <w:color w:val="auto"/>
        </w:rPr>
        <w:t>Redwood City, CA 94063</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AMENDED AND RESTATED FEE LETTER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March 31, 2023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Metropolitan Partners Group Administration,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850 Third Avenue, 18th Floor</w:t>
      </w:r>
    </w:p>
    <w:p>
      <w:pPr>
        <w:ind w:left="64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Attention: Paul Lisiak</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Re: Credit Agreement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left="640" w:firstLine="1296"/>
        <w:spacing w:after="0" w:line="234" w:lineRule="auto"/>
        <w:rPr>
          <w:sz w:val="20"/>
          <w:szCs w:val="20"/>
          <w:color w:val="auto"/>
        </w:rPr>
      </w:pPr>
      <w:r>
        <w:rPr>
          <w:rFonts w:ascii="Times New Roman" w:cs="Times New Roman" w:eastAsia="Times New Roman" w:hAnsi="Times New Roman"/>
          <w:sz w:val="22"/>
          <w:szCs w:val="22"/>
          <w:color w:val="auto"/>
        </w:rPr>
        <w:t>Reference is hereby made to, and this fee letter (as amended, restated, supplemented or otherwise modified from time to time, the “</w:t>
      </w:r>
      <w:r>
        <w:rPr>
          <w:rFonts w:ascii="Times New Roman" w:cs="Times New Roman" w:eastAsia="Times New Roman" w:hAnsi="Times New Roman"/>
          <w:sz w:val="22"/>
          <w:szCs w:val="22"/>
          <w:b w:val="1"/>
          <w:bCs w:val="1"/>
          <w:i w:val="1"/>
          <w:iCs w:val="1"/>
          <w:color w:val="auto"/>
        </w:rPr>
        <w:t>Fee Letter</w:t>
      </w:r>
      <w:r>
        <w:rPr>
          <w:rFonts w:ascii="Times New Roman" w:cs="Times New Roman" w:eastAsia="Times New Roman" w:hAnsi="Times New Roman"/>
          <w:sz w:val="22"/>
          <w:szCs w:val="22"/>
          <w:color w:val="auto"/>
        </w:rPr>
        <w:t>”) is hereby incorporated by reference into, the Credit Agreement, dated as of September 21, 2022 (as amended, restated, supplemented or otherwise modified from time to time,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among E La Carte, LLC, a Delaware limited liability company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Presto Automation Inc., a Delaware corporation, the lenders from time to time party thereto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Metropolitan Partners Group Administration LLC, as administrative, payment and collateral agent for itself, as a Lender and for the other Lenders (the “</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 Any capitalized term used but not defined herein shall have the meaning assigned to such term in the Credit Agreement.</w:t>
      </w:r>
    </w:p>
    <w:p>
      <w:pPr>
        <w:spacing w:after="0" w:line="197" w:lineRule="exact"/>
        <w:rPr>
          <w:sz w:val="20"/>
          <w:szCs w:val="20"/>
          <w:color w:val="auto"/>
        </w:rPr>
      </w:pPr>
    </w:p>
    <w:p>
      <w:pPr>
        <w:jc w:val="both"/>
        <w:ind w:left="640" w:firstLine="1296"/>
        <w:spacing w:after="0" w:line="258" w:lineRule="auto"/>
        <w:rPr>
          <w:sz w:val="20"/>
          <w:szCs w:val="20"/>
          <w:color w:val="auto"/>
        </w:rPr>
      </w:pPr>
      <w:r>
        <w:rPr>
          <w:rFonts w:ascii="Times New Roman" w:cs="Times New Roman" w:eastAsia="Times New Roman" w:hAnsi="Times New Roman"/>
          <w:sz w:val="22"/>
          <w:szCs w:val="22"/>
          <w:color w:val="auto"/>
        </w:rPr>
        <w:t>WHEREAS, the parties hereto desire to set forth certain agreements and understandings with respect to payments to be made in connection with the Credit Agreement.</w:t>
      </w:r>
    </w:p>
    <w:p>
      <w:pPr>
        <w:spacing w:after="0" w:line="158" w:lineRule="exact"/>
        <w:rPr>
          <w:sz w:val="20"/>
          <w:szCs w:val="20"/>
          <w:color w:val="auto"/>
        </w:rPr>
      </w:pPr>
    </w:p>
    <w:p>
      <w:pPr>
        <w:jc w:val="both"/>
        <w:ind w:left="640" w:firstLine="1296"/>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and other good and valuable consideration, the receipt and sufficiency of which are hereby acknowledged, the parties hereto agree as follows:</w:t>
      </w:r>
    </w:p>
    <w:p>
      <w:pPr>
        <w:spacing w:after="0" w:line="187" w:lineRule="exact"/>
        <w:rPr>
          <w:sz w:val="20"/>
          <w:szCs w:val="20"/>
          <w:color w:val="auto"/>
        </w:rPr>
      </w:pPr>
    </w:p>
    <w:p>
      <w:pPr>
        <w:jc w:val="both"/>
        <w:ind w:left="64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Onboarding Fee</w:t>
      </w:r>
      <w:r>
        <w:rPr>
          <w:rFonts w:ascii="Times New Roman" w:cs="Times New Roman" w:eastAsia="Times New Roman" w:hAnsi="Times New Roman"/>
          <w:sz w:val="22"/>
          <w:szCs w:val="22"/>
          <w:color w:val="auto"/>
        </w:rPr>
        <w:t>. In connection with and in consideration of entering into the Credit Agreement and related Loan Documents upon the terms set forth therein, the Borrower agrees to pay to the Agent on the Closing Date (for its own account) an onboarding fee equal to $500,000 (the “</w:t>
      </w:r>
      <w:r>
        <w:rPr>
          <w:rFonts w:ascii="Times New Roman" w:cs="Times New Roman" w:eastAsia="Times New Roman" w:hAnsi="Times New Roman"/>
          <w:sz w:val="22"/>
          <w:szCs w:val="22"/>
          <w:b w:val="1"/>
          <w:bCs w:val="1"/>
          <w:i w:val="1"/>
          <w:iCs w:val="1"/>
          <w:color w:val="auto"/>
        </w:rPr>
        <w:t>Onboarding Fee</w:t>
      </w:r>
      <w:r>
        <w:rPr>
          <w:rFonts w:ascii="Times New Roman" w:cs="Times New Roman" w:eastAsia="Times New Roman" w:hAnsi="Times New Roman"/>
          <w:sz w:val="22"/>
          <w:szCs w:val="22"/>
          <w:color w:val="auto"/>
        </w:rPr>
        <w:t>”), which Onboarding Fee shall be non-refundable for any reason and fully earned and paid on the Closing Date. Payment of the Onboarding Fee shall be made in Dollars, by wire transfer of immediately available funds, to the account designated by Agent in writing to Borrower, without deduction, set-off or counterclaim.</w:t>
      </w:r>
    </w:p>
    <w:p>
      <w:pPr>
        <w:spacing w:after="0" w:line="197" w:lineRule="exact"/>
        <w:rPr>
          <w:sz w:val="20"/>
          <w:szCs w:val="20"/>
          <w:color w:val="auto"/>
        </w:rPr>
      </w:pPr>
    </w:p>
    <w:p>
      <w:pPr>
        <w:jc w:val="both"/>
        <w:ind w:left="64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Monitoring Fee</w:t>
      </w:r>
      <w:r>
        <w:rPr>
          <w:rFonts w:ascii="Times New Roman" w:cs="Times New Roman" w:eastAsia="Times New Roman" w:hAnsi="Times New Roman"/>
          <w:sz w:val="22"/>
          <w:szCs w:val="22"/>
          <w:color w:val="auto"/>
        </w:rPr>
        <w:t>. In connection with and in consideration of entering into the Credit Agreement and the related Loan Documents upon the terms set forth therein, Borrower shall pay Agent (for its own account), in immediately available funds, which shall be non-refundable and fully earned when paid, a quarterly fee (the “</w:t>
      </w:r>
      <w:r>
        <w:rPr>
          <w:rFonts w:ascii="Times New Roman" w:cs="Times New Roman" w:eastAsia="Times New Roman" w:hAnsi="Times New Roman"/>
          <w:sz w:val="22"/>
          <w:szCs w:val="22"/>
          <w:b w:val="1"/>
          <w:bCs w:val="1"/>
          <w:i w:val="1"/>
          <w:iCs w:val="1"/>
          <w:color w:val="auto"/>
        </w:rPr>
        <w:t>Monitoring Fee</w:t>
      </w:r>
      <w:r>
        <w:rPr>
          <w:rFonts w:ascii="Times New Roman" w:cs="Times New Roman" w:eastAsia="Times New Roman" w:hAnsi="Times New Roman"/>
          <w:sz w:val="22"/>
          <w:szCs w:val="22"/>
          <w:color w:val="auto"/>
        </w:rPr>
        <w:t>”) in the amount of $125,000, paid quarterly in arrears on the first day of each Fiscal Quarter of the Loan Parties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489585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14" w:name="page115"/>
    <w:bookmarkEnd w:id="114"/>
    <w:p>
      <w:pPr>
        <w:jc w:val="both"/>
        <w:ind w:left="640"/>
        <w:spacing w:after="0" w:line="246" w:lineRule="auto"/>
        <w:rPr>
          <w:sz w:val="20"/>
          <w:szCs w:val="20"/>
          <w:color w:val="auto"/>
        </w:rPr>
      </w:pPr>
      <w:r>
        <w:rPr>
          <w:rFonts w:ascii="Times New Roman" w:cs="Times New Roman" w:eastAsia="Times New Roman" w:hAnsi="Times New Roman"/>
          <w:sz w:val="21"/>
          <w:szCs w:val="21"/>
          <w:color w:val="auto"/>
        </w:rPr>
        <w:t>respect of the immediately preceding Fiscal Quarter, commencing on the first day of the first full Fiscal Quarter immediately following the Closing Date; provided, that, notwithstanding the foregoing, the Monitoring Fee for the first Fiscal Quarter shall be immediately earned and due and payable on the Closing Date and shall be non-refundable. Upon the occurrence and during the continuance of an Event of Default, the Monitoring Fee shall be increased to $187,500. The Borrower and Parent each acknowledge and agrees that the Monitoring Fee constitutes compensation for services rendered and does not constitute interest or a charge for the use of money. All payments of the Monitoring Fee shall be made in Dollars, by wire transfer of immediately available funds, to the account designated by Agent in writing to the Borrower without deduction, set off or counterclaim.</w:t>
      </w:r>
    </w:p>
    <w:p>
      <w:pPr>
        <w:spacing w:after="0" w:line="189" w:lineRule="exact"/>
        <w:rPr>
          <w:sz w:val="20"/>
          <w:szCs w:val="20"/>
          <w:color w:val="auto"/>
        </w:rPr>
      </w:pPr>
    </w:p>
    <w:p>
      <w:pPr>
        <w:jc w:val="both"/>
        <w:ind w:left="64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Amendment Fee</w:t>
      </w:r>
      <w:r>
        <w:rPr>
          <w:rFonts w:ascii="Times New Roman" w:cs="Times New Roman" w:eastAsia="Times New Roman" w:hAnsi="Times New Roman"/>
          <w:sz w:val="22"/>
          <w:szCs w:val="22"/>
          <w:color w:val="auto"/>
        </w:rPr>
        <w:t>. In connection with and in consideration of entering into the First Amendment and the related Loan Documents upon the terms set forth therein, Borrower shall pay to the Agent on the First Amendment Effective Date (for its own account), an amendment fee equal to $200,000 (the “</w:t>
      </w:r>
      <w:r>
        <w:rPr>
          <w:rFonts w:ascii="Times New Roman" w:cs="Times New Roman" w:eastAsia="Times New Roman" w:hAnsi="Times New Roman"/>
          <w:sz w:val="22"/>
          <w:szCs w:val="22"/>
          <w:b w:val="1"/>
          <w:bCs w:val="1"/>
          <w:i w:val="1"/>
          <w:iCs w:val="1"/>
          <w:color w:val="auto"/>
        </w:rPr>
        <w:t>Amendment Fee</w:t>
      </w:r>
      <w:r>
        <w:rPr>
          <w:rFonts w:ascii="Times New Roman" w:cs="Times New Roman" w:eastAsia="Times New Roman" w:hAnsi="Times New Roman"/>
          <w:sz w:val="22"/>
          <w:szCs w:val="22"/>
          <w:color w:val="auto"/>
        </w:rPr>
        <w:t>”), which Amendment Fee shall be non-refundable for any reason and fully earned and paid on the First Amendment Effective Date. Payment of the Amendment Fee shall be made in Dollars, by wire transfer of immediately available funds, to the account designated by Agent in writing to Borrower, without deduction, set-off or counterclaim.</w:t>
      </w:r>
    </w:p>
    <w:p>
      <w:pPr>
        <w:spacing w:after="0" w:line="183" w:lineRule="exact"/>
        <w:rPr>
          <w:sz w:val="20"/>
          <w:szCs w:val="20"/>
          <w:color w:val="auto"/>
        </w:rPr>
      </w:pPr>
    </w:p>
    <w:p>
      <w:pPr>
        <w:jc w:val="both"/>
        <w:ind w:left="64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First Amendment Warrants</w:t>
      </w:r>
      <w:r>
        <w:rPr>
          <w:rFonts w:ascii="Times New Roman" w:cs="Times New Roman" w:eastAsia="Times New Roman" w:hAnsi="Times New Roman"/>
          <w:sz w:val="22"/>
          <w:szCs w:val="22"/>
          <w:color w:val="auto"/>
        </w:rPr>
        <w:t>. In connection with and as additional consideration for entering into the First Amendment and the related Loan Documents upon the terms set forth therein, on the First Amendment Effect Date, Parent shall execute and deliver to each Lender in proportion to each Lender’s Term Loan Commitment as of the First Amendment Effective Date, the First Amendment Warrants. The First Amendment Warrants shall be non- refundable for any reason and fully earned on the First Amendment Effective Date.</w:t>
      </w:r>
    </w:p>
    <w:p>
      <w:pPr>
        <w:spacing w:after="0" w:line="195" w:lineRule="exact"/>
        <w:rPr>
          <w:sz w:val="20"/>
          <w:szCs w:val="20"/>
          <w:color w:val="auto"/>
        </w:rPr>
      </w:pPr>
    </w:p>
    <w:p>
      <w:pPr>
        <w:jc w:val="both"/>
        <w:ind w:left="64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Each provision and agreement herein shall be treated as separate and independent from any other provision or agreement herein and shall be enforceable notwithstanding the unenforceability of any such other provision or agreement.</w:t>
      </w:r>
    </w:p>
    <w:p>
      <w:pPr>
        <w:spacing w:after="0" w:line="183" w:lineRule="exact"/>
        <w:rPr>
          <w:sz w:val="20"/>
          <w:szCs w:val="20"/>
          <w:color w:val="auto"/>
        </w:rPr>
      </w:pPr>
    </w:p>
    <w:p>
      <w:pPr>
        <w:jc w:val="both"/>
        <w:ind w:left="64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FEE LETTER SHALL BE GOVERNED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BY, AND CONSTRUED AND INTERPRETED IN ACCORDANCE WITH, THE LAW OF THE STATE OF NEW YORK WITHOUT REGARD TO CONFLICT OF LAWS PRINCIPLES (OTHER THAN SECTIONS 5-1401 AND 5-1402 OF THE NEW YORK GENERAL OBLIGATIONS LAW) THEREOF.</w:t>
      </w:r>
    </w:p>
    <w:p>
      <w:pPr>
        <w:spacing w:after="0" w:line="181" w:lineRule="exact"/>
        <w:rPr>
          <w:sz w:val="20"/>
          <w:szCs w:val="20"/>
          <w:color w:val="auto"/>
        </w:rPr>
      </w:pPr>
    </w:p>
    <w:p>
      <w:pPr>
        <w:jc w:val="both"/>
        <w:ind w:left="64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Fee Letter may be executed by one or more of the parties to this Fee Letter on any number of separate counterparts, and all of said counterparts taken together shall be deemed to constitute one and the same instrument. Delivery of an executed signature page of this Fee Letter by electronic mail transmission shall be effective as delivery of a manually executed counterpart hereof.</w:t>
      </w:r>
    </w:p>
    <w:p>
      <w:pPr>
        <w:spacing w:after="0" w:line="19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15" w:name="page116"/>
    <w:bookmarkEnd w:id="115"/>
    <w:p>
      <w:pPr>
        <w:ind w:left="820" w:right="79"/>
        <w:spacing w:after="0" w:line="258" w:lineRule="auto"/>
        <w:rPr>
          <w:sz w:val="20"/>
          <w:szCs w:val="20"/>
          <w:color w:val="auto"/>
        </w:rPr>
      </w:pPr>
      <w:r>
        <w:rPr>
          <w:rFonts w:ascii="Times New Roman" w:cs="Times New Roman" w:eastAsia="Times New Roman" w:hAnsi="Times New Roman"/>
          <w:sz w:val="22"/>
          <w:szCs w:val="22"/>
          <w:color w:val="231F20"/>
        </w:rPr>
        <w:t>IN WITNESS WHEREOF, the parties have entered into this Fee Letter as of the date set forth above.</w:t>
      </w:r>
    </w:p>
    <w:p>
      <w:pPr>
        <w:spacing w:after="0" w:line="26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231F20"/>
        </w:rPr>
        <w:t>Sincerely,</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231F20"/>
        </w:rPr>
        <w:t>E LA CARTE, LLC</w:t>
      </w:r>
    </w:p>
    <w:p>
      <w:pPr>
        <w:spacing w:after="0" w:line="2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231F20"/>
        </w:rPr>
        <w:t xml:space="preserve">By: </w:t>
      </w:r>
      <w:r>
        <w:rPr>
          <w:rFonts w:ascii="Times New Roman" w:cs="Times New Roman" w:eastAsia="Times New Roman" w:hAnsi="Times New Roman"/>
          <w:sz w:val="22"/>
          <w:szCs w:val="22"/>
          <w:u w:val="single" w:color="auto"/>
          <w:color w:val="231F20"/>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-13970</wp:posOffset>
            </wp:positionV>
            <wp:extent cx="263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22"/>
          <w:szCs w:val="22"/>
          <w:color w:val="231F20"/>
        </w:rPr>
        <w:t>Name: Krishna Gupta</w:t>
      </w:r>
    </w:p>
    <w:p>
      <w:pPr>
        <w:ind w:left="5360"/>
        <w:spacing w:after="0"/>
        <w:rPr>
          <w:sz w:val="20"/>
          <w:szCs w:val="20"/>
          <w:color w:val="auto"/>
        </w:rPr>
      </w:pPr>
      <w:r>
        <w:rPr>
          <w:rFonts w:ascii="Times New Roman" w:cs="Times New Roman" w:eastAsia="Times New Roman" w:hAnsi="Times New Roman"/>
          <w:sz w:val="22"/>
          <w:szCs w:val="22"/>
          <w:color w:val="231F20"/>
        </w:rPr>
        <w:t>Title: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231F20"/>
        </w:rPr>
        <w:t>PRESTO AUTOMATION INC.</w:t>
      </w:r>
    </w:p>
    <w:p>
      <w:pPr>
        <w:spacing w:after="0" w:line="2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231F20"/>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-13335</wp:posOffset>
            </wp:positionV>
            <wp:extent cx="252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730" cy="889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22"/>
          <w:szCs w:val="22"/>
          <w:color w:val="231F20"/>
        </w:rPr>
        <w:t>Name: Krishna Gupta</w:t>
      </w:r>
    </w:p>
    <w:p>
      <w:pPr>
        <w:ind w:left="5360"/>
        <w:spacing w:after="0"/>
        <w:rPr>
          <w:sz w:val="20"/>
          <w:szCs w:val="20"/>
          <w:color w:val="auto"/>
        </w:rPr>
      </w:pPr>
      <w:r>
        <w:rPr>
          <w:rFonts w:ascii="Times New Roman" w:cs="Times New Roman" w:eastAsia="Times New Roman" w:hAnsi="Times New Roman"/>
          <w:sz w:val="22"/>
          <w:szCs w:val="22"/>
          <w:color w:val="231F20"/>
        </w:rPr>
        <w:t>Title: Interim Chief Executive Officer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Signature Page to Fee Letter</w:t>
      </w:r>
      <w:r>
        <w:rPr>
          <w:rFonts w:ascii="Times New Roman" w:cs="Times New Roman" w:eastAsia="Times New Roman" w:hAnsi="Times New Roman"/>
          <w:sz w:val="14"/>
          <w:szCs w:val="14"/>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350520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17" w:right="1440" w:bottom="1440" w:gutter="0" w:footer="0" w:header="0"/>
        </w:sectPr>
      </w:pPr>
    </w:p>
    <w:bookmarkStart w:id="116" w:name="page117"/>
    <w:bookmarkEnd w:id="116"/>
    <w:p>
      <w:pPr>
        <w:ind w:left="640"/>
        <w:spacing w:after="0"/>
        <w:rPr>
          <w:sz w:val="20"/>
          <w:szCs w:val="20"/>
          <w:color w:val="auto"/>
        </w:rPr>
      </w:pPr>
      <w:r>
        <w:rPr>
          <w:rFonts w:ascii="Times New Roman" w:cs="Times New Roman" w:eastAsia="Times New Roman" w:hAnsi="Times New Roman"/>
          <w:sz w:val="22"/>
          <w:szCs w:val="22"/>
          <w:color w:val="231F20"/>
        </w:rPr>
        <w:t>Accepted and agreed to as of the date first above written:</w:t>
      </w:r>
    </w:p>
    <w:p>
      <w:pPr>
        <w:spacing w:after="0" w:line="229" w:lineRule="exact"/>
        <w:rPr>
          <w:sz w:val="20"/>
          <w:szCs w:val="20"/>
          <w:color w:val="auto"/>
        </w:rPr>
      </w:pPr>
    </w:p>
    <w:p>
      <w:pPr>
        <w:ind w:left="640" w:right="1939"/>
        <w:spacing w:after="0" w:line="262" w:lineRule="auto"/>
        <w:rPr>
          <w:sz w:val="20"/>
          <w:szCs w:val="20"/>
          <w:color w:val="auto"/>
        </w:rPr>
      </w:pPr>
      <w:r>
        <w:rPr>
          <w:rFonts w:ascii="Times New Roman" w:cs="Times New Roman" w:eastAsia="Times New Roman" w:hAnsi="Times New Roman"/>
          <w:sz w:val="22"/>
          <w:szCs w:val="22"/>
          <w:b w:val="1"/>
          <w:bCs w:val="1"/>
          <w:color w:val="231F20"/>
        </w:rPr>
        <w:t xml:space="preserve">METROPOLITAN PARTNERS GROUP ADMINISTRATION, LLC, </w:t>
      </w:r>
      <w:r>
        <w:rPr>
          <w:rFonts w:ascii="Times New Roman" w:cs="Times New Roman" w:eastAsia="Times New Roman" w:hAnsi="Times New Roman"/>
          <w:sz w:val="22"/>
          <w:szCs w:val="22"/>
          <w:color w:val="231F20"/>
        </w:rPr>
        <w:t>as Agent</w:t>
      </w:r>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231F20"/>
        </w:rPr>
        <w:t>By: /s/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-13335</wp:posOffset>
            </wp:positionV>
            <wp:extent cx="1682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2750" cy="889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22"/>
          <w:szCs w:val="22"/>
          <w:color w:val="231F20"/>
        </w:rPr>
        <w:t>Name: Paul K. Lisiak</w:t>
      </w:r>
    </w:p>
    <w:p>
      <w:pPr>
        <w:ind w:left="1020"/>
        <w:spacing w:after="0" w:line="227" w:lineRule="auto"/>
        <w:rPr>
          <w:sz w:val="20"/>
          <w:szCs w:val="20"/>
          <w:color w:val="auto"/>
        </w:rPr>
      </w:pPr>
      <w:r>
        <w:rPr>
          <w:rFonts w:ascii="Times New Roman" w:cs="Times New Roman" w:eastAsia="Times New Roman" w:hAnsi="Times New Roman"/>
          <w:sz w:val="22"/>
          <w:szCs w:val="22"/>
          <w:color w:val="231F20"/>
        </w:rPr>
        <w:t>Title: Managing Partner</w:t>
      </w:r>
    </w:p>
    <w:p>
      <w:pPr>
        <w:jc w:val="center"/>
        <w:spacing w:after="0"/>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Signature Page to Fee Letter</w:t>
      </w:r>
      <w:r>
        <w:rPr>
          <w:rFonts w:ascii="Times New Roman" w:cs="Times New Roman" w:eastAsia="Times New Roman" w:hAnsi="Times New Roman"/>
          <w:sz w:val="14"/>
          <w:szCs w:val="14"/>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339090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17"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9"/>
          <w:szCs w:val="19"/>
          <w:b w:val="1"/>
          <w:bCs w:val="1"/>
          <w:i w:val="1"/>
          <w:iCs w:val="1"/>
          <w:color w:val="auto"/>
        </w:rPr>
        <w:t>Execution Document</w:t>
      </w:r>
    </w:p>
    <w:p>
      <w:pPr>
        <w:spacing w:after="0" w:line="241"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20"/>
          <w:szCs w:val="20"/>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1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WARRANT TO PURCHASE COMMON STOCK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Warrant No.: 2023-1</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Number of Shares of Common Stock: 178,520</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Date of Issuance: March 31, 2023 (“</w:t>
      </w:r>
      <w:r>
        <w:rPr>
          <w:rFonts w:ascii="Times New Roman" w:cs="Times New Roman" w:eastAsia="Times New Roman" w:hAnsi="Times New Roman"/>
          <w:sz w:val="20"/>
          <w:szCs w:val="20"/>
          <w:b w:val="1"/>
          <w:bCs w:val="1"/>
          <w:color w:val="auto"/>
        </w:rPr>
        <w:t>Issuance Date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left="640" w:firstLine="1296"/>
        <w:spacing w:after="0" w:line="242" w:lineRule="auto"/>
        <w:rPr>
          <w:sz w:val="20"/>
          <w:szCs w:val="20"/>
          <w:color w:val="auto"/>
        </w:rPr>
      </w:pPr>
      <w:r>
        <w:rPr>
          <w:rFonts w:ascii="Times New Roman" w:cs="Times New Roman" w:eastAsia="Times New Roman" w:hAnsi="Times New Roman"/>
          <w:sz w:val="20"/>
          <w:szCs w:val="20"/>
          <w:color w:val="auto"/>
        </w:rPr>
        <w:t>Presto Automation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certifies that, for good and valuable consideration, the receipt and sufficiency of which are hereby acknowledged, Metropolitan Levered Partners Fund VII, LP, the registered holder hereof or its permitted assigns (the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178,520 duly authorized, validly issued, fully paid, nonassessable shares of Common Stock, subject to adjustment as provided herein (the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shall have the meanings set forth in Section 17. This Warrant is being issued pursuant to Section 4 of that certain Amended and Restated Fee Letter, dated March 31, 2023, among E La Carte, LLC, the Company and Metropolitan Partners Group Administration, LLC, as agent (the “</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Capitalized terms used herein and not otherwise defined shall have the definitions ascribed to such terms in the Credit Agreement (as defined in the Fee Letter).</w:t>
      </w:r>
    </w:p>
    <w:p>
      <w:pPr>
        <w:spacing w:after="0" w:line="200" w:lineRule="exact"/>
        <w:rPr>
          <w:sz w:val="20"/>
          <w:szCs w:val="20"/>
          <w:color w:val="auto"/>
        </w:rPr>
      </w:pPr>
    </w:p>
    <w:p>
      <w:pPr>
        <w:ind w:left="2580" w:hanging="642"/>
        <w:spacing w:after="0"/>
        <w:tabs>
          <w:tab w:leader="none" w:pos="25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WARRANT.</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43" w:lineRule="auto"/>
        <w:tabs>
          <w:tab w:leader="none" w:pos="3233"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 of Exercise</w:t>
      </w:r>
      <w:r>
        <w:rPr>
          <w:rFonts w:ascii="Times New Roman" w:cs="Times New Roman" w:eastAsia="Times New Roman" w:hAnsi="Times New Roman"/>
          <w:sz w:val="20"/>
          <w:szCs w:val="20"/>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Exercise Notice</w:t>
      </w:r>
      <w:r>
        <w:rPr>
          <w:rFonts w:ascii="Times New Roman" w:cs="Times New Roman" w:eastAsia="Times New Roman" w:hAnsi="Times New Roman"/>
          <w:sz w:val="20"/>
          <w:szCs w:val="20"/>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20"/>
          <w:szCs w:val="20"/>
          <w:b w:val="1"/>
          <w:bCs w:val="1"/>
          <w:color w:val="auto"/>
        </w:rPr>
        <w:t>Aggregate Exercise Price</w:t>
      </w:r>
      <w:r>
        <w:rPr>
          <w:rFonts w:ascii="Times New Roman" w:cs="Times New Roman" w:eastAsia="Times New Roman" w:hAnsi="Times New Roman"/>
          <w:sz w:val="20"/>
          <w:szCs w:val="20"/>
          <w:color w:val="auto"/>
        </w:rPr>
        <w:t>”) in cash by wire transfer of immediately available funds or (B) if the provisions of Section 1(d) are applicable, by notifying the Company that this Warrant is being exercised pursuant to a Cashless Exercise. The Holder shall not be required to physically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629920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118" w:name="page119"/>
    <w:bookmarkEnd w:id="118"/>
    <w:p>
      <w:pPr>
        <w:jc w:val="both"/>
        <w:ind w:left="640"/>
        <w:spacing w:after="0" w:line="253" w:lineRule="auto"/>
        <w:rPr>
          <w:sz w:val="20"/>
          <w:szCs w:val="20"/>
          <w:color w:val="auto"/>
        </w:rPr>
      </w:pPr>
      <w:r>
        <w:rPr>
          <w:rFonts w:ascii="Times New Roman" w:cs="Times New Roman" w:eastAsia="Times New Roman" w:hAnsi="Times New Roman"/>
          <w:sz w:val="19"/>
          <w:szCs w:val="19"/>
          <w:color w:val="auto"/>
        </w:rPr>
        <w:t xml:space="preserve">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9"/>
          <w:szCs w:val="19"/>
          <w:b w:val="1"/>
          <w:bCs w:val="1"/>
          <w:color w:val="auto"/>
        </w:rPr>
        <w:t>The Holder and any assignee, by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9"/>
          <w:szCs w:val="19"/>
          <w:color w:val="auto"/>
        </w:rPr>
        <w:t>On or before the third (3rd) Trading Day following the date on which the Company has received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Notice (the “</w:t>
      </w:r>
      <w:r>
        <w:rPr>
          <w:rFonts w:ascii="Times New Roman" w:cs="Times New Roman" w:eastAsia="Times New Roman" w:hAnsi="Times New Roman"/>
          <w:sz w:val="19"/>
          <w:szCs w:val="19"/>
          <w:b w:val="1"/>
          <w:bCs w:val="1"/>
          <w:color w:val="auto"/>
        </w:rPr>
        <w:t>Share Delivery Date</w:t>
      </w:r>
      <w:r>
        <w:rPr>
          <w:rFonts w:ascii="Times New Roman" w:cs="Times New Roman" w:eastAsia="Times New Roman" w:hAnsi="Times New Roman"/>
          <w:sz w:val="19"/>
          <w:szCs w:val="19"/>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is participating in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Fast Automated Securities Transfer Program (“</w:t>
      </w:r>
      <w:r>
        <w:rPr>
          <w:rFonts w:ascii="Times New Roman" w:cs="Times New Roman" w:eastAsia="Times New Roman" w:hAnsi="Times New Roman"/>
          <w:sz w:val="19"/>
          <w:szCs w:val="19"/>
          <w:b w:val="1"/>
          <w:bCs w:val="1"/>
          <w:color w:val="auto"/>
        </w:rPr>
        <w:t>FAST</w:t>
      </w:r>
      <w:r>
        <w:rPr>
          <w:rFonts w:ascii="Times New Roman" w:cs="Times New Roman" w:eastAsia="Times New Roman" w:hAnsi="Times New Roman"/>
          <w:sz w:val="19"/>
          <w:szCs w:val="19"/>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right="700" w:firstLine="1946"/>
        <w:spacing w:after="0" w:line="273" w:lineRule="auto"/>
        <w:tabs>
          <w:tab w:leader="none" w:pos="322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For purposes of this Warrant,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means $0.01, subject to adjustment as provided herein.</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19" w:name="page120"/>
    <w:bookmarkEnd w:id="119"/>
    <w:p>
      <w:pPr>
        <w:jc w:val="both"/>
        <w:ind w:left="640" w:firstLine="1949"/>
        <w:spacing w:after="0" w:line="253" w:lineRule="auto"/>
        <w:tabs>
          <w:tab w:leader="none" w:pos="3233"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Company’s Failure to Timely Deliver Securities</w:t>
      </w:r>
      <w:r>
        <w:rPr>
          <w:rFonts w:ascii="Times New Roman" w:cs="Times New Roman" w:eastAsia="Times New Roman" w:hAnsi="Times New Roman"/>
          <w:sz w:val="19"/>
          <w:szCs w:val="19"/>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9"/>
          <w:szCs w:val="19"/>
          <w:b w:val="1"/>
          <w:bCs w:val="1"/>
          <w:color w:val="auto"/>
        </w:rPr>
        <w:t>Delivery Failure</w:t>
      </w:r>
      <w:r>
        <w:rPr>
          <w:rFonts w:ascii="Times New Roman" w:cs="Times New Roman" w:eastAsia="Times New Roman" w:hAnsi="Times New Roman"/>
          <w:sz w:val="19"/>
          <w:szCs w:val="19"/>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9"/>
          <w:szCs w:val="19"/>
          <w:b w:val="1"/>
          <w:bCs w:val="1"/>
          <w:color w:val="auto"/>
        </w:rPr>
        <w:t>Buy-In Price</w:t>
      </w:r>
      <w:r>
        <w:rPr>
          <w:rFonts w:ascii="Times New Roman" w:cs="Times New Roman" w:eastAsia="Times New Roman" w:hAnsi="Times New Roman"/>
          <w:sz w:val="19"/>
          <w:szCs w:val="19"/>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w:t>
      </w:r>
    </w:p>
    <w:p>
      <w:pPr>
        <w:spacing w:after="0" w:line="223" w:lineRule="exact"/>
        <w:rPr>
          <w:rFonts w:ascii="Times New Roman" w:cs="Times New Roman" w:eastAsia="Times New Roman" w:hAnsi="Times New Roman"/>
          <w:sz w:val="19"/>
          <w:szCs w:val="19"/>
          <w:color w:val="auto"/>
        </w:rPr>
      </w:pPr>
    </w:p>
    <w:p>
      <w:pPr>
        <w:jc w:val="both"/>
        <w:ind w:left="640" w:firstLine="5"/>
        <w:spacing w:after="0"/>
        <w:tabs>
          <w:tab w:leader="none" w:pos="98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Sale Price of the Common Stock on the Share Delivery Date with respect to the related Exercise Notice (the “</w:t>
      </w:r>
      <w:r>
        <w:rPr>
          <w:rFonts w:ascii="Times New Roman" w:cs="Times New Roman" w:eastAsia="Times New Roman" w:hAnsi="Times New Roman"/>
          <w:sz w:val="20"/>
          <w:szCs w:val="20"/>
          <w:b w:val="1"/>
          <w:bCs w:val="1"/>
          <w:color w:val="auto"/>
        </w:rPr>
        <w:t>Buy-In Payment Amount</w:t>
      </w:r>
      <w:r>
        <w:rPr>
          <w:rFonts w:ascii="Times New Roman" w:cs="Times New Roman" w:eastAsia="Times New Roman" w:hAnsi="Times New Roman"/>
          <w:sz w:val="20"/>
          <w:szCs w:val="20"/>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3" w:lineRule="exact"/>
        <w:rPr>
          <w:rFonts w:ascii="Times New Roman" w:cs="Times New Roman" w:eastAsia="Times New Roman" w:hAnsi="Times New Roman"/>
          <w:sz w:val="20"/>
          <w:szCs w:val="20"/>
          <w:color w:val="auto"/>
        </w:rPr>
      </w:pPr>
    </w:p>
    <w:p>
      <w:pPr>
        <w:jc w:val="both"/>
        <w:ind w:left="640" w:firstLine="1949"/>
        <w:spacing w:after="0" w:line="245" w:lineRule="auto"/>
        <w:tabs>
          <w:tab w:leader="none" w:pos="3233"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Exercise</w:t>
      </w:r>
      <w:r>
        <w:rPr>
          <w:rFonts w:ascii="Times New Roman" w:cs="Times New Roman" w:eastAsia="Times New Roman" w:hAnsi="Times New Roman"/>
          <w:sz w:val="20"/>
          <w:szCs w:val="20"/>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0" w:name="page121"/>
    <w:bookmarkEnd w:id="120"/>
    <w:p>
      <w:pPr>
        <w:jc w:val="right"/>
        <w:ind w:right="4960"/>
        <w:spacing w:after="0"/>
        <w:rPr>
          <w:sz w:val="20"/>
          <w:szCs w:val="20"/>
          <w:color w:val="auto"/>
        </w:rPr>
      </w:pPr>
      <w:r>
        <w:rPr>
          <w:rFonts w:ascii="Times New Roman" w:cs="Times New Roman" w:eastAsia="Times New Roman" w:hAnsi="Times New Roman"/>
          <w:sz w:val="20"/>
          <w:szCs w:val="20"/>
          <w:color w:val="auto"/>
        </w:rPr>
        <w:t xml:space="preserve">Net Number = </w:t>
      </w:r>
      <w:r>
        <w:rPr>
          <w:rFonts w:ascii="Times New Roman" w:cs="Times New Roman" w:eastAsia="Times New Roman" w:hAnsi="Times New Roman"/>
          <w:sz w:val="20"/>
          <w:szCs w:val="20"/>
          <w:u w:val="single" w:color="auto"/>
          <w:color w:val="auto"/>
        </w:rPr>
        <w:t>(A x B) - (A x C)</w:t>
      </w:r>
    </w:p>
    <w:p>
      <w:pPr>
        <w:spacing w:after="0" w:line="22" w:lineRule="exact"/>
        <w:rPr>
          <w:sz w:val="20"/>
          <w:szCs w:val="20"/>
          <w:color w:val="auto"/>
        </w:rPr>
      </w:pPr>
    </w:p>
    <w:p>
      <w:pPr>
        <w:jc w:val="right"/>
        <w:ind w:right="4880"/>
        <w:spacing w:after="0"/>
        <w:rPr>
          <w:sz w:val="20"/>
          <w:szCs w:val="20"/>
          <w:color w:val="auto"/>
        </w:rPr>
      </w:pPr>
      <w:r>
        <w:rPr>
          <w:rFonts w:ascii="Times New Roman" w:cs="Times New Roman" w:eastAsia="Times New Roman" w:hAnsi="Times New Roman"/>
          <w:sz w:val="20"/>
          <w:szCs w:val="20"/>
          <w:color w:val="auto"/>
        </w:rPr>
        <w:t>B</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For purposes of the foregoing formula:</w:t>
      </w:r>
    </w:p>
    <w:p>
      <w:pPr>
        <w:spacing w:after="0" w:line="2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A= the total number of shares with respect to which this Warrant is then being exercised.</w:t>
      </w:r>
    </w:p>
    <w:p>
      <w:pPr>
        <w:spacing w:after="0" w:line="216" w:lineRule="exact"/>
        <w:rPr>
          <w:sz w:val="20"/>
          <w:szCs w:val="20"/>
          <w:color w:val="auto"/>
        </w:rPr>
      </w:pPr>
    </w:p>
    <w:p>
      <w:pPr>
        <w:jc w:val="both"/>
        <w:ind w:left="1940"/>
        <w:spacing w:after="0" w:line="254" w:lineRule="auto"/>
        <w:rPr>
          <w:sz w:val="20"/>
          <w:szCs w:val="20"/>
          <w:color w:val="auto"/>
        </w:rPr>
      </w:pPr>
      <w:r>
        <w:rPr>
          <w:rFonts w:ascii="Times New Roman" w:cs="Times New Roman" w:eastAsia="Times New Roman" w:hAnsi="Times New Roman"/>
          <w:sz w:val="20"/>
          <w:szCs w:val="20"/>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88" w:lineRule="exact"/>
        <w:rPr>
          <w:sz w:val="20"/>
          <w:szCs w:val="20"/>
          <w:color w:val="auto"/>
        </w:rPr>
      </w:pPr>
    </w:p>
    <w:p>
      <w:pPr>
        <w:jc w:val="both"/>
        <w:ind w:left="1940"/>
        <w:spacing w:after="0" w:line="269" w:lineRule="auto"/>
        <w:rPr>
          <w:sz w:val="20"/>
          <w:szCs w:val="20"/>
          <w:color w:val="auto"/>
        </w:rPr>
      </w:pPr>
      <w:r>
        <w:rPr>
          <w:rFonts w:ascii="Times New Roman" w:cs="Times New Roman" w:eastAsia="Times New Roman" w:hAnsi="Times New Roman"/>
          <w:sz w:val="20"/>
          <w:szCs w:val="20"/>
          <w:color w:val="auto"/>
        </w:rPr>
        <w:t>C = the Exercise Price then in effect for the applicable Warrant Shares at the time of such exercise.</w:t>
      </w:r>
    </w:p>
    <w:p>
      <w:pPr>
        <w:spacing w:after="0" w:line="173"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0" w:lineRule="exact"/>
        <w:rPr>
          <w:sz w:val="20"/>
          <w:szCs w:val="20"/>
          <w:color w:val="auto"/>
        </w:rPr>
      </w:pPr>
    </w:p>
    <w:p>
      <w:pPr>
        <w:jc w:val="both"/>
        <w:ind w:left="640" w:firstLine="1950"/>
        <w:spacing w:after="0" w:line="249" w:lineRule="auto"/>
        <w:tabs>
          <w:tab w:leader="none" w:pos="323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tabs>
          <w:tab w:leader="none" w:pos="323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Exercises</w:t>
      </w:r>
      <w:r>
        <w:rPr>
          <w:rFonts w:ascii="Times New Roman" w:cs="Times New Roman" w:eastAsia="Times New Roman" w:hAnsi="Times New Roman"/>
          <w:sz w:val="20"/>
          <w:szCs w:val="20"/>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20"/>
          <w:szCs w:val="20"/>
          <w:b w:val="1"/>
          <w:bCs w:val="1"/>
          <w:color w:val="auto"/>
        </w:rPr>
        <w:t>Maximum Percentage</w:t>
      </w:r>
      <w:r>
        <w:rPr>
          <w:rFonts w:ascii="Times New Roman" w:cs="Times New Roman" w:eastAsia="Times New Roman" w:hAnsi="Times New Roman"/>
          <w:sz w:val="20"/>
          <w:szCs w:val="20"/>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20"/>
          <w:szCs w:val="20"/>
          <w:b w:val="1"/>
          <w:bCs w:val="1"/>
          <w:color w:val="auto"/>
        </w:rPr>
        <w:t>Reported Outstanding Share Number</w:t>
      </w:r>
      <w:r>
        <w:rPr>
          <w:rFonts w:ascii="Times New Roman" w:cs="Times New Roman" w:eastAsia="Times New Roman" w:hAnsi="Times New Roman"/>
          <w:sz w:val="20"/>
          <w:szCs w:val="20"/>
          <w:color w:val="auto"/>
        </w:rPr>
        <w:t>”). If the Company receives an Exercise Notice from the Holder at a time when the actual number of outstanding shares of Common Stock is less than the Reported</w:t>
      </w:r>
    </w:p>
    <w:p>
      <w:pPr>
        <w:spacing w:after="0" w:line="200" w:lineRule="exact"/>
        <w:rPr>
          <w:sz w:val="20"/>
          <w:szCs w:val="20"/>
          <w:color w:val="auto"/>
        </w:rPr>
      </w:pPr>
    </w:p>
    <w:p>
      <w:pPr>
        <w:spacing w:after="0" w:line="2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1" w:name="page122"/>
    <w:bookmarkEnd w:id="121"/>
    <w:p>
      <w:pPr>
        <w:jc w:val="both"/>
        <w:ind w:left="640"/>
        <w:spacing w:after="0" w:line="253" w:lineRule="auto"/>
        <w:rPr>
          <w:sz w:val="20"/>
          <w:szCs w:val="20"/>
          <w:color w:val="auto"/>
        </w:rPr>
      </w:pPr>
      <w:r>
        <w:rPr>
          <w:rFonts w:ascii="Times New Roman" w:cs="Times New Roman" w:eastAsia="Times New Roman" w:hAnsi="Times New Roman"/>
          <w:sz w:val="19"/>
          <w:szCs w:val="19"/>
          <w:color w:val="auto"/>
        </w:rPr>
        <w:t>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and (ii) as soon as reasonably practicable, the Company shall return to the Holder any exercise price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 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40" w:firstLine="1950"/>
        <w:spacing w:after="0" w:line="241" w:lineRule="auto"/>
        <w:tabs>
          <w:tab w:leader="none" w:pos="323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Authorized Shares</w:t>
      </w:r>
      <w:r>
        <w:rPr>
          <w:rFonts w:ascii="Times New Roman" w:cs="Times New Roman" w:eastAsia="Times New Roman" w:hAnsi="Times New Roman"/>
          <w:sz w:val="20"/>
          <w:szCs w:val="20"/>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20"/>
          <w:szCs w:val="20"/>
          <w:b w:val="1"/>
          <w:bCs w:val="1"/>
          <w:color w:val="auto"/>
        </w:rPr>
        <w:t>Required Reserve Amount</w:t>
      </w:r>
      <w:r>
        <w:rPr>
          <w:rFonts w:ascii="Times New Roman" w:cs="Times New Roman" w:eastAsia="Times New Roman" w:hAnsi="Times New Roman"/>
          <w:sz w:val="20"/>
          <w:szCs w:val="20"/>
          <w:color w:val="auto"/>
        </w:rPr>
        <w:t>” and the failure to have such sufficient number of authorized and unreserved shares of Common Stock, an “</w:t>
      </w:r>
      <w:r>
        <w:rPr>
          <w:rFonts w:ascii="Times New Roman" w:cs="Times New Roman" w:eastAsia="Times New Roman" w:hAnsi="Times New Roman"/>
          <w:sz w:val="20"/>
          <w:szCs w:val="20"/>
          <w:b w:val="1"/>
          <w:bCs w:val="1"/>
          <w:color w:val="auto"/>
        </w:rPr>
        <w:t>Authorized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Failure</w:t>
      </w:r>
      <w:r>
        <w:rPr>
          <w:rFonts w:ascii="Times New Roman" w:cs="Times New Roman" w:eastAsia="Times New Roman" w:hAnsi="Times New Roman"/>
          <w:sz w:val="20"/>
          <w:szCs w:val="20"/>
          <w:color w:val="auto"/>
        </w:rPr>
        <w:t>”), then the Company shall as soon as reasonably practicable take all action necessary to increase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w:t>
      </w: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2" w:name="page123"/>
    <w:bookmarkEnd w:id="122"/>
    <w:p>
      <w:pPr>
        <w:jc w:val="both"/>
        <w:ind w:left="640"/>
        <w:spacing w:after="0" w:line="255" w:lineRule="auto"/>
        <w:rPr>
          <w:sz w:val="20"/>
          <w:szCs w:val="20"/>
          <w:color w:val="auto"/>
        </w:rPr>
      </w:pPr>
      <w:r>
        <w:rPr>
          <w:rFonts w:ascii="Times New Roman" w:cs="Times New Roman" w:eastAsia="Times New Roman" w:hAnsi="Times New Roman"/>
          <w:sz w:val="19"/>
          <w:szCs w:val="19"/>
          <w:color w:val="auto"/>
        </w:rPr>
        <w:t>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9"/>
          <w:szCs w:val="19"/>
          <w:b w:val="1"/>
          <w:bCs w:val="1"/>
          <w:color w:val="auto"/>
        </w:rPr>
        <w:t>Authorization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Failure Shares</w:t>
      </w:r>
      <w:r>
        <w:rPr>
          <w:rFonts w:ascii="Times New Roman" w:cs="Times New Roman" w:eastAsia="Times New Roman" w:hAnsi="Times New Roman"/>
          <w:sz w:val="19"/>
          <w:szCs w:val="19"/>
          <w:color w:val="auto"/>
        </w:rPr>
        <w:t>”), in lieu of delivering such Authorization Failure Shares to the Holder, the Company shall pay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190" w:lineRule="exact"/>
        <w:rPr>
          <w:sz w:val="20"/>
          <w:szCs w:val="20"/>
          <w:color w:val="auto"/>
        </w:rPr>
      </w:pPr>
    </w:p>
    <w:p>
      <w:pPr>
        <w:ind w:left="2580" w:hanging="642"/>
        <w:spacing w:after="0"/>
        <w:tabs>
          <w:tab w:leader="none" w:pos="25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OF EXERCISE PRICE AND NUMBER OF WARRANT</w:t>
      </w:r>
    </w:p>
    <w:p>
      <w:pPr>
        <w:spacing w:after="0" w:line="22" w:lineRule="exact"/>
        <w:rPr>
          <w:sz w:val="20"/>
          <w:szCs w:val="20"/>
          <w:color w:val="auto"/>
        </w:rPr>
      </w:pPr>
    </w:p>
    <w:p>
      <w:pPr>
        <w:ind w:left="640"/>
        <w:spacing w:after="0" w:line="246" w:lineRule="auto"/>
        <w:rPr>
          <w:sz w:val="20"/>
          <w:szCs w:val="20"/>
          <w:color w:val="auto"/>
        </w:rPr>
      </w:pP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The Exercise Price and the number of Warrant Shares issuable upon exercise of this Warrant are subject to adjustments from time to time as set forth in this Section 2.</w:t>
      </w:r>
    </w:p>
    <w:p>
      <w:pPr>
        <w:spacing w:after="0" w:line="182" w:lineRule="exact"/>
        <w:rPr>
          <w:sz w:val="20"/>
          <w:szCs w:val="20"/>
          <w:color w:val="auto"/>
        </w:rPr>
      </w:pPr>
    </w:p>
    <w:p>
      <w:pPr>
        <w:jc w:val="both"/>
        <w:ind w:left="640" w:firstLine="1950"/>
        <w:spacing w:after="0" w:line="242" w:lineRule="auto"/>
        <w:tabs>
          <w:tab w:leader="none" w:pos="323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Upon Subdivision or Combination of Shares of Common Stock</w:t>
      </w:r>
      <w:r>
        <w:rPr>
          <w:rFonts w:ascii="Times New Roman" w:cs="Times New Roman" w:eastAsia="Times New Roman" w:hAnsi="Times New Roman"/>
          <w:sz w:val="20"/>
          <w:szCs w:val="20"/>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205" w:lineRule="exact"/>
        <w:rPr>
          <w:rFonts w:ascii="Times New Roman" w:cs="Times New Roman" w:eastAsia="Times New Roman" w:hAnsi="Times New Roman"/>
          <w:sz w:val="20"/>
          <w:szCs w:val="20"/>
          <w:color w:val="auto"/>
        </w:rPr>
      </w:pPr>
    </w:p>
    <w:p>
      <w:pPr>
        <w:jc w:val="both"/>
        <w:ind w:left="640" w:firstLine="1950"/>
        <w:spacing w:after="0" w:line="245" w:lineRule="auto"/>
        <w:tabs>
          <w:tab w:leader="none" w:pos="3232"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Number of Warrant Shares.</w:t>
      </w:r>
      <w:r>
        <w:rPr>
          <w:rFonts w:ascii="Times New Roman" w:cs="Times New Roman" w:eastAsia="Times New Roman" w:hAnsi="Times New Roman"/>
          <w:sz w:val="20"/>
          <w:szCs w:val="20"/>
          <w:color w:val="auto"/>
        </w:rPr>
        <w:t xml:space="preserve"> Simultaneously with any adjustment to the Exercise Price pursuant to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4" w:lineRule="exact"/>
        <w:rPr>
          <w:rFonts w:ascii="Times New Roman" w:cs="Times New Roman" w:eastAsia="Times New Roman" w:hAnsi="Times New Roman"/>
          <w:sz w:val="20"/>
          <w:szCs w:val="20"/>
          <w:color w:val="auto"/>
        </w:rPr>
      </w:pPr>
    </w:p>
    <w:p>
      <w:pPr>
        <w:ind w:left="640" w:firstLine="1950"/>
        <w:spacing w:after="0" w:line="269" w:lineRule="auto"/>
        <w:tabs>
          <w:tab w:leader="none" w:pos="323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 Value</w:t>
      </w:r>
      <w:r>
        <w:rPr>
          <w:rFonts w:ascii="Times New Roman" w:cs="Times New Roman" w:eastAsia="Times New Roman" w:hAnsi="Times New Roman"/>
          <w:sz w:val="20"/>
          <w:szCs w:val="20"/>
          <w:color w:val="auto"/>
        </w:rPr>
        <w:t>. Notwithstanding anything to the contrary in this Warrant, in no event shall the Exercise Price be reduced below the par value of the Company’s Common Stock.</w:t>
      </w:r>
    </w:p>
    <w:p>
      <w:pPr>
        <w:spacing w:after="0" w:line="172"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2"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Adjustment by Company</w:t>
      </w:r>
      <w:r>
        <w:rPr>
          <w:rFonts w:ascii="Times New Roman" w:cs="Times New Roman" w:eastAsia="Times New Roman" w:hAnsi="Times New Roman"/>
          <w:sz w:val="20"/>
          <w:szCs w:val="20"/>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93" w:lineRule="exact"/>
        <w:rPr>
          <w:rFonts w:ascii="Times New Roman" w:cs="Times New Roman" w:eastAsia="Times New Roman" w:hAnsi="Times New Roman"/>
          <w:sz w:val="20"/>
          <w:szCs w:val="20"/>
          <w:color w:val="auto"/>
        </w:rPr>
      </w:pPr>
    </w:p>
    <w:p>
      <w:pPr>
        <w:jc w:val="both"/>
        <w:ind w:left="640" w:firstLine="1302"/>
        <w:spacing w:after="0" w:line="249" w:lineRule="auto"/>
        <w:tabs>
          <w:tab w:leader="none" w:pos="258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UPON DISTRIBUTION OF ASSETS</w:t>
      </w:r>
      <w:r>
        <w:rPr>
          <w:rFonts w:ascii="Times New Roman" w:cs="Times New Roman" w:eastAsia="Times New Roman" w:hAnsi="Times New Roman"/>
          <w:sz w:val="20"/>
          <w:szCs w:val="20"/>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3" w:name="page124"/>
    <w:bookmarkEnd w:id="123"/>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4" w:lineRule="exact"/>
        <w:rPr>
          <w:sz w:val="20"/>
          <w:szCs w:val="20"/>
          <w:color w:val="auto"/>
        </w:rPr>
      </w:pPr>
    </w:p>
    <w:p>
      <w:pPr>
        <w:ind w:left="2580" w:hanging="642"/>
        <w:spacing w:after="0"/>
        <w:tabs>
          <w:tab w:leader="none" w:pos="258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RIGHTS; FUNDAMENTAL TRANSACTIONS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40" w:firstLine="1949"/>
        <w:spacing w:after="0" w:line="254" w:lineRule="auto"/>
        <w:tabs>
          <w:tab w:leader="none" w:pos="3233"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3" w:lineRule="exact"/>
        <w:rPr>
          <w:rFonts w:ascii="Times New Roman" w:cs="Times New Roman" w:eastAsia="Times New Roman" w:hAnsi="Times New Roman"/>
          <w:sz w:val="19"/>
          <w:szCs w:val="19"/>
          <w:color w:val="auto"/>
        </w:rPr>
      </w:pPr>
    </w:p>
    <w:p>
      <w:pPr>
        <w:ind w:left="640" w:right="20" w:firstLine="1950"/>
        <w:spacing w:after="0" w:line="269" w:lineRule="auto"/>
        <w:tabs>
          <w:tab w:leader="none" w:pos="3232"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Fundamental Transactions</w:t>
      </w:r>
      <w:r>
        <w:rPr>
          <w:rFonts w:ascii="Times New Roman" w:cs="Times New Roman" w:eastAsia="Times New Roman" w:hAnsi="Times New Roman"/>
          <w:sz w:val="20"/>
          <w:szCs w:val="20"/>
          <w:color w:val="auto"/>
        </w:rPr>
        <w:t>. The Company shall not enter into or be party to a Fundamental Transaction unless:</w:t>
      </w:r>
    </w:p>
    <w:p>
      <w:pPr>
        <w:spacing w:after="0" w:line="172" w:lineRule="exact"/>
        <w:rPr>
          <w:rFonts w:ascii="Times New Roman" w:cs="Times New Roman" w:eastAsia="Times New Roman" w:hAnsi="Times New Roman"/>
          <w:sz w:val="20"/>
          <w:szCs w:val="20"/>
          <w:color w:val="auto"/>
        </w:rPr>
      </w:pPr>
    </w:p>
    <w:p>
      <w:pPr>
        <w:jc w:val="both"/>
        <w:ind w:left="640" w:firstLine="2597"/>
        <w:spacing w:after="0" w:line="245" w:lineRule="auto"/>
        <w:tabs>
          <w:tab w:leader="none" w:pos="3880"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4" w:name="page125"/>
    <w:bookmarkEnd w:id="124"/>
    <w:p>
      <w:pPr>
        <w:ind w:left="640"/>
        <w:spacing w:after="0" w:line="269" w:lineRule="auto"/>
        <w:rPr>
          <w:sz w:val="20"/>
          <w:szCs w:val="20"/>
          <w:color w:val="auto"/>
        </w:rPr>
      </w:pPr>
      <w:r>
        <w:rPr>
          <w:rFonts w:ascii="Times New Roman" w:cs="Times New Roman" w:eastAsia="Times New Roman" w:hAnsi="Times New Roman"/>
          <w:sz w:val="20"/>
          <w:szCs w:val="20"/>
          <w:color w:val="auto"/>
        </w:rPr>
        <w:t>the obligations of the Company under this Warrant and the other Loan Documents, including any obligation to deliver to the Holder in exchange for this Warrant any security of the Successor Entity, and</w:t>
      </w:r>
    </w:p>
    <w:p>
      <w:pPr>
        <w:spacing w:after="0" w:line="173" w:lineRule="exact"/>
        <w:rPr>
          <w:sz w:val="20"/>
          <w:szCs w:val="20"/>
          <w:color w:val="auto"/>
        </w:rPr>
      </w:pPr>
    </w:p>
    <w:p>
      <w:pPr>
        <w:jc w:val="both"/>
        <w:ind w:left="640" w:firstLine="2597"/>
        <w:spacing w:after="0" w:line="253" w:lineRule="auto"/>
        <w:tabs>
          <w:tab w:leader="none" w:pos="388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9"/>
          <w:szCs w:val="19"/>
          <w:b w:val="1"/>
          <w:bCs w:val="1"/>
          <w:color w:val="auto"/>
        </w:rPr>
        <w:t>Public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the Successor Entity shall (x) succeed to, and be substituted for (so that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20"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20"/>
          <w:szCs w:val="20"/>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20"/>
          <w:szCs w:val="20"/>
          <w:b w:val="1"/>
          <w:bCs w:val="1"/>
          <w:color w:val="auto"/>
        </w:rPr>
        <w:t>Corporate Event</w:t>
      </w:r>
      <w:r>
        <w:rPr>
          <w:rFonts w:ascii="Times New Roman" w:cs="Times New Roman" w:eastAsia="Times New Roman" w:hAnsi="Times New Roman"/>
          <w:sz w:val="20"/>
          <w:szCs w:val="20"/>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w:t>
      </w: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5" w:name="page126"/>
    <w:bookmarkEnd w:id="125"/>
    <w:p>
      <w:pPr>
        <w:ind w:left="640"/>
        <w:spacing w:after="0" w:line="269" w:lineRule="auto"/>
        <w:rPr>
          <w:sz w:val="20"/>
          <w:szCs w:val="20"/>
          <w:color w:val="auto"/>
        </w:rPr>
      </w:pPr>
      <w:r>
        <w:rPr>
          <w:rFonts w:ascii="Times New Roman" w:cs="Times New Roman" w:eastAsia="Times New Roman" w:hAnsi="Times New Roman"/>
          <w:sz w:val="20"/>
          <w:szCs w:val="20"/>
          <w:color w:val="auto"/>
        </w:rPr>
        <w:t>on the exercise of this Warrant). Provision made pursuant to the preceding sentence shall be in a form and substance reasonably satisfactory to the Holder.</w:t>
      </w:r>
    </w:p>
    <w:p>
      <w:pPr>
        <w:spacing w:after="0" w:line="173" w:lineRule="exact"/>
        <w:rPr>
          <w:sz w:val="20"/>
          <w:szCs w:val="20"/>
          <w:color w:val="auto"/>
        </w:rPr>
      </w:pPr>
    </w:p>
    <w:p>
      <w:pPr>
        <w:jc w:val="both"/>
        <w:ind w:left="640" w:firstLine="1949"/>
        <w:spacing w:after="0" w:line="242" w:lineRule="auto"/>
        <w:tabs>
          <w:tab w:leader="none" w:pos="3233"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Holder Optional Redemptions</w:t>
      </w:r>
      <w:r>
        <w:rPr>
          <w:rFonts w:ascii="Times New Roman" w:cs="Times New Roman" w:eastAsia="Times New Roman" w:hAnsi="Times New Roman"/>
          <w:sz w:val="20"/>
          <w:szCs w:val="20"/>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5" w:lineRule="auto"/>
        <w:tabs>
          <w:tab w:leader="none" w:pos="3231"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97" w:lineRule="exact"/>
        <w:rPr>
          <w:rFonts w:ascii="Times New Roman" w:cs="Times New Roman" w:eastAsia="Times New Roman" w:hAnsi="Times New Roman"/>
          <w:sz w:val="20"/>
          <w:szCs w:val="20"/>
          <w:color w:val="auto"/>
        </w:rPr>
      </w:pPr>
    </w:p>
    <w:p>
      <w:pPr>
        <w:jc w:val="both"/>
        <w:ind w:left="640" w:firstLine="1301"/>
        <w:spacing w:after="0" w:line="254" w:lineRule="auto"/>
        <w:tabs>
          <w:tab w:leader="none" w:pos="2585"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NONCIRCUMVENTION</w:t>
      </w:r>
      <w:r>
        <w:rPr>
          <w:rFonts w:ascii="Times New Roman" w:cs="Times New Roman" w:eastAsia="Times New Roman" w:hAnsi="Times New Roman"/>
          <w:sz w:val="19"/>
          <w:szCs w:val="19"/>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ind w:left="640" w:firstLine="1298"/>
        <w:spacing w:after="0" w:line="243" w:lineRule="auto"/>
        <w:tabs>
          <w:tab w:leader="none" w:pos="25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 HOLDER NOT DEEMED A STOCKHOLDER</w:t>
      </w:r>
      <w:r>
        <w:rPr>
          <w:rFonts w:ascii="Times New Roman" w:cs="Times New Roman" w:eastAsia="Times New Roman" w:hAnsi="Times New Roman"/>
          <w:sz w:val="20"/>
          <w:szCs w:val="20"/>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w:t>
      </w: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6" w:name="page127"/>
    <w:bookmarkEnd w:id="126"/>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85" w:lineRule="exact"/>
        <w:rPr>
          <w:sz w:val="20"/>
          <w:szCs w:val="20"/>
          <w:color w:val="auto"/>
        </w:rPr>
      </w:pPr>
    </w:p>
    <w:p>
      <w:pPr>
        <w:ind w:left="2580" w:hanging="642"/>
        <w:spacing w:after="0"/>
        <w:tabs>
          <w:tab w:leader="none" w:pos="258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REISSUANCE OF WARRANTS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42" w:lineRule="auto"/>
        <w:tabs>
          <w:tab w:leader="none" w:pos="323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Warrant</w:t>
      </w:r>
      <w:r>
        <w:rPr>
          <w:rFonts w:ascii="Times New Roman" w:cs="Times New Roman" w:eastAsia="Times New Roman" w:hAnsi="Times New Roman"/>
          <w:sz w:val="20"/>
          <w:szCs w:val="20"/>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4" w:lineRule="auto"/>
        <w:tabs>
          <w:tab w:leader="none" w:pos="323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or Mutilated Warrant</w:t>
      </w:r>
      <w:r>
        <w:rPr>
          <w:rFonts w:ascii="Times New Roman" w:cs="Times New Roman" w:eastAsia="Times New Roman" w:hAnsi="Times New Roman"/>
          <w:sz w:val="20"/>
          <w:szCs w:val="20"/>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5" w:lineRule="exact"/>
        <w:rPr>
          <w:rFonts w:ascii="Times New Roman" w:cs="Times New Roman" w:eastAsia="Times New Roman" w:hAnsi="Times New Roman"/>
          <w:sz w:val="20"/>
          <w:szCs w:val="20"/>
          <w:color w:val="auto"/>
        </w:rPr>
      </w:pPr>
    </w:p>
    <w:p>
      <w:pPr>
        <w:jc w:val="both"/>
        <w:ind w:left="640" w:firstLine="1950"/>
        <w:spacing w:after="0" w:line="245" w:lineRule="auto"/>
        <w:tabs>
          <w:tab w:leader="none" w:pos="323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Exchangeable for Multiple Warrants</w:t>
      </w:r>
      <w:r>
        <w:rPr>
          <w:rFonts w:ascii="Times New Roman" w:cs="Times New Roman" w:eastAsia="Times New Roman" w:hAnsi="Times New Roman"/>
          <w:sz w:val="20"/>
          <w:szCs w:val="20"/>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warrants for fractional shares of Common Stock shall be given.</w:t>
      </w:r>
    </w:p>
    <w:p>
      <w:pPr>
        <w:spacing w:after="0" w:line="184" w:lineRule="exact"/>
        <w:rPr>
          <w:rFonts w:ascii="Times New Roman" w:cs="Times New Roman" w:eastAsia="Times New Roman" w:hAnsi="Times New Roman"/>
          <w:sz w:val="20"/>
          <w:szCs w:val="20"/>
          <w:color w:val="auto"/>
        </w:rPr>
      </w:pPr>
    </w:p>
    <w:p>
      <w:pPr>
        <w:jc w:val="both"/>
        <w:ind w:left="640" w:firstLine="1950"/>
        <w:spacing w:after="0" w:line="243" w:lineRule="auto"/>
        <w:tabs>
          <w:tab w:leader="none" w:pos="3232"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New Warrants</w:t>
      </w:r>
      <w:r>
        <w:rPr>
          <w:rFonts w:ascii="Times New Roman" w:cs="Times New Roman" w:eastAsia="Times New Roman" w:hAnsi="Times New Roman"/>
          <w:sz w:val="20"/>
          <w:szCs w:val="20"/>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5" w:lineRule="exact"/>
        <w:rPr>
          <w:rFonts w:ascii="Times New Roman" w:cs="Times New Roman" w:eastAsia="Times New Roman" w:hAnsi="Times New Roman"/>
          <w:sz w:val="20"/>
          <w:szCs w:val="20"/>
          <w:color w:val="auto"/>
        </w:rPr>
      </w:pPr>
    </w:p>
    <w:p>
      <w:pPr>
        <w:jc w:val="both"/>
        <w:ind w:left="640" w:firstLine="1302"/>
        <w:spacing w:after="0" w:line="249" w:lineRule="auto"/>
        <w:tabs>
          <w:tab w:leader="none" w:pos="258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CHANGES IN WARRANT</w:t>
      </w:r>
      <w:r>
        <w:rPr>
          <w:rFonts w:ascii="Times New Roman" w:cs="Times New Roman" w:eastAsia="Times New Roman" w:hAnsi="Times New Roman"/>
          <w:sz w:val="20"/>
          <w:szCs w:val="20"/>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7" w:name="page128"/>
    <w:bookmarkEnd w:id="127"/>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8" w:lineRule="exact"/>
        <w:rPr>
          <w:sz w:val="20"/>
          <w:szCs w:val="20"/>
          <w:color w:val="auto"/>
        </w:rPr>
      </w:pPr>
    </w:p>
    <w:p>
      <w:pPr>
        <w:jc w:val="both"/>
        <w:ind w:left="640" w:firstLine="1302"/>
        <w:spacing w:after="0" w:line="260" w:lineRule="auto"/>
        <w:tabs>
          <w:tab w:leader="none" w:pos="2585"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w:t>
      </w:r>
    </w:p>
    <w:p>
      <w:pPr>
        <w:jc w:val="both"/>
        <w:ind w:left="640" w:firstLine="6"/>
        <w:spacing w:after="0" w:line="242" w:lineRule="auto"/>
        <w:tabs>
          <w:tab w:leader="none" w:pos="88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6" w:lineRule="exact"/>
        <w:rPr>
          <w:rFonts w:ascii="Times New Roman" w:cs="Times New Roman" w:eastAsia="Times New Roman" w:hAnsi="Times New Roman"/>
          <w:sz w:val="20"/>
          <w:szCs w:val="20"/>
          <w:color w:val="auto"/>
        </w:rPr>
      </w:pPr>
    </w:p>
    <w:p>
      <w:pPr>
        <w:ind w:left="640" w:firstLine="1298"/>
        <w:spacing w:after="0"/>
        <w:tabs>
          <w:tab w:leader="none" w:pos="258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JURY TRIAL</w:t>
      </w:r>
      <w:r>
        <w:rPr>
          <w:rFonts w:ascii="Times New Roman" w:cs="Times New Roman" w:eastAsia="Times New Roman" w:hAnsi="Times New Roman"/>
          <w:sz w:val="20"/>
          <w:szCs w:val="20"/>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20"/>
          <w:szCs w:val="20"/>
          <w:b w:val="1"/>
          <w:bCs w:val="1"/>
          <w:color w:val="auto"/>
        </w:rPr>
        <w:t>THE COMPANY HEREBY AND THE HOLDER EACH</w:t>
      </w:r>
    </w:p>
    <w:p>
      <w:pPr>
        <w:spacing w:after="0" w:line="12" w:lineRule="exact"/>
        <w:rPr>
          <w:rFonts w:ascii="Times New Roman" w:cs="Times New Roman" w:eastAsia="Times New Roman" w:hAnsi="Times New Roman"/>
          <w:sz w:val="20"/>
          <w:szCs w:val="20"/>
          <w:color w:val="auto"/>
        </w:rPr>
      </w:pPr>
    </w:p>
    <w:p>
      <w:pPr>
        <w:jc w:val="both"/>
        <w:ind w:left="64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8" w:lineRule="exact"/>
        <w:rPr>
          <w:rFonts w:ascii="Times New Roman" w:cs="Times New Roman" w:eastAsia="Times New Roman" w:hAnsi="Times New Roman"/>
          <w:sz w:val="20"/>
          <w:szCs w:val="20"/>
          <w:color w:val="auto"/>
        </w:rPr>
      </w:pPr>
    </w:p>
    <w:p>
      <w:pPr>
        <w:ind w:left="2580" w:hanging="642"/>
        <w:spacing w:after="0"/>
        <w:tabs>
          <w:tab w:leader="none" w:pos="258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 HEADINGS; BUSINESS DAYS</w:t>
      </w:r>
      <w:r>
        <w:rPr>
          <w:rFonts w:ascii="Times New Roman" w:cs="Times New Roman" w:eastAsia="Times New Roman" w:hAnsi="Times New Roman"/>
          <w:sz w:val="20"/>
          <w:szCs w:val="20"/>
          <w:color w:val="auto"/>
        </w:rPr>
        <w:t>. This Warrant shall be</w:t>
      </w:r>
    </w:p>
    <w:p>
      <w:pPr>
        <w:spacing w:after="0" w:line="22" w:lineRule="exact"/>
        <w:rPr>
          <w:sz w:val="20"/>
          <w:szCs w:val="20"/>
          <w:color w:val="auto"/>
        </w:rPr>
      </w:pPr>
    </w:p>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0" w:lineRule="exact"/>
        <w:rPr>
          <w:sz w:val="20"/>
          <w:szCs w:val="20"/>
          <w:color w:val="auto"/>
        </w:rPr>
      </w:pPr>
    </w:p>
    <w:p>
      <w:pPr>
        <w:jc w:val="both"/>
        <w:ind w:left="640" w:firstLine="1302"/>
        <w:spacing w:after="0" w:line="244" w:lineRule="auto"/>
        <w:tabs>
          <w:tab w:leader="none" w:pos="25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w:t>
      </w: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8" w:name="page129"/>
    <w:bookmarkEnd w:id="128"/>
    <w:p>
      <w:pPr>
        <w:jc w:val="both"/>
        <w:ind w:left="640"/>
        <w:spacing w:after="0" w:line="242" w:lineRule="auto"/>
        <w:rPr>
          <w:sz w:val="20"/>
          <w:szCs w:val="20"/>
          <w:color w:val="auto"/>
        </w:rPr>
      </w:pPr>
      <w:r>
        <w:rPr>
          <w:rFonts w:ascii="Times New Roman" w:cs="Times New Roman" w:eastAsia="Times New Roman" w:hAnsi="Times New Roman"/>
          <w:sz w:val="20"/>
          <w:szCs w:val="20"/>
          <w:color w:val="auto"/>
        </w:rPr>
        <w:t>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 In and other remedies available to the Holder under Section 1(c) will apply.</w:t>
      </w:r>
    </w:p>
    <w:p>
      <w:pPr>
        <w:spacing w:after="0" w:line="190" w:lineRule="exact"/>
        <w:rPr>
          <w:sz w:val="20"/>
          <w:szCs w:val="20"/>
          <w:color w:val="auto"/>
        </w:rPr>
      </w:pPr>
    </w:p>
    <w:p>
      <w:pPr>
        <w:ind w:left="640" w:firstLine="1298"/>
        <w:spacing w:after="0" w:line="242" w:lineRule="auto"/>
        <w:tabs>
          <w:tab w:leader="none" w:pos="25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OTHER OBLIGATIONS, BREACHES AND INJUNCTIVE RELIEF</w:t>
      </w:r>
      <w:r>
        <w:rPr>
          <w:rFonts w:ascii="Times New Roman" w:cs="Times New Roman" w:eastAsia="Times New Roman" w:hAnsi="Times New Roman"/>
          <w:sz w:val="20"/>
          <w:szCs w:val="20"/>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205" w:lineRule="exact"/>
        <w:rPr>
          <w:rFonts w:ascii="Times New Roman" w:cs="Times New Roman" w:eastAsia="Times New Roman" w:hAnsi="Times New Roman"/>
          <w:sz w:val="20"/>
          <w:szCs w:val="20"/>
          <w:color w:val="auto"/>
        </w:rPr>
      </w:pPr>
    </w:p>
    <w:p>
      <w:pPr>
        <w:jc w:val="both"/>
        <w:ind w:left="640" w:firstLine="1302"/>
        <w:spacing w:after="0" w:line="246" w:lineRule="auto"/>
        <w:tabs>
          <w:tab w:leader="none" w:pos="25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98" w:lineRule="exact"/>
        <w:rPr>
          <w:rFonts w:ascii="Times New Roman" w:cs="Times New Roman" w:eastAsia="Times New Roman" w:hAnsi="Times New Roman"/>
          <w:sz w:val="20"/>
          <w:szCs w:val="20"/>
          <w:color w:val="auto"/>
        </w:rPr>
      </w:pPr>
    </w:p>
    <w:p>
      <w:pPr>
        <w:jc w:val="both"/>
        <w:ind w:left="640" w:firstLine="1302"/>
        <w:spacing w:after="0" w:line="242" w:lineRule="auto"/>
        <w:tabs>
          <w:tab w:leader="none" w:pos="25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rFonts w:ascii="Times New Roman" w:cs="Times New Roman" w:eastAsia="Times New Roman" w:hAnsi="Times New Roman"/>
          <w:sz w:val="20"/>
          <w:szCs w:val="20"/>
          <w:color w:val="auto"/>
        </w:rPr>
      </w:pPr>
    </w:p>
    <w:p>
      <w:pPr>
        <w:ind w:left="640" w:firstLine="1302"/>
        <w:spacing w:after="0" w:line="269" w:lineRule="auto"/>
        <w:tabs>
          <w:tab w:leader="none" w:pos="25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DISCLOSURE</w:t>
      </w:r>
      <w:r>
        <w:rPr>
          <w:rFonts w:ascii="Times New Roman" w:cs="Times New Roman" w:eastAsia="Times New Roman" w:hAnsi="Times New Roman"/>
          <w:sz w:val="20"/>
          <w:szCs w:val="20"/>
          <w:color w:val="auto"/>
        </w:rPr>
        <w:t>. The Company shall not provide material, non-public information or confidential or proprietary information to the Holder without such Holder’s written consent.</w:t>
      </w:r>
    </w:p>
    <w:p>
      <w:pPr>
        <w:spacing w:after="0" w:line="172" w:lineRule="exact"/>
        <w:rPr>
          <w:rFonts w:ascii="Times New Roman" w:cs="Times New Roman" w:eastAsia="Times New Roman" w:hAnsi="Times New Roman"/>
          <w:sz w:val="20"/>
          <w:szCs w:val="20"/>
          <w:color w:val="auto"/>
        </w:rPr>
      </w:pPr>
    </w:p>
    <w:p>
      <w:pPr>
        <w:ind w:left="2580" w:hanging="642"/>
        <w:spacing w:after="0"/>
        <w:tabs>
          <w:tab w:leader="none" w:pos="25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HOLDERS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3"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Each Holder represents and warrants that it is acquiring this Warrant and the Warrant Shares (collectively,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solely for its beneficial account, for investment purposes, and not with a view to, or for resale in connection with, any distribution of the Securities in violation of applicable securities laws.</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29" w:name="page130"/>
    <w:bookmarkEnd w:id="129"/>
    <w:p>
      <w:pPr>
        <w:jc w:val="both"/>
        <w:ind w:left="640" w:firstLine="1950"/>
        <w:spacing w:after="0" w:line="249" w:lineRule="auto"/>
        <w:tabs>
          <w:tab w:leader="none" w:pos="323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Unregistered Securities</w:t>
      </w:r>
      <w:r>
        <w:rPr>
          <w:rFonts w:ascii="Times New Roman" w:cs="Times New Roman" w:eastAsia="Times New Roman" w:hAnsi="Times New Roman"/>
          <w:sz w:val="20"/>
          <w:szCs w:val="20"/>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93"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9" w:lineRule="exact"/>
        <w:rPr>
          <w:rFonts w:ascii="Times New Roman" w:cs="Times New Roman" w:eastAsia="Times New Roman" w:hAnsi="Times New Roman"/>
          <w:sz w:val="20"/>
          <w:szCs w:val="20"/>
          <w:color w:val="auto"/>
        </w:rPr>
      </w:pPr>
    </w:p>
    <w:p>
      <w:pPr>
        <w:ind w:left="640" w:firstLine="1950"/>
        <w:spacing w:after="0" w:line="269" w:lineRule="auto"/>
        <w:tabs>
          <w:tab w:leader="none" w:pos="323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Each Holder represents and warrants that it is an “accredited investor” as defined in Rule 501(a) under the Securities Act.</w:t>
      </w:r>
    </w:p>
    <w:p>
      <w:pPr>
        <w:spacing w:after="0" w:line="172"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Sophisticated Investor</w:t>
      </w:r>
      <w:r>
        <w:rPr>
          <w:rFonts w:ascii="Times New Roman" w:cs="Times New Roman" w:eastAsia="Times New Roman" w:hAnsi="Times New Roman"/>
          <w:sz w:val="20"/>
          <w:szCs w:val="20"/>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97" w:lineRule="exact"/>
        <w:rPr>
          <w:rFonts w:ascii="Times New Roman" w:cs="Times New Roman" w:eastAsia="Times New Roman" w:hAnsi="Times New Roman"/>
          <w:sz w:val="20"/>
          <w:szCs w:val="20"/>
          <w:color w:val="auto"/>
        </w:rPr>
      </w:pPr>
    </w:p>
    <w:p>
      <w:pPr>
        <w:jc w:val="both"/>
        <w:ind w:left="640" w:firstLine="1950"/>
        <w:spacing w:after="0" w:line="241" w:lineRule="auto"/>
        <w:tabs>
          <w:tab w:leader="none" w:pos="323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Non-Reliance</w:t>
      </w:r>
      <w:r>
        <w:rPr>
          <w:rFonts w:ascii="Times New Roman" w:cs="Times New Roman" w:eastAsia="Times New Roman" w:hAnsi="Times New Roman"/>
          <w:sz w:val="20"/>
          <w:szCs w:val="20"/>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notwithstanding anything in this Section 17(h) or otherwise to the contrary, each Holder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w:t>
      </w: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30" w:name="page131"/>
    <w:bookmarkEnd w:id="130"/>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88" w:lineRule="exact"/>
        <w:rPr>
          <w:sz w:val="20"/>
          <w:szCs w:val="20"/>
          <w:color w:val="auto"/>
        </w:rPr>
      </w:pPr>
    </w:p>
    <w:p>
      <w:pPr>
        <w:ind w:left="2580" w:hanging="638"/>
        <w:spacing w:after="0"/>
        <w:tabs>
          <w:tab w:leader="none" w:pos="258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THE COMPANY</w:t>
      </w:r>
      <w:r>
        <w:rPr>
          <w:rFonts w:ascii="Times New Roman" w:cs="Times New Roman" w:eastAsia="Times New Roman" w:hAnsi="Times New Roman"/>
          <w:sz w:val="20"/>
          <w:szCs w:val="20"/>
          <w:color w:val="auto"/>
        </w:rPr>
        <w:t>. The Company represents and warrants</w:t>
      </w:r>
    </w:p>
    <w:p>
      <w:pPr>
        <w:spacing w:after="0" w:line="21"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Holder that:</w:t>
      </w:r>
    </w:p>
    <w:p>
      <w:pPr>
        <w:spacing w:after="0" w:line="193"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3"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20"/>
          <w:szCs w:val="20"/>
          <w:b w:val="1"/>
          <w:bCs w:val="1"/>
          <w:color w:val="auto"/>
        </w:rPr>
        <w:t>Company Material Adverse Effect</w:t>
      </w:r>
      <w:r>
        <w:rPr>
          <w:rFonts w:ascii="Times New Roman" w:cs="Times New Roman" w:eastAsia="Times New Roman" w:hAnsi="Times New Roman"/>
          <w:sz w:val="20"/>
          <w:szCs w:val="20"/>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207" w:lineRule="exact"/>
        <w:rPr>
          <w:rFonts w:ascii="Times New Roman" w:cs="Times New Roman" w:eastAsia="Times New Roman" w:hAnsi="Times New Roman"/>
          <w:sz w:val="20"/>
          <w:szCs w:val="20"/>
          <w:color w:val="auto"/>
        </w:rPr>
      </w:pPr>
    </w:p>
    <w:p>
      <w:pPr>
        <w:jc w:val="both"/>
        <w:ind w:left="640" w:firstLine="1948"/>
        <w:spacing w:after="0" w:line="245" w:lineRule="auto"/>
        <w:tabs>
          <w:tab w:leader="none" w:pos="3232"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 and has not been issued in violation of any preemptive rights created under the Company’s organizational documents or the laws of the State of Delaware.</w:t>
      </w:r>
    </w:p>
    <w:p>
      <w:pPr>
        <w:spacing w:after="0" w:line="184" w:lineRule="exact"/>
        <w:rPr>
          <w:rFonts w:ascii="Times New Roman" w:cs="Times New Roman" w:eastAsia="Times New Roman" w:hAnsi="Times New Roman"/>
          <w:sz w:val="20"/>
          <w:szCs w:val="20"/>
          <w:color w:val="auto"/>
        </w:rPr>
      </w:pPr>
    </w:p>
    <w:p>
      <w:pPr>
        <w:jc w:val="both"/>
        <w:ind w:left="640" w:firstLine="1948"/>
        <w:spacing w:after="0" w:line="249" w:lineRule="auto"/>
        <w:tabs>
          <w:tab w:leader="none" w:pos="3232"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9" w:lineRule="exact"/>
        <w:rPr>
          <w:rFonts w:ascii="Times New Roman" w:cs="Times New Roman" w:eastAsia="Times New Roman" w:hAnsi="Times New Roman"/>
          <w:sz w:val="20"/>
          <w:szCs w:val="20"/>
          <w:color w:val="auto"/>
        </w:rPr>
      </w:pPr>
    </w:p>
    <w:p>
      <w:pPr>
        <w:jc w:val="both"/>
        <w:ind w:left="640" w:firstLine="1948"/>
        <w:spacing w:after="0" w:line="255" w:lineRule="auto"/>
        <w:tabs>
          <w:tab w:leader="none" w:pos="3232" w:val="left"/>
        </w:tabs>
        <w:numPr>
          <w:ilvl w:val="2"/>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w:t>
      </w:r>
    </w:p>
    <w:p>
      <w:pPr>
        <w:jc w:val="both"/>
        <w:ind w:left="640" w:firstLine="5"/>
        <w:spacing w:after="0" w:line="239" w:lineRule="auto"/>
        <w:tabs>
          <w:tab w:leader="none" w:pos="102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statute or any judgment, order, rule or regulation of any court or governmental agency or body, domestic or foreign, having jurisdiction over the Company or any of its properties that, in the case of clauses</w:t>
      </w:r>
    </w:p>
    <w:p>
      <w:pPr>
        <w:ind w:left="640" w:firstLine="5"/>
        <w:spacing w:after="0" w:line="246" w:lineRule="auto"/>
        <w:tabs>
          <w:tab w:leader="none" w:pos="90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(iii), would reasonably be expected to have a Company Material Adverse Effect or have a material adverse effect on the Company’s ability to consummate the transactions contemplated hereby.</w:t>
      </w:r>
    </w:p>
    <w:p>
      <w:pPr>
        <w:spacing w:after="0" w:line="195" w:lineRule="exact"/>
        <w:rPr>
          <w:rFonts w:ascii="Times New Roman" w:cs="Times New Roman" w:eastAsia="Times New Roman" w:hAnsi="Times New Roman"/>
          <w:sz w:val="20"/>
          <w:szCs w:val="20"/>
          <w:color w:val="auto"/>
        </w:rPr>
      </w:pPr>
    </w:p>
    <w:p>
      <w:pPr>
        <w:ind w:left="640" w:right="20" w:firstLine="1949"/>
        <w:spacing w:after="0" w:line="269" w:lineRule="auto"/>
        <w:tabs>
          <w:tab w:leader="none" w:pos="3232"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the accuracy of the representations and warranties of the Holder, the Company is not required to obtain any consent, waiver, authorization or order of, give any</w:t>
      </w: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31" w:name="page132"/>
    <w:bookmarkEnd w:id="131"/>
    <w:p>
      <w:pPr>
        <w:jc w:val="both"/>
        <w:ind w:left="640"/>
        <w:spacing w:after="0" w:line="243" w:lineRule="auto"/>
        <w:rPr>
          <w:sz w:val="20"/>
          <w:szCs w:val="20"/>
          <w:color w:val="auto"/>
        </w:rPr>
      </w:pPr>
      <w:r>
        <w:rPr>
          <w:rFonts w:ascii="Times New Roman" w:cs="Times New Roman" w:eastAsia="Times New Roman" w:hAnsi="Times New Roman"/>
          <w:sz w:val="20"/>
          <w:szCs w:val="20"/>
          <w:color w:val="auto"/>
        </w:rPr>
        <w:t>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9" w:lineRule="exact"/>
        <w:rPr>
          <w:sz w:val="20"/>
          <w:szCs w:val="20"/>
          <w:color w:val="auto"/>
        </w:rPr>
      </w:pPr>
    </w:p>
    <w:p>
      <w:pPr>
        <w:jc w:val="both"/>
        <w:ind w:left="640" w:firstLine="1949"/>
        <w:spacing w:after="0" w:line="256" w:lineRule="auto"/>
        <w:tabs>
          <w:tab w:leader="none" w:pos="3233"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their respective dates, all reports required to be filed by the Company with the SEC (the “</w:t>
      </w:r>
      <w:r>
        <w:rPr>
          <w:rFonts w:ascii="Times New Roman" w:cs="Times New Roman" w:eastAsia="Times New Roman" w:hAnsi="Times New Roman"/>
          <w:sz w:val="19"/>
          <w:szCs w:val="19"/>
          <w:b w:val="1"/>
          <w:bCs w:val="1"/>
          <w:i w:val="1"/>
          <w:iCs w:val="1"/>
          <w:color w:val="auto"/>
        </w:rPr>
        <w:t>SEC Reports</w:t>
      </w:r>
      <w:r>
        <w:rPr>
          <w:rFonts w:ascii="Times New Roman" w:cs="Times New Roman" w:eastAsia="Times New Roman" w:hAnsi="Times New Roman"/>
          <w:sz w:val="19"/>
          <w:szCs w:val="19"/>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94" w:lineRule="exact"/>
        <w:rPr>
          <w:rFonts w:ascii="Times New Roman" w:cs="Times New Roman" w:eastAsia="Times New Roman" w:hAnsi="Times New Roman"/>
          <w:sz w:val="19"/>
          <w:szCs w:val="19"/>
          <w:color w:val="auto"/>
        </w:rPr>
      </w:pPr>
    </w:p>
    <w:p>
      <w:pPr>
        <w:jc w:val="both"/>
        <w:ind w:left="640" w:firstLine="1948"/>
        <w:spacing w:after="0" w:line="244" w:lineRule="auto"/>
        <w:tabs>
          <w:tab w:leader="none" w:pos="323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w:t>
      </w:r>
    </w:p>
    <w:p>
      <w:pPr>
        <w:ind w:left="640" w:firstLine="5"/>
        <w:spacing w:after="0" w:line="246" w:lineRule="auto"/>
        <w:tabs>
          <w:tab w:leader="none" w:pos="97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decree, injunction, ruling or order of any governmental authority or arbitrator outstanding against the Company or any of its directors or officers in their capacities as such.</w:t>
      </w:r>
    </w:p>
    <w:p>
      <w:pPr>
        <w:spacing w:after="0" w:line="195" w:lineRule="exact"/>
        <w:rPr>
          <w:rFonts w:ascii="Times New Roman" w:cs="Times New Roman" w:eastAsia="Times New Roman" w:hAnsi="Times New Roman"/>
          <w:sz w:val="20"/>
          <w:szCs w:val="20"/>
          <w:color w:val="auto"/>
        </w:rPr>
      </w:pPr>
    </w:p>
    <w:p>
      <w:pPr>
        <w:jc w:val="both"/>
        <w:ind w:left="640" w:firstLine="1948"/>
        <w:spacing w:after="0" w:line="243" w:lineRule="auto"/>
        <w:tabs>
          <w:tab w:leader="none" w:pos="323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93" w:lineRule="exact"/>
        <w:rPr>
          <w:rFonts w:ascii="Times New Roman" w:cs="Times New Roman" w:eastAsia="Times New Roman" w:hAnsi="Times New Roman"/>
          <w:sz w:val="20"/>
          <w:szCs w:val="20"/>
          <w:color w:val="auto"/>
        </w:rPr>
      </w:pPr>
    </w:p>
    <w:p>
      <w:pPr>
        <w:jc w:val="both"/>
        <w:ind w:left="640" w:firstLine="1949"/>
        <w:spacing w:after="0" w:line="246" w:lineRule="auto"/>
        <w:tabs>
          <w:tab w:leader="none" w:pos="323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4" w:lineRule="exact"/>
        <w:rPr>
          <w:rFonts w:ascii="Times New Roman" w:cs="Times New Roman" w:eastAsia="Times New Roman" w:hAnsi="Times New Roman"/>
          <w:sz w:val="20"/>
          <w:szCs w:val="20"/>
          <w:color w:val="auto"/>
        </w:rPr>
      </w:pPr>
    </w:p>
    <w:p>
      <w:pPr>
        <w:ind w:left="640" w:firstLine="1949"/>
        <w:spacing w:after="0" w:line="269" w:lineRule="auto"/>
        <w:tabs>
          <w:tab w:leader="none" w:pos="323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the Company owns or possesses sufficient legal rights to all (a) patents, patent applications and inventions; (b) trademarks, service marks, trade names,</w:t>
      </w: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32" w:name="page133"/>
    <w:bookmarkEnd w:id="132"/>
    <w:p>
      <w:pPr>
        <w:jc w:val="both"/>
        <w:ind w:left="640"/>
        <w:spacing w:after="0" w:line="243" w:lineRule="auto"/>
        <w:rPr>
          <w:sz w:val="20"/>
          <w:szCs w:val="20"/>
          <w:color w:val="auto"/>
        </w:rPr>
      </w:pPr>
      <w:r>
        <w:rPr>
          <w:rFonts w:ascii="Times New Roman" w:cs="Times New Roman" w:eastAsia="Times New Roman" w:hAnsi="Times New Roman"/>
          <w:sz w:val="20"/>
          <w:szCs w:val="20"/>
          <w:color w:val="auto"/>
        </w:rPr>
        <w:t>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203" w:lineRule="exact"/>
        <w:rPr>
          <w:sz w:val="20"/>
          <w:szCs w:val="20"/>
          <w:color w:val="auto"/>
        </w:rPr>
      </w:pPr>
    </w:p>
    <w:p>
      <w:pPr>
        <w:ind w:left="640" w:right="340" w:firstLine="1302"/>
        <w:spacing w:after="0" w:line="269" w:lineRule="auto"/>
        <w:tabs>
          <w:tab w:leader="none" w:pos="2583"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For purposes of this Warrant, the following terms shall have the following meanings:</w:t>
      </w:r>
    </w:p>
    <w:p>
      <w:pPr>
        <w:spacing w:after="0" w:line="155"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2" w:lineRule="exact"/>
        <w:rPr>
          <w:rFonts w:ascii="Times New Roman" w:cs="Times New Roman" w:eastAsia="Times New Roman" w:hAnsi="Times New Roman"/>
          <w:sz w:val="20"/>
          <w:szCs w:val="20"/>
          <w:color w:val="auto"/>
        </w:rPr>
      </w:pPr>
    </w:p>
    <w:p>
      <w:pPr>
        <w:ind w:left="3240" w:hanging="651"/>
        <w:spacing w:after="0"/>
        <w:tabs>
          <w:tab w:leader="none" w:pos="3240" w:val="left"/>
        </w:tabs>
        <w:numPr>
          <w:ilvl w:val="2"/>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w:t>
      </w:r>
    </w:p>
    <w:p>
      <w:pPr>
        <w:spacing w:after="0" w:line="37" w:lineRule="exact"/>
        <w:rPr>
          <w:rFonts w:ascii="Times New Roman" w:cs="Times New Roman" w:eastAsia="Times New Roman" w:hAnsi="Times New Roman"/>
          <w:sz w:val="19"/>
          <w:szCs w:val="19"/>
          <w:color w:val="auto"/>
        </w:rPr>
      </w:pPr>
    </w:p>
    <w:p>
      <w:pPr>
        <w:jc w:val="both"/>
        <w:ind w:left="640" w:firstLine="6"/>
        <w:spacing w:after="0"/>
        <w:tabs>
          <w:tab w:leader="none" w:pos="8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6" w:lineRule="exact"/>
        <w:rPr>
          <w:rFonts w:ascii="Times New Roman" w:cs="Times New Roman" w:eastAsia="Times New Roman" w:hAnsi="Times New Roman"/>
          <w:sz w:val="20"/>
          <w:szCs w:val="20"/>
          <w:color w:val="auto"/>
        </w:rPr>
      </w:pPr>
    </w:p>
    <w:p>
      <w:pPr>
        <w:jc w:val="both"/>
        <w:ind w:left="640" w:firstLine="1950"/>
        <w:spacing w:after="0" w:line="241" w:lineRule="auto"/>
        <w:tabs>
          <w:tab w:leader="none" w:pos="3233" w:val="left"/>
        </w:tabs>
        <w:numPr>
          <w:ilvl w:val="2"/>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 Scholes Going Private Value</w:t>
      </w:r>
      <w:r>
        <w:rPr>
          <w:rFonts w:ascii="Times New Roman" w:cs="Times New Roman" w:eastAsia="Times New Roman" w:hAnsi="Times New Roman"/>
          <w:sz w:val="20"/>
          <w:szCs w:val="20"/>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203" w:lineRule="exact"/>
        <w:rPr>
          <w:rFonts w:ascii="Times New Roman" w:cs="Times New Roman" w:eastAsia="Times New Roman" w:hAnsi="Times New Roman"/>
          <w:sz w:val="20"/>
          <w:szCs w:val="20"/>
          <w:color w:val="auto"/>
        </w:rPr>
      </w:pPr>
    </w:p>
    <w:p>
      <w:pPr>
        <w:jc w:val="both"/>
        <w:ind w:left="640" w:firstLine="1949"/>
        <w:spacing w:after="0" w:line="246" w:lineRule="auto"/>
        <w:tabs>
          <w:tab w:leader="none" w:pos="3232" w:val="left"/>
        </w:tabs>
        <w:numPr>
          <w:ilvl w:val="2"/>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 Scholes Value</w:t>
      </w:r>
      <w:r>
        <w:rPr>
          <w:rFonts w:ascii="Times New Roman" w:cs="Times New Roman" w:eastAsia="Times New Roman" w:hAnsi="Times New Roman"/>
          <w:sz w:val="20"/>
          <w:szCs w:val="20"/>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w:t>
      </w: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33" w:name="page134"/>
    <w:bookmarkEnd w:id="133"/>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ending on the Trading Day of the Holder’s request pursuant to Section 4(c) and (2) the sum of the price per share being offered in cash in the applicable Fundamental Transaction (if any) plus the value of the non- 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w:t>
      </w:r>
    </w:p>
    <w:p>
      <w:pPr>
        <w:spacing w:after="0" w:line="6" w:lineRule="exact"/>
        <w:rPr>
          <w:sz w:val="20"/>
          <w:szCs w:val="20"/>
          <w:color w:val="auto"/>
        </w:rPr>
      </w:pPr>
    </w:p>
    <w:p>
      <w:pPr>
        <w:jc w:val="both"/>
        <w:ind w:left="640" w:firstLine="5"/>
        <w:spacing w:after="0" w:line="242" w:lineRule="auto"/>
        <w:tabs>
          <w:tab w:leader="none" w:pos="97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disclosure of the applicable Fundamental Transaction, (B) the consummation of the applicable Fundamental Transaction and (C) the date on which the Holder first became aware of the applicable Fundamental Transaction.</w:t>
      </w:r>
    </w:p>
    <w:p>
      <w:pPr>
        <w:spacing w:after="0" w:line="196" w:lineRule="exact"/>
        <w:rPr>
          <w:rFonts w:ascii="Times New Roman" w:cs="Times New Roman" w:eastAsia="Times New Roman" w:hAnsi="Times New Roman"/>
          <w:sz w:val="20"/>
          <w:szCs w:val="20"/>
          <w:color w:val="auto"/>
        </w:rPr>
      </w:pPr>
    </w:p>
    <w:p>
      <w:pPr>
        <w:ind w:left="3240" w:hanging="654"/>
        <w:spacing w:after="0"/>
        <w:tabs>
          <w:tab w:leader="none" w:pos="324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Bloomberg</w:t>
      </w:r>
      <w:r>
        <w:rPr>
          <w:rFonts w:ascii="Times New Roman" w:cs="Times New Roman" w:eastAsia="Times New Roman" w:hAnsi="Times New Roman"/>
          <w:sz w:val="20"/>
          <w:szCs w:val="20"/>
          <w:color w:val="auto"/>
        </w:rPr>
        <w:t>” means Bloomberg, L.P.</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8"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Bid Price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Closing Sale Price</w:t>
      </w:r>
      <w:r>
        <w:rPr>
          <w:rFonts w:ascii="Times New Roman" w:cs="Times New Roman" w:eastAsia="Times New Roman" w:hAnsi="Times New Roman"/>
          <w:sz w:val="20"/>
          <w:szCs w:val="20"/>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202"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68" w:lineRule="exact"/>
        <w:rPr>
          <w:rFonts w:ascii="Times New Roman" w:cs="Times New Roman" w:eastAsia="Times New Roman" w:hAnsi="Times New Roman"/>
          <w:sz w:val="20"/>
          <w:szCs w:val="20"/>
          <w:color w:val="auto"/>
        </w:rPr>
      </w:pPr>
    </w:p>
    <w:p>
      <w:pPr>
        <w:ind w:left="640" w:firstLine="1949"/>
        <w:spacing w:after="0" w:line="273" w:lineRule="auto"/>
        <w:tabs>
          <w:tab w:leader="none" w:pos="32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Convertible Securities</w:t>
      </w:r>
      <w:r>
        <w:rPr>
          <w:rFonts w:ascii="Times New Roman" w:cs="Times New Roman" w:eastAsia="Times New Roman" w:hAnsi="Times New Roman"/>
          <w:sz w:val="20"/>
          <w:szCs w:val="20"/>
          <w:color w:val="auto"/>
        </w:rPr>
        <w:t>” means any stock or securities (other than Options) directly or indirectly convertible into or exercisable or exchangeable for shares of Common Stock.</w:t>
      </w:r>
    </w:p>
    <w:p>
      <w:pPr>
        <w:spacing w:after="0" w:line="151" w:lineRule="exact"/>
        <w:rPr>
          <w:rFonts w:ascii="Times New Roman" w:cs="Times New Roman" w:eastAsia="Times New Roman" w:hAnsi="Times New Roman"/>
          <w:sz w:val="20"/>
          <w:szCs w:val="20"/>
          <w:color w:val="auto"/>
        </w:rPr>
      </w:pPr>
    </w:p>
    <w:p>
      <w:pPr>
        <w:ind w:left="640" w:firstLine="1949"/>
        <w:spacing w:after="0" w:line="273" w:lineRule="auto"/>
        <w:tabs>
          <w:tab w:leader="none" w:pos="32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Market</w:t>
      </w:r>
      <w:r>
        <w:rPr>
          <w:rFonts w:ascii="Times New Roman" w:cs="Times New Roman" w:eastAsia="Times New Roman" w:hAnsi="Times New Roman"/>
          <w:sz w:val="20"/>
          <w:szCs w:val="20"/>
          <w:color w:val="auto"/>
        </w:rPr>
        <w:t>” means The Nasdaq Capital Market, The Nasdaq Global Select Market, The Nasdaq Global Market, the NYSE American, or The New York Stock Exchange.</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34" w:name="page135"/>
    <w:bookmarkEnd w:id="134"/>
    <w:p>
      <w:pPr>
        <w:jc w:val="both"/>
        <w:ind w:left="640" w:firstLine="1949"/>
        <w:spacing w:after="0" w:line="256" w:lineRule="auto"/>
        <w:tabs>
          <w:tab w:leader="none" w:pos="3232"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20"/>
          <w:szCs w:val="20"/>
          <w:b w:val="1"/>
          <w:bCs w:val="1"/>
          <w:color w:val="auto"/>
        </w:rPr>
        <w:t>Holiday</w:t>
      </w:r>
      <w:r>
        <w:rPr>
          <w:rFonts w:ascii="Times New Roman" w:cs="Times New Roman" w:eastAsia="Times New Roman" w:hAnsi="Times New Roman"/>
          <w:sz w:val="20"/>
          <w:szCs w:val="20"/>
          <w:color w:val="auto"/>
        </w:rPr>
        <w:t>”), the next date that is not a Holiday.</w:t>
      </w:r>
    </w:p>
    <w:p>
      <w:pPr>
        <w:spacing w:after="0" w:line="182" w:lineRule="exact"/>
        <w:rPr>
          <w:rFonts w:ascii="Times New Roman" w:cs="Times New Roman" w:eastAsia="Times New Roman" w:hAnsi="Times New Roman"/>
          <w:sz w:val="20"/>
          <w:szCs w:val="20"/>
          <w:color w:val="auto"/>
        </w:rPr>
      </w:pPr>
    </w:p>
    <w:p>
      <w:pPr>
        <w:jc w:val="both"/>
        <w:ind w:left="640" w:firstLine="1949"/>
        <w:spacing w:after="0" w:line="254" w:lineRule="auto"/>
        <w:tabs>
          <w:tab w:leader="none" w:pos="3232"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 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w:t>
      </w:r>
    </w:p>
    <w:p>
      <w:pPr>
        <w:spacing w:after="0" w:line="1" w:lineRule="exact"/>
        <w:rPr>
          <w:rFonts w:ascii="Times New Roman" w:cs="Times New Roman" w:eastAsia="Times New Roman" w:hAnsi="Times New Roman"/>
          <w:sz w:val="19"/>
          <w:szCs w:val="19"/>
          <w:color w:val="auto"/>
        </w:rPr>
      </w:pPr>
    </w:p>
    <w:p>
      <w:pPr>
        <w:jc w:val="both"/>
        <w:ind w:left="640" w:firstLine="6"/>
        <w:spacing w:after="0" w:line="239" w:lineRule="auto"/>
        <w:tabs>
          <w:tab w:leader="none" w:pos="99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3" w:lineRule="exact"/>
        <w:rPr>
          <w:rFonts w:ascii="Times New Roman" w:cs="Times New Roman" w:eastAsia="Times New Roman" w:hAnsi="Times New Roman"/>
          <w:sz w:val="20"/>
          <w:szCs w:val="20"/>
          <w:color w:val="auto"/>
        </w:rPr>
      </w:pPr>
    </w:p>
    <w:p>
      <w:pPr>
        <w:ind w:left="640" w:right="20" w:firstLine="1949"/>
        <w:spacing w:after="0" w:line="273" w:lineRule="auto"/>
        <w:tabs>
          <w:tab w:leader="none" w:pos="3232"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a “group” as that term is used in Section 13(d) of the Exchange Act and as defined in Rule 13d-5 thereunder.</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0" w:right="999" w:bottom="1440" w:gutter="0" w:footer="0" w:header="0"/>
        </w:sectPr>
      </w:pPr>
    </w:p>
    <w:bookmarkStart w:id="135" w:name="page136"/>
    <w:bookmarkEnd w:id="135"/>
    <w:p>
      <w:pPr>
        <w:ind w:left="640" w:firstLine="1949"/>
        <w:spacing w:after="0" w:line="273" w:lineRule="auto"/>
        <w:tabs>
          <w:tab w:leader="none" w:pos="323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means any rights, warrants or options to subscribe for or purchase shares of Common Stock or Convertible Securities.</w:t>
      </w:r>
    </w:p>
    <w:p>
      <w:pPr>
        <w:spacing w:after="0" w:line="165" w:lineRule="exact"/>
        <w:rPr>
          <w:rFonts w:ascii="Times New Roman" w:cs="Times New Roman" w:eastAsia="Times New Roman" w:hAnsi="Times New Roman"/>
          <w:sz w:val="20"/>
          <w:szCs w:val="20"/>
          <w:color w:val="auto"/>
        </w:rPr>
      </w:pPr>
    </w:p>
    <w:p>
      <w:pPr>
        <w:jc w:val="both"/>
        <w:ind w:left="640" w:firstLine="1948"/>
        <w:spacing w:after="0" w:line="246" w:lineRule="auto"/>
        <w:tabs>
          <w:tab w:leader="none" w:pos="323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Entity</w:t>
      </w:r>
      <w:r>
        <w:rPr>
          <w:rFonts w:ascii="Times New Roman" w:cs="Times New Roman" w:eastAsia="Times New Roman" w:hAnsi="Times New Roman"/>
          <w:sz w:val="20"/>
          <w:szCs w:val="20"/>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8" w:lineRule="exact"/>
        <w:rPr>
          <w:rFonts w:ascii="Times New Roman" w:cs="Times New Roman" w:eastAsia="Times New Roman" w:hAnsi="Times New Roman"/>
          <w:sz w:val="20"/>
          <w:szCs w:val="20"/>
          <w:color w:val="auto"/>
        </w:rPr>
      </w:pPr>
    </w:p>
    <w:p>
      <w:pPr>
        <w:jc w:val="both"/>
        <w:ind w:left="640" w:firstLine="1948"/>
        <w:spacing w:after="0" w:line="256" w:lineRule="auto"/>
        <w:tabs>
          <w:tab w:leader="none" w:pos="323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2"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Market</w:t>
      </w:r>
      <w:r>
        <w:rPr>
          <w:rFonts w:ascii="Times New Roman" w:cs="Times New Roman" w:eastAsia="Times New Roman" w:hAnsi="Times New Roman"/>
          <w:sz w:val="20"/>
          <w:szCs w:val="20"/>
          <w:color w:val="auto"/>
        </w:rPr>
        <w:t>” means the OTC Bulletin Board or any other Eligible Market, or any national securities exchange, market or trading or quotation facility on which the Common Stock is then listed or quoted.</w:t>
      </w:r>
    </w:p>
    <w:p>
      <w:pPr>
        <w:spacing w:after="0" w:line="168" w:lineRule="exact"/>
        <w:rPr>
          <w:rFonts w:ascii="Times New Roman" w:cs="Times New Roman" w:eastAsia="Times New Roman" w:hAnsi="Times New Roman"/>
          <w:sz w:val="20"/>
          <w:szCs w:val="20"/>
          <w:color w:val="auto"/>
        </w:rPr>
      </w:pPr>
    </w:p>
    <w:p>
      <w:pPr>
        <w:ind w:left="3240" w:hanging="654"/>
        <w:spacing w:after="0"/>
        <w:tabs>
          <w:tab w:leader="none" w:pos="324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29" w:lineRule="exact"/>
        <w:rPr>
          <w:rFonts w:ascii="Times New Roman" w:cs="Times New Roman" w:eastAsia="Times New Roman" w:hAnsi="Times New Roman"/>
          <w:sz w:val="20"/>
          <w:szCs w:val="20"/>
          <w:color w:val="auto"/>
        </w:rPr>
      </w:pPr>
    </w:p>
    <w:p>
      <w:pPr>
        <w:ind w:left="640" w:right="20" w:firstLine="1949"/>
        <w:spacing w:after="0" w:line="273" w:lineRule="auto"/>
        <w:tabs>
          <w:tab w:leader="none" w:pos="323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Entity</w:t>
      </w:r>
      <w:r>
        <w:rPr>
          <w:rFonts w:ascii="Times New Roman" w:cs="Times New Roman" w:eastAsia="Times New Roman" w:hAnsi="Times New Roman"/>
          <w:sz w:val="20"/>
          <w:szCs w:val="20"/>
          <w:color w:val="auto"/>
        </w:rPr>
        <w:t>” means any Person, Persons or Group or any Affiliate or associate of any such Person, Persons or Group.</w:t>
      </w:r>
    </w:p>
    <w:p>
      <w:pPr>
        <w:spacing w:after="0" w:line="151" w:lineRule="exact"/>
        <w:rPr>
          <w:rFonts w:ascii="Times New Roman" w:cs="Times New Roman" w:eastAsia="Times New Roman" w:hAnsi="Times New Roman"/>
          <w:sz w:val="20"/>
          <w:szCs w:val="20"/>
          <w:color w:val="auto"/>
        </w:rPr>
      </w:pPr>
    </w:p>
    <w:p>
      <w:pPr>
        <w:jc w:val="both"/>
        <w:ind w:left="640" w:firstLine="1949"/>
        <w:spacing w:after="0" w:line="250" w:lineRule="auto"/>
        <w:tabs>
          <w:tab w:leader="none" w:pos="323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Entity</w:t>
      </w:r>
      <w:r>
        <w:rPr>
          <w:rFonts w:ascii="Times New Roman" w:cs="Times New Roman" w:eastAsia="Times New Roman" w:hAnsi="Times New Roman"/>
          <w:sz w:val="20"/>
          <w:szCs w:val="20"/>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Times New Roman" w:cs="Times New Roman" w:eastAsia="Times New Roman" w:hAnsi="Times New Roman"/>
          <w:sz w:val="20"/>
          <w:szCs w:val="20"/>
          <w:color w:val="auto"/>
        </w:rPr>
      </w:pPr>
    </w:p>
    <w:p>
      <w:pPr>
        <w:jc w:val="both"/>
        <w:ind w:left="640" w:firstLine="1949"/>
        <w:spacing w:after="0" w:line="244" w:lineRule="auto"/>
        <w:tabs>
          <w:tab w:leader="none" w:pos="323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95" w:lineRule="exact"/>
        <w:rPr>
          <w:rFonts w:ascii="Times New Roman" w:cs="Times New Roman" w:eastAsia="Times New Roman" w:hAnsi="Times New Roman"/>
          <w:sz w:val="20"/>
          <w:szCs w:val="20"/>
          <w:color w:val="auto"/>
        </w:rPr>
      </w:pPr>
    </w:p>
    <w:p>
      <w:pPr>
        <w:jc w:val="both"/>
        <w:ind w:left="640" w:firstLine="1949"/>
        <w:spacing w:after="0" w:line="242" w:lineRule="auto"/>
        <w:tabs>
          <w:tab w:leader="none" w:pos="323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means, for any security as of any date, the dollar volume- 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 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w:t>
      </w: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0" w:right="999" w:bottom="1440" w:gutter="0" w:footer="0" w:header="0"/>
        </w:sectPr>
      </w:pPr>
    </w:p>
    <w:bookmarkStart w:id="136" w:name="page137"/>
    <w:bookmarkEnd w:id="136"/>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37" w:name="page138"/>
    <w:bookmarkEnd w:id="137"/>
    <w:p>
      <w:pPr>
        <w:ind w:left="640" w:firstLine="65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Company has caused this Warrant to Purchase Common Stock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executed as of the Issuance Date set out above.</w:t>
      </w:r>
    </w:p>
    <w:p>
      <w:pPr>
        <w:spacing w:after="0" w:line="16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33" w:lineRule="exact"/>
        <w:rPr>
          <w:sz w:val="20"/>
          <w:szCs w:val="20"/>
          <w:color w:val="auto"/>
        </w:rPr>
      </w:pPr>
    </w:p>
    <w:p>
      <w:pPr>
        <w:ind w:left="4580"/>
        <w:spacing w:after="0"/>
        <w:tabs>
          <w:tab w:leader="none" w:pos="5100" w:val="left"/>
        </w:tabs>
        <w:rPr>
          <w:sz w:val="20"/>
          <w:szCs w:val="20"/>
          <w:color w:val="auto"/>
        </w:rPr>
      </w:pPr>
      <w:r>
        <w:rPr>
          <w:rFonts w:ascii="Times New Roman" w:cs="Times New Roman" w:eastAsia="Times New Roman" w:hAnsi="Times New Roman"/>
          <w:sz w:val="20"/>
          <w:szCs w:val="20"/>
          <w:color w:val="auto"/>
        </w:rPr>
        <w:t>By:</w:t>
        <w:tab/>
        <w:t>Krishna Gupta</w:t>
      </w:r>
    </w:p>
    <w:p>
      <w:pPr>
        <w:spacing w:after="0" w:line="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-144780</wp:posOffset>
            </wp:positionV>
            <wp:extent cx="27603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20"/>
          <w:szCs w:val="20"/>
          <w:color w:val="auto"/>
        </w:rPr>
        <w:t>Title: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Signature Page to Warrant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507365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300"/>
          </w:cols>
          <w:pgMar w:left="1440" w:top="464" w:right="1159" w:bottom="1440" w:gutter="0" w:footer="0" w:header="0"/>
        </w:sectPr>
      </w:pPr>
    </w:p>
    <w:bookmarkStart w:id="138" w:name="page139"/>
    <w:bookmarkEnd w:id="138"/>
    <w:tbl>
      <w:tblPr>
        <w:tblLayout w:type="fixed"/>
        <w:tblInd w:w="1620" w:type="dxa"/>
        <w:tblCellMar>
          <w:top w:w="0" w:type="dxa"/>
          <w:left w:w="0" w:type="dxa"/>
          <w:bottom w:w="0" w:type="dxa"/>
          <w:right w:w="0" w:type="dxa"/>
        </w:tblCellMar>
      </w:tblPr>
      <w:tr>
        <w:trPr>
          <w:trHeight w:val="262"/>
        </w:trPr>
        <w:tc>
          <w:tcPr>
            <w:tcW w:w="5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w w:val="97"/>
              </w:rPr>
              <w:t>EXHIBIT A</w:t>
            </w:r>
          </w:p>
        </w:tc>
      </w:tr>
      <w:tr>
        <w:trPr>
          <w:trHeight w:val="446"/>
        </w:trPr>
        <w:tc>
          <w:tcPr>
            <w:tcW w:w="6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EXERCISE NOTICE</w:t>
            </w:r>
          </w:p>
        </w:tc>
        <w:tc>
          <w:tcPr>
            <w:tcW w:w="1340" w:type="dxa"/>
            <w:vAlign w:val="bottom"/>
          </w:tcPr>
          <w:p>
            <w:pPr>
              <w:spacing w:after="0"/>
              <w:rPr>
                <w:sz w:val="24"/>
                <w:szCs w:val="24"/>
                <w:color w:val="auto"/>
              </w:rPr>
            </w:pPr>
          </w:p>
        </w:tc>
      </w:tr>
      <w:tr>
        <w:trPr>
          <w:trHeight w:val="413"/>
        </w:trPr>
        <w:tc>
          <w:tcPr>
            <w:tcW w:w="69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TO BE EXECUTED BY THE REGISTERED HOLDER TO EXERCISE THIS</w:t>
            </w:r>
          </w:p>
        </w:tc>
        <w:tc>
          <w:tcPr>
            <w:tcW w:w="1340" w:type="dxa"/>
            <w:vAlign w:val="bottom"/>
          </w:tcPr>
          <w:p>
            <w:pPr>
              <w:spacing w:after="0"/>
              <w:rPr>
                <w:sz w:val="24"/>
                <w:szCs w:val="24"/>
                <w:color w:val="auto"/>
              </w:rPr>
            </w:pPr>
          </w:p>
        </w:tc>
      </w:tr>
      <w:tr>
        <w:trPr>
          <w:trHeight w:val="262"/>
        </w:trPr>
        <w:tc>
          <w:tcPr>
            <w:tcW w:w="6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WARRANT TO PURCHASE COMMON STOCK</w:t>
            </w:r>
          </w:p>
        </w:tc>
        <w:tc>
          <w:tcPr>
            <w:tcW w:w="1340" w:type="dxa"/>
            <w:vAlign w:val="bottom"/>
          </w:tcPr>
          <w:p>
            <w:pPr>
              <w:spacing w:after="0"/>
              <w:rPr>
                <w:sz w:val="22"/>
                <w:szCs w:val="22"/>
                <w:color w:val="auto"/>
              </w:rPr>
            </w:pPr>
          </w:p>
        </w:tc>
      </w:tr>
      <w:tr>
        <w:trPr>
          <w:trHeight w:val="540"/>
        </w:trPr>
        <w:tc>
          <w:tcPr>
            <w:tcW w:w="6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PRESTO AUTOMATION INC.</w:t>
            </w:r>
          </w:p>
        </w:tc>
        <w:tc>
          <w:tcPr>
            <w:tcW w:w="1340" w:type="dxa"/>
            <w:vAlign w:val="bottom"/>
          </w:tcPr>
          <w:p>
            <w:pPr>
              <w:spacing w:after="0"/>
              <w:rPr>
                <w:sz w:val="24"/>
                <w:szCs w:val="24"/>
                <w:color w:val="auto"/>
              </w:rPr>
            </w:pPr>
          </w:p>
        </w:tc>
      </w:tr>
      <w:tr>
        <w:trPr>
          <w:trHeight w:val="413"/>
        </w:trPr>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 undersigned holder hereby exercises the right to purchase</w:t>
            </w:r>
          </w:p>
        </w:tc>
        <w:tc>
          <w:tcPr>
            <w:tcW w:w="1720" w:type="dxa"/>
            <w:vAlign w:val="bottom"/>
            <w:tcBorders>
              <w:bottom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of the shares of</w:t>
            </w:r>
          </w:p>
        </w:tc>
      </w:tr>
    </w:tbl>
    <w:p>
      <w:pPr>
        <w:jc w:val="both"/>
        <w:ind w:left="1100"/>
        <w:spacing w:after="0" w:line="256" w:lineRule="auto"/>
        <w:rPr>
          <w:sz w:val="20"/>
          <w:szCs w:val="20"/>
          <w:color w:val="auto"/>
        </w:rPr>
      </w:pPr>
      <w:r>
        <w:rPr>
          <w:rFonts w:ascii="Times New Roman" w:cs="Times New Roman" w:eastAsia="Times New Roman" w:hAnsi="Times New Roman"/>
          <w:sz w:val="20"/>
          <w:szCs w:val="20"/>
          <w:color w:val="auto"/>
        </w:rPr>
        <w:t>Common Stock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of Presto Automation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evidenced by the attached Warrant to Purchase Common Stock (the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Capitalized terms used herein and not otherwise defined shall have the respective meanings set forth in the Warrant.</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1. Form of Exercise Price. The Holder intends that payment of the Exercise Price shall be made as:</w:t>
      </w:r>
    </w:p>
    <w:p>
      <w:pPr>
        <w:spacing w:after="0" w:line="197"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 “Cash Exercise” with respect to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6"/>
        </w:trPr>
        <w:tc>
          <w:tcPr>
            <w:tcW w:w="1180" w:type="dxa"/>
            <w:vAlign w:val="bottom"/>
          </w:tcPr>
          <w:p>
            <w:pPr>
              <w:spacing w:after="0"/>
              <w:rPr>
                <w:sz w:val="22"/>
                <w:szCs w:val="22"/>
                <w:color w:val="auto"/>
              </w:rPr>
            </w:pPr>
          </w:p>
        </w:tc>
        <w:tc>
          <w:tcPr>
            <w:tcW w:w="45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and/or</w:t>
            </w:r>
          </w:p>
        </w:tc>
        <w:tc>
          <w:tcPr>
            <w:tcW w:w="1320" w:type="dxa"/>
            <w:vAlign w:val="bottom"/>
          </w:tcPr>
          <w:p>
            <w:pPr>
              <w:spacing w:after="0"/>
              <w:rPr>
                <w:sz w:val="22"/>
                <w:szCs w:val="22"/>
                <w:color w:val="auto"/>
              </w:rPr>
            </w:pPr>
          </w:p>
        </w:tc>
      </w:tr>
      <w:tr>
        <w:trPr>
          <w:trHeight w:val="39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 “Cashless Exercise” with respect to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1100"/>
        <w:spacing w:after="0" w:line="254" w:lineRule="auto"/>
        <w:rPr>
          <w:sz w:val="20"/>
          <w:szCs w:val="20"/>
          <w:color w:val="auto"/>
        </w:rPr>
      </w:pPr>
      <w:r>
        <w:rPr>
          <w:rFonts w:ascii="Times New Roman" w:cs="Times New Roman" w:eastAsia="Times New Roman" w:hAnsi="Times New Roman"/>
          <w:sz w:val="20"/>
          <w:szCs w:val="20"/>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left="1100" w:firstLine="653"/>
        <w:spacing w:after="0" w:line="250" w:lineRule="auto"/>
        <w:tabs>
          <w:tab w:leader="none" w:pos="194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Exercise Price. In the event that the holder has elected a Cash Exercise with respect to some or all of the Warrant Shares to be issued pursuant hereto, the holder shall pay the Aggregate Exercise</w:t>
      </w:r>
    </w:p>
    <w:tbl>
      <w:tblPr>
        <w:tblLayout w:type="fixed"/>
        <w:tblInd w:w="0" w:type="dxa"/>
        <w:tblCellMar>
          <w:top w:w="0" w:type="dxa"/>
          <w:left w:w="0" w:type="dxa"/>
          <w:bottom w:w="0" w:type="dxa"/>
          <w:right w:w="0" w:type="dxa"/>
        </w:tblCellMar>
      </w:tblPr>
      <w:tr>
        <w:trPr>
          <w:trHeight w:val="192"/>
        </w:trPr>
        <w:tc>
          <w:tcPr>
            <w:tcW w:w="2880" w:type="dxa"/>
            <w:vAlign w:val="bottom"/>
            <w:gridSpan w:val="4"/>
          </w:tcPr>
          <w:p>
            <w:pPr>
              <w:ind w:left="1100"/>
              <w:spacing w:after="0" w:line="192" w:lineRule="exact"/>
              <w:rPr>
                <w:sz w:val="20"/>
                <w:szCs w:val="20"/>
                <w:color w:val="auto"/>
              </w:rPr>
            </w:pPr>
            <w:r>
              <w:rPr>
                <w:rFonts w:ascii="Times New Roman" w:cs="Times New Roman" w:eastAsia="Times New Roman" w:hAnsi="Times New Roman"/>
                <w:sz w:val="20"/>
                <w:szCs w:val="20"/>
                <w:color w:val="auto"/>
              </w:rPr>
              <w:t>Price in the sum of $</w:t>
            </w:r>
          </w:p>
        </w:tc>
        <w:tc>
          <w:tcPr>
            <w:tcW w:w="680" w:type="dxa"/>
            <w:vAlign w:val="bottom"/>
            <w:tcBorders>
              <w:bottom w:val="single" w:sz="8" w:color="auto"/>
            </w:tcBorders>
            <w:gridSpan w:val="3"/>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440" w:type="dxa"/>
            <w:vAlign w:val="bottom"/>
            <w:gridSpan w:val="6"/>
          </w:tcPr>
          <w:p>
            <w:pPr>
              <w:jc w:val="right"/>
              <w:spacing w:after="0" w:line="192" w:lineRule="exact"/>
              <w:rPr>
                <w:sz w:val="20"/>
                <w:szCs w:val="20"/>
                <w:color w:val="auto"/>
              </w:rPr>
            </w:pPr>
            <w:r>
              <w:rPr>
                <w:rFonts w:ascii="Times New Roman" w:cs="Times New Roman" w:eastAsia="Times New Roman" w:hAnsi="Times New Roman"/>
                <w:sz w:val="20"/>
                <w:szCs w:val="20"/>
                <w:color w:val="auto"/>
              </w:rPr>
              <w:t>to the Company in accordance with the terms of the</w:t>
            </w:r>
          </w:p>
        </w:tc>
        <w:tc>
          <w:tcPr>
            <w:tcW w:w="0" w:type="dxa"/>
            <w:vAlign w:val="bottom"/>
          </w:tcPr>
          <w:p>
            <w:pPr>
              <w:spacing w:after="0"/>
              <w:rPr>
                <w:sz w:val="1"/>
                <w:szCs w:val="1"/>
                <w:color w:val="auto"/>
              </w:rPr>
            </w:pPr>
          </w:p>
        </w:tc>
      </w:tr>
      <w:tr>
        <w:trPr>
          <w:trHeight w:val="256"/>
        </w:trPr>
        <w:tc>
          <w:tcPr>
            <w:tcW w:w="3560" w:type="dxa"/>
            <w:vAlign w:val="bottom"/>
            <w:gridSpan w:val="7"/>
          </w:tcPr>
          <w:p>
            <w:pPr>
              <w:ind w:left="1100"/>
              <w:spacing w:after="0"/>
              <w:rPr>
                <w:sz w:val="20"/>
                <w:szCs w:val="20"/>
                <w:color w:val="auto"/>
              </w:rPr>
            </w:pPr>
            <w:r>
              <w:rPr>
                <w:rFonts w:ascii="Times New Roman" w:cs="Times New Roman" w:eastAsia="Times New Roman" w:hAnsi="Times New Roman"/>
                <w:sz w:val="20"/>
                <w:szCs w:val="20"/>
                <w:color w:val="auto"/>
              </w:rPr>
              <w:t>Warrant.</w:t>
            </w:r>
          </w:p>
        </w:tc>
        <w:tc>
          <w:tcPr>
            <w:tcW w:w="1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60" w:type="dxa"/>
            <w:vAlign w:val="bottom"/>
            <w:gridSpan w:val="10"/>
          </w:tcPr>
          <w:p>
            <w:pPr>
              <w:ind w:left="180"/>
              <w:spacing w:after="0"/>
              <w:rPr>
                <w:sz w:val="20"/>
                <w:szCs w:val="20"/>
                <w:color w:val="auto"/>
              </w:rPr>
            </w:pPr>
            <w:r>
              <w:rPr>
                <w:rFonts w:ascii="Times New Roman" w:cs="Times New Roman" w:eastAsia="Times New Roman" w:hAnsi="Times New Roman"/>
                <w:sz w:val="20"/>
                <w:szCs w:val="20"/>
                <w:color w:val="auto"/>
              </w:rPr>
              <w:t>3. Delivery of Warrant Shares. The Company shall deliver to the holder ​</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w:t>
            </w:r>
          </w:p>
        </w:tc>
        <w:tc>
          <w:tcPr>
            <w:tcW w:w="0" w:type="dxa"/>
            <w:vAlign w:val="bottom"/>
          </w:tcPr>
          <w:p>
            <w:pPr>
              <w:spacing w:after="0"/>
              <w:rPr>
                <w:sz w:val="1"/>
                <w:szCs w:val="1"/>
                <w:color w:val="auto"/>
              </w:rPr>
            </w:pPr>
          </w:p>
        </w:tc>
      </w:tr>
      <w:tr>
        <w:trPr>
          <w:trHeight w:val="256"/>
        </w:trPr>
        <w:tc>
          <w:tcPr>
            <w:tcW w:w="7900" w:type="dxa"/>
            <w:vAlign w:val="bottom"/>
            <w:gridSpan w:val="11"/>
          </w:tcPr>
          <w:p>
            <w:pPr>
              <w:ind w:left="1100"/>
              <w:spacing w:after="0"/>
              <w:rPr>
                <w:sz w:val="20"/>
                <w:szCs w:val="20"/>
                <w:color w:val="auto"/>
              </w:rPr>
            </w:pPr>
            <w:r>
              <w:rPr>
                <w:rFonts w:ascii="Times New Roman" w:cs="Times New Roman" w:eastAsia="Times New Roman" w:hAnsi="Times New Roman"/>
                <w:sz w:val="20"/>
                <w:szCs w:val="20"/>
                <w:color w:val="auto"/>
              </w:rPr>
              <w:t>Shares in accordance with the terms of the Warrant.</w:t>
            </w:r>
          </w:p>
        </w:tc>
        <w:tc>
          <w:tcPr>
            <w:tcW w:w="1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1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Electronic Delivery</w:t>
            </w:r>
          </w:p>
        </w:tc>
        <w:tc>
          <w:tcPr>
            <w:tcW w:w="25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DTC Participant:</w:t>
            </w:r>
          </w:p>
        </w:tc>
        <w:tc>
          <w:tcPr>
            <w:tcW w:w="2920" w:type="dxa"/>
            <w:vAlign w:val="bottom"/>
            <w:tcBorders>
              <w:bottom w:val="single" w:sz="8" w:color="auto"/>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gridSpan w:val="3"/>
          </w:tcPr>
          <w:p>
            <w:pPr>
              <w:ind w:left="780"/>
              <w:spacing w:after="0" w:line="209" w:lineRule="exact"/>
              <w:rPr>
                <w:sz w:val="20"/>
                <w:szCs w:val="20"/>
                <w:color w:val="auto"/>
              </w:rPr>
            </w:pPr>
            <w:r>
              <w:rPr>
                <w:rFonts w:ascii="Times New Roman" w:cs="Times New Roman" w:eastAsia="Times New Roman" w:hAnsi="Times New Roman"/>
                <w:sz w:val="20"/>
                <w:szCs w:val="20"/>
                <w:color w:val="auto"/>
              </w:rPr>
              <w:t>DTC Number:</w:t>
            </w:r>
          </w:p>
        </w:tc>
        <w:tc>
          <w:tcPr>
            <w:tcW w:w="2900" w:type="dxa"/>
            <w:vAlign w:val="bottom"/>
            <w:tcBorders>
              <w:bottom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gridSpan w:val="3"/>
          </w:tcPr>
          <w:p>
            <w:pPr>
              <w:ind w:left="780"/>
              <w:spacing w:after="0" w:line="209" w:lineRule="exact"/>
              <w:rPr>
                <w:sz w:val="20"/>
                <w:szCs w:val="20"/>
                <w:color w:val="auto"/>
              </w:rPr>
            </w:pPr>
            <w:r>
              <w:rPr>
                <w:rFonts w:ascii="Times New Roman" w:cs="Times New Roman" w:eastAsia="Times New Roman" w:hAnsi="Times New Roman"/>
                <w:sz w:val="20"/>
                <w:szCs w:val="20"/>
                <w:color w:val="auto"/>
              </w:rPr>
              <w:t>Account Name:</w:t>
            </w:r>
          </w:p>
        </w:tc>
        <w:tc>
          <w:tcPr>
            <w:tcW w:w="2900" w:type="dxa"/>
            <w:vAlign w:val="bottom"/>
            <w:tcBorders>
              <w:bottom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vMerge w:val="restart"/>
          </w:tcPr>
          <w:p>
            <w:pPr>
              <w:ind w:left="40"/>
              <w:spacing w:after="0"/>
              <w:rPr>
                <w:sz w:val="20"/>
                <w:szCs w:val="20"/>
                <w:color w:val="auto"/>
              </w:rPr>
            </w:pPr>
            <w:r>
              <w:rPr>
                <w:rFonts w:ascii="Times New Roman" w:cs="Times New Roman" w:eastAsia="Times New Roman" w:hAnsi="Times New Roman"/>
                <w:sz w:val="20"/>
                <w:szCs w:val="20"/>
                <w:color w:val="auto"/>
              </w:rPr>
              <w:t>Physical Delivery</w:t>
            </w:r>
          </w:p>
        </w:tc>
        <w:tc>
          <w:tcPr>
            <w:tcW w:w="2580" w:type="dxa"/>
            <w:vAlign w:val="bottom"/>
            <w:gridSpan w:val="3"/>
          </w:tcPr>
          <w:p>
            <w:pPr>
              <w:ind w:left="780"/>
              <w:spacing w:after="0" w:line="209" w:lineRule="exact"/>
              <w:rPr>
                <w:sz w:val="20"/>
                <w:szCs w:val="20"/>
                <w:color w:val="auto"/>
              </w:rPr>
            </w:pPr>
            <w:r>
              <w:rPr>
                <w:rFonts w:ascii="Times New Roman" w:cs="Times New Roman" w:eastAsia="Times New Roman" w:hAnsi="Times New Roman"/>
                <w:sz w:val="20"/>
                <w:szCs w:val="20"/>
                <w:color w:val="auto"/>
              </w:rPr>
              <w:t>Account Number:</w:t>
            </w:r>
          </w:p>
        </w:tc>
        <w:tc>
          <w:tcPr>
            <w:tcW w:w="2900" w:type="dxa"/>
            <w:vAlign w:val="bottom"/>
            <w:tcBorders>
              <w:bottom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gridSpan w:val="4"/>
            <w:vMerge w:val="continue"/>
          </w:tcPr>
          <w:p>
            <w:pPr>
              <w:spacing w:after="0"/>
              <w:rPr>
                <w:sz w:val="18"/>
                <w:szCs w:val="18"/>
                <w:color w:val="auto"/>
              </w:rPr>
            </w:pPr>
          </w:p>
        </w:tc>
        <w:tc>
          <w:tcPr>
            <w:tcW w:w="5480" w:type="dxa"/>
            <w:vAlign w:val="bottom"/>
            <w:gridSpan w:val="5"/>
          </w:tcPr>
          <w:p>
            <w:pPr>
              <w:ind w:left="780"/>
              <w:spacing w:after="0" w:line="209" w:lineRule="exact"/>
              <w:rPr>
                <w:sz w:val="20"/>
                <w:szCs w:val="20"/>
                <w:color w:val="auto"/>
              </w:rPr>
            </w:pPr>
            <w:r>
              <w:rPr>
                <w:rFonts w:ascii="Times New Roman" w:cs="Times New Roman" w:eastAsia="Times New Roman" w:hAnsi="Times New Roman"/>
                <w:sz w:val="20"/>
                <w:szCs w:val="20"/>
                <w:color w:val="auto"/>
              </w:rPr>
              <w:t>Address: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100" w:type="dxa"/>
            <w:vAlign w:val="bottom"/>
          </w:tcPr>
          <w:p>
            <w:pPr>
              <w:spacing w:after="0"/>
              <w:rPr>
                <w:sz w:val="24"/>
                <w:szCs w:val="24"/>
                <w:color w:val="auto"/>
              </w:rPr>
            </w:pPr>
          </w:p>
        </w:tc>
        <w:tc>
          <w:tcPr>
            <w:tcW w:w="24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Name of Registered Holder</w:t>
            </w: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1"/>
        </w:trPr>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10" w:right="999" w:bottom="1440" w:gutter="0" w:footer="0" w:header="0"/>
        </w:sectPr>
      </w:pPr>
    </w:p>
    <w:bookmarkStart w:id="139" w:name="page140"/>
    <w:bookmarkEnd w:id="139"/>
    <w:p>
      <w:pPr>
        <w:ind w:left="6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-10795</wp:posOffset>
            </wp:positionV>
            <wp:extent cx="18529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2930" cy="8255"/>
                    </a:xfrm>
                    <a:prstGeom prst="rect">
                      <a:avLst/>
                    </a:prstGeom>
                    <a:noFill/>
                  </pic:spPr>
                </pic:pic>
              </a:graphicData>
            </a:graphic>
          </wp:anchor>
        </w:drawing>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Name:</w:t>
      </w:r>
    </w:p>
    <w:p>
      <w:pPr>
        <w:ind w:left="11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780415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140" w:name="page141"/>
    <w:bookmarkEnd w:id="140"/>
    <w:p>
      <w:pPr>
        <w:ind w:left="7380"/>
        <w:spacing w:after="0"/>
        <w:rPr>
          <w:sz w:val="20"/>
          <w:szCs w:val="20"/>
          <w:color w:val="auto"/>
        </w:rPr>
      </w:pPr>
      <w:r>
        <w:rPr>
          <w:rFonts w:ascii="Times New Roman" w:cs="Times New Roman" w:eastAsia="Times New Roman" w:hAnsi="Times New Roman"/>
          <w:sz w:val="19"/>
          <w:szCs w:val="19"/>
          <w:b w:val="1"/>
          <w:bCs w:val="1"/>
          <w:color w:val="auto"/>
        </w:rPr>
        <w:t>ACKNOWLEDGMENT</w:t>
      </w:r>
    </w:p>
    <w:p>
      <w:pPr>
        <w:spacing w:after="0" w:line="230"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0"/>
          <w:szCs w:val="20"/>
          <w:color w:val="auto"/>
        </w:rPr>
        <w:t>The Company hereby acknowledges this Exercise Notice and hereby directs [TRANSFER AGENT] to issue the above indicated number of shares of Common Stock in accordance with the Transfer Agent</w:t>
      </w:r>
    </w:p>
    <w:p>
      <w:pPr>
        <w:spacing w:after="0" w:line="2" w:lineRule="exact"/>
        <w:rPr>
          <w:sz w:val="20"/>
          <w:szCs w:val="20"/>
          <w:color w:val="auto"/>
        </w:rPr>
      </w:pPr>
    </w:p>
    <w:p>
      <w:pPr>
        <w:jc w:val="both"/>
        <w:ind w:left="640"/>
        <w:spacing w:after="0" w:line="243" w:lineRule="auto"/>
        <w:rPr>
          <w:sz w:val="20"/>
          <w:szCs w:val="20"/>
          <w:color w:val="auto"/>
        </w:rPr>
      </w:pPr>
      <w:r>
        <w:rPr>
          <w:rFonts w:ascii="Times New Roman" w:cs="Times New Roman" w:eastAsia="Times New Roman" w:hAnsi="Times New Roman"/>
          <w:sz w:val="20"/>
          <w:szCs w:val="20"/>
          <w:color w:val="auto"/>
        </w:rPr>
        <w:t>Instructions dated from the Company and acknowledged and agreed to by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-26670</wp:posOffset>
            </wp:positionV>
            <wp:extent cx="11195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-10795</wp:posOffset>
            </wp:positionV>
            <wp:extent cx="1790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ind w:left="32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780415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20"/>
          <w:szCs w:val="20"/>
          <w:b w:val="1"/>
          <w:bCs w:val="1"/>
          <w:color w:val="auto"/>
        </w:rPr>
        <w:t>ASSIGNMENT FORM</w:t>
      </w:r>
    </w:p>
    <w:p>
      <w:pPr>
        <w:spacing w:after="0" w:line="23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(To assign the foregoing warrant, execute</w:t>
      </w:r>
    </w:p>
    <w:p>
      <w:pPr>
        <w:spacing w:after="0" w:line="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this form and supply required information.</w:t>
      </w:r>
    </w:p>
    <w:p>
      <w:pPr>
        <w:ind w:left="3180"/>
        <w:spacing w:after="0"/>
        <w:rPr>
          <w:sz w:val="20"/>
          <w:szCs w:val="20"/>
          <w:color w:val="auto"/>
        </w:rPr>
      </w:pPr>
      <w:r>
        <w:rPr>
          <w:rFonts w:ascii="Times New Roman" w:cs="Times New Roman" w:eastAsia="Times New Roman" w:hAnsi="Times New Roman"/>
          <w:sz w:val="20"/>
          <w:szCs w:val="20"/>
          <w:color w:val="auto"/>
        </w:rPr>
        <w:t>Do not use this form to exercise the warrant.)</w:t>
      </w:r>
    </w:p>
    <w:p>
      <w:pPr>
        <w:spacing w:after="0" w:line="193"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FOR VALUE RECEIVED,</w:t>
            </w:r>
          </w:p>
        </w:tc>
        <w:tc>
          <w:tcPr>
            <w:tcW w:w="1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 of or</w:t>
            </w:r>
          </w:p>
        </w:tc>
        <w:tc>
          <w:tcPr>
            <w:tcW w:w="466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w w:val="98"/>
              </w:rPr>
              <w:t>shares of the foregoing Warrant and all rights evidenced</w:t>
            </w:r>
          </w:p>
        </w:tc>
      </w:tr>
      <w:tr>
        <w:trPr>
          <w:trHeight w:val="258"/>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thereby are hereby assigned to</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13"/>
        </w:trPr>
        <w:tc>
          <w:tcPr>
            <w:tcW w:w="2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12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whose address is</w:t>
            </w:r>
          </w:p>
        </w:tc>
      </w:tr>
      <w:tr>
        <w:trPr>
          <w:trHeight w:val="453"/>
        </w:trPr>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Dated:</w:t>
            </w:r>
          </w:p>
        </w:tc>
        <w:tc>
          <w:tcPr>
            <w:tcW w:w="1200" w:type="dxa"/>
            <w:vAlign w:val="bottom"/>
            <w:gridSpan w:val="4"/>
          </w:tcPr>
          <w:p>
            <w:pPr>
              <w:spacing w:after="0"/>
              <w:rPr>
                <w:sz w:val="24"/>
                <w:szCs w:val="24"/>
                <w:color w:val="auto"/>
              </w:rPr>
            </w:pPr>
          </w:p>
        </w:tc>
        <w:tc>
          <w:tcPr>
            <w:tcW w:w="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0"/>
              </w:rPr>
              <w: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2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80" w:type="dxa"/>
            <w:vAlign w:val="bottom"/>
            <w:gridSpan w:val="5"/>
          </w:tcPr>
          <w:p>
            <w:pPr>
              <w:ind w:left="520"/>
              <w:spacing w:after="0" w:line="209" w:lineRule="exact"/>
              <w:rPr>
                <w:sz w:val="20"/>
                <w:szCs w:val="20"/>
                <w:color w:val="auto"/>
              </w:rPr>
            </w:pPr>
            <w:r>
              <w:rPr>
                <w:rFonts w:ascii="Times New Roman" w:cs="Times New Roman" w:eastAsia="Times New Roman" w:hAnsi="Times New Roman"/>
                <w:sz w:val="20"/>
                <w:szCs w:val="20"/>
                <w:color w:val="auto"/>
              </w:rPr>
              <w:t>Holder’s Signature:</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80" w:type="dxa"/>
            <w:vAlign w:val="bottom"/>
            <w:gridSpan w:val="5"/>
          </w:tcPr>
          <w:p>
            <w:pPr>
              <w:ind w:left="520"/>
              <w:spacing w:after="0" w:line="209" w:lineRule="exact"/>
              <w:rPr>
                <w:sz w:val="20"/>
                <w:szCs w:val="20"/>
                <w:color w:val="auto"/>
              </w:rPr>
            </w:pPr>
            <w:r>
              <w:rPr>
                <w:rFonts w:ascii="Times New Roman" w:cs="Times New Roman" w:eastAsia="Times New Roman" w:hAnsi="Times New Roman"/>
                <w:sz w:val="20"/>
                <w:szCs w:val="20"/>
                <w:color w:val="auto"/>
              </w:rPr>
              <w:t>Holder’s Address: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61" w:lineRule="exact"/>
        <w:rPr>
          <w:sz w:val="20"/>
          <w:szCs w:val="20"/>
          <w:color w:val="auto"/>
        </w:rPr>
      </w:pPr>
    </w:p>
    <w:p>
      <w:pPr>
        <w:ind w:right="39"/>
        <w:spacing w:after="0" w:line="269" w:lineRule="auto"/>
        <w:rPr>
          <w:sz w:val="20"/>
          <w:szCs w:val="20"/>
          <w:color w:val="auto"/>
        </w:rPr>
      </w:pPr>
      <w:r>
        <w:rPr>
          <w:rFonts w:ascii="Times New Roman" w:cs="Times New Roman" w:eastAsia="Times New Roman" w:hAnsi="Times New Roman"/>
          <w:sz w:val="20"/>
          <w:szCs w:val="20"/>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321310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410"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29"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20"/>
          <w:szCs w:val="20"/>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1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WARRANT TO PURCHASE COMMON STOCK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Warrant No.: 2023-2</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Number of Shares of Common Stock: 128,280</w:t>
      </w:r>
    </w:p>
    <w:p>
      <w:pPr>
        <w:ind w:left="640"/>
        <w:spacing w:after="0"/>
        <w:rPr>
          <w:sz w:val="20"/>
          <w:szCs w:val="20"/>
          <w:color w:val="auto"/>
        </w:rPr>
      </w:pPr>
      <w:r>
        <w:rPr>
          <w:rFonts w:ascii="Times New Roman" w:cs="Times New Roman" w:eastAsia="Times New Roman" w:hAnsi="Times New Roman"/>
          <w:sz w:val="20"/>
          <w:szCs w:val="20"/>
          <w:color w:val="auto"/>
        </w:rPr>
        <w:t>Date of Issuance: March 31, 2023 (“</w:t>
      </w:r>
      <w:r>
        <w:rPr>
          <w:rFonts w:ascii="Times New Roman" w:cs="Times New Roman" w:eastAsia="Times New Roman" w:hAnsi="Times New Roman"/>
          <w:sz w:val="20"/>
          <w:szCs w:val="20"/>
          <w:b w:val="1"/>
          <w:bCs w:val="1"/>
          <w:color w:val="auto"/>
        </w:rPr>
        <w:t>Issuance Date</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left="640" w:firstLine="1296"/>
        <w:spacing w:after="0" w:line="242" w:lineRule="auto"/>
        <w:rPr>
          <w:sz w:val="20"/>
          <w:szCs w:val="20"/>
          <w:color w:val="auto"/>
        </w:rPr>
      </w:pPr>
      <w:r>
        <w:rPr>
          <w:rFonts w:ascii="Times New Roman" w:cs="Times New Roman" w:eastAsia="Times New Roman" w:hAnsi="Times New Roman"/>
          <w:sz w:val="20"/>
          <w:szCs w:val="20"/>
          <w:color w:val="auto"/>
        </w:rPr>
        <w:t>Presto Automation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certifies that, for good and valuable consideration, the receipt and sufficiency of which are hereby acknowledged, Metropolitan Partners Fund VII, LP, the registered holder hereof or its permitted assigns (the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128,280 duly authorized, validly issued, fully paid, nonassessable shares of Common Stock, subject to adjustment as provided herein (the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shall have the meanings set forth in Section 17. This Warrant is being issued pursuant to Section 4 of that certain Amended and Restated Fee Letter, dated March 31, 2023, among E La Carte, LLC, the Company and Metropolitan Partners Group Administration, LLC, as agent (the “</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Capitalized terms used herein and not otherwise defined shall have the definitions ascribed to such terms in the Credit Agreement (as defined in the Fee Letter).</w:t>
      </w:r>
    </w:p>
    <w:p>
      <w:pPr>
        <w:spacing w:after="0" w:line="200" w:lineRule="exact"/>
        <w:rPr>
          <w:sz w:val="20"/>
          <w:szCs w:val="20"/>
          <w:color w:val="auto"/>
        </w:rPr>
      </w:pPr>
    </w:p>
    <w:p>
      <w:pPr>
        <w:ind w:left="2580" w:hanging="642"/>
        <w:spacing w:after="0"/>
        <w:tabs>
          <w:tab w:leader="none" w:pos="25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WARRANT.</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43" w:lineRule="auto"/>
        <w:tabs>
          <w:tab w:leader="none" w:pos="3233"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 of Exercise</w:t>
      </w:r>
      <w:r>
        <w:rPr>
          <w:rFonts w:ascii="Times New Roman" w:cs="Times New Roman" w:eastAsia="Times New Roman" w:hAnsi="Times New Roman"/>
          <w:sz w:val="20"/>
          <w:szCs w:val="20"/>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Exercise Notice</w:t>
      </w:r>
      <w:r>
        <w:rPr>
          <w:rFonts w:ascii="Times New Roman" w:cs="Times New Roman" w:eastAsia="Times New Roman" w:hAnsi="Times New Roman"/>
          <w:sz w:val="20"/>
          <w:szCs w:val="20"/>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20"/>
          <w:szCs w:val="20"/>
          <w:b w:val="1"/>
          <w:bCs w:val="1"/>
          <w:color w:val="auto"/>
        </w:rPr>
        <w:t>Aggregate Exercise Price</w:t>
      </w:r>
      <w:r>
        <w:rPr>
          <w:rFonts w:ascii="Times New Roman" w:cs="Times New Roman" w:eastAsia="Times New Roman" w:hAnsi="Times New Roman"/>
          <w:sz w:val="20"/>
          <w:szCs w:val="20"/>
          <w:color w:val="auto"/>
        </w:rPr>
        <w:t>”) in cash by wire transfer of immediately available funds or (B) if the provisions of Section 1(d) are applicable, by notifying the Company that this Warrant is being exercised pursuant to a Cashless Exercise. The Holder shall not be required to physically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767080</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329" w:right="999" w:bottom="1440" w:gutter="0" w:footer="0" w:header="0"/>
        </w:sectPr>
      </w:pPr>
    </w:p>
    <w:bookmarkStart w:id="143" w:name="page144"/>
    <w:bookmarkEnd w:id="143"/>
    <w:p>
      <w:pPr>
        <w:jc w:val="both"/>
        <w:ind w:left="640"/>
        <w:spacing w:after="0" w:line="253" w:lineRule="auto"/>
        <w:rPr>
          <w:sz w:val="20"/>
          <w:szCs w:val="20"/>
          <w:color w:val="auto"/>
        </w:rPr>
      </w:pPr>
      <w:r>
        <w:rPr>
          <w:rFonts w:ascii="Times New Roman" w:cs="Times New Roman" w:eastAsia="Times New Roman" w:hAnsi="Times New Roman"/>
          <w:sz w:val="19"/>
          <w:szCs w:val="19"/>
          <w:color w:val="auto"/>
        </w:rPr>
        <w:t xml:space="preserve">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9"/>
          <w:szCs w:val="19"/>
          <w:b w:val="1"/>
          <w:bCs w:val="1"/>
          <w:color w:val="auto"/>
        </w:rPr>
        <w:t>The Holder and any assignee, by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9"/>
          <w:szCs w:val="19"/>
          <w:color w:val="auto"/>
        </w:rPr>
        <w:t>On or before the third (3rd) Trading Day following the date on which the Company has received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Notice (the “</w:t>
      </w:r>
      <w:r>
        <w:rPr>
          <w:rFonts w:ascii="Times New Roman" w:cs="Times New Roman" w:eastAsia="Times New Roman" w:hAnsi="Times New Roman"/>
          <w:sz w:val="19"/>
          <w:szCs w:val="19"/>
          <w:b w:val="1"/>
          <w:bCs w:val="1"/>
          <w:color w:val="auto"/>
        </w:rPr>
        <w:t>Share Delivery Date</w:t>
      </w:r>
      <w:r>
        <w:rPr>
          <w:rFonts w:ascii="Times New Roman" w:cs="Times New Roman" w:eastAsia="Times New Roman" w:hAnsi="Times New Roman"/>
          <w:sz w:val="19"/>
          <w:szCs w:val="19"/>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is participating in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Fast Automated Securities Transfer Program (“</w:t>
      </w:r>
      <w:r>
        <w:rPr>
          <w:rFonts w:ascii="Times New Roman" w:cs="Times New Roman" w:eastAsia="Times New Roman" w:hAnsi="Times New Roman"/>
          <w:sz w:val="19"/>
          <w:szCs w:val="19"/>
          <w:b w:val="1"/>
          <w:bCs w:val="1"/>
          <w:color w:val="auto"/>
        </w:rPr>
        <w:t>FAST</w:t>
      </w:r>
      <w:r>
        <w:rPr>
          <w:rFonts w:ascii="Times New Roman" w:cs="Times New Roman" w:eastAsia="Times New Roman" w:hAnsi="Times New Roman"/>
          <w:sz w:val="19"/>
          <w:szCs w:val="19"/>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firstLine="1950"/>
        <w:spacing w:after="0" w:line="273" w:lineRule="auto"/>
        <w:tabs>
          <w:tab w:leader="none" w:pos="342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For purposes of this Warrant,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means $0.01, subject to adjustment as provided herein.</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44" w:name="page145"/>
    <w:bookmarkEnd w:id="144"/>
    <w:p>
      <w:pPr>
        <w:jc w:val="both"/>
        <w:ind w:left="640" w:firstLine="1950"/>
        <w:spacing w:after="0"/>
        <w:tabs>
          <w:tab w:leader="none" w:pos="323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Failure to Timely Deliver Securities</w:t>
      </w:r>
      <w:r>
        <w:rPr>
          <w:rFonts w:ascii="Times New Roman" w:cs="Times New Roman" w:eastAsia="Times New Roman" w:hAnsi="Times New Roman"/>
          <w:sz w:val="20"/>
          <w:szCs w:val="20"/>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20"/>
          <w:szCs w:val="20"/>
          <w:b w:val="1"/>
          <w:bCs w:val="1"/>
          <w:color w:val="auto"/>
        </w:rPr>
        <w:t>Delivery Failure</w:t>
      </w:r>
      <w:r>
        <w:rPr>
          <w:rFonts w:ascii="Times New Roman" w:cs="Times New Roman" w:eastAsia="Times New Roman" w:hAnsi="Times New Roman"/>
          <w:sz w:val="20"/>
          <w:szCs w:val="20"/>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20"/>
          <w:szCs w:val="20"/>
          <w:b w:val="1"/>
          <w:bCs w:val="1"/>
          <w:color w:val="auto"/>
        </w:rPr>
        <w:t>Buy-In</w:t>
      </w:r>
      <w:r>
        <w:rPr>
          <w:rFonts w:ascii="Times New Roman" w:cs="Times New Roman" w:eastAsia="Times New Roman" w:hAnsi="Times New Roman"/>
          <w:sz w:val="20"/>
          <w:szCs w:val="20"/>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20"/>
          <w:szCs w:val="20"/>
          <w:b w:val="1"/>
          <w:bCs w:val="1"/>
          <w:color w:val="auto"/>
        </w:rPr>
        <w:t>Buy-In Price</w:t>
      </w:r>
      <w:r>
        <w:rPr>
          <w:rFonts w:ascii="Times New Roman" w:cs="Times New Roman" w:eastAsia="Times New Roman" w:hAnsi="Times New Roman"/>
          <w:sz w:val="20"/>
          <w:szCs w:val="20"/>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 w:cs="Times New Roman" w:eastAsia="Times New Roman" w:hAnsi="Times New Roman"/>
          <w:sz w:val="20"/>
          <w:szCs w:val="20"/>
          <w:b w:val="1"/>
          <w:bCs w:val="1"/>
          <w:color w:val="auto"/>
        </w:rPr>
        <w:t>Buy-In Payment Amount</w:t>
      </w:r>
      <w:r>
        <w:rPr>
          <w:rFonts w:ascii="Times New Roman" w:cs="Times New Roman" w:eastAsia="Times New Roman" w:hAnsi="Times New Roman"/>
          <w:sz w:val="20"/>
          <w:szCs w:val="20"/>
          <w:color w:val="auto"/>
        </w:rPr>
        <w:t>”). The Holder shall provide the Company written notice indicating the amounts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195" w:lineRule="exact"/>
        <w:rPr>
          <w:rFonts w:ascii="Times New Roman" w:cs="Times New Roman" w:eastAsia="Times New Roman" w:hAnsi="Times New Roman"/>
          <w:sz w:val="20"/>
          <w:szCs w:val="20"/>
          <w:color w:val="auto"/>
        </w:rPr>
      </w:pPr>
    </w:p>
    <w:p>
      <w:pPr>
        <w:jc w:val="both"/>
        <w:ind w:left="640" w:firstLine="1949"/>
        <w:spacing w:after="0" w:line="245" w:lineRule="auto"/>
        <w:tabs>
          <w:tab w:leader="none" w:pos="323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Exercise</w:t>
      </w:r>
      <w:r>
        <w:rPr>
          <w:rFonts w:ascii="Times New Roman" w:cs="Times New Roman" w:eastAsia="Times New Roman" w:hAnsi="Times New Roman"/>
          <w:sz w:val="20"/>
          <w:szCs w:val="20"/>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45" w:name="page146"/>
    <w:bookmarkEnd w:id="145"/>
    <w:p>
      <w:pPr>
        <w:jc w:val="right"/>
        <w:ind w:right="4960"/>
        <w:spacing w:after="0"/>
        <w:rPr>
          <w:sz w:val="20"/>
          <w:szCs w:val="20"/>
          <w:color w:val="auto"/>
        </w:rPr>
      </w:pPr>
      <w:r>
        <w:rPr>
          <w:rFonts w:ascii="Times New Roman" w:cs="Times New Roman" w:eastAsia="Times New Roman" w:hAnsi="Times New Roman"/>
          <w:sz w:val="20"/>
          <w:szCs w:val="20"/>
          <w:color w:val="auto"/>
        </w:rPr>
        <w:t xml:space="preserve">Net Number = </w:t>
      </w:r>
      <w:r>
        <w:rPr>
          <w:rFonts w:ascii="Times New Roman" w:cs="Times New Roman" w:eastAsia="Times New Roman" w:hAnsi="Times New Roman"/>
          <w:sz w:val="20"/>
          <w:szCs w:val="20"/>
          <w:u w:val="single" w:color="auto"/>
          <w:color w:val="auto"/>
        </w:rPr>
        <w:t>(A x B) - (A x C)</w:t>
      </w:r>
    </w:p>
    <w:p>
      <w:pPr>
        <w:spacing w:after="0" w:line="22" w:lineRule="exact"/>
        <w:rPr>
          <w:sz w:val="20"/>
          <w:szCs w:val="20"/>
          <w:color w:val="auto"/>
        </w:rPr>
      </w:pPr>
    </w:p>
    <w:p>
      <w:pPr>
        <w:jc w:val="right"/>
        <w:ind w:right="4880"/>
        <w:spacing w:after="0"/>
        <w:rPr>
          <w:sz w:val="20"/>
          <w:szCs w:val="20"/>
          <w:color w:val="auto"/>
        </w:rPr>
      </w:pPr>
      <w:r>
        <w:rPr>
          <w:rFonts w:ascii="Times New Roman" w:cs="Times New Roman" w:eastAsia="Times New Roman" w:hAnsi="Times New Roman"/>
          <w:sz w:val="20"/>
          <w:szCs w:val="20"/>
          <w:color w:val="auto"/>
        </w:rPr>
        <w:t>B</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For purposes of the foregoing formula:</w:t>
      </w:r>
    </w:p>
    <w:p>
      <w:pPr>
        <w:spacing w:after="0" w:line="2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A= the total number of shares with respect to which this Warrant is then being exercised.</w:t>
      </w:r>
    </w:p>
    <w:p>
      <w:pPr>
        <w:spacing w:after="0" w:line="216" w:lineRule="exact"/>
        <w:rPr>
          <w:sz w:val="20"/>
          <w:szCs w:val="20"/>
          <w:color w:val="auto"/>
        </w:rPr>
      </w:pPr>
    </w:p>
    <w:p>
      <w:pPr>
        <w:jc w:val="both"/>
        <w:ind w:left="1940"/>
        <w:spacing w:after="0" w:line="254" w:lineRule="auto"/>
        <w:rPr>
          <w:sz w:val="20"/>
          <w:szCs w:val="20"/>
          <w:color w:val="auto"/>
        </w:rPr>
      </w:pPr>
      <w:r>
        <w:rPr>
          <w:rFonts w:ascii="Times New Roman" w:cs="Times New Roman" w:eastAsia="Times New Roman" w:hAnsi="Times New Roman"/>
          <w:sz w:val="20"/>
          <w:szCs w:val="20"/>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88" w:lineRule="exact"/>
        <w:rPr>
          <w:sz w:val="20"/>
          <w:szCs w:val="20"/>
          <w:color w:val="auto"/>
        </w:rPr>
      </w:pPr>
    </w:p>
    <w:p>
      <w:pPr>
        <w:jc w:val="both"/>
        <w:ind w:left="1940"/>
        <w:spacing w:after="0" w:line="269" w:lineRule="auto"/>
        <w:rPr>
          <w:sz w:val="20"/>
          <w:szCs w:val="20"/>
          <w:color w:val="auto"/>
        </w:rPr>
      </w:pPr>
      <w:r>
        <w:rPr>
          <w:rFonts w:ascii="Times New Roman" w:cs="Times New Roman" w:eastAsia="Times New Roman" w:hAnsi="Times New Roman"/>
          <w:sz w:val="20"/>
          <w:szCs w:val="20"/>
          <w:color w:val="auto"/>
        </w:rPr>
        <w:t>C = the Exercise Price then in effect for the applicable Warrant Shares at the time of such exercise.</w:t>
      </w:r>
    </w:p>
    <w:p>
      <w:pPr>
        <w:spacing w:after="0" w:line="173"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0" w:lineRule="exact"/>
        <w:rPr>
          <w:sz w:val="20"/>
          <w:szCs w:val="20"/>
          <w:color w:val="auto"/>
        </w:rPr>
      </w:pPr>
    </w:p>
    <w:p>
      <w:pPr>
        <w:jc w:val="both"/>
        <w:ind w:left="640" w:firstLine="1950"/>
        <w:spacing w:after="0" w:line="249" w:lineRule="auto"/>
        <w:tabs>
          <w:tab w:leader="none" w:pos="323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tabs>
          <w:tab w:leader="none" w:pos="323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Exercises</w:t>
      </w:r>
      <w:r>
        <w:rPr>
          <w:rFonts w:ascii="Times New Roman" w:cs="Times New Roman" w:eastAsia="Times New Roman" w:hAnsi="Times New Roman"/>
          <w:sz w:val="20"/>
          <w:szCs w:val="20"/>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20"/>
          <w:szCs w:val="20"/>
          <w:b w:val="1"/>
          <w:bCs w:val="1"/>
          <w:color w:val="auto"/>
        </w:rPr>
        <w:t>Maximum Percentage</w:t>
      </w:r>
      <w:r>
        <w:rPr>
          <w:rFonts w:ascii="Times New Roman" w:cs="Times New Roman" w:eastAsia="Times New Roman" w:hAnsi="Times New Roman"/>
          <w:sz w:val="20"/>
          <w:szCs w:val="20"/>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20"/>
          <w:szCs w:val="20"/>
          <w:b w:val="1"/>
          <w:bCs w:val="1"/>
          <w:color w:val="auto"/>
        </w:rPr>
        <w:t>Reported Outstanding Share Number</w:t>
      </w:r>
      <w:r>
        <w:rPr>
          <w:rFonts w:ascii="Times New Roman" w:cs="Times New Roman" w:eastAsia="Times New Roman" w:hAnsi="Times New Roman"/>
          <w:sz w:val="20"/>
          <w:szCs w:val="20"/>
          <w:color w:val="auto"/>
        </w:rPr>
        <w:t>”). If the Company receives an Exercise Notice from the Holder at a time when the actual number of outstanding shares of Common Stock is less than the Reported</w:t>
      </w:r>
    </w:p>
    <w:p>
      <w:pPr>
        <w:spacing w:after="0" w:line="200" w:lineRule="exact"/>
        <w:rPr>
          <w:sz w:val="20"/>
          <w:szCs w:val="20"/>
          <w:color w:val="auto"/>
        </w:rPr>
      </w:pPr>
    </w:p>
    <w:p>
      <w:pPr>
        <w:spacing w:after="0" w:line="2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46" w:name="page147"/>
    <w:bookmarkEnd w:id="146"/>
    <w:p>
      <w:pPr>
        <w:jc w:val="both"/>
        <w:ind w:left="640"/>
        <w:spacing w:after="0" w:line="253" w:lineRule="auto"/>
        <w:rPr>
          <w:sz w:val="20"/>
          <w:szCs w:val="20"/>
          <w:color w:val="auto"/>
        </w:rPr>
      </w:pPr>
      <w:r>
        <w:rPr>
          <w:rFonts w:ascii="Times New Roman" w:cs="Times New Roman" w:eastAsia="Times New Roman" w:hAnsi="Times New Roman"/>
          <w:sz w:val="19"/>
          <w:szCs w:val="19"/>
          <w:color w:val="auto"/>
        </w:rPr>
        <w:t>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and (ii) as soon as reasonably practicable, the Company shall return to the Holder any exercise price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 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40" w:firstLine="1950"/>
        <w:spacing w:after="0" w:line="241" w:lineRule="auto"/>
        <w:tabs>
          <w:tab w:leader="none" w:pos="323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Authorized Shares</w:t>
      </w:r>
      <w:r>
        <w:rPr>
          <w:rFonts w:ascii="Times New Roman" w:cs="Times New Roman" w:eastAsia="Times New Roman" w:hAnsi="Times New Roman"/>
          <w:sz w:val="20"/>
          <w:szCs w:val="20"/>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20"/>
          <w:szCs w:val="20"/>
          <w:b w:val="1"/>
          <w:bCs w:val="1"/>
          <w:color w:val="auto"/>
        </w:rPr>
        <w:t>Required Reserve Amount</w:t>
      </w:r>
      <w:r>
        <w:rPr>
          <w:rFonts w:ascii="Times New Roman" w:cs="Times New Roman" w:eastAsia="Times New Roman" w:hAnsi="Times New Roman"/>
          <w:sz w:val="20"/>
          <w:szCs w:val="20"/>
          <w:color w:val="auto"/>
        </w:rPr>
        <w:t>” and the failure to have such sufficient number of authorized and unreserved shares of Common Stock, an “</w:t>
      </w:r>
      <w:r>
        <w:rPr>
          <w:rFonts w:ascii="Times New Roman" w:cs="Times New Roman" w:eastAsia="Times New Roman" w:hAnsi="Times New Roman"/>
          <w:sz w:val="20"/>
          <w:szCs w:val="20"/>
          <w:b w:val="1"/>
          <w:bCs w:val="1"/>
          <w:color w:val="auto"/>
        </w:rPr>
        <w:t>Authorized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Failure</w:t>
      </w:r>
      <w:r>
        <w:rPr>
          <w:rFonts w:ascii="Times New Roman" w:cs="Times New Roman" w:eastAsia="Times New Roman" w:hAnsi="Times New Roman"/>
          <w:sz w:val="20"/>
          <w:szCs w:val="20"/>
          <w:color w:val="auto"/>
        </w:rPr>
        <w:t>”), then the Company shall as soon as reasonably practicable take all action necessary to increase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w:t>
      </w: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47" w:name="page148"/>
    <w:bookmarkEnd w:id="147"/>
    <w:p>
      <w:pPr>
        <w:jc w:val="both"/>
        <w:ind w:left="640"/>
        <w:spacing w:after="0" w:line="255" w:lineRule="auto"/>
        <w:rPr>
          <w:sz w:val="20"/>
          <w:szCs w:val="20"/>
          <w:color w:val="auto"/>
        </w:rPr>
      </w:pPr>
      <w:r>
        <w:rPr>
          <w:rFonts w:ascii="Times New Roman" w:cs="Times New Roman" w:eastAsia="Times New Roman" w:hAnsi="Times New Roman"/>
          <w:sz w:val="19"/>
          <w:szCs w:val="19"/>
          <w:color w:val="auto"/>
        </w:rPr>
        <w:t>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9"/>
          <w:szCs w:val="19"/>
          <w:b w:val="1"/>
          <w:bCs w:val="1"/>
          <w:color w:val="auto"/>
        </w:rPr>
        <w:t>Authorization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Failure Shares</w:t>
      </w:r>
      <w:r>
        <w:rPr>
          <w:rFonts w:ascii="Times New Roman" w:cs="Times New Roman" w:eastAsia="Times New Roman" w:hAnsi="Times New Roman"/>
          <w:sz w:val="19"/>
          <w:szCs w:val="19"/>
          <w:color w:val="auto"/>
        </w:rPr>
        <w:t>”), in lieu of delivering such Authorization Failure Shares to the Holder, the Company shall pay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190" w:lineRule="exact"/>
        <w:rPr>
          <w:sz w:val="20"/>
          <w:szCs w:val="20"/>
          <w:color w:val="auto"/>
        </w:rPr>
      </w:pPr>
    </w:p>
    <w:p>
      <w:pPr>
        <w:ind w:left="2580" w:hanging="642"/>
        <w:spacing w:after="0"/>
        <w:tabs>
          <w:tab w:leader="none" w:pos="25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OF EXERCISE PRICE AND NUMBER OF WARRANT</w:t>
      </w:r>
    </w:p>
    <w:p>
      <w:pPr>
        <w:spacing w:after="0" w:line="22" w:lineRule="exact"/>
        <w:rPr>
          <w:sz w:val="20"/>
          <w:szCs w:val="20"/>
          <w:color w:val="auto"/>
        </w:rPr>
      </w:pPr>
    </w:p>
    <w:p>
      <w:pPr>
        <w:ind w:left="640"/>
        <w:spacing w:after="0" w:line="246" w:lineRule="auto"/>
        <w:rPr>
          <w:sz w:val="20"/>
          <w:szCs w:val="20"/>
          <w:color w:val="auto"/>
        </w:rPr>
      </w:pP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The Exercise Price and the number of Warrant Shares issuable upon exercise of this Warrant are subject to adjustments from time to time as set forth in this Section 2.</w:t>
      </w:r>
    </w:p>
    <w:p>
      <w:pPr>
        <w:spacing w:after="0" w:line="182" w:lineRule="exact"/>
        <w:rPr>
          <w:sz w:val="20"/>
          <w:szCs w:val="20"/>
          <w:color w:val="auto"/>
        </w:rPr>
      </w:pPr>
    </w:p>
    <w:p>
      <w:pPr>
        <w:jc w:val="both"/>
        <w:ind w:left="640" w:firstLine="1950"/>
        <w:spacing w:after="0" w:line="242" w:lineRule="auto"/>
        <w:tabs>
          <w:tab w:leader="none" w:pos="323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Upon Subdivision or Combination of Shares of Common Stock</w:t>
      </w:r>
      <w:r>
        <w:rPr>
          <w:rFonts w:ascii="Times New Roman" w:cs="Times New Roman" w:eastAsia="Times New Roman" w:hAnsi="Times New Roman"/>
          <w:sz w:val="20"/>
          <w:szCs w:val="20"/>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205" w:lineRule="exact"/>
        <w:rPr>
          <w:rFonts w:ascii="Times New Roman" w:cs="Times New Roman" w:eastAsia="Times New Roman" w:hAnsi="Times New Roman"/>
          <w:sz w:val="20"/>
          <w:szCs w:val="20"/>
          <w:color w:val="auto"/>
        </w:rPr>
      </w:pPr>
    </w:p>
    <w:p>
      <w:pPr>
        <w:jc w:val="both"/>
        <w:ind w:left="640" w:firstLine="1950"/>
        <w:spacing w:after="0" w:line="245" w:lineRule="auto"/>
        <w:tabs>
          <w:tab w:leader="none" w:pos="323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Number of Warrant Shares.</w:t>
      </w:r>
      <w:r>
        <w:rPr>
          <w:rFonts w:ascii="Times New Roman" w:cs="Times New Roman" w:eastAsia="Times New Roman" w:hAnsi="Times New Roman"/>
          <w:sz w:val="20"/>
          <w:szCs w:val="20"/>
          <w:color w:val="auto"/>
        </w:rPr>
        <w:t xml:space="preserve"> Simultaneously with any adjustment to the Exercise Price pursuant to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4" w:lineRule="exact"/>
        <w:rPr>
          <w:rFonts w:ascii="Times New Roman" w:cs="Times New Roman" w:eastAsia="Times New Roman" w:hAnsi="Times New Roman"/>
          <w:sz w:val="20"/>
          <w:szCs w:val="20"/>
          <w:color w:val="auto"/>
        </w:rPr>
      </w:pPr>
    </w:p>
    <w:p>
      <w:pPr>
        <w:ind w:left="640" w:firstLine="1950"/>
        <w:spacing w:after="0" w:line="269" w:lineRule="auto"/>
        <w:tabs>
          <w:tab w:leader="none" w:pos="323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 Value</w:t>
      </w:r>
      <w:r>
        <w:rPr>
          <w:rFonts w:ascii="Times New Roman" w:cs="Times New Roman" w:eastAsia="Times New Roman" w:hAnsi="Times New Roman"/>
          <w:sz w:val="20"/>
          <w:szCs w:val="20"/>
          <w:color w:val="auto"/>
        </w:rPr>
        <w:t>. Notwithstanding anything to the contrary in this Warrant, in no event shall the Exercise Price be reduced below the par value of the Company’s Common Stock.</w:t>
      </w:r>
    </w:p>
    <w:p>
      <w:pPr>
        <w:spacing w:after="0" w:line="172"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Adjustment by Company</w:t>
      </w:r>
      <w:r>
        <w:rPr>
          <w:rFonts w:ascii="Times New Roman" w:cs="Times New Roman" w:eastAsia="Times New Roman" w:hAnsi="Times New Roman"/>
          <w:sz w:val="20"/>
          <w:szCs w:val="20"/>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93" w:lineRule="exact"/>
        <w:rPr>
          <w:rFonts w:ascii="Times New Roman" w:cs="Times New Roman" w:eastAsia="Times New Roman" w:hAnsi="Times New Roman"/>
          <w:sz w:val="20"/>
          <w:szCs w:val="20"/>
          <w:color w:val="auto"/>
        </w:rPr>
      </w:pPr>
    </w:p>
    <w:p>
      <w:pPr>
        <w:jc w:val="both"/>
        <w:ind w:left="640" w:firstLine="1302"/>
        <w:spacing w:after="0" w:line="249" w:lineRule="auto"/>
        <w:tabs>
          <w:tab w:leader="none" w:pos="258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UPON DISTRIBUTION OF ASSETS</w:t>
      </w:r>
      <w:r>
        <w:rPr>
          <w:rFonts w:ascii="Times New Roman" w:cs="Times New Roman" w:eastAsia="Times New Roman" w:hAnsi="Times New Roman"/>
          <w:sz w:val="20"/>
          <w:szCs w:val="20"/>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48" w:name="page149"/>
    <w:bookmarkEnd w:id="148"/>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4" w:lineRule="exact"/>
        <w:rPr>
          <w:sz w:val="20"/>
          <w:szCs w:val="20"/>
          <w:color w:val="auto"/>
        </w:rPr>
      </w:pPr>
    </w:p>
    <w:p>
      <w:pPr>
        <w:ind w:left="2580" w:hanging="642"/>
        <w:spacing w:after="0"/>
        <w:tabs>
          <w:tab w:leader="none" w:pos="258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RIGHTS; FUNDAMENTAL TRANSACTIONS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40" w:firstLine="1949"/>
        <w:spacing w:after="0" w:line="254" w:lineRule="auto"/>
        <w:tabs>
          <w:tab w:leader="none" w:pos="3233"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3" w:lineRule="exact"/>
        <w:rPr>
          <w:rFonts w:ascii="Times New Roman" w:cs="Times New Roman" w:eastAsia="Times New Roman" w:hAnsi="Times New Roman"/>
          <w:sz w:val="19"/>
          <w:szCs w:val="19"/>
          <w:color w:val="auto"/>
        </w:rPr>
      </w:pPr>
    </w:p>
    <w:p>
      <w:pPr>
        <w:ind w:left="640" w:right="20" w:firstLine="1950"/>
        <w:spacing w:after="0" w:line="269" w:lineRule="auto"/>
        <w:tabs>
          <w:tab w:leader="none" w:pos="3232"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Fundamental Transactions</w:t>
      </w:r>
      <w:r>
        <w:rPr>
          <w:rFonts w:ascii="Times New Roman" w:cs="Times New Roman" w:eastAsia="Times New Roman" w:hAnsi="Times New Roman"/>
          <w:sz w:val="20"/>
          <w:szCs w:val="20"/>
          <w:color w:val="auto"/>
        </w:rPr>
        <w:t>. The Company shall not enter into or be party to a Fundamental Transaction unless:</w:t>
      </w:r>
    </w:p>
    <w:p>
      <w:pPr>
        <w:spacing w:after="0" w:line="172" w:lineRule="exact"/>
        <w:rPr>
          <w:rFonts w:ascii="Times New Roman" w:cs="Times New Roman" w:eastAsia="Times New Roman" w:hAnsi="Times New Roman"/>
          <w:sz w:val="20"/>
          <w:szCs w:val="20"/>
          <w:color w:val="auto"/>
        </w:rPr>
      </w:pPr>
    </w:p>
    <w:p>
      <w:pPr>
        <w:jc w:val="both"/>
        <w:ind w:left="640" w:firstLine="2597"/>
        <w:spacing w:after="0" w:line="245" w:lineRule="auto"/>
        <w:tabs>
          <w:tab w:leader="none" w:pos="3880"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49" w:name="page150"/>
    <w:bookmarkEnd w:id="149"/>
    <w:p>
      <w:pPr>
        <w:ind w:left="640"/>
        <w:spacing w:after="0" w:line="269" w:lineRule="auto"/>
        <w:rPr>
          <w:sz w:val="20"/>
          <w:szCs w:val="20"/>
          <w:color w:val="auto"/>
        </w:rPr>
      </w:pPr>
      <w:r>
        <w:rPr>
          <w:rFonts w:ascii="Times New Roman" w:cs="Times New Roman" w:eastAsia="Times New Roman" w:hAnsi="Times New Roman"/>
          <w:sz w:val="20"/>
          <w:szCs w:val="20"/>
          <w:color w:val="auto"/>
        </w:rPr>
        <w:t>the obligations of the Company under this Warrant and the other Loan Documents, including any obligation to deliver to the Holder in exchange for this Warrant any security of the Successor Entity, and</w:t>
      </w:r>
    </w:p>
    <w:p>
      <w:pPr>
        <w:spacing w:after="0" w:line="173" w:lineRule="exact"/>
        <w:rPr>
          <w:sz w:val="20"/>
          <w:szCs w:val="20"/>
          <w:color w:val="auto"/>
        </w:rPr>
      </w:pPr>
    </w:p>
    <w:p>
      <w:pPr>
        <w:jc w:val="both"/>
        <w:ind w:left="640" w:firstLine="2597"/>
        <w:spacing w:after="0" w:line="253" w:lineRule="auto"/>
        <w:tabs>
          <w:tab w:leader="none" w:pos="388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9"/>
          <w:szCs w:val="19"/>
          <w:b w:val="1"/>
          <w:bCs w:val="1"/>
          <w:color w:val="auto"/>
        </w:rPr>
        <w:t>Public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the Successor Entity shall (x) succeed to, and be substituted for (so that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20"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20"/>
          <w:szCs w:val="20"/>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20"/>
          <w:szCs w:val="20"/>
          <w:b w:val="1"/>
          <w:bCs w:val="1"/>
          <w:color w:val="auto"/>
        </w:rPr>
        <w:t>Corporate Event</w:t>
      </w:r>
      <w:r>
        <w:rPr>
          <w:rFonts w:ascii="Times New Roman" w:cs="Times New Roman" w:eastAsia="Times New Roman" w:hAnsi="Times New Roman"/>
          <w:sz w:val="20"/>
          <w:szCs w:val="20"/>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w:t>
      </w: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0" w:name="page151"/>
    <w:bookmarkEnd w:id="150"/>
    <w:p>
      <w:pPr>
        <w:ind w:left="640"/>
        <w:spacing w:after="0" w:line="269" w:lineRule="auto"/>
        <w:rPr>
          <w:sz w:val="20"/>
          <w:szCs w:val="20"/>
          <w:color w:val="auto"/>
        </w:rPr>
      </w:pPr>
      <w:r>
        <w:rPr>
          <w:rFonts w:ascii="Times New Roman" w:cs="Times New Roman" w:eastAsia="Times New Roman" w:hAnsi="Times New Roman"/>
          <w:sz w:val="20"/>
          <w:szCs w:val="20"/>
          <w:color w:val="auto"/>
        </w:rPr>
        <w:t>on the exercise of this Warrant). Provision made pursuant to the preceding sentence shall be in a form and substance reasonably satisfactory to the Holder.</w:t>
      </w:r>
    </w:p>
    <w:p>
      <w:pPr>
        <w:spacing w:after="0" w:line="173" w:lineRule="exact"/>
        <w:rPr>
          <w:sz w:val="20"/>
          <w:szCs w:val="20"/>
          <w:color w:val="auto"/>
        </w:rPr>
      </w:pPr>
    </w:p>
    <w:p>
      <w:pPr>
        <w:jc w:val="both"/>
        <w:ind w:left="640" w:firstLine="1949"/>
        <w:spacing w:after="0" w:line="242" w:lineRule="auto"/>
        <w:tabs>
          <w:tab w:leader="none" w:pos="3233"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Holder Optional Redemptions</w:t>
      </w:r>
      <w:r>
        <w:rPr>
          <w:rFonts w:ascii="Times New Roman" w:cs="Times New Roman" w:eastAsia="Times New Roman" w:hAnsi="Times New Roman"/>
          <w:sz w:val="20"/>
          <w:szCs w:val="20"/>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5" w:lineRule="auto"/>
        <w:tabs>
          <w:tab w:leader="none" w:pos="3231"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97" w:lineRule="exact"/>
        <w:rPr>
          <w:rFonts w:ascii="Times New Roman" w:cs="Times New Roman" w:eastAsia="Times New Roman" w:hAnsi="Times New Roman"/>
          <w:sz w:val="20"/>
          <w:szCs w:val="20"/>
          <w:color w:val="auto"/>
        </w:rPr>
      </w:pPr>
    </w:p>
    <w:p>
      <w:pPr>
        <w:jc w:val="both"/>
        <w:ind w:left="640" w:firstLine="1301"/>
        <w:spacing w:after="0" w:line="254" w:lineRule="auto"/>
        <w:tabs>
          <w:tab w:leader="none" w:pos="2585"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NONCIRCUMVENTION</w:t>
      </w:r>
      <w:r>
        <w:rPr>
          <w:rFonts w:ascii="Times New Roman" w:cs="Times New Roman" w:eastAsia="Times New Roman" w:hAnsi="Times New Roman"/>
          <w:sz w:val="19"/>
          <w:szCs w:val="19"/>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ind w:left="640" w:firstLine="1298"/>
        <w:spacing w:after="0" w:line="243" w:lineRule="auto"/>
        <w:tabs>
          <w:tab w:leader="none" w:pos="25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 HOLDER NOT DEEMED A STOCKHOLDER</w:t>
      </w:r>
      <w:r>
        <w:rPr>
          <w:rFonts w:ascii="Times New Roman" w:cs="Times New Roman" w:eastAsia="Times New Roman" w:hAnsi="Times New Roman"/>
          <w:sz w:val="20"/>
          <w:szCs w:val="20"/>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w:t>
      </w: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1" w:name="page152"/>
    <w:bookmarkEnd w:id="151"/>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85" w:lineRule="exact"/>
        <w:rPr>
          <w:sz w:val="20"/>
          <w:szCs w:val="20"/>
          <w:color w:val="auto"/>
        </w:rPr>
      </w:pPr>
    </w:p>
    <w:p>
      <w:pPr>
        <w:ind w:left="2580" w:hanging="642"/>
        <w:spacing w:after="0"/>
        <w:tabs>
          <w:tab w:leader="none" w:pos="25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REISSUANCE OF WARRANTS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42" w:lineRule="auto"/>
        <w:tabs>
          <w:tab w:leader="none" w:pos="323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Warrant</w:t>
      </w:r>
      <w:r>
        <w:rPr>
          <w:rFonts w:ascii="Times New Roman" w:cs="Times New Roman" w:eastAsia="Times New Roman" w:hAnsi="Times New Roman"/>
          <w:sz w:val="20"/>
          <w:szCs w:val="20"/>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4" w:lineRule="auto"/>
        <w:tabs>
          <w:tab w:leader="none" w:pos="323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or Mutilated Warrant</w:t>
      </w:r>
      <w:r>
        <w:rPr>
          <w:rFonts w:ascii="Times New Roman" w:cs="Times New Roman" w:eastAsia="Times New Roman" w:hAnsi="Times New Roman"/>
          <w:sz w:val="20"/>
          <w:szCs w:val="20"/>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5" w:lineRule="exact"/>
        <w:rPr>
          <w:rFonts w:ascii="Times New Roman" w:cs="Times New Roman" w:eastAsia="Times New Roman" w:hAnsi="Times New Roman"/>
          <w:sz w:val="20"/>
          <w:szCs w:val="20"/>
          <w:color w:val="auto"/>
        </w:rPr>
      </w:pPr>
    </w:p>
    <w:p>
      <w:pPr>
        <w:jc w:val="both"/>
        <w:ind w:left="640" w:firstLine="1950"/>
        <w:spacing w:after="0" w:line="245" w:lineRule="auto"/>
        <w:tabs>
          <w:tab w:leader="none" w:pos="323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Exchangeable for Multiple Warrants</w:t>
      </w:r>
      <w:r>
        <w:rPr>
          <w:rFonts w:ascii="Times New Roman" w:cs="Times New Roman" w:eastAsia="Times New Roman" w:hAnsi="Times New Roman"/>
          <w:sz w:val="20"/>
          <w:szCs w:val="20"/>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warrants for fractional shares of Common Stock shall be given.</w:t>
      </w:r>
    </w:p>
    <w:p>
      <w:pPr>
        <w:spacing w:after="0" w:line="184" w:lineRule="exact"/>
        <w:rPr>
          <w:rFonts w:ascii="Times New Roman" w:cs="Times New Roman" w:eastAsia="Times New Roman" w:hAnsi="Times New Roman"/>
          <w:sz w:val="20"/>
          <w:szCs w:val="20"/>
          <w:color w:val="auto"/>
        </w:rPr>
      </w:pPr>
    </w:p>
    <w:p>
      <w:pPr>
        <w:jc w:val="both"/>
        <w:ind w:left="640" w:firstLine="1950"/>
        <w:spacing w:after="0" w:line="243" w:lineRule="auto"/>
        <w:tabs>
          <w:tab w:leader="none" w:pos="3232"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New Warrants</w:t>
      </w:r>
      <w:r>
        <w:rPr>
          <w:rFonts w:ascii="Times New Roman" w:cs="Times New Roman" w:eastAsia="Times New Roman" w:hAnsi="Times New Roman"/>
          <w:sz w:val="20"/>
          <w:szCs w:val="20"/>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5" w:lineRule="exact"/>
        <w:rPr>
          <w:rFonts w:ascii="Times New Roman" w:cs="Times New Roman" w:eastAsia="Times New Roman" w:hAnsi="Times New Roman"/>
          <w:sz w:val="20"/>
          <w:szCs w:val="20"/>
          <w:color w:val="auto"/>
        </w:rPr>
      </w:pPr>
    </w:p>
    <w:p>
      <w:pPr>
        <w:jc w:val="both"/>
        <w:ind w:left="640" w:firstLine="1302"/>
        <w:spacing w:after="0" w:line="249" w:lineRule="auto"/>
        <w:tabs>
          <w:tab w:leader="none" w:pos="258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CHANGES IN WARRANT</w:t>
      </w:r>
      <w:r>
        <w:rPr>
          <w:rFonts w:ascii="Times New Roman" w:cs="Times New Roman" w:eastAsia="Times New Roman" w:hAnsi="Times New Roman"/>
          <w:sz w:val="20"/>
          <w:szCs w:val="20"/>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2" w:name="page153"/>
    <w:bookmarkEnd w:id="152"/>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8" w:lineRule="exact"/>
        <w:rPr>
          <w:sz w:val="20"/>
          <w:szCs w:val="20"/>
          <w:color w:val="auto"/>
        </w:rPr>
      </w:pPr>
    </w:p>
    <w:p>
      <w:pPr>
        <w:jc w:val="both"/>
        <w:ind w:left="640" w:firstLine="1302"/>
        <w:spacing w:after="0" w:line="260" w:lineRule="auto"/>
        <w:tabs>
          <w:tab w:leader="none" w:pos="2585"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w:t>
      </w:r>
    </w:p>
    <w:p>
      <w:pPr>
        <w:jc w:val="both"/>
        <w:ind w:left="640" w:firstLine="6"/>
        <w:spacing w:after="0" w:line="242" w:lineRule="auto"/>
        <w:tabs>
          <w:tab w:leader="none" w:pos="88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6" w:lineRule="exact"/>
        <w:rPr>
          <w:rFonts w:ascii="Times New Roman" w:cs="Times New Roman" w:eastAsia="Times New Roman" w:hAnsi="Times New Roman"/>
          <w:sz w:val="20"/>
          <w:szCs w:val="20"/>
          <w:color w:val="auto"/>
        </w:rPr>
      </w:pPr>
    </w:p>
    <w:p>
      <w:pPr>
        <w:ind w:left="640" w:firstLine="1298"/>
        <w:spacing w:after="0"/>
        <w:tabs>
          <w:tab w:leader="none" w:pos="25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JURY TRIAL</w:t>
      </w:r>
      <w:r>
        <w:rPr>
          <w:rFonts w:ascii="Times New Roman" w:cs="Times New Roman" w:eastAsia="Times New Roman" w:hAnsi="Times New Roman"/>
          <w:sz w:val="20"/>
          <w:szCs w:val="20"/>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20"/>
          <w:szCs w:val="20"/>
          <w:b w:val="1"/>
          <w:bCs w:val="1"/>
          <w:color w:val="auto"/>
        </w:rPr>
        <w:t>THE COMPANY HEREBY AND THE HOLDER EACH</w:t>
      </w:r>
    </w:p>
    <w:p>
      <w:pPr>
        <w:spacing w:after="0" w:line="12" w:lineRule="exact"/>
        <w:rPr>
          <w:rFonts w:ascii="Times New Roman" w:cs="Times New Roman" w:eastAsia="Times New Roman" w:hAnsi="Times New Roman"/>
          <w:sz w:val="20"/>
          <w:szCs w:val="20"/>
          <w:color w:val="auto"/>
        </w:rPr>
      </w:pPr>
    </w:p>
    <w:p>
      <w:pPr>
        <w:jc w:val="both"/>
        <w:ind w:left="64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8" w:lineRule="exact"/>
        <w:rPr>
          <w:rFonts w:ascii="Times New Roman" w:cs="Times New Roman" w:eastAsia="Times New Roman" w:hAnsi="Times New Roman"/>
          <w:sz w:val="20"/>
          <w:szCs w:val="20"/>
          <w:color w:val="auto"/>
        </w:rPr>
      </w:pPr>
    </w:p>
    <w:p>
      <w:pPr>
        <w:ind w:left="2580" w:hanging="642"/>
        <w:spacing w:after="0"/>
        <w:tabs>
          <w:tab w:leader="none" w:pos="25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 HEADINGS; BUSINESS DAYS</w:t>
      </w:r>
      <w:r>
        <w:rPr>
          <w:rFonts w:ascii="Times New Roman" w:cs="Times New Roman" w:eastAsia="Times New Roman" w:hAnsi="Times New Roman"/>
          <w:sz w:val="20"/>
          <w:szCs w:val="20"/>
          <w:color w:val="auto"/>
        </w:rPr>
        <w:t>. This Warrant shall be</w:t>
      </w:r>
    </w:p>
    <w:p>
      <w:pPr>
        <w:spacing w:after="0" w:line="22" w:lineRule="exact"/>
        <w:rPr>
          <w:sz w:val="20"/>
          <w:szCs w:val="20"/>
          <w:color w:val="auto"/>
        </w:rPr>
      </w:pPr>
    </w:p>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0" w:lineRule="exact"/>
        <w:rPr>
          <w:sz w:val="20"/>
          <w:szCs w:val="20"/>
          <w:color w:val="auto"/>
        </w:rPr>
      </w:pPr>
    </w:p>
    <w:p>
      <w:pPr>
        <w:jc w:val="both"/>
        <w:ind w:left="640" w:firstLine="1302"/>
        <w:spacing w:after="0" w:line="244" w:lineRule="auto"/>
        <w:tabs>
          <w:tab w:leader="none" w:pos="25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w:t>
      </w: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3" w:name="page154"/>
    <w:bookmarkEnd w:id="153"/>
    <w:p>
      <w:pPr>
        <w:jc w:val="both"/>
        <w:ind w:left="640"/>
        <w:spacing w:after="0" w:line="242" w:lineRule="auto"/>
        <w:rPr>
          <w:sz w:val="20"/>
          <w:szCs w:val="20"/>
          <w:color w:val="auto"/>
        </w:rPr>
      </w:pPr>
      <w:r>
        <w:rPr>
          <w:rFonts w:ascii="Times New Roman" w:cs="Times New Roman" w:eastAsia="Times New Roman" w:hAnsi="Times New Roman"/>
          <w:sz w:val="20"/>
          <w:szCs w:val="20"/>
          <w:color w:val="auto"/>
        </w:rPr>
        <w:t>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 In and other remedies available to the Holder under Section 1(c) will apply.</w:t>
      </w:r>
    </w:p>
    <w:p>
      <w:pPr>
        <w:spacing w:after="0" w:line="190" w:lineRule="exact"/>
        <w:rPr>
          <w:sz w:val="20"/>
          <w:szCs w:val="20"/>
          <w:color w:val="auto"/>
        </w:rPr>
      </w:pPr>
    </w:p>
    <w:p>
      <w:pPr>
        <w:ind w:left="640" w:firstLine="1298"/>
        <w:spacing w:after="0" w:line="242" w:lineRule="auto"/>
        <w:tabs>
          <w:tab w:leader="none" w:pos="258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OTHER OBLIGATIONS, BREACHES AND INJUNCTIVE RELIEF</w:t>
      </w:r>
      <w:r>
        <w:rPr>
          <w:rFonts w:ascii="Times New Roman" w:cs="Times New Roman" w:eastAsia="Times New Roman" w:hAnsi="Times New Roman"/>
          <w:sz w:val="20"/>
          <w:szCs w:val="20"/>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205" w:lineRule="exact"/>
        <w:rPr>
          <w:rFonts w:ascii="Times New Roman" w:cs="Times New Roman" w:eastAsia="Times New Roman" w:hAnsi="Times New Roman"/>
          <w:sz w:val="20"/>
          <w:szCs w:val="20"/>
          <w:color w:val="auto"/>
        </w:rPr>
      </w:pPr>
    </w:p>
    <w:p>
      <w:pPr>
        <w:jc w:val="both"/>
        <w:ind w:left="640" w:firstLine="1302"/>
        <w:spacing w:after="0" w:line="246" w:lineRule="auto"/>
        <w:tabs>
          <w:tab w:leader="none" w:pos="25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98" w:lineRule="exact"/>
        <w:rPr>
          <w:rFonts w:ascii="Times New Roman" w:cs="Times New Roman" w:eastAsia="Times New Roman" w:hAnsi="Times New Roman"/>
          <w:sz w:val="20"/>
          <w:szCs w:val="20"/>
          <w:color w:val="auto"/>
        </w:rPr>
      </w:pPr>
    </w:p>
    <w:p>
      <w:pPr>
        <w:jc w:val="both"/>
        <w:ind w:left="640" w:firstLine="1302"/>
        <w:spacing w:after="0" w:line="242" w:lineRule="auto"/>
        <w:tabs>
          <w:tab w:leader="none" w:pos="25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rFonts w:ascii="Times New Roman" w:cs="Times New Roman" w:eastAsia="Times New Roman" w:hAnsi="Times New Roman"/>
          <w:sz w:val="20"/>
          <w:szCs w:val="20"/>
          <w:color w:val="auto"/>
        </w:rPr>
      </w:pPr>
    </w:p>
    <w:p>
      <w:pPr>
        <w:ind w:left="640" w:firstLine="1302"/>
        <w:spacing w:after="0" w:line="269" w:lineRule="auto"/>
        <w:tabs>
          <w:tab w:leader="none" w:pos="25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DISCLOSURE</w:t>
      </w:r>
      <w:r>
        <w:rPr>
          <w:rFonts w:ascii="Times New Roman" w:cs="Times New Roman" w:eastAsia="Times New Roman" w:hAnsi="Times New Roman"/>
          <w:sz w:val="20"/>
          <w:szCs w:val="20"/>
          <w:color w:val="auto"/>
        </w:rPr>
        <w:t>. The Company shall not provide material, non-public information or confidential or proprietary information to the Holder without such Holder’s written consent.</w:t>
      </w:r>
    </w:p>
    <w:p>
      <w:pPr>
        <w:spacing w:after="0" w:line="172" w:lineRule="exact"/>
        <w:rPr>
          <w:rFonts w:ascii="Times New Roman" w:cs="Times New Roman" w:eastAsia="Times New Roman" w:hAnsi="Times New Roman"/>
          <w:sz w:val="20"/>
          <w:szCs w:val="20"/>
          <w:color w:val="auto"/>
        </w:rPr>
      </w:pPr>
    </w:p>
    <w:p>
      <w:pPr>
        <w:ind w:left="2580" w:hanging="642"/>
        <w:spacing w:after="0"/>
        <w:tabs>
          <w:tab w:leader="none" w:pos="258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HOLDERS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3"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Each Holder represents and warrants that it is acquiring this Warrant and the Warrant Shares (collectively,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solely for its beneficial account, for investment purposes, and not with a view to, or for resale in connection with, any distribution of the Securities in violation of applicable securities laws.</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4" w:name="page155"/>
    <w:bookmarkEnd w:id="154"/>
    <w:p>
      <w:pPr>
        <w:jc w:val="both"/>
        <w:ind w:left="640" w:firstLine="1950"/>
        <w:spacing w:after="0" w:line="249" w:lineRule="auto"/>
        <w:tabs>
          <w:tab w:leader="none" w:pos="3232"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Unregistered Securities</w:t>
      </w:r>
      <w:r>
        <w:rPr>
          <w:rFonts w:ascii="Times New Roman" w:cs="Times New Roman" w:eastAsia="Times New Roman" w:hAnsi="Times New Roman"/>
          <w:sz w:val="20"/>
          <w:szCs w:val="20"/>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93"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9" w:lineRule="exact"/>
        <w:rPr>
          <w:rFonts w:ascii="Times New Roman" w:cs="Times New Roman" w:eastAsia="Times New Roman" w:hAnsi="Times New Roman"/>
          <w:sz w:val="20"/>
          <w:szCs w:val="20"/>
          <w:color w:val="auto"/>
        </w:rPr>
      </w:pPr>
    </w:p>
    <w:p>
      <w:pPr>
        <w:ind w:left="640" w:firstLine="1950"/>
        <w:spacing w:after="0" w:line="269" w:lineRule="auto"/>
        <w:tabs>
          <w:tab w:leader="none" w:pos="3232"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Each Holder represents and warrants that it is an “accredited investor” as defined in Rule 501(a) under the Securities Act.</w:t>
      </w:r>
    </w:p>
    <w:p>
      <w:pPr>
        <w:spacing w:after="0" w:line="172"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Sophisticated Investor</w:t>
      </w:r>
      <w:r>
        <w:rPr>
          <w:rFonts w:ascii="Times New Roman" w:cs="Times New Roman" w:eastAsia="Times New Roman" w:hAnsi="Times New Roman"/>
          <w:sz w:val="20"/>
          <w:szCs w:val="20"/>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97" w:lineRule="exact"/>
        <w:rPr>
          <w:rFonts w:ascii="Times New Roman" w:cs="Times New Roman" w:eastAsia="Times New Roman" w:hAnsi="Times New Roman"/>
          <w:sz w:val="20"/>
          <w:szCs w:val="20"/>
          <w:color w:val="auto"/>
        </w:rPr>
      </w:pPr>
    </w:p>
    <w:p>
      <w:pPr>
        <w:jc w:val="both"/>
        <w:ind w:left="640" w:firstLine="1950"/>
        <w:spacing w:after="0" w:line="241" w:lineRule="auto"/>
        <w:tabs>
          <w:tab w:leader="none" w:pos="3232"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Non-Reliance</w:t>
      </w:r>
      <w:r>
        <w:rPr>
          <w:rFonts w:ascii="Times New Roman" w:cs="Times New Roman" w:eastAsia="Times New Roman" w:hAnsi="Times New Roman"/>
          <w:sz w:val="20"/>
          <w:szCs w:val="20"/>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notwithstanding anything in this Section 17(h) or otherwise to the contrary, each Holder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w:t>
      </w: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5" w:name="page156"/>
    <w:bookmarkEnd w:id="155"/>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88" w:lineRule="exact"/>
        <w:rPr>
          <w:sz w:val="20"/>
          <w:szCs w:val="20"/>
          <w:color w:val="auto"/>
        </w:rPr>
      </w:pPr>
    </w:p>
    <w:p>
      <w:pPr>
        <w:ind w:left="2580" w:hanging="638"/>
        <w:spacing w:after="0"/>
        <w:tabs>
          <w:tab w:leader="none" w:pos="258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THE COMPANY</w:t>
      </w:r>
      <w:r>
        <w:rPr>
          <w:rFonts w:ascii="Times New Roman" w:cs="Times New Roman" w:eastAsia="Times New Roman" w:hAnsi="Times New Roman"/>
          <w:sz w:val="20"/>
          <w:szCs w:val="20"/>
          <w:color w:val="auto"/>
        </w:rPr>
        <w:t>. The Company represents and warrants</w:t>
      </w:r>
    </w:p>
    <w:p>
      <w:pPr>
        <w:spacing w:after="0" w:line="21"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Holder that:</w:t>
      </w:r>
    </w:p>
    <w:p>
      <w:pPr>
        <w:spacing w:after="0" w:line="193"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3" w:val="left"/>
        </w:tabs>
        <w:numPr>
          <w:ilvl w:val="2"/>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20"/>
          <w:szCs w:val="20"/>
          <w:b w:val="1"/>
          <w:bCs w:val="1"/>
          <w:color w:val="auto"/>
        </w:rPr>
        <w:t>Company Material Adverse Effect</w:t>
      </w:r>
      <w:r>
        <w:rPr>
          <w:rFonts w:ascii="Times New Roman" w:cs="Times New Roman" w:eastAsia="Times New Roman" w:hAnsi="Times New Roman"/>
          <w:sz w:val="20"/>
          <w:szCs w:val="20"/>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207" w:lineRule="exact"/>
        <w:rPr>
          <w:rFonts w:ascii="Times New Roman" w:cs="Times New Roman" w:eastAsia="Times New Roman" w:hAnsi="Times New Roman"/>
          <w:sz w:val="20"/>
          <w:szCs w:val="20"/>
          <w:color w:val="auto"/>
        </w:rPr>
      </w:pPr>
    </w:p>
    <w:p>
      <w:pPr>
        <w:jc w:val="both"/>
        <w:ind w:left="640" w:firstLine="1948"/>
        <w:spacing w:after="0" w:line="245" w:lineRule="auto"/>
        <w:tabs>
          <w:tab w:leader="none" w:pos="3232" w:val="left"/>
        </w:tabs>
        <w:numPr>
          <w:ilvl w:val="2"/>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 and has not been issued in violation of any preemptive rights created under the Company’s organizational documents or the laws of the State of Delaware.</w:t>
      </w:r>
    </w:p>
    <w:p>
      <w:pPr>
        <w:spacing w:after="0" w:line="184" w:lineRule="exact"/>
        <w:rPr>
          <w:rFonts w:ascii="Times New Roman" w:cs="Times New Roman" w:eastAsia="Times New Roman" w:hAnsi="Times New Roman"/>
          <w:sz w:val="20"/>
          <w:szCs w:val="20"/>
          <w:color w:val="auto"/>
        </w:rPr>
      </w:pPr>
    </w:p>
    <w:p>
      <w:pPr>
        <w:jc w:val="both"/>
        <w:ind w:left="640" w:firstLine="1948"/>
        <w:spacing w:after="0" w:line="249" w:lineRule="auto"/>
        <w:tabs>
          <w:tab w:leader="none" w:pos="3232" w:val="left"/>
        </w:tabs>
        <w:numPr>
          <w:ilvl w:val="2"/>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9" w:lineRule="exact"/>
        <w:rPr>
          <w:rFonts w:ascii="Times New Roman" w:cs="Times New Roman" w:eastAsia="Times New Roman" w:hAnsi="Times New Roman"/>
          <w:sz w:val="20"/>
          <w:szCs w:val="20"/>
          <w:color w:val="auto"/>
        </w:rPr>
      </w:pPr>
    </w:p>
    <w:p>
      <w:pPr>
        <w:jc w:val="both"/>
        <w:ind w:left="640" w:firstLine="1948"/>
        <w:spacing w:after="0" w:line="255" w:lineRule="auto"/>
        <w:tabs>
          <w:tab w:leader="none" w:pos="3232"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w:t>
      </w:r>
    </w:p>
    <w:p>
      <w:pPr>
        <w:jc w:val="both"/>
        <w:ind w:left="640" w:firstLine="5"/>
        <w:spacing w:after="0" w:line="239" w:lineRule="auto"/>
        <w:tabs>
          <w:tab w:leader="none" w:pos="1023"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statute or any judgment, order, rule or regulation of any court or governmental agency or body, domestic or foreign, having jurisdiction over the Company or any of its properties that, in the case of clauses</w:t>
      </w:r>
    </w:p>
    <w:p>
      <w:pPr>
        <w:ind w:left="640" w:firstLine="5"/>
        <w:spacing w:after="0" w:line="246" w:lineRule="auto"/>
        <w:tabs>
          <w:tab w:leader="none" w:pos="90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(iii), would reasonably be expected to have a Company Material Adverse Effect or have a material adverse effect on the Company’s ability to consummate the transactions contemplated hereby.</w:t>
      </w:r>
    </w:p>
    <w:p>
      <w:pPr>
        <w:spacing w:after="0" w:line="195" w:lineRule="exact"/>
        <w:rPr>
          <w:rFonts w:ascii="Times New Roman" w:cs="Times New Roman" w:eastAsia="Times New Roman" w:hAnsi="Times New Roman"/>
          <w:sz w:val="20"/>
          <w:szCs w:val="20"/>
          <w:color w:val="auto"/>
        </w:rPr>
      </w:pPr>
    </w:p>
    <w:p>
      <w:pPr>
        <w:ind w:left="640" w:right="20" w:firstLine="1949"/>
        <w:spacing w:after="0" w:line="269" w:lineRule="auto"/>
        <w:tabs>
          <w:tab w:leader="none" w:pos="3232"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the accuracy of the representations and warranties of the Holder, the Company is not required to obtain any consent, waiver, authorization or order of, give any</w:t>
      </w: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6" w:name="page157"/>
    <w:bookmarkEnd w:id="156"/>
    <w:p>
      <w:pPr>
        <w:jc w:val="both"/>
        <w:ind w:left="640"/>
        <w:spacing w:after="0" w:line="243" w:lineRule="auto"/>
        <w:rPr>
          <w:sz w:val="20"/>
          <w:szCs w:val="20"/>
          <w:color w:val="auto"/>
        </w:rPr>
      </w:pPr>
      <w:r>
        <w:rPr>
          <w:rFonts w:ascii="Times New Roman" w:cs="Times New Roman" w:eastAsia="Times New Roman" w:hAnsi="Times New Roman"/>
          <w:sz w:val="20"/>
          <w:szCs w:val="20"/>
          <w:color w:val="auto"/>
        </w:rPr>
        <w:t>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9" w:lineRule="exact"/>
        <w:rPr>
          <w:sz w:val="20"/>
          <w:szCs w:val="20"/>
          <w:color w:val="auto"/>
        </w:rPr>
      </w:pPr>
    </w:p>
    <w:p>
      <w:pPr>
        <w:jc w:val="both"/>
        <w:ind w:left="640" w:firstLine="1949"/>
        <w:spacing w:after="0" w:line="256" w:lineRule="auto"/>
        <w:tabs>
          <w:tab w:leader="none" w:pos="3233"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their respective dates, all reports required to be filed by the Company with the SEC (the “</w:t>
      </w:r>
      <w:r>
        <w:rPr>
          <w:rFonts w:ascii="Times New Roman" w:cs="Times New Roman" w:eastAsia="Times New Roman" w:hAnsi="Times New Roman"/>
          <w:sz w:val="19"/>
          <w:szCs w:val="19"/>
          <w:b w:val="1"/>
          <w:bCs w:val="1"/>
          <w:i w:val="1"/>
          <w:iCs w:val="1"/>
          <w:color w:val="auto"/>
        </w:rPr>
        <w:t>SEC Reports</w:t>
      </w:r>
      <w:r>
        <w:rPr>
          <w:rFonts w:ascii="Times New Roman" w:cs="Times New Roman" w:eastAsia="Times New Roman" w:hAnsi="Times New Roman"/>
          <w:sz w:val="19"/>
          <w:szCs w:val="19"/>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94" w:lineRule="exact"/>
        <w:rPr>
          <w:rFonts w:ascii="Times New Roman" w:cs="Times New Roman" w:eastAsia="Times New Roman" w:hAnsi="Times New Roman"/>
          <w:sz w:val="19"/>
          <w:szCs w:val="19"/>
          <w:color w:val="auto"/>
        </w:rPr>
      </w:pPr>
    </w:p>
    <w:p>
      <w:pPr>
        <w:jc w:val="both"/>
        <w:ind w:left="640" w:firstLine="1948"/>
        <w:spacing w:after="0" w:line="244" w:lineRule="auto"/>
        <w:tabs>
          <w:tab w:leader="none" w:pos="3232"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w:t>
      </w:r>
    </w:p>
    <w:p>
      <w:pPr>
        <w:ind w:left="640" w:firstLine="5"/>
        <w:spacing w:after="0" w:line="246" w:lineRule="auto"/>
        <w:tabs>
          <w:tab w:leader="none" w:pos="97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decree, injunction, ruling or order of any governmental authority or arbitrator outstanding against the Company or any of its directors or officers in their capacities as such.</w:t>
      </w:r>
    </w:p>
    <w:p>
      <w:pPr>
        <w:spacing w:after="0" w:line="195" w:lineRule="exact"/>
        <w:rPr>
          <w:rFonts w:ascii="Times New Roman" w:cs="Times New Roman" w:eastAsia="Times New Roman" w:hAnsi="Times New Roman"/>
          <w:sz w:val="20"/>
          <w:szCs w:val="20"/>
          <w:color w:val="auto"/>
        </w:rPr>
      </w:pPr>
    </w:p>
    <w:p>
      <w:pPr>
        <w:jc w:val="both"/>
        <w:ind w:left="640" w:firstLine="1948"/>
        <w:spacing w:after="0" w:line="243" w:lineRule="auto"/>
        <w:tabs>
          <w:tab w:leader="none" w:pos="323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93" w:lineRule="exact"/>
        <w:rPr>
          <w:rFonts w:ascii="Times New Roman" w:cs="Times New Roman" w:eastAsia="Times New Roman" w:hAnsi="Times New Roman"/>
          <w:sz w:val="20"/>
          <w:szCs w:val="20"/>
          <w:color w:val="auto"/>
        </w:rPr>
      </w:pPr>
    </w:p>
    <w:p>
      <w:pPr>
        <w:jc w:val="both"/>
        <w:ind w:left="640" w:firstLine="1949"/>
        <w:spacing w:after="0" w:line="246" w:lineRule="auto"/>
        <w:tabs>
          <w:tab w:leader="none" w:pos="323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4" w:lineRule="exact"/>
        <w:rPr>
          <w:rFonts w:ascii="Times New Roman" w:cs="Times New Roman" w:eastAsia="Times New Roman" w:hAnsi="Times New Roman"/>
          <w:sz w:val="20"/>
          <w:szCs w:val="20"/>
          <w:color w:val="auto"/>
        </w:rPr>
      </w:pPr>
    </w:p>
    <w:p>
      <w:pPr>
        <w:ind w:left="640" w:firstLine="1949"/>
        <w:spacing w:after="0" w:line="269" w:lineRule="auto"/>
        <w:tabs>
          <w:tab w:leader="none" w:pos="323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the Company owns or possesses sufficient legal rights to all (a) patents, patent applications and inventions; (b) trademarks, service marks, trade names,</w:t>
      </w: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7" w:name="page158"/>
    <w:bookmarkEnd w:id="157"/>
    <w:p>
      <w:pPr>
        <w:jc w:val="both"/>
        <w:ind w:left="640"/>
        <w:spacing w:after="0" w:line="243" w:lineRule="auto"/>
        <w:rPr>
          <w:sz w:val="20"/>
          <w:szCs w:val="20"/>
          <w:color w:val="auto"/>
        </w:rPr>
      </w:pPr>
      <w:r>
        <w:rPr>
          <w:rFonts w:ascii="Times New Roman" w:cs="Times New Roman" w:eastAsia="Times New Roman" w:hAnsi="Times New Roman"/>
          <w:sz w:val="20"/>
          <w:szCs w:val="20"/>
          <w:color w:val="auto"/>
        </w:rPr>
        <w:t>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203" w:lineRule="exact"/>
        <w:rPr>
          <w:sz w:val="20"/>
          <w:szCs w:val="20"/>
          <w:color w:val="auto"/>
        </w:rPr>
      </w:pPr>
    </w:p>
    <w:p>
      <w:pPr>
        <w:ind w:left="640" w:right="340" w:firstLine="1302"/>
        <w:spacing w:after="0" w:line="269" w:lineRule="auto"/>
        <w:tabs>
          <w:tab w:leader="none" w:pos="2583"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For purposes of this Warrant, the following terms shall have the following meanings:</w:t>
      </w:r>
    </w:p>
    <w:p>
      <w:pPr>
        <w:spacing w:after="0" w:line="155"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2" w:lineRule="exact"/>
        <w:rPr>
          <w:rFonts w:ascii="Times New Roman" w:cs="Times New Roman" w:eastAsia="Times New Roman" w:hAnsi="Times New Roman"/>
          <w:sz w:val="20"/>
          <w:szCs w:val="20"/>
          <w:color w:val="auto"/>
        </w:rPr>
      </w:pPr>
    </w:p>
    <w:p>
      <w:pPr>
        <w:ind w:left="3240" w:hanging="651"/>
        <w:spacing w:after="0"/>
        <w:tabs>
          <w:tab w:leader="none" w:pos="3240" w:val="left"/>
        </w:tabs>
        <w:numPr>
          <w:ilvl w:val="2"/>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w:t>
      </w:r>
    </w:p>
    <w:p>
      <w:pPr>
        <w:spacing w:after="0" w:line="37" w:lineRule="exact"/>
        <w:rPr>
          <w:rFonts w:ascii="Times New Roman" w:cs="Times New Roman" w:eastAsia="Times New Roman" w:hAnsi="Times New Roman"/>
          <w:sz w:val="19"/>
          <w:szCs w:val="19"/>
          <w:color w:val="auto"/>
        </w:rPr>
      </w:pPr>
    </w:p>
    <w:p>
      <w:pPr>
        <w:jc w:val="both"/>
        <w:ind w:left="640" w:firstLine="6"/>
        <w:spacing w:after="0"/>
        <w:tabs>
          <w:tab w:leader="none" w:pos="88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6" w:lineRule="exact"/>
        <w:rPr>
          <w:rFonts w:ascii="Times New Roman" w:cs="Times New Roman" w:eastAsia="Times New Roman" w:hAnsi="Times New Roman"/>
          <w:sz w:val="20"/>
          <w:szCs w:val="20"/>
          <w:color w:val="auto"/>
        </w:rPr>
      </w:pPr>
    </w:p>
    <w:p>
      <w:pPr>
        <w:jc w:val="both"/>
        <w:ind w:left="640" w:firstLine="1950"/>
        <w:spacing w:after="0" w:line="241" w:lineRule="auto"/>
        <w:tabs>
          <w:tab w:leader="none" w:pos="3233" w:val="left"/>
        </w:tabs>
        <w:numPr>
          <w:ilvl w:val="2"/>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 Scholes Going Private Value</w:t>
      </w:r>
      <w:r>
        <w:rPr>
          <w:rFonts w:ascii="Times New Roman" w:cs="Times New Roman" w:eastAsia="Times New Roman" w:hAnsi="Times New Roman"/>
          <w:sz w:val="20"/>
          <w:szCs w:val="20"/>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203" w:lineRule="exact"/>
        <w:rPr>
          <w:rFonts w:ascii="Times New Roman" w:cs="Times New Roman" w:eastAsia="Times New Roman" w:hAnsi="Times New Roman"/>
          <w:sz w:val="20"/>
          <w:szCs w:val="20"/>
          <w:color w:val="auto"/>
        </w:rPr>
      </w:pPr>
    </w:p>
    <w:p>
      <w:pPr>
        <w:jc w:val="both"/>
        <w:ind w:left="640" w:firstLine="1949"/>
        <w:spacing w:after="0" w:line="246" w:lineRule="auto"/>
        <w:tabs>
          <w:tab w:leader="none" w:pos="3232" w:val="left"/>
        </w:tabs>
        <w:numPr>
          <w:ilvl w:val="2"/>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 Scholes Value</w:t>
      </w:r>
      <w:r>
        <w:rPr>
          <w:rFonts w:ascii="Times New Roman" w:cs="Times New Roman" w:eastAsia="Times New Roman" w:hAnsi="Times New Roman"/>
          <w:sz w:val="20"/>
          <w:szCs w:val="20"/>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w:t>
      </w:r>
    </w:p>
    <w:p>
      <w:pPr>
        <w:sectPr>
          <w:pgSz w:w="11900" w:h="16838" w:orient="portrait"/>
          <w:cols w:equalWidth="0" w:num="1">
            <w:col w:w="9460"/>
          </w:cols>
          <w:pgMar w:left="1440" w:top="1170"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type w:val="continuous"/>
        </w:sectPr>
      </w:pPr>
    </w:p>
    <w:bookmarkStart w:id="158" w:name="page159"/>
    <w:bookmarkEnd w:id="158"/>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ending on the Trading Day of the Holder’s request pursuant to Section 4(c) and (2) the sum of the price per share being offered in cash in the applicable Fundamental Transaction (if any) plus the value of the non- 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w:t>
      </w:r>
    </w:p>
    <w:p>
      <w:pPr>
        <w:spacing w:after="0" w:line="6" w:lineRule="exact"/>
        <w:rPr>
          <w:sz w:val="20"/>
          <w:szCs w:val="20"/>
          <w:color w:val="auto"/>
        </w:rPr>
      </w:pPr>
    </w:p>
    <w:p>
      <w:pPr>
        <w:jc w:val="both"/>
        <w:ind w:left="640" w:firstLine="5"/>
        <w:spacing w:after="0" w:line="242" w:lineRule="auto"/>
        <w:tabs>
          <w:tab w:leader="none" w:pos="97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disclosure of the applicable Fundamental Transaction, (B) the consummation of the applicable Fundamental Transaction and (C) the date on which the Holder first became aware of the applicable Fundamental Transaction.</w:t>
      </w:r>
    </w:p>
    <w:p>
      <w:pPr>
        <w:spacing w:after="0" w:line="196" w:lineRule="exact"/>
        <w:rPr>
          <w:rFonts w:ascii="Times New Roman" w:cs="Times New Roman" w:eastAsia="Times New Roman" w:hAnsi="Times New Roman"/>
          <w:sz w:val="20"/>
          <w:szCs w:val="20"/>
          <w:color w:val="auto"/>
        </w:rPr>
      </w:pPr>
    </w:p>
    <w:p>
      <w:pPr>
        <w:ind w:left="3240" w:hanging="654"/>
        <w:spacing w:after="0"/>
        <w:tabs>
          <w:tab w:leader="none" w:pos="324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Bloomberg</w:t>
      </w:r>
      <w:r>
        <w:rPr>
          <w:rFonts w:ascii="Times New Roman" w:cs="Times New Roman" w:eastAsia="Times New Roman" w:hAnsi="Times New Roman"/>
          <w:sz w:val="20"/>
          <w:szCs w:val="20"/>
          <w:color w:val="auto"/>
        </w:rPr>
        <w:t>” means Bloomberg, L.P.</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8"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Bid Price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Closing Sale Price</w:t>
      </w:r>
      <w:r>
        <w:rPr>
          <w:rFonts w:ascii="Times New Roman" w:cs="Times New Roman" w:eastAsia="Times New Roman" w:hAnsi="Times New Roman"/>
          <w:sz w:val="20"/>
          <w:szCs w:val="20"/>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202"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68" w:lineRule="exact"/>
        <w:rPr>
          <w:rFonts w:ascii="Times New Roman" w:cs="Times New Roman" w:eastAsia="Times New Roman" w:hAnsi="Times New Roman"/>
          <w:sz w:val="20"/>
          <w:szCs w:val="20"/>
          <w:color w:val="auto"/>
        </w:rPr>
      </w:pPr>
    </w:p>
    <w:p>
      <w:pPr>
        <w:ind w:left="640" w:firstLine="1949"/>
        <w:spacing w:after="0" w:line="273" w:lineRule="auto"/>
        <w:tabs>
          <w:tab w:leader="none" w:pos="323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Convertible Securities</w:t>
      </w:r>
      <w:r>
        <w:rPr>
          <w:rFonts w:ascii="Times New Roman" w:cs="Times New Roman" w:eastAsia="Times New Roman" w:hAnsi="Times New Roman"/>
          <w:sz w:val="20"/>
          <w:szCs w:val="20"/>
          <w:color w:val="auto"/>
        </w:rPr>
        <w:t>” means any stock or securities (other than Options) directly or indirectly convertible into or exercisable or exchangeable for shares of Common Stock.</w:t>
      </w:r>
    </w:p>
    <w:p>
      <w:pPr>
        <w:spacing w:after="0" w:line="151" w:lineRule="exact"/>
        <w:rPr>
          <w:rFonts w:ascii="Times New Roman" w:cs="Times New Roman" w:eastAsia="Times New Roman" w:hAnsi="Times New Roman"/>
          <w:sz w:val="20"/>
          <w:szCs w:val="20"/>
          <w:color w:val="auto"/>
        </w:rPr>
      </w:pPr>
    </w:p>
    <w:p>
      <w:pPr>
        <w:ind w:left="640" w:firstLine="1949"/>
        <w:spacing w:after="0" w:line="273" w:lineRule="auto"/>
        <w:tabs>
          <w:tab w:leader="none" w:pos="323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Market</w:t>
      </w:r>
      <w:r>
        <w:rPr>
          <w:rFonts w:ascii="Times New Roman" w:cs="Times New Roman" w:eastAsia="Times New Roman" w:hAnsi="Times New Roman"/>
          <w:sz w:val="20"/>
          <w:szCs w:val="20"/>
          <w:color w:val="auto"/>
        </w:rPr>
        <w:t>” means The Nasdaq Capital Market, The Nasdaq Global Select Market, The Nasdaq Global Market, the NYSE American, or The New York Stock Exchange.</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59" w:name="page160"/>
    <w:bookmarkEnd w:id="159"/>
    <w:p>
      <w:pPr>
        <w:jc w:val="both"/>
        <w:ind w:left="640" w:firstLine="1949"/>
        <w:spacing w:after="0" w:line="256" w:lineRule="auto"/>
        <w:tabs>
          <w:tab w:leader="none" w:pos="3232"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20"/>
          <w:szCs w:val="20"/>
          <w:b w:val="1"/>
          <w:bCs w:val="1"/>
          <w:color w:val="auto"/>
        </w:rPr>
        <w:t>Holiday</w:t>
      </w:r>
      <w:r>
        <w:rPr>
          <w:rFonts w:ascii="Times New Roman" w:cs="Times New Roman" w:eastAsia="Times New Roman" w:hAnsi="Times New Roman"/>
          <w:sz w:val="20"/>
          <w:szCs w:val="20"/>
          <w:color w:val="auto"/>
        </w:rPr>
        <w:t>”), the next date that is not a Holiday.</w:t>
      </w:r>
    </w:p>
    <w:p>
      <w:pPr>
        <w:spacing w:after="0" w:line="182" w:lineRule="exact"/>
        <w:rPr>
          <w:rFonts w:ascii="Times New Roman" w:cs="Times New Roman" w:eastAsia="Times New Roman" w:hAnsi="Times New Roman"/>
          <w:sz w:val="20"/>
          <w:szCs w:val="20"/>
          <w:color w:val="auto"/>
        </w:rPr>
      </w:pPr>
    </w:p>
    <w:p>
      <w:pPr>
        <w:jc w:val="both"/>
        <w:ind w:left="640" w:firstLine="1949"/>
        <w:spacing w:after="0" w:line="254" w:lineRule="auto"/>
        <w:tabs>
          <w:tab w:leader="none" w:pos="3232"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 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w:t>
      </w:r>
    </w:p>
    <w:p>
      <w:pPr>
        <w:spacing w:after="0" w:line="1" w:lineRule="exact"/>
        <w:rPr>
          <w:rFonts w:ascii="Times New Roman" w:cs="Times New Roman" w:eastAsia="Times New Roman" w:hAnsi="Times New Roman"/>
          <w:sz w:val="19"/>
          <w:szCs w:val="19"/>
          <w:color w:val="auto"/>
        </w:rPr>
      </w:pPr>
    </w:p>
    <w:p>
      <w:pPr>
        <w:jc w:val="both"/>
        <w:ind w:left="640" w:firstLine="6"/>
        <w:spacing w:after="0" w:line="239" w:lineRule="auto"/>
        <w:tabs>
          <w:tab w:leader="none" w:pos="99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3" w:lineRule="exact"/>
        <w:rPr>
          <w:rFonts w:ascii="Times New Roman" w:cs="Times New Roman" w:eastAsia="Times New Roman" w:hAnsi="Times New Roman"/>
          <w:sz w:val="20"/>
          <w:szCs w:val="20"/>
          <w:color w:val="auto"/>
        </w:rPr>
      </w:pPr>
    </w:p>
    <w:p>
      <w:pPr>
        <w:ind w:left="640" w:right="20" w:firstLine="1949"/>
        <w:spacing w:after="0" w:line="273" w:lineRule="auto"/>
        <w:tabs>
          <w:tab w:leader="none" w:pos="3232"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a “group” as that term is used in Section 13(d) of the Exchange Act and as defined in Rule 13d-5 thereunder.</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66" w:right="999" w:bottom="1440" w:gutter="0" w:footer="0" w:header="0"/>
        </w:sectPr>
      </w:pPr>
    </w:p>
    <w:bookmarkStart w:id="160" w:name="page161"/>
    <w:bookmarkEnd w:id="160"/>
    <w:p>
      <w:pPr>
        <w:ind w:left="640" w:firstLine="1949"/>
        <w:spacing w:after="0" w:line="273" w:lineRule="auto"/>
        <w:tabs>
          <w:tab w:leader="none" w:pos="323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means any rights, warrants or options to subscribe for or purchase shares of Common Stock or Convertible Securities.</w:t>
      </w:r>
    </w:p>
    <w:p>
      <w:pPr>
        <w:spacing w:after="0" w:line="165" w:lineRule="exact"/>
        <w:rPr>
          <w:rFonts w:ascii="Times New Roman" w:cs="Times New Roman" w:eastAsia="Times New Roman" w:hAnsi="Times New Roman"/>
          <w:sz w:val="20"/>
          <w:szCs w:val="20"/>
          <w:color w:val="auto"/>
        </w:rPr>
      </w:pPr>
    </w:p>
    <w:p>
      <w:pPr>
        <w:jc w:val="both"/>
        <w:ind w:left="640" w:firstLine="1948"/>
        <w:spacing w:after="0" w:line="246" w:lineRule="auto"/>
        <w:tabs>
          <w:tab w:leader="none" w:pos="323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Entity</w:t>
      </w:r>
      <w:r>
        <w:rPr>
          <w:rFonts w:ascii="Times New Roman" w:cs="Times New Roman" w:eastAsia="Times New Roman" w:hAnsi="Times New Roman"/>
          <w:sz w:val="20"/>
          <w:szCs w:val="20"/>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8" w:lineRule="exact"/>
        <w:rPr>
          <w:rFonts w:ascii="Times New Roman" w:cs="Times New Roman" w:eastAsia="Times New Roman" w:hAnsi="Times New Roman"/>
          <w:sz w:val="20"/>
          <w:szCs w:val="20"/>
          <w:color w:val="auto"/>
        </w:rPr>
      </w:pPr>
    </w:p>
    <w:p>
      <w:pPr>
        <w:jc w:val="both"/>
        <w:ind w:left="640" w:firstLine="1948"/>
        <w:spacing w:after="0" w:line="256" w:lineRule="auto"/>
        <w:tabs>
          <w:tab w:leader="none" w:pos="323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2"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Market</w:t>
      </w:r>
      <w:r>
        <w:rPr>
          <w:rFonts w:ascii="Times New Roman" w:cs="Times New Roman" w:eastAsia="Times New Roman" w:hAnsi="Times New Roman"/>
          <w:sz w:val="20"/>
          <w:szCs w:val="20"/>
          <w:color w:val="auto"/>
        </w:rPr>
        <w:t>” means the OTC Bulletin Board or any other Eligible Market, or any national securities exchange, market or trading or quotation facility on which the Common Stock is then listed or quoted.</w:t>
      </w:r>
    </w:p>
    <w:p>
      <w:pPr>
        <w:spacing w:after="0" w:line="168" w:lineRule="exact"/>
        <w:rPr>
          <w:rFonts w:ascii="Times New Roman" w:cs="Times New Roman" w:eastAsia="Times New Roman" w:hAnsi="Times New Roman"/>
          <w:sz w:val="20"/>
          <w:szCs w:val="20"/>
          <w:color w:val="auto"/>
        </w:rPr>
      </w:pPr>
    </w:p>
    <w:p>
      <w:pPr>
        <w:ind w:left="3240" w:hanging="654"/>
        <w:spacing w:after="0"/>
        <w:tabs>
          <w:tab w:leader="none" w:pos="32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29" w:lineRule="exact"/>
        <w:rPr>
          <w:rFonts w:ascii="Times New Roman" w:cs="Times New Roman" w:eastAsia="Times New Roman" w:hAnsi="Times New Roman"/>
          <w:sz w:val="20"/>
          <w:szCs w:val="20"/>
          <w:color w:val="auto"/>
        </w:rPr>
      </w:pPr>
    </w:p>
    <w:p>
      <w:pPr>
        <w:ind w:left="640" w:right="20" w:firstLine="1949"/>
        <w:spacing w:after="0" w:line="273" w:lineRule="auto"/>
        <w:tabs>
          <w:tab w:leader="none" w:pos="323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Entity</w:t>
      </w:r>
      <w:r>
        <w:rPr>
          <w:rFonts w:ascii="Times New Roman" w:cs="Times New Roman" w:eastAsia="Times New Roman" w:hAnsi="Times New Roman"/>
          <w:sz w:val="20"/>
          <w:szCs w:val="20"/>
          <w:color w:val="auto"/>
        </w:rPr>
        <w:t>” means any Person, Persons or Group or any Affiliate or associate of any such Person, Persons or Group.</w:t>
      </w:r>
    </w:p>
    <w:p>
      <w:pPr>
        <w:spacing w:after="0" w:line="151" w:lineRule="exact"/>
        <w:rPr>
          <w:rFonts w:ascii="Times New Roman" w:cs="Times New Roman" w:eastAsia="Times New Roman" w:hAnsi="Times New Roman"/>
          <w:sz w:val="20"/>
          <w:szCs w:val="20"/>
          <w:color w:val="auto"/>
        </w:rPr>
      </w:pPr>
    </w:p>
    <w:p>
      <w:pPr>
        <w:jc w:val="both"/>
        <w:ind w:left="640" w:firstLine="1949"/>
        <w:spacing w:after="0" w:line="250" w:lineRule="auto"/>
        <w:tabs>
          <w:tab w:leader="none" w:pos="323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Entity</w:t>
      </w:r>
      <w:r>
        <w:rPr>
          <w:rFonts w:ascii="Times New Roman" w:cs="Times New Roman" w:eastAsia="Times New Roman" w:hAnsi="Times New Roman"/>
          <w:sz w:val="20"/>
          <w:szCs w:val="20"/>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Times New Roman" w:cs="Times New Roman" w:eastAsia="Times New Roman" w:hAnsi="Times New Roman"/>
          <w:sz w:val="20"/>
          <w:szCs w:val="20"/>
          <w:color w:val="auto"/>
        </w:rPr>
      </w:pPr>
    </w:p>
    <w:p>
      <w:pPr>
        <w:jc w:val="both"/>
        <w:ind w:left="640" w:firstLine="1949"/>
        <w:spacing w:after="0" w:line="244" w:lineRule="auto"/>
        <w:tabs>
          <w:tab w:leader="none" w:pos="323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95" w:lineRule="exact"/>
        <w:rPr>
          <w:rFonts w:ascii="Times New Roman" w:cs="Times New Roman" w:eastAsia="Times New Roman" w:hAnsi="Times New Roman"/>
          <w:sz w:val="20"/>
          <w:szCs w:val="20"/>
          <w:color w:val="auto"/>
        </w:rPr>
      </w:pPr>
    </w:p>
    <w:p>
      <w:pPr>
        <w:jc w:val="both"/>
        <w:ind w:left="640" w:firstLine="1949"/>
        <w:spacing w:after="0" w:line="242" w:lineRule="auto"/>
        <w:tabs>
          <w:tab w:leader="none" w:pos="323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means, for any security as of any date, the dollar volume- 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 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w:t>
      </w: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66" w:right="999" w:bottom="1440" w:gutter="0" w:footer="0" w:header="0"/>
        </w:sectPr>
      </w:pPr>
    </w:p>
    <w:bookmarkStart w:id="161" w:name="page162"/>
    <w:bookmarkEnd w:id="161"/>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3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0" w:right="999" w:bottom="1440" w:gutter="0" w:footer="0" w:header="0"/>
        </w:sectPr>
      </w:pPr>
    </w:p>
    <w:bookmarkStart w:id="162" w:name="page163"/>
    <w:bookmarkEnd w:id="162"/>
    <w:p>
      <w:pPr>
        <w:ind w:left="640" w:firstLine="65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Company has caused this Warrant to Purchase Common Stock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executed as of the Issuance Date set out above.</w:t>
      </w:r>
    </w:p>
    <w:p>
      <w:pPr>
        <w:spacing w:after="0" w:line="1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-10795</wp:posOffset>
            </wp:positionV>
            <wp:extent cx="7804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Krishna Gupta</w:t>
      </w:r>
    </w:p>
    <w:p>
      <w:pPr>
        <w:ind w:left="4540"/>
        <w:spacing w:after="0"/>
        <w:rPr>
          <w:sz w:val="20"/>
          <w:szCs w:val="20"/>
          <w:color w:val="auto"/>
        </w:rPr>
      </w:pPr>
      <w:r>
        <w:rPr>
          <w:rFonts w:ascii="Times New Roman" w:cs="Times New Roman" w:eastAsia="Times New Roman" w:hAnsi="Times New Roman"/>
          <w:sz w:val="20"/>
          <w:szCs w:val="20"/>
          <w:color w:val="auto"/>
        </w:rPr>
        <w:t>Title: Interim Chief Executive Officer</w:t>
      </w:r>
    </w:p>
    <w:p>
      <w:pPr>
        <w:spacing w:after="0" w:line="21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Signature Page to Warrant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635635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00"/>
          </w:cols>
          <w:pgMar w:left="1440" w:top="869" w:right="1159" w:bottom="1440" w:gutter="0" w:footer="0" w:header="0"/>
        </w:sectPr>
      </w:pPr>
    </w:p>
    <w:bookmarkStart w:id="163" w:name="page164"/>
    <w:bookmarkEnd w:id="163"/>
    <w:tbl>
      <w:tblPr>
        <w:tblLayout w:type="fixed"/>
        <w:tblInd w:w="1620" w:type="dxa"/>
        <w:tblCellMar>
          <w:top w:w="0" w:type="dxa"/>
          <w:left w:w="0" w:type="dxa"/>
          <w:bottom w:w="0" w:type="dxa"/>
          <w:right w:w="0" w:type="dxa"/>
        </w:tblCellMar>
      </w:tblPr>
      <w:tr>
        <w:trPr>
          <w:trHeight w:val="262"/>
        </w:trPr>
        <w:tc>
          <w:tcPr>
            <w:tcW w:w="5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w w:val="97"/>
              </w:rPr>
              <w:t>EXHIBIT A</w:t>
            </w:r>
          </w:p>
        </w:tc>
      </w:tr>
      <w:tr>
        <w:trPr>
          <w:trHeight w:val="446"/>
        </w:trPr>
        <w:tc>
          <w:tcPr>
            <w:tcW w:w="6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EXERCISE NOTICE</w:t>
            </w:r>
          </w:p>
        </w:tc>
        <w:tc>
          <w:tcPr>
            <w:tcW w:w="1340" w:type="dxa"/>
            <w:vAlign w:val="bottom"/>
          </w:tcPr>
          <w:p>
            <w:pPr>
              <w:spacing w:after="0"/>
              <w:rPr>
                <w:sz w:val="24"/>
                <w:szCs w:val="24"/>
                <w:color w:val="auto"/>
              </w:rPr>
            </w:pPr>
          </w:p>
        </w:tc>
      </w:tr>
      <w:tr>
        <w:trPr>
          <w:trHeight w:val="413"/>
        </w:trPr>
        <w:tc>
          <w:tcPr>
            <w:tcW w:w="69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TO BE EXECUTED BY THE REGISTERED HOLDER TO EXERCISE THIS</w:t>
            </w:r>
          </w:p>
        </w:tc>
        <w:tc>
          <w:tcPr>
            <w:tcW w:w="1340" w:type="dxa"/>
            <w:vAlign w:val="bottom"/>
          </w:tcPr>
          <w:p>
            <w:pPr>
              <w:spacing w:after="0"/>
              <w:rPr>
                <w:sz w:val="24"/>
                <w:szCs w:val="24"/>
                <w:color w:val="auto"/>
              </w:rPr>
            </w:pPr>
          </w:p>
        </w:tc>
      </w:tr>
      <w:tr>
        <w:trPr>
          <w:trHeight w:val="262"/>
        </w:trPr>
        <w:tc>
          <w:tcPr>
            <w:tcW w:w="6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WARRANT TO PURCHASE COMMON STOCK</w:t>
            </w:r>
          </w:p>
        </w:tc>
        <w:tc>
          <w:tcPr>
            <w:tcW w:w="1340" w:type="dxa"/>
            <w:vAlign w:val="bottom"/>
          </w:tcPr>
          <w:p>
            <w:pPr>
              <w:spacing w:after="0"/>
              <w:rPr>
                <w:sz w:val="22"/>
                <w:szCs w:val="22"/>
                <w:color w:val="auto"/>
              </w:rPr>
            </w:pPr>
          </w:p>
        </w:tc>
      </w:tr>
      <w:tr>
        <w:trPr>
          <w:trHeight w:val="540"/>
        </w:trPr>
        <w:tc>
          <w:tcPr>
            <w:tcW w:w="6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PRESTO AUTOMATION INC.</w:t>
            </w:r>
          </w:p>
        </w:tc>
        <w:tc>
          <w:tcPr>
            <w:tcW w:w="1340" w:type="dxa"/>
            <w:vAlign w:val="bottom"/>
          </w:tcPr>
          <w:p>
            <w:pPr>
              <w:spacing w:after="0"/>
              <w:rPr>
                <w:sz w:val="24"/>
                <w:szCs w:val="24"/>
                <w:color w:val="auto"/>
              </w:rPr>
            </w:pPr>
          </w:p>
        </w:tc>
      </w:tr>
      <w:tr>
        <w:trPr>
          <w:trHeight w:val="399"/>
        </w:trPr>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 undersigned holder hereby exercises the right to purchase</w:t>
            </w:r>
          </w:p>
        </w:tc>
        <w:tc>
          <w:tcPr>
            <w:tcW w:w="1720" w:type="dxa"/>
            <w:vAlign w:val="bottom"/>
            <w:tcBorders>
              <w:bottom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of the shares of</w:t>
            </w:r>
          </w:p>
        </w:tc>
      </w:tr>
    </w:tbl>
    <w:p>
      <w:pPr>
        <w:jc w:val="both"/>
        <w:ind w:left="1100"/>
        <w:spacing w:after="0" w:line="256" w:lineRule="auto"/>
        <w:rPr>
          <w:sz w:val="20"/>
          <w:szCs w:val="20"/>
          <w:color w:val="auto"/>
        </w:rPr>
      </w:pPr>
      <w:r>
        <w:rPr>
          <w:rFonts w:ascii="Times New Roman" w:cs="Times New Roman" w:eastAsia="Times New Roman" w:hAnsi="Times New Roman"/>
          <w:sz w:val="20"/>
          <w:szCs w:val="20"/>
          <w:color w:val="auto"/>
        </w:rPr>
        <w:t>Common Stock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of Presto Automation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evidenced by the attached Warrant to Purchase Common Stock (the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Capitalized terms used herein and not otherwise defined shall have the respective meanings set forth in the Warrant.</w:t>
      </w:r>
    </w:p>
    <w:p>
      <w:pPr>
        <w:spacing w:after="0" w:line="18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1. Form of Exercise Price. The Holder intends that payment of the Exercise Price shall be made as:</w:t>
      </w:r>
    </w:p>
    <w:p>
      <w:pPr>
        <w:spacing w:after="0" w:line="197"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 “Cash Exercise” with respect to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6"/>
        </w:trPr>
        <w:tc>
          <w:tcPr>
            <w:tcW w:w="1180" w:type="dxa"/>
            <w:vAlign w:val="bottom"/>
          </w:tcPr>
          <w:p>
            <w:pPr>
              <w:spacing w:after="0"/>
              <w:rPr>
                <w:sz w:val="22"/>
                <w:szCs w:val="22"/>
                <w:color w:val="auto"/>
              </w:rPr>
            </w:pPr>
          </w:p>
        </w:tc>
        <w:tc>
          <w:tcPr>
            <w:tcW w:w="45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and/or</w:t>
            </w:r>
          </w:p>
        </w:tc>
        <w:tc>
          <w:tcPr>
            <w:tcW w:w="1320" w:type="dxa"/>
            <w:vAlign w:val="bottom"/>
          </w:tcPr>
          <w:p>
            <w:pPr>
              <w:spacing w:after="0"/>
              <w:rPr>
                <w:sz w:val="22"/>
                <w:szCs w:val="22"/>
                <w:color w:val="auto"/>
              </w:rPr>
            </w:pPr>
          </w:p>
        </w:tc>
      </w:tr>
      <w:tr>
        <w:trPr>
          <w:trHeight w:val="39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 “Cashless Exercise” with respect to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1100"/>
        <w:spacing w:after="0" w:line="254" w:lineRule="auto"/>
        <w:rPr>
          <w:sz w:val="20"/>
          <w:szCs w:val="20"/>
          <w:color w:val="auto"/>
        </w:rPr>
      </w:pPr>
      <w:r>
        <w:rPr>
          <w:rFonts w:ascii="Times New Roman" w:cs="Times New Roman" w:eastAsia="Times New Roman" w:hAnsi="Times New Roman"/>
          <w:sz w:val="20"/>
          <w:szCs w:val="20"/>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left="1100" w:firstLine="653"/>
        <w:spacing w:after="0" w:line="250" w:lineRule="auto"/>
        <w:tabs>
          <w:tab w:leader="none" w:pos="194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Exercise Price. In the event that the holder has elected a Cash Exercise with respect to some or all of the Warrant Shares to be issued pursuant hereto, the holder shall pay the Aggregate Exercise</w:t>
      </w:r>
    </w:p>
    <w:tbl>
      <w:tblPr>
        <w:tblLayout w:type="fixed"/>
        <w:tblInd w:w="0" w:type="dxa"/>
        <w:tblCellMar>
          <w:top w:w="0" w:type="dxa"/>
          <w:left w:w="0" w:type="dxa"/>
          <w:bottom w:w="0" w:type="dxa"/>
          <w:right w:w="0" w:type="dxa"/>
        </w:tblCellMar>
      </w:tblPr>
      <w:tr>
        <w:trPr>
          <w:trHeight w:val="192"/>
        </w:trPr>
        <w:tc>
          <w:tcPr>
            <w:tcW w:w="2880" w:type="dxa"/>
            <w:vAlign w:val="bottom"/>
            <w:gridSpan w:val="4"/>
          </w:tcPr>
          <w:p>
            <w:pPr>
              <w:ind w:left="1100"/>
              <w:spacing w:after="0" w:line="192" w:lineRule="exact"/>
              <w:rPr>
                <w:sz w:val="20"/>
                <w:szCs w:val="20"/>
                <w:color w:val="auto"/>
              </w:rPr>
            </w:pPr>
            <w:r>
              <w:rPr>
                <w:rFonts w:ascii="Times New Roman" w:cs="Times New Roman" w:eastAsia="Times New Roman" w:hAnsi="Times New Roman"/>
                <w:sz w:val="20"/>
                <w:szCs w:val="20"/>
                <w:color w:val="auto"/>
              </w:rPr>
              <w:t>Price in the sum of $</w:t>
            </w:r>
          </w:p>
        </w:tc>
        <w:tc>
          <w:tcPr>
            <w:tcW w:w="1000" w:type="dxa"/>
            <w:vAlign w:val="bottom"/>
            <w:tcBorders>
              <w:bottom w:val="single" w:sz="8" w:color="auto"/>
            </w:tcBorders>
            <w:gridSpan w:val="3"/>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4440" w:type="dxa"/>
            <w:vAlign w:val="bottom"/>
            <w:gridSpan w:val="10"/>
          </w:tcPr>
          <w:p>
            <w:pPr>
              <w:jc w:val="right"/>
              <w:ind w:right="20"/>
              <w:spacing w:after="0" w:line="192" w:lineRule="exact"/>
              <w:rPr>
                <w:sz w:val="20"/>
                <w:szCs w:val="20"/>
                <w:color w:val="auto"/>
              </w:rPr>
            </w:pPr>
            <w:r>
              <w:rPr>
                <w:rFonts w:ascii="Times New Roman" w:cs="Times New Roman" w:eastAsia="Times New Roman" w:hAnsi="Times New Roman"/>
                <w:sz w:val="20"/>
                <w:szCs w:val="20"/>
                <w:color w:val="auto"/>
              </w:rPr>
              <w:t>to the Company in accordance with the terms of the</w:t>
            </w:r>
          </w:p>
        </w:tc>
      </w:tr>
      <w:tr>
        <w:trPr>
          <w:trHeight w:val="256"/>
        </w:trPr>
        <w:tc>
          <w:tcPr>
            <w:tcW w:w="3880" w:type="dxa"/>
            <w:vAlign w:val="bottom"/>
            <w:gridSpan w:val="7"/>
          </w:tcPr>
          <w:p>
            <w:pPr>
              <w:ind w:left="1100"/>
              <w:spacing w:after="0"/>
              <w:rPr>
                <w:sz w:val="20"/>
                <w:szCs w:val="20"/>
                <w:color w:val="auto"/>
              </w:rPr>
            </w:pPr>
            <w:r>
              <w:rPr>
                <w:rFonts w:ascii="Times New Roman" w:cs="Times New Roman" w:eastAsia="Times New Roman" w:hAnsi="Times New Roman"/>
                <w:sz w:val="20"/>
                <w:szCs w:val="20"/>
                <w:color w:val="auto"/>
              </w:rPr>
              <w:t>Warrant.</w:t>
            </w:r>
          </w:p>
        </w:tc>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99"/>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0" w:type="dxa"/>
            <w:vAlign w:val="bottom"/>
            <w:gridSpan w:val="11"/>
          </w:tcPr>
          <w:p>
            <w:pPr>
              <w:ind w:left="180"/>
              <w:spacing w:after="0"/>
              <w:rPr>
                <w:sz w:val="20"/>
                <w:szCs w:val="20"/>
                <w:color w:val="auto"/>
              </w:rPr>
            </w:pPr>
            <w:r>
              <w:rPr>
                <w:rFonts w:ascii="Times New Roman" w:cs="Times New Roman" w:eastAsia="Times New Roman" w:hAnsi="Times New Roman"/>
                <w:sz w:val="20"/>
                <w:szCs w:val="20"/>
                <w:color w:val="auto"/>
              </w:rPr>
              <w:t>3. Delivery of Warrant Shares. The Company shall deliver to the holder ​</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Warrant</w:t>
            </w:r>
          </w:p>
        </w:tc>
      </w:tr>
      <w:tr>
        <w:trPr>
          <w:trHeight w:val="256"/>
        </w:trPr>
        <w:tc>
          <w:tcPr>
            <w:tcW w:w="6100" w:type="dxa"/>
            <w:vAlign w:val="bottom"/>
            <w:gridSpan w:val="9"/>
          </w:tcPr>
          <w:p>
            <w:pPr>
              <w:ind w:left="1100"/>
              <w:spacing w:after="0"/>
              <w:rPr>
                <w:sz w:val="20"/>
                <w:szCs w:val="20"/>
                <w:color w:val="auto"/>
              </w:rPr>
            </w:pPr>
            <w:r>
              <w:rPr>
                <w:rFonts w:ascii="Times New Roman" w:cs="Times New Roman" w:eastAsia="Times New Roman" w:hAnsi="Times New Roman"/>
                <w:sz w:val="20"/>
                <w:szCs w:val="20"/>
                <w:color w:val="auto"/>
              </w:rPr>
              <w:t>Shares in accordance with the terms of the Warrant.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99"/>
        </w:trPr>
        <w:tc>
          <w:tcPr>
            <w:tcW w:w="110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4"/>
                <w:szCs w:val="24"/>
                <w:color w:val="auto"/>
              </w:rPr>
            </w:pP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Electronic Delivery</w:t>
            </w: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DTC Participant:</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gridSpan w:val="2"/>
          </w:tcPr>
          <w:p>
            <w:pPr>
              <w:ind w:left="460"/>
              <w:spacing w:after="0" w:line="209" w:lineRule="exact"/>
              <w:rPr>
                <w:sz w:val="20"/>
                <w:szCs w:val="20"/>
                <w:color w:val="auto"/>
              </w:rPr>
            </w:pPr>
            <w:r>
              <w:rPr>
                <w:rFonts w:ascii="Times New Roman" w:cs="Times New Roman" w:eastAsia="Times New Roman" w:hAnsi="Times New Roman"/>
                <w:sz w:val="20"/>
                <w:szCs w:val="20"/>
                <w:color w:val="auto"/>
              </w:rPr>
              <w:t>DTC Number:</w:t>
            </w:r>
          </w:p>
        </w:tc>
        <w:tc>
          <w:tcPr>
            <w:tcW w:w="20" w:type="dxa"/>
            <w:vAlign w:val="bottom"/>
          </w:tcPr>
          <w:p>
            <w:pPr>
              <w:spacing w:after="0"/>
              <w:rPr>
                <w:sz w:val="18"/>
                <w:szCs w:val="18"/>
                <w:color w:val="auto"/>
              </w:rPr>
            </w:pPr>
          </w:p>
        </w:tc>
        <w:tc>
          <w:tcPr>
            <w:tcW w:w="3060" w:type="dxa"/>
            <w:vAlign w:val="bottom"/>
            <w:tcBorders>
              <w:bottom w:val="single" w:sz="8" w:color="auto"/>
            </w:tcBorders>
            <w:gridSpan w:val="3"/>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gridSpan w:val="2"/>
          </w:tcPr>
          <w:p>
            <w:pPr>
              <w:ind w:left="460"/>
              <w:spacing w:after="0" w:line="209" w:lineRule="exact"/>
              <w:rPr>
                <w:sz w:val="20"/>
                <w:szCs w:val="20"/>
                <w:color w:val="auto"/>
              </w:rPr>
            </w:pPr>
            <w:r>
              <w:rPr>
                <w:rFonts w:ascii="Times New Roman" w:cs="Times New Roman" w:eastAsia="Times New Roman" w:hAnsi="Times New Roman"/>
                <w:sz w:val="20"/>
                <w:szCs w:val="20"/>
                <w:color w:val="auto"/>
              </w:rPr>
              <w:t>Account Name:</w:t>
            </w:r>
          </w:p>
        </w:tc>
        <w:tc>
          <w:tcPr>
            <w:tcW w:w="20" w:type="dxa"/>
            <w:vAlign w:val="bottom"/>
          </w:tcPr>
          <w:p>
            <w:pPr>
              <w:spacing w:after="0"/>
              <w:rPr>
                <w:sz w:val="18"/>
                <w:szCs w:val="18"/>
                <w:color w:val="auto"/>
              </w:rPr>
            </w:pPr>
          </w:p>
        </w:tc>
        <w:tc>
          <w:tcPr>
            <w:tcW w:w="3060" w:type="dxa"/>
            <w:vAlign w:val="bottom"/>
            <w:tcBorders>
              <w:bottom w:val="single" w:sz="8" w:color="auto"/>
            </w:tcBorders>
            <w:gridSpan w:val="3"/>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gridSpan w:val="2"/>
          </w:tcPr>
          <w:p>
            <w:pPr>
              <w:ind w:left="460"/>
              <w:spacing w:after="0" w:line="209" w:lineRule="exact"/>
              <w:rPr>
                <w:sz w:val="20"/>
                <w:szCs w:val="20"/>
                <w:color w:val="auto"/>
              </w:rPr>
            </w:pPr>
            <w:r>
              <w:rPr>
                <w:rFonts w:ascii="Times New Roman" w:cs="Times New Roman" w:eastAsia="Times New Roman" w:hAnsi="Times New Roman"/>
                <w:sz w:val="20"/>
                <w:szCs w:val="20"/>
                <w:color w:val="auto"/>
              </w:rPr>
              <w:t>Account Number:</w:t>
            </w: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439"/>
        </w:trPr>
        <w:tc>
          <w:tcPr>
            <w:tcW w:w="110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4"/>
                <w:szCs w:val="24"/>
                <w:color w:val="auto"/>
              </w:rPr>
            </w:pP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Physical Delivery</w:t>
            </w: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Address: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66"/>
        </w:trPr>
        <w:tc>
          <w:tcPr>
            <w:tcW w:w="11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300" w:type="dxa"/>
            <w:vAlign w:val="bottom"/>
            <w:gridSpan w:val="5"/>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9"/>
        </w:trPr>
        <w:tc>
          <w:tcPr>
            <w:tcW w:w="1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6"/>
        </w:trPr>
        <w:tc>
          <w:tcPr>
            <w:tcW w:w="1100" w:type="dxa"/>
            <w:vAlign w:val="bottom"/>
          </w:tcPr>
          <w:p>
            <w:pPr>
              <w:spacing w:after="0"/>
              <w:rPr>
                <w:sz w:val="22"/>
                <w:szCs w:val="22"/>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Name of Registered Holder</w:t>
            </w:r>
          </w:p>
        </w:tc>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216"/>
        </w:trPr>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9" w:right="999" w:bottom="1440" w:gutter="0" w:footer="0" w:header="0"/>
        </w:sectPr>
      </w:pPr>
    </w:p>
    <w:bookmarkStart w:id="164" w:name="page165"/>
    <w:bookmarkEnd w:id="164"/>
    <w:p>
      <w:pPr>
        <w:ind w:left="640"/>
        <w:spacing w:after="0"/>
        <w:tabs>
          <w:tab w:leader="none" w:pos="1120" w:val="left"/>
        </w:tabs>
        <w:rPr>
          <w:sz w:val="20"/>
          <w:szCs w:val="20"/>
          <w:color w:val="auto"/>
        </w:rPr>
      </w:pPr>
      <w:r>
        <w:rPr>
          <w:rFonts w:ascii="Times New Roman" w:cs="Times New Roman" w:eastAsia="Times New Roman" w:hAnsi="Times New Roman"/>
          <w:sz w:val="20"/>
          <w:szCs w:val="20"/>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-10795</wp:posOffset>
            </wp:positionV>
            <wp:extent cx="1745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Name:</w:t>
      </w:r>
    </w:p>
    <w:p>
      <w:pPr>
        <w:ind w:left="6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626110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165" w:name="page166"/>
    <w:bookmarkEnd w:id="165"/>
    <w:p>
      <w:pPr>
        <w:ind w:left="3460"/>
        <w:spacing w:after="0"/>
        <w:rPr>
          <w:sz w:val="20"/>
          <w:szCs w:val="20"/>
          <w:color w:val="auto"/>
        </w:rPr>
      </w:pPr>
      <w:r>
        <w:rPr>
          <w:rFonts w:ascii="Times New Roman" w:cs="Times New Roman" w:eastAsia="Times New Roman" w:hAnsi="Times New Roman"/>
          <w:sz w:val="20"/>
          <w:szCs w:val="20"/>
          <w:b w:val="1"/>
          <w:bCs w:val="1"/>
          <w:color w:val="auto"/>
        </w:rPr>
        <w:t>ACKNOWLEDGMENT</w:t>
      </w:r>
    </w:p>
    <w:p>
      <w:pPr>
        <w:spacing w:after="0" w:line="233" w:lineRule="exact"/>
        <w:rPr>
          <w:sz w:val="20"/>
          <w:szCs w:val="20"/>
          <w:color w:val="auto"/>
        </w:rPr>
      </w:pPr>
    </w:p>
    <w:p>
      <w:pPr>
        <w:ind w:left="640" w:firstLine="648"/>
        <w:spacing w:after="0" w:line="250" w:lineRule="auto"/>
        <w:rPr>
          <w:sz w:val="20"/>
          <w:szCs w:val="20"/>
          <w:color w:val="auto"/>
        </w:rPr>
      </w:pPr>
      <w:r>
        <w:rPr>
          <w:rFonts w:ascii="Times New Roman" w:cs="Times New Roman" w:eastAsia="Times New Roman" w:hAnsi="Times New Roman"/>
          <w:sz w:val="20"/>
          <w:szCs w:val="20"/>
          <w:color w:val="auto"/>
        </w:rPr>
        <w:t>The Company hereby acknowledges this Exercise Notice and hereby directs [TRANSFER AGENT] to issue the above indicated number of shares of Common Stock in accordance with the Transfer Agent</w:t>
      </w:r>
    </w:p>
    <w:p>
      <w:pPr>
        <w:spacing w:after="0" w:line="1" w:lineRule="exact"/>
        <w:rPr>
          <w:sz w:val="20"/>
          <w:szCs w:val="20"/>
          <w:color w:val="auto"/>
        </w:rPr>
      </w:pPr>
    </w:p>
    <w:p>
      <w:pPr>
        <w:ind w:left="640"/>
        <w:spacing w:after="0"/>
        <w:tabs>
          <w:tab w:leader="none" w:pos="4600" w:val="left"/>
        </w:tabs>
        <w:rPr>
          <w:sz w:val="20"/>
          <w:szCs w:val="20"/>
          <w:color w:val="auto"/>
        </w:rPr>
      </w:pPr>
      <w:r>
        <w:rPr>
          <w:rFonts w:ascii="Times New Roman" w:cs="Times New Roman" w:eastAsia="Times New Roman" w:hAnsi="Times New Roman"/>
          <w:sz w:val="20"/>
          <w:szCs w:val="20"/>
          <w:color w:val="auto"/>
        </w:rPr>
        <w:t>Instructions dated ​</w:t>
      </w:r>
      <w:r>
        <w:rPr>
          <w:sz w:val="20"/>
          <w:szCs w:val="20"/>
          <w:color w:val="auto"/>
        </w:rPr>
        <w:tab/>
      </w:r>
      <w:r>
        <w:rPr>
          <w:rFonts w:ascii="Times New Roman" w:cs="Times New Roman" w:eastAsia="Times New Roman" w:hAnsi="Times New Roman"/>
          <w:sz w:val="20"/>
          <w:szCs w:val="20"/>
          <w:color w:val="auto"/>
        </w:rPr>
        <w:t>from the Company and acknowledged and agreed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-24765</wp:posOffset>
            </wp:positionV>
            <wp:extent cx="1453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20"/>
          <w:szCs w:val="20"/>
          <w:color w:val="auto"/>
        </w:rPr>
        <w:t>[TRANSFER AGENT].</w:t>
      </w:r>
    </w:p>
    <w:p>
      <w:pPr>
        <w:spacing w:after="0" w:line="1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-10795</wp:posOffset>
            </wp:positionV>
            <wp:extent cx="20116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1168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ind w:left="32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771525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395" w:right="999" w:bottom="1440" w:gutter="0" w:footer="0" w:header="0"/>
        </w:sectPr>
      </w:pPr>
    </w:p>
    <w:bookmarkStart w:id="166" w:name="page167"/>
    <w:bookmarkEnd w:id="166"/>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ASSIGNMENT FORM</w:t>
      </w:r>
    </w:p>
    <w:p>
      <w:pPr>
        <w:spacing w:after="0" w:line="23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(To assign the foregoing warrant, execute</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this form and supply required information.</w:t>
      </w:r>
    </w:p>
    <w:p>
      <w:pPr>
        <w:ind w:left="2720"/>
        <w:spacing w:after="0"/>
        <w:rPr>
          <w:sz w:val="20"/>
          <w:szCs w:val="20"/>
          <w:color w:val="auto"/>
        </w:rPr>
      </w:pPr>
      <w:r>
        <w:rPr>
          <w:rFonts w:ascii="Times New Roman" w:cs="Times New Roman" w:eastAsia="Times New Roman" w:hAnsi="Times New Roman"/>
          <w:sz w:val="20"/>
          <w:szCs w:val="20"/>
          <w:color w:val="auto"/>
        </w:rPr>
        <w:t>Do not use this form to exercise the warrant.)</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VALUE RECEIVED,</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all of or</w:t>
            </w:r>
          </w:p>
        </w:tc>
        <w:tc>
          <w:tcPr>
            <w:tcW w:w="47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w w:val="98"/>
              </w:rPr>
              <w:t>shares of the foregoing Warrant and all rights evidenced</w:t>
            </w:r>
          </w:p>
        </w:tc>
      </w:tr>
      <w:tr>
        <w:trPr>
          <w:trHeight w:val="258"/>
        </w:trPr>
        <w:tc>
          <w:tcPr>
            <w:tcW w:w="2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thereby are hereby assigned to</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413"/>
        </w:trPr>
        <w:tc>
          <w:tcPr>
            <w:tcW w:w="8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whose address is</w:t>
            </w:r>
          </w:p>
        </w:tc>
      </w:tr>
      <w:tr>
        <w:trPr>
          <w:trHeight w:val="209"/>
        </w:trPr>
        <w:tc>
          <w:tcPr>
            <w:tcW w:w="80" w:type="dxa"/>
            <w:vAlign w:val="bottom"/>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80" w:type="dxa"/>
            <w:vAlign w:val="bottom"/>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53"/>
        </w:trPr>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2"/>
          </w:tcPr>
          <w:p>
            <w:pPr>
              <w:ind w:left="1620"/>
              <w:spacing w:after="0"/>
              <w:rPr>
                <w:sz w:val="20"/>
                <w:szCs w:val="20"/>
                <w:color w:val="auto"/>
              </w:rPr>
            </w:pPr>
            <w:r>
              <w:rPr>
                <w:rFonts w:ascii="Times New Roman" w:cs="Times New Roman" w:eastAsia="Times New Roman" w:hAnsi="Times New Roman"/>
                <w:sz w:val="20"/>
                <w:szCs w:val="20"/>
                <w:color w:val="auto"/>
              </w:rPr>
              <w:t>Dated:</w:t>
            </w: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spacing w:after="0"/>
              <w:rPr>
                <w:sz w:val="24"/>
                <w:szCs w:val="24"/>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w:t>
            </w:r>
          </w:p>
        </w:tc>
      </w:tr>
      <w:tr>
        <w:trPr>
          <w:trHeight w:val="318"/>
        </w:trPr>
        <w:tc>
          <w:tcPr>
            <w:tcW w:w="80" w:type="dxa"/>
            <w:vAlign w:val="bottom"/>
          </w:tcPr>
          <w:p>
            <w:pPr>
              <w:spacing w:after="0"/>
              <w:rPr>
                <w:sz w:val="24"/>
                <w:szCs w:val="24"/>
                <w:color w:val="auto"/>
              </w:rPr>
            </w:pPr>
          </w:p>
        </w:tc>
        <w:tc>
          <w:tcPr>
            <w:tcW w:w="3480" w:type="dxa"/>
            <w:vAlign w:val="bottom"/>
            <w:gridSpan w:val="3"/>
          </w:tcPr>
          <w:p>
            <w:pPr>
              <w:ind w:left="1880"/>
              <w:spacing w:after="0"/>
              <w:rPr>
                <w:sz w:val="20"/>
                <w:szCs w:val="20"/>
                <w:color w:val="auto"/>
              </w:rPr>
            </w:pPr>
            <w:r>
              <w:rPr>
                <w:rFonts w:ascii="Times New Roman" w:cs="Times New Roman" w:eastAsia="Times New Roman" w:hAnsi="Times New Roman"/>
                <w:sz w:val="20"/>
                <w:szCs w:val="20"/>
                <w:color w:val="auto"/>
              </w:rPr>
              <w:t>Holder’s Signature:</w:t>
            </w:r>
          </w:p>
        </w:tc>
        <w:tc>
          <w:tcPr>
            <w:tcW w:w="2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09"/>
        </w:trPr>
        <w:tc>
          <w:tcPr>
            <w:tcW w:w="80" w:type="dxa"/>
            <w:vAlign w:val="bottom"/>
          </w:tcPr>
          <w:p>
            <w:pPr>
              <w:spacing w:after="0"/>
              <w:rPr>
                <w:sz w:val="18"/>
                <w:szCs w:val="18"/>
                <w:color w:val="auto"/>
              </w:rPr>
            </w:pPr>
          </w:p>
        </w:tc>
        <w:tc>
          <w:tcPr>
            <w:tcW w:w="3320" w:type="dxa"/>
            <w:vAlign w:val="bottom"/>
            <w:gridSpan w:val="2"/>
          </w:tcPr>
          <w:p>
            <w:pPr>
              <w:ind w:left="1880"/>
              <w:spacing w:after="0" w:line="209" w:lineRule="exact"/>
              <w:rPr>
                <w:sz w:val="20"/>
                <w:szCs w:val="20"/>
                <w:color w:val="auto"/>
              </w:rPr>
            </w:pPr>
            <w:r>
              <w:rPr>
                <w:rFonts w:ascii="Times New Roman" w:cs="Times New Roman" w:eastAsia="Times New Roman" w:hAnsi="Times New Roman"/>
                <w:sz w:val="20"/>
                <w:szCs w:val="20"/>
                <w:color w:val="auto"/>
                <w:w w:val="97"/>
              </w:rPr>
              <w:t>Holder’s Address:</w:t>
            </w: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bl>
    <w:p>
      <w:pPr>
        <w:spacing w:after="0" w:line="247" w:lineRule="exact"/>
        <w:rPr>
          <w:sz w:val="20"/>
          <w:szCs w:val="20"/>
          <w:color w:val="auto"/>
        </w:rPr>
      </w:pPr>
    </w:p>
    <w:p>
      <w:pPr>
        <w:ind w:left="640"/>
        <w:spacing w:after="0" w:line="269" w:lineRule="auto"/>
        <w:rPr>
          <w:sz w:val="20"/>
          <w:szCs w:val="20"/>
          <w:color w:val="auto"/>
        </w:rPr>
      </w:pPr>
      <w:r>
        <w:rPr>
          <w:rFonts w:ascii="Times New Roman" w:cs="Times New Roman" w:eastAsia="Times New Roman" w:hAnsi="Times New Roman"/>
          <w:sz w:val="20"/>
          <w:szCs w:val="20"/>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509905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60"/>
          </w:cols>
          <w:pgMar w:left="1440" w:top="1166" w:right="1099" w:bottom="1440" w:gutter="0" w:footer="0" w:header="0"/>
        </w:sectPr>
      </w:pPr>
    </w:p>
    <w:bookmarkStart w:id="167" w:name="page168"/>
    <w:bookmarkEnd w:id="167"/>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6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340" w:lineRule="exact"/>
        <w:rPr>
          <w:sz w:val="20"/>
          <w:szCs w:val="20"/>
          <w:color w:val="auto"/>
        </w:rPr>
      </w:pPr>
    </w:p>
    <w:p>
      <w:pPr>
        <w:jc w:val="both"/>
        <w:ind w:left="180" w:right="219"/>
        <w:spacing w:after="0" w:line="242" w:lineRule="auto"/>
        <w:rPr>
          <w:sz w:val="20"/>
          <w:szCs w:val="20"/>
          <w:color w:val="auto"/>
        </w:rPr>
      </w:pPr>
      <w:r>
        <w:rPr>
          <w:rFonts w:ascii="Times New Roman" w:cs="Times New Roman" w:eastAsia="Times New Roman" w:hAnsi="Times New Roman"/>
          <w:sz w:val="20"/>
          <w:szCs w:val="20"/>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arrant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urchase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Warrant No.: 2023-3</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Number of Shares of Common Stock: 42,280</w:t>
      </w:r>
    </w:p>
    <w:p>
      <w:pPr>
        <w:ind w:left="180"/>
        <w:spacing w:after="0"/>
        <w:rPr>
          <w:sz w:val="20"/>
          <w:szCs w:val="20"/>
          <w:color w:val="auto"/>
        </w:rPr>
      </w:pPr>
      <w:r>
        <w:rPr>
          <w:rFonts w:ascii="Times New Roman" w:cs="Times New Roman" w:eastAsia="Times New Roman" w:hAnsi="Times New Roman"/>
          <w:sz w:val="20"/>
          <w:szCs w:val="20"/>
          <w:color w:val="auto"/>
        </w:rPr>
        <w:t>Date of Issuance: March 31, 2023 (“</w:t>
      </w:r>
      <w:r>
        <w:rPr>
          <w:rFonts w:ascii="Times New Roman" w:cs="Times New Roman" w:eastAsia="Times New Roman" w:hAnsi="Times New Roman"/>
          <w:sz w:val="20"/>
          <w:szCs w:val="20"/>
          <w:b w:val="1"/>
          <w:bCs w:val="1"/>
          <w:color w:val="auto"/>
        </w:rPr>
        <w:t>Issuance Date</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left="180" w:right="219" w:firstLine="1296"/>
        <w:spacing w:after="0" w:line="242" w:lineRule="auto"/>
        <w:rPr>
          <w:sz w:val="20"/>
          <w:szCs w:val="20"/>
          <w:color w:val="auto"/>
        </w:rPr>
      </w:pPr>
      <w:r>
        <w:rPr>
          <w:rFonts w:ascii="Times New Roman" w:cs="Times New Roman" w:eastAsia="Times New Roman" w:hAnsi="Times New Roman"/>
          <w:sz w:val="20"/>
          <w:szCs w:val="20"/>
          <w:color w:val="auto"/>
        </w:rPr>
        <w:t>Presto Automation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certifies that, for good and valuable consideration, the receipt and sufficiency of which are hereby acknowledged, Metropolitan Offshore Partners Fund VII, LP, the registered holder hereof or its permitted assigns (the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42,280 duly authorized, validly issued, fully paid, nonassessable shares of Common Stock, subject to adjustment as provided herein (the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Except as otherwise defined herein, capitalized terms in this Warrant to Purchase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any Warrants to Purchase Common Stock issued in exchange, transfer or replacement hereof, this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xml:space="preserve">”) shall have the meanings set forth in Section </w:t>
      </w:r>
      <w:r>
        <w:rPr>
          <w:rFonts w:ascii="Times New Roman" w:cs="Times New Roman" w:eastAsia="Times New Roman" w:hAnsi="Times New Roman"/>
          <w:sz w:val="20"/>
          <w:szCs w:val="20"/>
          <w:u w:val="single" w:color="auto"/>
          <w:color w:val="0000EE"/>
        </w:rPr>
        <w:t>17.</w:t>
      </w:r>
      <w:r>
        <w:rPr>
          <w:rFonts w:ascii="Times New Roman" w:cs="Times New Roman" w:eastAsia="Times New Roman" w:hAnsi="Times New Roman"/>
          <w:sz w:val="20"/>
          <w:szCs w:val="20"/>
          <w:color w:val="auto"/>
        </w:rPr>
        <w:t xml:space="preserve"> This Warrant is being issued pursuant to Section 4 of that certain Amended and Restated Fee Letter, dated March 31, 2023, among E La Carte, LLC, the Company and Metropolitan Partners Group Administration, LLC, as agent (the “</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Capitalized terms used herein and not otherwise defined shall have the definitions ascribed to such terms in the Credit Agreement (as defined in the Fee Letter).</w:t>
      </w:r>
    </w:p>
    <w:p>
      <w:pPr>
        <w:spacing w:after="0" w:line="200" w:lineRule="exact"/>
        <w:rPr>
          <w:sz w:val="20"/>
          <w:szCs w:val="20"/>
          <w:color w:val="auto"/>
        </w:rPr>
      </w:pPr>
    </w:p>
    <w:p>
      <w:pPr>
        <w:ind w:left="2120" w:hanging="640"/>
        <w:spacing w:after="0"/>
        <w:tabs>
          <w:tab w:leader="none" w:pos="21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WARRANT.</w:t>
      </w:r>
    </w:p>
    <w:p>
      <w:pPr>
        <w:spacing w:after="0" w:line="215" w:lineRule="exact"/>
        <w:rPr>
          <w:rFonts w:ascii="Times New Roman" w:cs="Times New Roman" w:eastAsia="Times New Roman" w:hAnsi="Times New Roman"/>
          <w:sz w:val="20"/>
          <w:szCs w:val="20"/>
          <w:color w:val="auto"/>
        </w:rPr>
      </w:pPr>
    </w:p>
    <w:p>
      <w:pPr>
        <w:jc w:val="both"/>
        <w:ind w:left="180" w:right="219" w:firstLine="1951"/>
        <w:spacing w:after="0" w:line="243" w:lineRule="auto"/>
        <w:tabs>
          <w:tab w:leader="none" w:pos="2774"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 of Exercise</w:t>
      </w:r>
      <w:r>
        <w:rPr>
          <w:rFonts w:ascii="Times New Roman" w:cs="Times New Roman" w:eastAsia="Times New Roman" w:hAnsi="Times New Roman"/>
          <w:sz w:val="20"/>
          <w:szCs w:val="20"/>
          <w:color w:val="auto"/>
        </w:rPr>
        <w:t xml:space="preserve">. Subject to the terms and conditions hereof (including, without limitation, the limitations set forth in Section </w:t>
      </w:r>
      <w:r>
        <w:rPr>
          <w:rFonts w:ascii="Times New Roman" w:cs="Times New Roman" w:eastAsia="Times New Roman" w:hAnsi="Times New Roman"/>
          <w:sz w:val="20"/>
          <w:szCs w:val="20"/>
          <w:u w:val="single" w:color="auto"/>
          <w:color w:val="0000EE"/>
        </w:rPr>
        <w:t>1(f)</w:t>
      </w:r>
      <w:r>
        <w:rPr>
          <w:rFonts w:ascii="Times New Roman" w:cs="Times New Roman" w:eastAsia="Times New Roman" w:hAnsi="Times New Roman"/>
          <w:sz w:val="20"/>
          <w:szCs w:val="20"/>
          <w:color w:val="auto"/>
        </w:rPr>
        <w:t xml:space="preserve">),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Exercise Notice</w:t>
      </w:r>
      <w:r>
        <w:rPr>
          <w:rFonts w:ascii="Times New Roman" w:cs="Times New Roman" w:eastAsia="Times New Roman" w:hAnsi="Times New Roman"/>
          <w:sz w:val="20"/>
          <w:szCs w:val="20"/>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20"/>
          <w:szCs w:val="20"/>
          <w:b w:val="1"/>
          <w:bCs w:val="1"/>
          <w:color w:val="auto"/>
        </w:rPr>
        <w:t>Aggregate Exercise Price</w:t>
      </w:r>
      <w:r>
        <w:rPr>
          <w:rFonts w:ascii="Times New Roman" w:cs="Times New Roman" w:eastAsia="Times New Roman" w:hAnsi="Times New Roman"/>
          <w:sz w:val="20"/>
          <w:szCs w:val="20"/>
          <w:color w:val="auto"/>
        </w:rPr>
        <w:t xml:space="preserve">”) in cash by wire transfer of immediately available funds or (B) if the provisions of Section </w:t>
      </w:r>
      <w:r>
        <w:rPr>
          <w:rFonts w:ascii="Times New Roman" w:cs="Times New Roman" w:eastAsia="Times New Roman" w:hAnsi="Times New Roman"/>
          <w:sz w:val="20"/>
          <w:szCs w:val="20"/>
          <w:u w:val="single" w:color="auto"/>
          <w:color w:val="0000EE"/>
        </w:rPr>
        <w:t>1(d)</w:t>
      </w:r>
      <w:r>
        <w:rPr>
          <w:rFonts w:ascii="Times New Roman" w:cs="Times New Roman" w:eastAsia="Times New Roman" w:hAnsi="Times New Roman"/>
          <w:sz w:val="20"/>
          <w:szCs w:val="20"/>
          <w:color w:val="auto"/>
        </w:rPr>
        <w:t xml:space="preserve"> are applicable, by notifying the Company that this Warrant is being exercised pursuant to a Cashless Exercise. The Holder shall not be required to physically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338455</wp:posOffset>
            </wp:positionV>
            <wp:extent cx="623189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8" w:name="page169"/>
    <w:bookmarkEnd w:id="168"/>
    <w:p>
      <w:pPr>
        <w:jc w:val="both"/>
        <w:ind w:left="180" w:right="219"/>
        <w:spacing w:after="0" w:line="253" w:lineRule="auto"/>
        <w:rPr>
          <w:sz w:val="20"/>
          <w:szCs w:val="20"/>
          <w:color w:val="auto"/>
        </w:rPr>
      </w:pPr>
      <w:r>
        <w:rPr>
          <w:rFonts w:ascii="Times New Roman" w:cs="Times New Roman" w:eastAsia="Times New Roman" w:hAnsi="Times New Roman"/>
          <w:sz w:val="19"/>
          <w:szCs w:val="19"/>
          <w:color w:val="auto"/>
        </w:rPr>
        <w:t xml:space="preserve">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9"/>
          <w:szCs w:val="19"/>
          <w:b w:val="1"/>
          <w:bCs w:val="1"/>
          <w:color w:val="auto"/>
        </w:rPr>
        <w:t>The Holder and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9"/>
          <w:szCs w:val="19"/>
          <w:color w:val="auto"/>
        </w:rPr>
        <w:t>On or before the third (3rd) Trading Day following the date on which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has received the Exercise Notice (the “</w:t>
      </w:r>
      <w:r>
        <w:rPr>
          <w:rFonts w:ascii="Times New Roman" w:cs="Times New Roman" w:eastAsia="Times New Roman" w:hAnsi="Times New Roman"/>
          <w:sz w:val="19"/>
          <w:szCs w:val="19"/>
          <w:b w:val="1"/>
          <w:bCs w:val="1"/>
          <w:color w:val="auto"/>
        </w:rPr>
        <w:t>Share Delivery Date</w:t>
      </w:r>
      <w:r>
        <w:rPr>
          <w:rFonts w:ascii="Times New Roman" w:cs="Times New Roman" w:eastAsia="Times New Roman" w:hAnsi="Times New Roman"/>
          <w:sz w:val="19"/>
          <w:szCs w:val="19"/>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9"/>
          <w:szCs w:val="19"/>
          <w:b w:val="1"/>
          <w:bCs w:val="1"/>
          <w:color w:val="auto"/>
        </w:rPr>
        <w:t>Transfer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is participating in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Fast Automated Securities Transfer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Program (“</w:t>
      </w:r>
      <w:r>
        <w:rPr>
          <w:rFonts w:ascii="Times New Roman" w:cs="Times New Roman" w:eastAsia="Times New Roman" w:hAnsi="Times New Roman"/>
          <w:sz w:val="19"/>
          <w:szCs w:val="19"/>
          <w:b w:val="1"/>
          <w:bCs w:val="1"/>
          <w:color w:val="auto"/>
        </w:rPr>
        <w:t>FAST</w:t>
      </w:r>
      <w:r>
        <w:rPr>
          <w:rFonts w:ascii="Times New Roman" w:cs="Times New Roman" w:eastAsia="Times New Roman" w:hAnsi="Times New Roman"/>
          <w:sz w:val="19"/>
          <w:szCs w:val="19"/>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w:t>
      </w:r>
    </w:p>
    <w:p>
      <w:pPr>
        <w:spacing w:after="0" w:line="4" w:lineRule="exact"/>
        <w:rPr>
          <w:sz w:val="20"/>
          <w:szCs w:val="20"/>
          <w:color w:val="auto"/>
        </w:rPr>
      </w:pPr>
    </w:p>
    <w:p>
      <w:pPr>
        <w:jc w:val="both"/>
        <w:ind w:left="180" w:right="219" w:firstLine="7"/>
        <w:spacing w:after="0" w:line="252" w:lineRule="auto"/>
        <w:tabs>
          <w:tab w:leader="none" w:pos="513"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Times New Roman" w:cs="Times New Roman" w:eastAsia="Times New Roman" w:hAnsi="Times New Roman"/>
          <w:sz w:val="19"/>
          <w:szCs w:val="19"/>
          <w:u w:val="single" w:color="auto"/>
          <w:color w:val="0000EE"/>
        </w:rPr>
        <w:t>1(a)</w:t>
      </w:r>
      <w:r>
        <w:rPr>
          <w:rFonts w:ascii="Times New Roman" w:cs="Times New Roman" w:eastAsia="Times New Roman" w:hAnsi="Times New Roman"/>
          <w:sz w:val="19"/>
          <w:szCs w:val="19"/>
          <w:color w:val="auto"/>
        </w:rPr>
        <w:t xml:space="preserve">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Times New Roman" w:cs="Times New Roman" w:eastAsia="Times New Roman" w:hAnsi="Times New Roman"/>
          <w:sz w:val="19"/>
          <w:szCs w:val="19"/>
          <w:u w:val="single" w:color="auto"/>
          <w:color w:val="0000EE"/>
        </w:rPr>
        <w:t>1(d)</w:t>
      </w:r>
      <w:r>
        <w:rPr>
          <w:rFonts w:ascii="Times New Roman" w:cs="Times New Roman" w:eastAsia="Times New Roman" w:hAnsi="Times New Roman"/>
          <w:sz w:val="19"/>
          <w:szCs w:val="19"/>
          <w:color w:val="auto"/>
        </w:rPr>
        <w:t>)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35" w:lineRule="exact"/>
        <w:rPr>
          <w:sz w:val="20"/>
          <w:szCs w:val="20"/>
          <w:color w:val="auto"/>
        </w:rPr>
      </w:pPr>
    </w:p>
    <w:p>
      <w:pPr>
        <w:ind w:left="180" w:right="479" w:firstLine="1951"/>
        <w:spacing w:after="0" w:line="253" w:lineRule="auto"/>
        <w:tabs>
          <w:tab w:leader="none" w:pos="2771"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For purposes of this Warrant,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means $0.01, subject to adjustment as provided herein.</w:t>
      </w:r>
    </w:p>
    <w:p>
      <w:pPr>
        <w:ind w:left="39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69" w:name="page170"/>
    <w:bookmarkEnd w:id="169"/>
    <w:p>
      <w:pPr>
        <w:jc w:val="both"/>
        <w:ind w:left="180" w:right="219" w:firstLine="1951"/>
        <w:spacing w:after="0"/>
        <w:tabs>
          <w:tab w:leader="none" w:pos="2774"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Failure to Timely Deliver Securities</w:t>
      </w:r>
      <w:r>
        <w:rPr>
          <w:rFonts w:ascii="Times New Roman" w:cs="Times New Roman" w:eastAsia="Times New Roman" w:hAnsi="Times New Roman"/>
          <w:sz w:val="20"/>
          <w:szCs w:val="20"/>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20"/>
          <w:szCs w:val="20"/>
          <w:b w:val="1"/>
          <w:bCs w:val="1"/>
          <w:color w:val="auto"/>
        </w:rPr>
        <w:t>Delivery Failure</w:t>
      </w:r>
      <w:r>
        <w:rPr>
          <w:rFonts w:ascii="Times New Roman" w:cs="Times New Roman" w:eastAsia="Times New Roman" w:hAnsi="Times New Roman"/>
          <w:sz w:val="20"/>
          <w:szCs w:val="20"/>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Times New Roman" w:cs="Times New Roman" w:eastAsia="Times New Roman" w:hAnsi="Times New Roman"/>
          <w:sz w:val="20"/>
          <w:szCs w:val="20"/>
          <w:u w:val="single" w:color="auto"/>
          <w:color w:val="0000EE"/>
        </w:rPr>
        <w:t>1(c)</w:t>
      </w:r>
      <w:r>
        <w:rPr>
          <w:rFonts w:ascii="Times New Roman" w:cs="Times New Roman" w:eastAsia="Times New Roman" w:hAnsi="Times New Roman"/>
          <w:sz w:val="20"/>
          <w:szCs w:val="20"/>
          <w:color w:val="auto"/>
        </w:rPr>
        <w:t xml:space="preserve">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20"/>
          <w:szCs w:val="20"/>
          <w:b w:val="1"/>
          <w:bCs w:val="1"/>
          <w:color w:val="auto"/>
        </w:rPr>
        <w:t>Buy-In</w:t>
      </w:r>
      <w:r>
        <w:rPr>
          <w:rFonts w:ascii="Times New Roman" w:cs="Times New Roman" w:eastAsia="Times New Roman" w:hAnsi="Times New Roman"/>
          <w:sz w:val="20"/>
          <w:szCs w:val="20"/>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20"/>
          <w:szCs w:val="20"/>
          <w:b w:val="1"/>
          <w:bCs w:val="1"/>
          <w:color w:val="auto"/>
        </w:rPr>
        <w:t>Buy-In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Price</w:t>
      </w:r>
      <w:r>
        <w:rPr>
          <w:rFonts w:ascii="Times New Roman" w:cs="Times New Roman" w:eastAsia="Times New Roman" w:hAnsi="Times New Roman"/>
          <w:sz w:val="20"/>
          <w:szCs w:val="20"/>
          <w:color w:val="auto"/>
        </w:rPr>
        <w:t>”), at which point the Company’s obligation to so issue and deliver such certificate (and to issue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w:t>
      </w:r>
    </w:p>
    <w:p>
      <w:pPr>
        <w:spacing w:after="0" w:line="4" w:lineRule="exact"/>
        <w:rPr>
          <w:rFonts w:ascii="Times New Roman" w:cs="Times New Roman" w:eastAsia="Times New Roman" w:hAnsi="Times New Roman"/>
          <w:sz w:val="20"/>
          <w:szCs w:val="20"/>
          <w:color w:val="auto"/>
        </w:rPr>
      </w:pPr>
    </w:p>
    <w:p>
      <w:pPr>
        <w:jc w:val="both"/>
        <w:ind w:left="180" w:right="219" w:firstLine="7"/>
        <w:spacing w:after="0"/>
        <w:tabs>
          <w:tab w:leader="none" w:pos="51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Sale Price of the Common Stock on the Share Delivery Date with respect to the related Exercise Notice (the “</w:t>
      </w:r>
      <w:r>
        <w:rPr>
          <w:rFonts w:ascii="Times New Roman" w:cs="Times New Roman" w:eastAsia="Times New Roman" w:hAnsi="Times New Roman"/>
          <w:sz w:val="20"/>
          <w:szCs w:val="20"/>
          <w:b w:val="1"/>
          <w:bCs w:val="1"/>
          <w:color w:val="auto"/>
        </w:rPr>
        <w:t>Buy-In Payment Amount</w:t>
      </w:r>
      <w:r>
        <w:rPr>
          <w:rFonts w:ascii="Times New Roman" w:cs="Times New Roman" w:eastAsia="Times New Roman" w:hAnsi="Times New Roman"/>
          <w:sz w:val="20"/>
          <w:szCs w:val="20"/>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3" w:lineRule="exact"/>
        <w:rPr>
          <w:rFonts w:ascii="Times New Roman" w:cs="Times New Roman" w:eastAsia="Times New Roman" w:hAnsi="Times New Roman"/>
          <w:sz w:val="20"/>
          <w:szCs w:val="20"/>
          <w:color w:val="auto"/>
        </w:rPr>
      </w:pPr>
    </w:p>
    <w:p>
      <w:pPr>
        <w:jc w:val="both"/>
        <w:ind w:left="180" w:right="219" w:firstLine="1951"/>
        <w:spacing w:after="0" w:line="247" w:lineRule="auto"/>
        <w:tabs>
          <w:tab w:leader="none" w:pos="2774"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Exercise</w:t>
      </w:r>
      <w:r>
        <w:rPr>
          <w:rFonts w:ascii="Times New Roman" w:cs="Times New Roman" w:eastAsia="Times New Roman" w:hAnsi="Times New Roman"/>
          <w:sz w:val="20"/>
          <w:szCs w:val="20"/>
          <w:color w:val="auto"/>
        </w:rPr>
        <w:t xml:space="preserve">. Notwithstanding anything contained herein to the contrary (other than Section </w:t>
      </w:r>
      <w:r>
        <w:rPr>
          <w:rFonts w:ascii="Times New Roman" w:cs="Times New Roman" w:eastAsia="Times New Roman" w:hAnsi="Times New Roman"/>
          <w:sz w:val="20"/>
          <w:szCs w:val="20"/>
          <w:u w:val="single" w:color="auto"/>
          <w:color w:val="0000EE"/>
        </w:rPr>
        <w:t>1(f)</w:t>
      </w:r>
      <w:r>
        <w:rPr>
          <w:rFonts w:ascii="Times New Roman" w:cs="Times New Roman" w:eastAsia="Times New Roman" w:hAnsi="Times New Roman"/>
          <w:sz w:val="20"/>
          <w:szCs w:val="20"/>
          <w:color w:val="auto"/>
        </w:rPr>
        <w:t xml:space="preserve"> below), the Holder may, in its sole discretion (and without limiting the Holder’s rights and remedies contained herein), exercise this Warrant in whole or in part and, subject to the</w:t>
      </w:r>
    </w:p>
    <w:p>
      <w:pPr>
        <w:jc w:val="both"/>
        <w:ind w:left="180" w:right="219"/>
        <w:spacing w:after="0" w:line="239" w:lineRule="auto"/>
        <w:rPr>
          <w:sz w:val="20"/>
          <w:szCs w:val="20"/>
          <w:color w:val="auto"/>
        </w:rPr>
      </w:pPr>
      <w:r>
        <w:rPr>
          <w:rFonts w:ascii="Times New Roman" w:cs="Times New Roman" w:eastAsia="Times New Roman" w:hAnsi="Times New Roman"/>
          <w:sz w:val="20"/>
          <w:szCs w:val="20"/>
          <w:color w:val="auto"/>
        </w:rPr>
        <w:t xml:space="preserve">provisions of Section </w:t>
      </w:r>
      <w:r>
        <w:rPr>
          <w:rFonts w:ascii="Times New Roman" w:cs="Times New Roman" w:eastAsia="Times New Roman" w:hAnsi="Times New Roman"/>
          <w:sz w:val="20"/>
          <w:szCs w:val="20"/>
          <w:u w:val="single" w:color="auto"/>
          <w:color w:val="0000EE"/>
        </w:rPr>
        <w:t>1(a),</w:t>
      </w:r>
      <w:r>
        <w:rPr>
          <w:rFonts w:ascii="Times New Roman" w:cs="Times New Roman" w:eastAsia="Times New Roman" w:hAnsi="Times New Roman"/>
          <w:sz w:val="20"/>
          <w:szCs w:val="20"/>
          <w:color w:val="auto"/>
        </w:rPr>
        <w:t xml:space="preserve">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0" w:name="page171"/>
    <w:bookmarkEnd w:id="170"/>
    <w:p>
      <w:pPr>
        <w:ind w:left="1480"/>
        <w:spacing w:after="0"/>
        <w:rPr>
          <w:sz w:val="20"/>
          <w:szCs w:val="20"/>
          <w:color w:val="auto"/>
        </w:rPr>
      </w:pPr>
      <w:r>
        <w:rPr>
          <w:rFonts w:ascii="Times New Roman" w:cs="Times New Roman" w:eastAsia="Times New Roman" w:hAnsi="Times New Roman"/>
          <w:sz w:val="20"/>
          <w:szCs w:val="20"/>
          <w:color w:val="auto"/>
        </w:rPr>
        <w:t xml:space="preserve">Net Number = </w:t>
      </w:r>
      <w:r>
        <w:rPr>
          <w:rFonts w:ascii="Times New Roman" w:cs="Times New Roman" w:eastAsia="Times New Roman" w:hAnsi="Times New Roman"/>
          <w:sz w:val="20"/>
          <w:szCs w:val="20"/>
          <w:u w:val="single" w:color="auto"/>
          <w:color w:val="auto"/>
        </w:rPr>
        <w:t>(A x B) - (A x C)</w:t>
      </w:r>
    </w:p>
    <w:p>
      <w:pPr>
        <w:spacing w:after="0" w:line="2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For purposes of the foregoing formula:</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the total number of shares with respect to which this Warrant is then being exercised.</w:t>
      </w:r>
    </w:p>
    <w:p>
      <w:pPr>
        <w:spacing w:after="0" w:line="216" w:lineRule="exact"/>
        <w:rPr>
          <w:sz w:val="20"/>
          <w:szCs w:val="20"/>
          <w:color w:val="auto"/>
        </w:rPr>
      </w:pPr>
    </w:p>
    <w:p>
      <w:pPr>
        <w:jc w:val="both"/>
        <w:ind w:left="1480" w:right="219"/>
        <w:spacing w:after="0" w:line="254" w:lineRule="auto"/>
        <w:rPr>
          <w:sz w:val="20"/>
          <w:szCs w:val="20"/>
          <w:color w:val="auto"/>
        </w:rPr>
      </w:pPr>
      <w:r>
        <w:rPr>
          <w:rFonts w:ascii="Times New Roman" w:cs="Times New Roman" w:eastAsia="Times New Roman" w:hAnsi="Times New Roman"/>
          <w:sz w:val="20"/>
          <w:szCs w:val="20"/>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74" w:lineRule="exact"/>
        <w:rPr>
          <w:sz w:val="20"/>
          <w:szCs w:val="20"/>
          <w:color w:val="auto"/>
        </w:rPr>
      </w:pPr>
    </w:p>
    <w:p>
      <w:pPr>
        <w:jc w:val="both"/>
        <w:ind w:left="1480" w:right="219"/>
        <w:spacing w:after="0" w:line="269" w:lineRule="auto"/>
        <w:rPr>
          <w:sz w:val="20"/>
          <w:szCs w:val="20"/>
          <w:color w:val="auto"/>
        </w:rPr>
      </w:pPr>
      <w:r>
        <w:rPr>
          <w:rFonts w:ascii="Times New Roman" w:cs="Times New Roman" w:eastAsia="Times New Roman" w:hAnsi="Times New Roman"/>
          <w:sz w:val="20"/>
          <w:szCs w:val="20"/>
          <w:color w:val="auto"/>
        </w:rPr>
        <w:t>C = the Exercise Price then in effect for the applicable Warrant Shares at the time of such exercise.</w:t>
      </w:r>
    </w:p>
    <w:p>
      <w:pPr>
        <w:spacing w:after="0" w:line="173" w:lineRule="exact"/>
        <w:rPr>
          <w:sz w:val="20"/>
          <w:szCs w:val="20"/>
          <w:color w:val="auto"/>
        </w:rPr>
      </w:pPr>
    </w:p>
    <w:p>
      <w:pPr>
        <w:jc w:val="both"/>
        <w:ind w:left="180" w:right="219"/>
        <w:spacing w:after="0" w:line="249" w:lineRule="auto"/>
        <w:rPr>
          <w:sz w:val="20"/>
          <w:szCs w:val="20"/>
          <w:color w:val="auto"/>
        </w:rPr>
      </w:pPr>
      <w:r>
        <w:rPr>
          <w:rFonts w:ascii="Times New Roman" w:cs="Times New Roman" w:eastAsia="Times New Roman" w:hAnsi="Times New Roman"/>
          <w:sz w:val="20"/>
          <w:szCs w:val="20"/>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93" w:lineRule="exact"/>
        <w:rPr>
          <w:sz w:val="20"/>
          <w:szCs w:val="20"/>
          <w:color w:val="auto"/>
        </w:rPr>
      </w:pPr>
    </w:p>
    <w:p>
      <w:pPr>
        <w:jc w:val="both"/>
        <w:ind w:left="180" w:right="219" w:firstLine="1952"/>
        <w:spacing w:after="0" w:line="249" w:lineRule="auto"/>
        <w:tabs>
          <w:tab w:leader="none" w:pos="277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Times New Roman" w:cs="Times New Roman" w:eastAsia="Times New Roman" w:hAnsi="Times New Roman"/>
          <w:sz w:val="20"/>
          <w:szCs w:val="20"/>
          <w:u w:val="single" w:color="auto"/>
          <w:color w:val="0000EE"/>
        </w:rPr>
        <w:t>12.</w:t>
      </w:r>
    </w:p>
    <w:p>
      <w:pPr>
        <w:spacing w:after="0" w:line="179" w:lineRule="exact"/>
        <w:rPr>
          <w:rFonts w:ascii="Times New Roman" w:cs="Times New Roman" w:eastAsia="Times New Roman" w:hAnsi="Times New Roman"/>
          <w:sz w:val="20"/>
          <w:szCs w:val="20"/>
          <w:color w:val="auto"/>
        </w:rPr>
      </w:pPr>
    </w:p>
    <w:p>
      <w:pPr>
        <w:jc w:val="both"/>
        <w:ind w:left="180" w:right="219" w:firstLine="1951"/>
        <w:spacing w:after="0"/>
        <w:tabs>
          <w:tab w:leader="none" w:pos="277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Exercises</w:t>
      </w:r>
      <w:r>
        <w:rPr>
          <w:rFonts w:ascii="Times New Roman" w:cs="Times New Roman" w:eastAsia="Times New Roman" w:hAnsi="Times New Roman"/>
          <w:sz w:val="20"/>
          <w:szCs w:val="20"/>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20"/>
          <w:szCs w:val="20"/>
          <w:b w:val="1"/>
          <w:bCs w:val="1"/>
          <w:color w:val="auto"/>
        </w:rPr>
        <w:t>Maximum Percentage</w:t>
      </w:r>
      <w:r>
        <w:rPr>
          <w:rFonts w:ascii="Times New Roman" w:cs="Times New Roman" w:eastAsia="Times New Roman" w:hAnsi="Times New Roman"/>
          <w:sz w:val="20"/>
          <w:szCs w:val="20"/>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Times New Roman" w:cs="Times New Roman" w:eastAsia="Times New Roman" w:hAnsi="Times New Roman"/>
          <w:sz w:val="20"/>
          <w:szCs w:val="20"/>
          <w:u w:val="single" w:color="auto"/>
          <w:color w:val="0000EE"/>
        </w:rPr>
        <w:t>1(f).</w:t>
      </w:r>
      <w:r>
        <w:rPr>
          <w:rFonts w:ascii="Times New Roman" w:cs="Times New Roman" w:eastAsia="Times New Roman" w:hAnsi="Times New Roman"/>
          <w:sz w:val="20"/>
          <w:szCs w:val="20"/>
          <w:color w:val="auto"/>
        </w:rPr>
        <w:t xml:space="preserve"> For purposes of this Section </w:t>
      </w:r>
      <w:r>
        <w:rPr>
          <w:rFonts w:ascii="Times New Roman" w:cs="Times New Roman" w:eastAsia="Times New Roman" w:hAnsi="Times New Roman"/>
          <w:sz w:val="20"/>
          <w:szCs w:val="20"/>
          <w:u w:val="single" w:color="auto"/>
          <w:color w:val="0000EE"/>
        </w:rPr>
        <w:t>1(f),</w:t>
      </w:r>
      <w:r>
        <w:rPr>
          <w:rFonts w:ascii="Times New Roman" w:cs="Times New Roman" w:eastAsia="Times New Roman" w:hAnsi="Times New Roman"/>
          <w:sz w:val="20"/>
          <w:szCs w:val="20"/>
          <w:color w:val="auto"/>
        </w:rPr>
        <w:t xml:space="preserve"> beneficial ownership shall be calculated in accordance with Section 13(d)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the case may be, (y) a more recent public announcement by the Company or (z) any other written notice by the Company or the Transfer Agent, if any, setting forth the number of shares of Common Stock outstanding</w:t>
      </w:r>
    </w:p>
    <w:p>
      <w:pPr>
        <w:spacing w:after="0" w:line="10" w:lineRule="exact"/>
        <w:rPr>
          <w:sz w:val="20"/>
          <w:szCs w:val="20"/>
          <w:color w:val="auto"/>
        </w:rPr>
      </w:pPr>
    </w:p>
    <w:p>
      <w:pPr>
        <w:ind w:left="180" w:right="219"/>
        <w:spacing w:after="0" w:line="239"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Reported Outstanding Share Number</w:t>
      </w:r>
      <w:r>
        <w:rPr>
          <w:rFonts w:ascii="Times New Roman" w:cs="Times New Roman" w:eastAsia="Times New Roman" w:hAnsi="Times New Roman"/>
          <w:sz w:val="20"/>
          <w:szCs w:val="20"/>
          <w:color w:val="auto"/>
        </w:rPr>
        <w:t>”). If the Company receives an Exercise Notice from the Holder at a time when the actual number of outstanding shares of Common Stock is less than the Reported</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1" w:name="page172"/>
    <w:bookmarkEnd w:id="171"/>
    <w:p>
      <w:pPr>
        <w:jc w:val="both"/>
        <w:ind w:left="180" w:right="219"/>
        <w:spacing w:after="0"/>
        <w:rPr>
          <w:sz w:val="20"/>
          <w:szCs w:val="20"/>
          <w:color w:val="auto"/>
        </w:rPr>
      </w:pPr>
      <w:r>
        <w:rPr>
          <w:rFonts w:ascii="Times New Roman" w:cs="Times New Roman" w:eastAsia="Times New Roman" w:hAnsi="Times New Roman"/>
          <w:sz w:val="20"/>
          <w:szCs w:val="20"/>
          <w:color w:val="auto"/>
        </w:rPr>
        <w:t xml:space="preserve">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Times New Roman" w:cs="Times New Roman" w:eastAsia="Times New Roman" w:hAnsi="Times New Roman"/>
          <w:sz w:val="20"/>
          <w:szCs w:val="20"/>
          <w:u w:val="single" w:color="auto"/>
          <w:color w:val="0000EE"/>
        </w:rPr>
        <w:t>1(f),</w:t>
      </w:r>
      <w:r>
        <w:rPr>
          <w:rFonts w:ascii="Times New Roman" w:cs="Times New Roman" w:eastAsia="Times New Roman" w:hAnsi="Times New Roman"/>
          <w:sz w:val="20"/>
          <w:szCs w:val="20"/>
          <w:color w:val="auto"/>
        </w:rPr>
        <w:t xml:space="preserve">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20"/>
          <w:szCs w:val="20"/>
          <w:b w:val="1"/>
          <w:bCs w:val="1"/>
          <w:color w:val="auto"/>
        </w:rPr>
        <w:t>Reduction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and (ii) as soon as reasonably practicable, the Company shall return to the Holder any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20"/>
          <w:szCs w:val="20"/>
          <w:b w:val="1"/>
          <w:bCs w:val="1"/>
          <w:color w:val="auto"/>
        </w:rPr>
        <w:t>Excess Shares</w:t>
      </w:r>
      <w:r>
        <w:rPr>
          <w:rFonts w:ascii="Times New Roman" w:cs="Times New Roman" w:eastAsia="Times New Roman" w:hAnsi="Times New Roman"/>
          <w:sz w:val="20"/>
          <w:szCs w:val="20"/>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 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Times New Roman" w:cs="Times New Roman" w:eastAsia="Times New Roman" w:hAnsi="Times New Roman"/>
          <w:sz w:val="20"/>
          <w:szCs w:val="20"/>
          <w:u w:val="single" w:color="auto"/>
          <w:color w:val="0000EE"/>
        </w:rPr>
        <w:t>1(f)</w:t>
      </w:r>
      <w:r>
        <w:rPr>
          <w:rFonts w:ascii="Times New Roman" w:cs="Times New Roman" w:eastAsia="Times New Roman" w:hAnsi="Times New Roman"/>
          <w:sz w:val="20"/>
          <w:szCs w:val="20"/>
          <w:color w:val="auto"/>
        </w:rPr>
        <w:t xml:space="preserve"> to the extent necessary to correct this paragraph or any portion of this paragraph which may be defective or inconsistent with the intended beneficial ownership limitation contained in this Section </w:t>
      </w:r>
      <w:r>
        <w:rPr>
          <w:rFonts w:ascii="Times New Roman" w:cs="Times New Roman" w:eastAsia="Times New Roman" w:hAnsi="Times New Roman"/>
          <w:sz w:val="20"/>
          <w:szCs w:val="20"/>
          <w:u w:val="single" w:color="auto"/>
          <w:color w:val="0000EE"/>
        </w:rPr>
        <w:t>1(f)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or to make changes or supplements necessary or desirable to properly give effect to such limitation. The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limitation contained in this paragraph may not be waived and shall apply to a successor holder of this Warrant.</w:t>
      </w:r>
    </w:p>
    <w:p>
      <w:pPr>
        <w:spacing w:after="0" w:line="212" w:lineRule="exact"/>
        <w:rPr>
          <w:sz w:val="20"/>
          <w:szCs w:val="20"/>
          <w:color w:val="auto"/>
        </w:rPr>
      </w:pPr>
    </w:p>
    <w:p>
      <w:pPr>
        <w:jc w:val="both"/>
        <w:ind w:left="180" w:right="219" w:firstLine="1952"/>
        <w:spacing w:after="0" w:line="241" w:lineRule="auto"/>
        <w:tabs>
          <w:tab w:leader="none" w:pos="277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Authorized Shares</w:t>
      </w:r>
      <w:r>
        <w:rPr>
          <w:rFonts w:ascii="Times New Roman" w:cs="Times New Roman" w:eastAsia="Times New Roman" w:hAnsi="Times New Roman"/>
          <w:sz w:val="20"/>
          <w:szCs w:val="20"/>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20"/>
          <w:szCs w:val="20"/>
          <w:b w:val="1"/>
          <w:bCs w:val="1"/>
          <w:color w:val="auto"/>
        </w:rPr>
        <w:t>Required Reserve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20"/>
          <w:szCs w:val="20"/>
          <w:color w:val="auto"/>
        </w:rPr>
        <w:t>” and the failure to have such sufficient number of authorized and unreserved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an “</w:t>
      </w:r>
      <w:r>
        <w:rPr>
          <w:rFonts w:ascii="Times New Roman" w:cs="Times New Roman" w:eastAsia="Times New Roman" w:hAnsi="Times New Roman"/>
          <w:sz w:val="20"/>
          <w:szCs w:val="20"/>
          <w:b w:val="1"/>
          <w:bCs w:val="1"/>
          <w:color w:val="auto"/>
        </w:rPr>
        <w:t>Authorized Share Failure</w:t>
      </w:r>
      <w:r>
        <w:rPr>
          <w:rFonts w:ascii="Times New Roman" w:cs="Times New Roman" w:eastAsia="Times New Roman" w:hAnsi="Times New Roman"/>
          <w:sz w:val="20"/>
          <w:szCs w:val="20"/>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w:t>
      </w:r>
    </w:p>
    <w:p>
      <w:pPr>
        <w:spacing w:after="0" w:line="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2" w:name="page173"/>
    <w:bookmarkEnd w:id="172"/>
    <w:p>
      <w:pPr>
        <w:jc w:val="both"/>
        <w:ind w:left="180" w:right="219"/>
        <w:spacing w:after="0" w:line="241" w:lineRule="auto"/>
        <w:rPr>
          <w:sz w:val="20"/>
          <w:szCs w:val="20"/>
          <w:color w:val="auto"/>
        </w:rPr>
      </w:pPr>
      <w:r>
        <w:rPr>
          <w:rFonts w:ascii="Times New Roman" w:cs="Times New Roman" w:eastAsia="Times New Roman" w:hAnsi="Times New Roman"/>
          <w:sz w:val="20"/>
          <w:szCs w:val="20"/>
          <w:color w:val="auto"/>
        </w:rPr>
        <w:t>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20"/>
          <w:szCs w:val="20"/>
          <w:b w:val="1"/>
          <w:bCs w:val="1"/>
          <w:color w:val="auto"/>
        </w:rPr>
        <w:t>Authorization Failure Shares</w:t>
      </w:r>
      <w:r>
        <w:rPr>
          <w:rFonts w:ascii="Times New Roman" w:cs="Times New Roman" w:eastAsia="Times New Roman" w:hAnsi="Times New Roman"/>
          <w:sz w:val="20"/>
          <w:szCs w:val="20"/>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Times New Roman" w:cs="Times New Roman" w:eastAsia="Times New Roman" w:hAnsi="Times New Roman"/>
          <w:sz w:val="20"/>
          <w:szCs w:val="20"/>
          <w:u w:val="single" w:color="auto"/>
          <w:color w:val="0000EE"/>
        </w:rPr>
        <w:t>1(g)</w:t>
      </w:r>
      <w:r>
        <w:rPr>
          <w:rFonts w:ascii="Times New Roman" w:cs="Times New Roman" w:eastAsia="Times New Roman" w:hAnsi="Times New Roman"/>
          <w:sz w:val="20"/>
          <w:szCs w:val="20"/>
          <w:color w:val="auto"/>
        </w:rPr>
        <w:t xml:space="preserve"> shall limit any obligations of the Company under any provision of the Credit Agreement.</w:t>
      </w:r>
    </w:p>
    <w:p>
      <w:pPr>
        <w:spacing w:after="0" w:line="207" w:lineRule="exact"/>
        <w:rPr>
          <w:sz w:val="20"/>
          <w:szCs w:val="20"/>
          <w:color w:val="auto"/>
        </w:rPr>
      </w:pPr>
    </w:p>
    <w:p>
      <w:pPr>
        <w:ind w:left="180" w:right="219" w:firstLine="1303"/>
        <w:spacing w:after="0" w:line="247" w:lineRule="auto"/>
        <w:tabs>
          <w:tab w:leader="none" w:pos="212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OF EXERCISE PRICE AND NUMBER OF WARRANT SHARES</w:t>
      </w:r>
      <w:r>
        <w:rPr>
          <w:rFonts w:ascii="Times New Roman" w:cs="Times New Roman" w:eastAsia="Times New Roman" w:hAnsi="Times New Roman"/>
          <w:sz w:val="20"/>
          <w:szCs w:val="20"/>
          <w:color w:val="auto"/>
        </w:rPr>
        <w:t>. The Exercise Price and the number of Warrant Shares issuable upon exercise of this Warrant are subject to adjustments from time to time as set forth in this Section 2.</w:t>
      </w:r>
    </w:p>
    <w:p>
      <w:pPr>
        <w:spacing w:after="0" w:line="194" w:lineRule="exact"/>
        <w:rPr>
          <w:rFonts w:ascii="Times New Roman" w:cs="Times New Roman" w:eastAsia="Times New Roman" w:hAnsi="Times New Roman"/>
          <w:sz w:val="20"/>
          <w:szCs w:val="20"/>
          <w:color w:val="auto"/>
        </w:rPr>
      </w:pPr>
    </w:p>
    <w:p>
      <w:pPr>
        <w:jc w:val="both"/>
        <w:ind w:left="180" w:right="219" w:firstLine="1952"/>
        <w:spacing w:after="0" w:line="256" w:lineRule="auto"/>
        <w:tabs>
          <w:tab w:leader="none" w:pos="2773"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 Upon Subdivision or Combination of Shares of Common Stock</w:t>
      </w:r>
      <w:r>
        <w:rPr>
          <w:rFonts w:ascii="Times New Roman" w:cs="Times New Roman" w:eastAsia="Times New Roman" w:hAnsi="Times New Roman"/>
          <w:sz w:val="19"/>
          <w:szCs w:val="19"/>
          <w:color w:val="auto"/>
        </w:rPr>
        <w:t xml:space="preserve">.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w:t>
      </w:r>
      <w:r>
        <w:rPr>
          <w:rFonts w:ascii="Times New Roman" w:cs="Times New Roman" w:eastAsia="Times New Roman" w:hAnsi="Times New Roman"/>
          <w:sz w:val="19"/>
          <w:szCs w:val="19"/>
          <w:u w:val="single" w:color="auto"/>
          <w:color w:val="0000EE"/>
        </w:rPr>
        <w:t>2(a)</w:t>
      </w:r>
      <w:r>
        <w:rPr>
          <w:rFonts w:ascii="Times New Roman" w:cs="Times New Roman" w:eastAsia="Times New Roman" w:hAnsi="Times New Roman"/>
          <w:sz w:val="19"/>
          <w:szCs w:val="19"/>
          <w:color w:val="auto"/>
        </w:rPr>
        <w:t xml:space="preserve"> shall become effective at the close of business on the date the subdivision or combination becomes effective.</w:t>
      </w:r>
    </w:p>
    <w:p>
      <w:pPr>
        <w:spacing w:after="0" w:line="194" w:lineRule="exact"/>
        <w:rPr>
          <w:rFonts w:ascii="Times New Roman" w:cs="Times New Roman" w:eastAsia="Times New Roman" w:hAnsi="Times New Roman"/>
          <w:sz w:val="19"/>
          <w:szCs w:val="19"/>
          <w:color w:val="auto"/>
        </w:rPr>
      </w:pPr>
    </w:p>
    <w:p>
      <w:pPr>
        <w:jc w:val="both"/>
        <w:ind w:left="180" w:right="219" w:firstLine="1952"/>
        <w:spacing w:after="0" w:line="245" w:lineRule="auto"/>
        <w:tabs>
          <w:tab w:leader="none" w:pos="2773"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Number of Warrant Shares.</w:t>
      </w:r>
      <w:r>
        <w:rPr>
          <w:rFonts w:ascii="Times New Roman" w:cs="Times New Roman" w:eastAsia="Times New Roman" w:hAnsi="Times New Roman"/>
          <w:sz w:val="20"/>
          <w:szCs w:val="20"/>
          <w:color w:val="auto"/>
        </w:rPr>
        <w:t xml:space="preserve"> Simultaneously with any adjustment to the Exercise Price pursuant to Section </w:t>
      </w:r>
      <w:r>
        <w:rPr>
          <w:rFonts w:ascii="Times New Roman" w:cs="Times New Roman" w:eastAsia="Times New Roman" w:hAnsi="Times New Roman"/>
          <w:sz w:val="20"/>
          <w:szCs w:val="20"/>
          <w:u w:val="single" w:color="auto"/>
          <w:color w:val="0000EE"/>
        </w:rPr>
        <w:t>2,</w:t>
      </w:r>
      <w:r>
        <w:rPr>
          <w:rFonts w:ascii="Times New Roman" w:cs="Times New Roman" w:eastAsia="Times New Roman" w:hAnsi="Times New Roman"/>
          <w:sz w:val="20"/>
          <w:szCs w:val="20"/>
          <w:color w:val="auto"/>
        </w:rPr>
        <w:t xml:space="preserve">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4" w:lineRule="exact"/>
        <w:rPr>
          <w:rFonts w:ascii="Times New Roman" w:cs="Times New Roman" w:eastAsia="Times New Roman" w:hAnsi="Times New Roman"/>
          <w:sz w:val="20"/>
          <w:szCs w:val="20"/>
          <w:color w:val="auto"/>
        </w:rPr>
      </w:pPr>
    </w:p>
    <w:p>
      <w:pPr>
        <w:ind w:left="180" w:right="219" w:firstLine="1952"/>
        <w:spacing w:after="0" w:line="269" w:lineRule="auto"/>
        <w:tabs>
          <w:tab w:leader="none" w:pos="2773"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 Value</w:t>
      </w:r>
      <w:r>
        <w:rPr>
          <w:rFonts w:ascii="Times New Roman" w:cs="Times New Roman" w:eastAsia="Times New Roman" w:hAnsi="Times New Roman"/>
          <w:sz w:val="20"/>
          <w:szCs w:val="20"/>
          <w:color w:val="auto"/>
        </w:rPr>
        <w:t>. Notwithstanding anything to the contrary in this Warrant, in no event shall the Exercise Price be reduced below the par value of the Company’s Common Stock.</w:t>
      </w:r>
    </w:p>
    <w:p>
      <w:pPr>
        <w:spacing w:after="0" w:line="172" w:lineRule="exact"/>
        <w:rPr>
          <w:rFonts w:ascii="Times New Roman" w:cs="Times New Roman" w:eastAsia="Times New Roman" w:hAnsi="Times New Roman"/>
          <w:sz w:val="20"/>
          <w:szCs w:val="20"/>
          <w:color w:val="auto"/>
        </w:rPr>
      </w:pPr>
    </w:p>
    <w:p>
      <w:pPr>
        <w:jc w:val="both"/>
        <w:ind w:left="180" w:right="219" w:firstLine="1952"/>
        <w:spacing w:after="0" w:line="249" w:lineRule="auto"/>
        <w:tabs>
          <w:tab w:leader="none" w:pos="2773"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Adjustment by Company</w:t>
      </w:r>
      <w:r>
        <w:rPr>
          <w:rFonts w:ascii="Times New Roman" w:cs="Times New Roman" w:eastAsia="Times New Roman" w:hAnsi="Times New Roman"/>
          <w:sz w:val="20"/>
          <w:szCs w:val="20"/>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93" w:lineRule="exact"/>
        <w:rPr>
          <w:rFonts w:ascii="Times New Roman" w:cs="Times New Roman" w:eastAsia="Times New Roman" w:hAnsi="Times New Roman"/>
          <w:sz w:val="20"/>
          <w:szCs w:val="20"/>
          <w:color w:val="auto"/>
        </w:rPr>
      </w:pPr>
    </w:p>
    <w:p>
      <w:pPr>
        <w:jc w:val="both"/>
        <w:ind w:left="180" w:right="219" w:firstLine="1304"/>
        <w:spacing w:after="0" w:line="245" w:lineRule="auto"/>
        <w:tabs>
          <w:tab w:leader="none" w:pos="212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UPON DISTRIBUTION OF ASSETS</w:t>
      </w:r>
      <w:r>
        <w:rPr>
          <w:rFonts w:ascii="Times New Roman" w:cs="Times New Roman" w:eastAsia="Times New Roman" w:hAnsi="Times New Roman"/>
          <w:sz w:val="20"/>
          <w:szCs w:val="20"/>
          <w:color w:val="auto"/>
        </w:rPr>
        <w:t xml:space="preserve">. In addition to any adjustments pursuant to Section </w:t>
      </w:r>
      <w:r>
        <w:rPr>
          <w:rFonts w:ascii="Times New Roman" w:cs="Times New Roman" w:eastAsia="Times New Roman" w:hAnsi="Times New Roman"/>
          <w:sz w:val="20"/>
          <w:szCs w:val="20"/>
          <w:u w:val="single" w:color="auto"/>
          <w:color w:val="0000EE"/>
        </w:rPr>
        <w:t>2</w:t>
      </w:r>
      <w:r>
        <w:rPr>
          <w:rFonts w:ascii="Times New Roman" w:cs="Times New Roman" w:eastAsia="Times New Roman" w:hAnsi="Times New Roman"/>
          <w:sz w:val="20"/>
          <w:szCs w:val="20"/>
          <w:color w:val="auto"/>
        </w:rPr>
        <w:t xml:space="preserve">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3" w:name="page174"/>
    <w:bookmarkEnd w:id="173"/>
    <w:p>
      <w:pPr>
        <w:jc w:val="both"/>
        <w:ind w:left="180" w:right="219"/>
        <w:spacing w:after="0" w:line="241" w:lineRule="auto"/>
        <w:rPr>
          <w:sz w:val="20"/>
          <w:szCs w:val="20"/>
          <w:color w:val="auto"/>
        </w:rPr>
      </w:pPr>
      <w:r>
        <w:rPr>
          <w:rFonts w:ascii="Times New Roman" w:cs="Times New Roman" w:eastAsia="Times New Roman" w:hAnsi="Times New Roman"/>
          <w:sz w:val="20"/>
          <w:szCs w:val="20"/>
          <w:color w:val="auto"/>
        </w:rPr>
        <w:t>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4" w:lineRule="exact"/>
        <w:rPr>
          <w:sz w:val="20"/>
          <w:szCs w:val="20"/>
          <w:color w:val="auto"/>
        </w:rPr>
      </w:pPr>
    </w:p>
    <w:p>
      <w:pPr>
        <w:ind w:left="2140" w:hanging="657"/>
        <w:spacing w:after="0"/>
        <w:tabs>
          <w:tab w:leader="none" w:pos="214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RIGHTS; FUNDAMENTAL TRANSACTIONS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80" w:right="219" w:firstLine="1951"/>
        <w:spacing w:after="0" w:line="241" w:lineRule="auto"/>
        <w:tabs>
          <w:tab w:leader="none" w:pos="2774"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Rights</w:t>
      </w:r>
      <w:r>
        <w:rPr>
          <w:rFonts w:ascii="Times New Roman" w:cs="Times New Roman" w:eastAsia="Times New Roman" w:hAnsi="Times New Roman"/>
          <w:sz w:val="20"/>
          <w:szCs w:val="20"/>
          <w:color w:val="auto"/>
        </w:rPr>
        <w:t xml:space="preserve">. In addition to any adjustments pursuant to Section </w:t>
      </w:r>
      <w:r>
        <w:rPr>
          <w:rFonts w:ascii="Times New Roman" w:cs="Times New Roman" w:eastAsia="Times New Roman" w:hAnsi="Times New Roman"/>
          <w:sz w:val="20"/>
          <w:szCs w:val="20"/>
          <w:u w:val="single" w:color="auto"/>
          <w:color w:val="0000EE"/>
        </w:rPr>
        <w:t>2</w:t>
      </w:r>
      <w:r>
        <w:rPr>
          <w:rFonts w:ascii="Times New Roman" w:cs="Times New Roman" w:eastAsia="Times New Roman" w:hAnsi="Times New Roman"/>
          <w:sz w:val="20"/>
          <w:szCs w:val="20"/>
          <w:color w:val="auto"/>
        </w:rPr>
        <w:t xml:space="preserve">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20"/>
          <w:szCs w:val="20"/>
          <w:b w:val="1"/>
          <w:bCs w:val="1"/>
          <w:color w:val="auto"/>
        </w:rPr>
        <w:t>Purchase Rights</w:t>
      </w:r>
      <w:r>
        <w:rPr>
          <w:rFonts w:ascii="Times New Roman" w:cs="Times New Roman" w:eastAsia="Times New Roman" w:hAnsi="Times New Roman"/>
          <w:sz w:val="20"/>
          <w:szCs w:val="20"/>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7" w:lineRule="exact"/>
        <w:rPr>
          <w:rFonts w:ascii="Times New Roman" w:cs="Times New Roman" w:eastAsia="Times New Roman" w:hAnsi="Times New Roman"/>
          <w:sz w:val="20"/>
          <w:szCs w:val="20"/>
          <w:color w:val="auto"/>
        </w:rPr>
      </w:pPr>
    </w:p>
    <w:p>
      <w:pPr>
        <w:ind w:left="180" w:right="219" w:firstLine="1952"/>
        <w:spacing w:after="0" w:line="269" w:lineRule="auto"/>
        <w:tabs>
          <w:tab w:leader="none" w:pos="2773"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Fundamental Transactions</w:t>
      </w:r>
      <w:r>
        <w:rPr>
          <w:rFonts w:ascii="Times New Roman" w:cs="Times New Roman" w:eastAsia="Times New Roman" w:hAnsi="Times New Roman"/>
          <w:sz w:val="20"/>
          <w:szCs w:val="20"/>
          <w:color w:val="auto"/>
        </w:rPr>
        <w:t>. The Company shall not enter into or be party to a Fundamental Transaction unless:</w:t>
      </w:r>
    </w:p>
    <w:p>
      <w:pPr>
        <w:spacing w:after="0" w:line="172" w:lineRule="exact"/>
        <w:rPr>
          <w:rFonts w:ascii="Times New Roman" w:cs="Times New Roman" w:eastAsia="Times New Roman" w:hAnsi="Times New Roman"/>
          <w:sz w:val="20"/>
          <w:szCs w:val="20"/>
          <w:color w:val="auto"/>
        </w:rPr>
      </w:pPr>
    </w:p>
    <w:p>
      <w:pPr>
        <w:jc w:val="both"/>
        <w:ind w:left="180" w:right="219" w:firstLine="2599"/>
        <w:spacing w:after="0" w:line="256" w:lineRule="auto"/>
        <w:tabs>
          <w:tab w:leader="none" w:pos="3421" w:val="left"/>
        </w:tabs>
        <w:numPr>
          <w:ilvl w:val="2"/>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w:t>
      </w:r>
      <w:r>
        <w:rPr>
          <w:rFonts w:ascii="Times New Roman" w:cs="Times New Roman" w:eastAsia="Times New Roman" w:hAnsi="Times New Roman"/>
          <w:sz w:val="19"/>
          <w:szCs w:val="19"/>
          <w:u w:val="single" w:color="auto"/>
          <w:color w:val="0000EE"/>
        </w:rPr>
        <w:t>1(f)</w:t>
      </w:r>
      <w:r>
        <w:rPr>
          <w:rFonts w:ascii="Times New Roman" w:cs="Times New Roman" w:eastAsia="Times New Roman" w:hAnsi="Times New Roman"/>
          <w:sz w:val="19"/>
          <w:szCs w:val="19"/>
          <w:color w:val="auto"/>
        </w:rPr>
        <w:t>) whereupon the Successor Entity shall have no obligation to assume</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4" w:name="page175"/>
    <w:bookmarkEnd w:id="174"/>
    <w:p>
      <w:pPr>
        <w:ind w:left="180" w:right="219"/>
        <w:spacing w:after="0" w:line="269" w:lineRule="auto"/>
        <w:rPr>
          <w:sz w:val="20"/>
          <w:szCs w:val="20"/>
          <w:color w:val="auto"/>
        </w:rPr>
      </w:pPr>
      <w:r>
        <w:rPr>
          <w:rFonts w:ascii="Times New Roman" w:cs="Times New Roman" w:eastAsia="Times New Roman" w:hAnsi="Times New Roman"/>
          <w:sz w:val="20"/>
          <w:szCs w:val="20"/>
          <w:color w:val="auto"/>
        </w:rPr>
        <w:t>the obligations of the Company under this Warrant and the other Loan Documents, including any obligation to deliver to the Holder in exchange for this Warrant any security of the Successor Entity, and</w:t>
      </w:r>
    </w:p>
    <w:p>
      <w:pPr>
        <w:spacing w:after="0" w:line="173" w:lineRule="exact"/>
        <w:rPr>
          <w:sz w:val="20"/>
          <w:szCs w:val="20"/>
          <w:color w:val="auto"/>
        </w:rPr>
      </w:pPr>
    </w:p>
    <w:p>
      <w:pPr>
        <w:jc w:val="both"/>
        <w:ind w:left="180" w:right="219" w:firstLine="2599"/>
        <w:spacing w:after="0" w:line="253" w:lineRule="auto"/>
        <w:tabs>
          <w:tab w:leader="none" w:pos="3421"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w:t>
      </w:r>
      <w:r>
        <w:rPr>
          <w:rFonts w:ascii="Times New Roman" w:cs="Times New Roman" w:eastAsia="Times New Roman" w:hAnsi="Times New Roman"/>
          <w:sz w:val="19"/>
          <w:szCs w:val="19"/>
          <w:u w:val="single" w:color="auto"/>
          <w:color w:val="0000EE"/>
        </w:rPr>
        <w:t>4(b)(ii)</w:t>
      </w:r>
      <w:r>
        <w:rPr>
          <w:rFonts w:ascii="Times New Roman" w:cs="Times New Roman" w:eastAsia="Times New Roman" w:hAnsi="Times New Roman"/>
          <w:sz w:val="19"/>
          <w:szCs w:val="19"/>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w:t>
      </w:r>
      <w:r>
        <w:rPr>
          <w:rFonts w:ascii="Times New Roman" w:cs="Times New Roman" w:eastAsia="Times New Roman" w:hAnsi="Times New Roman"/>
          <w:sz w:val="19"/>
          <w:szCs w:val="19"/>
          <w:u w:val="single" w:color="auto"/>
          <w:color w:val="0000EE"/>
        </w:rPr>
        <w:t>4(b)(ii)</w:t>
      </w:r>
      <w:r>
        <w:rPr>
          <w:rFonts w:ascii="Times New Roman" w:cs="Times New Roman" w:eastAsia="Times New Roman" w:hAnsi="Times New Roman"/>
          <w:sz w:val="19"/>
          <w:szCs w:val="19"/>
          <w:color w:val="auto"/>
        </w:rPr>
        <w:t xml:space="preserve"> (each such Fundamental Transaction, a “</w:t>
      </w:r>
      <w:r>
        <w:rPr>
          <w:rFonts w:ascii="Times New Roman" w:cs="Times New Roman" w:eastAsia="Times New Roman" w:hAnsi="Times New Roman"/>
          <w:sz w:val="19"/>
          <w:szCs w:val="19"/>
          <w:b w:val="1"/>
          <w:bCs w:val="1"/>
          <w:color w:val="auto"/>
        </w:rPr>
        <w:t>Public Fundamental Transaction</w:t>
      </w:r>
      <w:r>
        <w:rPr>
          <w:rFonts w:ascii="Times New Roman" w:cs="Times New Roman" w:eastAsia="Times New Roman" w:hAnsi="Times New Roman"/>
          <w:sz w:val="19"/>
          <w:szCs w:val="19"/>
          <w:color w:val="auto"/>
        </w:rPr>
        <w:t xml:space="preserve">”),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w:t>
      </w:r>
      <w:r>
        <w:rPr>
          <w:rFonts w:ascii="Times New Roman" w:cs="Times New Roman" w:eastAsia="Times New Roman" w:hAnsi="Times New Roman"/>
          <w:sz w:val="19"/>
          <w:szCs w:val="19"/>
          <w:u w:val="single" w:color="auto"/>
          <w:color w:val="0000EE"/>
        </w:rPr>
        <w:t>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0000EE"/>
        </w:rPr>
        <w:t>4(a)</w:t>
      </w:r>
      <w:r>
        <w:rPr>
          <w:rFonts w:ascii="Times New Roman" w:cs="Times New Roman" w:eastAsia="Times New Roman" w:hAnsi="Times New Roman"/>
          <w:sz w:val="19"/>
          <w:szCs w:val="19"/>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w:t>
      </w:r>
      <w:r>
        <w:rPr>
          <w:rFonts w:ascii="Times New Roman" w:cs="Times New Roman" w:eastAsia="Times New Roman" w:hAnsi="Times New Roman"/>
          <w:sz w:val="19"/>
          <w:szCs w:val="19"/>
          <w:u w:val="single" w:color="auto"/>
          <w:color w:val="0000EE"/>
        </w:rPr>
        <w:t>1(f)</w:t>
      </w:r>
      <w:r>
        <w:rPr>
          <w:rFonts w:ascii="Times New Roman" w:cs="Times New Roman" w:eastAsia="Times New Roman" w:hAnsi="Times New Roman"/>
          <w:sz w:val="19"/>
          <w:szCs w:val="19"/>
          <w:color w:val="auto"/>
        </w:rPr>
        <w:t xml:space="preserve"> hereof, the Holder may elect, at its sole option, by delivery of written notice to the Company to waive this Section </w:t>
      </w:r>
      <w:r>
        <w:rPr>
          <w:rFonts w:ascii="Times New Roman" w:cs="Times New Roman" w:eastAsia="Times New Roman" w:hAnsi="Times New Roman"/>
          <w:sz w:val="19"/>
          <w:szCs w:val="19"/>
          <w:u w:val="single" w:color="auto"/>
          <w:color w:val="0000EE"/>
        </w:rPr>
        <w:t>4(b)(ii)</w:t>
      </w:r>
      <w:r>
        <w:rPr>
          <w:rFonts w:ascii="Times New Roman" w:cs="Times New Roman" w:eastAsia="Times New Roman" w:hAnsi="Times New Roman"/>
          <w:sz w:val="19"/>
          <w:szCs w:val="19"/>
          <w:color w:val="auto"/>
        </w:rPr>
        <w:t xml:space="preserve"> to permit the Public Fundamental Transaction without the assumption of this Warrant.</w:t>
      </w:r>
    </w:p>
    <w:p>
      <w:pPr>
        <w:spacing w:after="0" w:line="200" w:lineRule="exact"/>
        <w:rPr>
          <w:sz w:val="20"/>
          <w:szCs w:val="20"/>
          <w:color w:val="auto"/>
        </w:rPr>
      </w:pPr>
    </w:p>
    <w:p>
      <w:pPr>
        <w:spacing w:after="0" w:line="219" w:lineRule="exact"/>
        <w:rPr>
          <w:sz w:val="20"/>
          <w:szCs w:val="20"/>
          <w:color w:val="auto"/>
        </w:rPr>
      </w:pPr>
    </w:p>
    <w:p>
      <w:pPr>
        <w:jc w:val="both"/>
        <w:ind w:left="180" w:right="219"/>
        <w:spacing w:after="0" w:line="254" w:lineRule="auto"/>
        <w:rPr>
          <w:sz w:val="20"/>
          <w:szCs w:val="20"/>
          <w:color w:val="auto"/>
        </w:rPr>
      </w:pPr>
      <w:r>
        <w:rPr>
          <w:rFonts w:ascii="Times New Roman" w:cs="Times New Roman" w:eastAsia="Times New Roman" w:hAnsi="Times New Roman"/>
          <w:sz w:val="19"/>
          <w:szCs w:val="19"/>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9"/>
          <w:szCs w:val="19"/>
          <w:b w:val="1"/>
          <w:bCs w:val="1"/>
          <w:color w:val="auto"/>
        </w:rPr>
        <w:t>Corporate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Event</w:t>
      </w:r>
      <w:r>
        <w:rPr>
          <w:rFonts w:ascii="Times New Roman" w:cs="Times New Roman" w:eastAsia="Times New Roman" w:hAnsi="Times New Roman"/>
          <w:sz w:val="19"/>
          <w:szCs w:val="19"/>
          <w:color w:val="auto"/>
        </w:rPr>
        <w:t>”), the Company shall make appropriate provision to insure that the Holder will thereafter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9"/>
          <w:szCs w:val="19"/>
          <w:u w:val="single" w:color="auto"/>
          <w:color w:val="0000EE"/>
        </w:rPr>
        <w:t>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0000EE"/>
        </w:rPr>
        <w:t>4(a)</w:t>
      </w:r>
      <w:r>
        <w:rPr>
          <w:rFonts w:ascii="Times New Roman" w:cs="Times New Roman" w:eastAsia="Times New Roman" w:hAnsi="Times New Roman"/>
          <w:sz w:val="19"/>
          <w:szCs w:val="19"/>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5" w:name="page176"/>
    <w:bookmarkEnd w:id="175"/>
    <w:p>
      <w:pPr>
        <w:ind w:left="180" w:right="219"/>
        <w:spacing w:after="0" w:line="269" w:lineRule="auto"/>
        <w:rPr>
          <w:sz w:val="20"/>
          <w:szCs w:val="20"/>
          <w:color w:val="auto"/>
        </w:rPr>
      </w:pPr>
      <w:r>
        <w:rPr>
          <w:rFonts w:ascii="Times New Roman" w:cs="Times New Roman" w:eastAsia="Times New Roman" w:hAnsi="Times New Roman"/>
          <w:sz w:val="20"/>
          <w:szCs w:val="20"/>
          <w:color w:val="auto"/>
        </w:rPr>
        <w:t>on the exercise of this Warrant). Provision made pursuant to the preceding sentence shall be in a form and substance reasonably satisfactory to the Holder.</w:t>
      </w:r>
    </w:p>
    <w:p>
      <w:pPr>
        <w:spacing w:after="0" w:line="173" w:lineRule="exact"/>
        <w:rPr>
          <w:sz w:val="20"/>
          <w:szCs w:val="20"/>
          <w:color w:val="auto"/>
        </w:rPr>
      </w:pPr>
    </w:p>
    <w:p>
      <w:pPr>
        <w:jc w:val="both"/>
        <w:ind w:left="180" w:right="219" w:firstLine="1951"/>
        <w:spacing w:after="0" w:line="242" w:lineRule="auto"/>
        <w:tabs>
          <w:tab w:leader="none" w:pos="2774"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Holder Optional Redemptions</w:t>
      </w:r>
      <w:r>
        <w:rPr>
          <w:rFonts w:ascii="Times New Roman" w:cs="Times New Roman" w:eastAsia="Times New Roman" w:hAnsi="Times New Roman"/>
          <w:sz w:val="20"/>
          <w:szCs w:val="20"/>
          <w:color w:val="auto"/>
        </w:rPr>
        <w:t xml:space="preserve">. Notwithstanding the foregoing and the provisions of Section </w:t>
      </w:r>
      <w:r>
        <w:rPr>
          <w:rFonts w:ascii="Times New Roman" w:cs="Times New Roman" w:eastAsia="Times New Roman" w:hAnsi="Times New Roman"/>
          <w:sz w:val="20"/>
          <w:szCs w:val="20"/>
          <w:u w:val="single" w:color="auto"/>
          <w:color w:val="0000EE"/>
        </w:rPr>
        <w:t>4(b)(ii)</w:t>
      </w:r>
      <w:r>
        <w:rPr>
          <w:rFonts w:ascii="Times New Roman" w:cs="Times New Roman" w:eastAsia="Times New Roman" w:hAnsi="Times New Roman"/>
          <w:sz w:val="20"/>
          <w:szCs w:val="20"/>
          <w:color w:val="auto"/>
        </w:rPr>
        <w:t xml:space="preserve">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89" w:lineRule="exact"/>
        <w:rPr>
          <w:rFonts w:ascii="Times New Roman" w:cs="Times New Roman" w:eastAsia="Times New Roman" w:hAnsi="Times New Roman"/>
          <w:sz w:val="20"/>
          <w:szCs w:val="20"/>
          <w:color w:val="auto"/>
        </w:rPr>
      </w:pPr>
    </w:p>
    <w:p>
      <w:pPr>
        <w:jc w:val="both"/>
        <w:ind w:left="180" w:right="219" w:firstLine="1951"/>
        <w:spacing w:after="0" w:line="245" w:lineRule="auto"/>
        <w:tabs>
          <w:tab w:leader="none" w:pos="2772"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The provisions of this Section </w:t>
      </w:r>
      <w:r>
        <w:rPr>
          <w:rFonts w:ascii="Times New Roman" w:cs="Times New Roman" w:eastAsia="Times New Roman" w:hAnsi="Times New Roman"/>
          <w:sz w:val="20"/>
          <w:szCs w:val="20"/>
          <w:u w:val="single" w:color="auto"/>
          <w:color w:val="0000EE"/>
        </w:rPr>
        <w:t>4</w:t>
      </w:r>
      <w:r>
        <w:rPr>
          <w:rFonts w:ascii="Times New Roman" w:cs="Times New Roman" w:eastAsia="Times New Roman" w:hAnsi="Times New Roman"/>
          <w:sz w:val="20"/>
          <w:szCs w:val="20"/>
          <w:color w:val="auto"/>
        </w:rPr>
        <w:t xml:space="preserve">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97" w:lineRule="exact"/>
        <w:rPr>
          <w:rFonts w:ascii="Times New Roman" w:cs="Times New Roman" w:eastAsia="Times New Roman" w:hAnsi="Times New Roman"/>
          <w:sz w:val="20"/>
          <w:szCs w:val="20"/>
          <w:color w:val="auto"/>
        </w:rPr>
      </w:pPr>
    </w:p>
    <w:p>
      <w:pPr>
        <w:jc w:val="both"/>
        <w:ind w:left="180" w:right="219" w:firstLine="1303"/>
        <w:spacing w:after="0" w:line="241" w:lineRule="auto"/>
        <w:tabs>
          <w:tab w:leader="none" w:pos="212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NONCIRCUMVENTION</w:t>
      </w:r>
      <w:r>
        <w:rPr>
          <w:rFonts w:ascii="Times New Roman" w:cs="Times New Roman" w:eastAsia="Times New Roman" w:hAnsi="Times New Roman"/>
          <w:sz w:val="20"/>
          <w:szCs w:val="20"/>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8" w:lineRule="exact"/>
        <w:rPr>
          <w:rFonts w:ascii="Times New Roman" w:cs="Times New Roman" w:eastAsia="Times New Roman" w:hAnsi="Times New Roman"/>
          <w:sz w:val="20"/>
          <w:szCs w:val="20"/>
          <w:color w:val="auto"/>
        </w:rPr>
      </w:pPr>
    </w:p>
    <w:p>
      <w:pPr>
        <w:ind w:left="180" w:right="219" w:firstLine="1303"/>
        <w:spacing w:after="0" w:line="258" w:lineRule="auto"/>
        <w:tabs>
          <w:tab w:leader="none" w:pos="2123"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WARRANT HOLDER NOT DEEMED A STOCKHOLDER</w:t>
      </w:r>
      <w:r>
        <w:rPr>
          <w:rFonts w:ascii="Times New Roman" w:cs="Times New Roman" w:eastAsia="Times New Roman" w:hAnsi="Times New Roman"/>
          <w:sz w:val="19"/>
          <w:szCs w:val="19"/>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w:t>
      </w:r>
    </w:p>
    <w:p>
      <w:pPr>
        <w:spacing w:after="0" w:line="3" w:lineRule="exact"/>
        <w:rPr>
          <w:sz w:val="20"/>
          <w:szCs w:val="20"/>
          <w:color w:val="auto"/>
        </w:rPr>
      </w:pPr>
    </w:p>
    <w:p>
      <w:pPr>
        <w:jc w:val="both"/>
        <w:ind w:left="180" w:right="219"/>
        <w:spacing w:after="0" w:line="239" w:lineRule="auto"/>
        <w:rPr>
          <w:sz w:val="20"/>
          <w:szCs w:val="20"/>
          <w:color w:val="auto"/>
        </w:rPr>
      </w:pPr>
      <w:r>
        <w:rPr>
          <w:rFonts w:ascii="Times New Roman" w:cs="Times New Roman" w:eastAsia="Times New Roman" w:hAnsi="Times New Roman"/>
          <w:sz w:val="20"/>
          <w:szCs w:val="20"/>
          <w:color w:val="auto"/>
        </w:rPr>
        <w:t>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6" w:name="page177"/>
    <w:bookmarkEnd w:id="176"/>
    <w:p>
      <w:pPr>
        <w:jc w:val="both"/>
        <w:ind w:left="180" w:right="219"/>
        <w:spacing w:after="0" w:line="245" w:lineRule="auto"/>
        <w:rPr>
          <w:sz w:val="20"/>
          <w:szCs w:val="20"/>
          <w:color w:val="auto"/>
        </w:rPr>
      </w:pPr>
      <w:r>
        <w:rPr>
          <w:rFonts w:ascii="Times New Roman" w:cs="Times New Roman" w:eastAsia="Times New Roman" w:hAnsi="Times New Roman"/>
          <w:sz w:val="20"/>
          <w:szCs w:val="20"/>
          <w:color w:val="auto"/>
        </w:rPr>
        <w:t xml:space="preserve">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Times New Roman" w:cs="Times New Roman" w:eastAsia="Times New Roman" w:hAnsi="Times New Roman"/>
          <w:sz w:val="20"/>
          <w:szCs w:val="20"/>
          <w:u w:val="single" w:color="auto"/>
          <w:color w:val="0000EE"/>
        </w:rPr>
        <w:t>6,</w:t>
      </w:r>
      <w:r>
        <w:rPr>
          <w:rFonts w:ascii="Times New Roman" w:cs="Times New Roman" w:eastAsia="Times New Roman" w:hAnsi="Times New Roman"/>
          <w:sz w:val="20"/>
          <w:szCs w:val="20"/>
          <w:color w:val="auto"/>
        </w:rPr>
        <w:t xml:space="preserve"> the Company shall provide the Holder with copies of the same notices and other information given to the stockholders of the Company generally, contemporaneously with the giving thereof to the stockholders.</w:t>
      </w:r>
    </w:p>
    <w:p>
      <w:pPr>
        <w:spacing w:after="0" w:line="184" w:lineRule="exact"/>
        <w:rPr>
          <w:sz w:val="20"/>
          <w:szCs w:val="20"/>
          <w:color w:val="auto"/>
        </w:rPr>
      </w:pPr>
    </w:p>
    <w:p>
      <w:pPr>
        <w:ind w:left="2140" w:hanging="657"/>
        <w:spacing w:after="0"/>
        <w:tabs>
          <w:tab w:leader="none" w:pos="214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REISSUANCE OF WARRANTS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80" w:right="219" w:firstLine="1951"/>
        <w:spacing w:after="0" w:line="242" w:lineRule="auto"/>
        <w:tabs>
          <w:tab w:leader="none" w:pos="2774"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Warrant</w:t>
      </w:r>
      <w:r>
        <w:rPr>
          <w:rFonts w:ascii="Times New Roman" w:cs="Times New Roman" w:eastAsia="Times New Roman" w:hAnsi="Times New Roman"/>
          <w:sz w:val="20"/>
          <w:szCs w:val="20"/>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Times New Roman" w:cs="Times New Roman" w:eastAsia="Times New Roman" w:hAnsi="Times New Roman"/>
          <w:sz w:val="20"/>
          <w:szCs w:val="20"/>
          <w:u w:val="single" w:color="auto"/>
          <w:color w:val="0000EE"/>
        </w:rPr>
        <w:t>7(d)</w:t>
      </w:r>
      <w:r>
        <w:rPr>
          <w:rFonts w:ascii="Times New Roman" w:cs="Times New Roman" w:eastAsia="Times New Roman" w:hAnsi="Times New Roman"/>
          <w:sz w:val="20"/>
          <w:szCs w:val="20"/>
          <w:color w:val="000000"/>
        </w:rPr>
        <w:t>), registered as the Holder may request, representing the right to purchase the number of Warrant Shares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 xml:space="preserve">being transferred by the Holder and, if less than the total number of Warrant Shares then underlying this Warrant is being transferred, a new Warrant (in accordance with Section </w:t>
      </w:r>
      <w:r>
        <w:rPr>
          <w:rFonts w:ascii="Times New Roman" w:cs="Times New Roman" w:eastAsia="Times New Roman" w:hAnsi="Times New Roman"/>
          <w:sz w:val="20"/>
          <w:szCs w:val="20"/>
          <w:u w:val="single" w:color="auto"/>
          <w:color w:val="0000EE"/>
        </w:rPr>
        <w:t>7(d)</w:t>
      </w:r>
      <w:r>
        <w:rPr>
          <w:rFonts w:ascii="Times New Roman" w:cs="Times New Roman" w:eastAsia="Times New Roman" w:hAnsi="Times New Roman"/>
          <w:sz w:val="20"/>
          <w:szCs w:val="20"/>
          <w:color w:val="000000"/>
        </w:rPr>
        <w:t xml:space="preserve">) to the Holder representing the right to purchase the number of Warrant Shares not being transferred. For the avoidance of doubt, this Section </w:t>
      </w:r>
      <w:r>
        <w:rPr>
          <w:rFonts w:ascii="Times New Roman" w:cs="Times New Roman" w:eastAsia="Times New Roman" w:hAnsi="Times New Roman"/>
          <w:sz w:val="20"/>
          <w:szCs w:val="20"/>
          <w:u w:val="single" w:color="auto"/>
          <w:color w:val="0000EE"/>
        </w:rPr>
        <w:t>7(a)</w:t>
      </w:r>
      <w:r>
        <w:rPr>
          <w:rFonts w:ascii="Times New Roman" w:cs="Times New Roman" w:eastAsia="Times New Roman" w:hAnsi="Times New Roman"/>
          <w:sz w:val="20"/>
          <w:szCs w:val="20"/>
          <w:color w:val="000000"/>
        </w:rPr>
        <w:t xml:space="preserve"> will not apply to a sale, transfer, pledge or assignment of this Warrant that does not involve a reissuance of this Warrant.</w:t>
      </w:r>
    </w:p>
    <w:p>
      <w:pPr>
        <w:spacing w:after="0" w:line="189" w:lineRule="exact"/>
        <w:rPr>
          <w:rFonts w:ascii="Times New Roman" w:cs="Times New Roman" w:eastAsia="Times New Roman" w:hAnsi="Times New Roman"/>
          <w:sz w:val="20"/>
          <w:szCs w:val="20"/>
          <w:color w:val="auto"/>
        </w:rPr>
      </w:pPr>
    </w:p>
    <w:p>
      <w:pPr>
        <w:jc w:val="both"/>
        <w:ind w:left="180" w:right="219" w:firstLine="1951"/>
        <w:spacing w:after="0" w:line="243" w:lineRule="auto"/>
        <w:tabs>
          <w:tab w:leader="none" w:pos="2774"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or Mutilated Warrant</w:t>
      </w:r>
      <w:r>
        <w:rPr>
          <w:rFonts w:ascii="Times New Roman" w:cs="Times New Roman" w:eastAsia="Times New Roman" w:hAnsi="Times New Roman"/>
          <w:sz w:val="20"/>
          <w:szCs w:val="20"/>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Times New Roman" w:cs="Times New Roman" w:eastAsia="Times New Roman" w:hAnsi="Times New Roman"/>
          <w:sz w:val="20"/>
          <w:szCs w:val="20"/>
          <w:u w:val="single" w:color="auto"/>
          <w:color w:val="0000EE"/>
        </w:rPr>
        <w:t>7(d)</w:t>
      </w:r>
      <w:r>
        <w:rPr>
          <w:rFonts w:ascii="Times New Roman" w:cs="Times New Roman" w:eastAsia="Times New Roman" w:hAnsi="Times New Roman"/>
          <w:sz w:val="20"/>
          <w:szCs w:val="20"/>
          <w:color w:val="auto"/>
        </w:rPr>
        <w:t>) representing the right to purchase the Warrant Shares then underlying this Warrant.</w:t>
      </w:r>
    </w:p>
    <w:p>
      <w:pPr>
        <w:spacing w:after="0" w:line="189" w:lineRule="exact"/>
        <w:rPr>
          <w:rFonts w:ascii="Times New Roman" w:cs="Times New Roman" w:eastAsia="Times New Roman" w:hAnsi="Times New Roman"/>
          <w:sz w:val="20"/>
          <w:szCs w:val="20"/>
          <w:color w:val="auto"/>
        </w:rPr>
      </w:pPr>
    </w:p>
    <w:p>
      <w:pPr>
        <w:jc w:val="both"/>
        <w:ind w:left="180" w:right="219" w:firstLine="1952"/>
        <w:spacing w:after="0" w:line="245" w:lineRule="auto"/>
        <w:tabs>
          <w:tab w:leader="none" w:pos="2773"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Exchangeable for Multiple Warrants</w:t>
      </w:r>
      <w:r>
        <w:rPr>
          <w:rFonts w:ascii="Times New Roman" w:cs="Times New Roman" w:eastAsia="Times New Roman" w:hAnsi="Times New Roman"/>
          <w:sz w:val="20"/>
          <w:szCs w:val="20"/>
          <w:color w:val="auto"/>
        </w:rPr>
        <w:t xml:space="preserve">. This Warrant is exchangeable, upon the surrender hereof by the Holder at the principal office of the Company, for a new Warrant or Warrants (in accordance with Section </w:t>
      </w:r>
      <w:r>
        <w:rPr>
          <w:rFonts w:ascii="Times New Roman" w:cs="Times New Roman" w:eastAsia="Times New Roman" w:hAnsi="Times New Roman"/>
          <w:sz w:val="20"/>
          <w:szCs w:val="20"/>
          <w:u w:val="single" w:color="auto"/>
          <w:color w:val="0000EE"/>
        </w:rPr>
        <w:t>7(d)</w:t>
      </w:r>
      <w:r>
        <w:rPr>
          <w:rFonts w:ascii="Times New Roman" w:cs="Times New Roman" w:eastAsia="Times New Roman" w:hAnsi="Times New Roman"/>
          <w:sz w:val="20"/>
          <w:szCs w:val="20"/>
          <w:color w:val="auto"/>
        </w:rPr>
        <w:t xml:space="preserve">)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warrants for fractional shares of Common Stock shall be given.</w:t>
      </w:r>
    </w:p>
    <w:p>
      <w:pPr>
        <w:spacing w:after="0" w:line="184" w:lineRule="exact"/>
        <w:rPr>
          <w:rFonts w:ascii="Times New Roman" w:cs="Times New Roman" w:eastAsia="Times New Roman" w:hAnsi="Times New Roman"/>
          <w:sz w:val="20"/>
          <w:szCs w:val="20"/>
          <w:color w:val="auto"/>
        </w:rPr>
      </w:pPr>
    </w:p>
    <w:p>
      <w:pPr>
        <w:jc w:val="both"/>
        <w:ind w:left="180" w:right="219" w:firstLine="1952"/>
        <w:spacing w:after="0" w:line="243" w:lineRule="auto"/>
        <w:tabs>
          <w:tab w:leader="none" w:pos="2773"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New Warrants</w:t>
      </w:r>
      <w:r>
        <w:rPr>
          <w:rFonts w:ascii="Times New Roman" w:cs="Times New Roman" w:eastAsia="Times New Roman" w:hAnsi="Times New Roman"/>
          <w:sz w:val="20"/>
          <w:szCs w:val="20"/>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Times New Roman" w:cs="Times New Roman" w:eastAsia="Times New Roman" w:hAnsi="Times New Roman"/>
          <w:sz w:val="20"/>
          <w:szCs w:val="20"/>
          <w:u w:val="single" w:color="auto"/>
          <w:color w:val="0000EE"/>
        </w:rPr>
        <w:t>7(a)</w:t>
      </w:r>
      <w:r>
        <w:rPr>
          <w:rFonts w:ascii="Times New Roman" w:cs="Times New Roman" w:eastAsia="Times New Roman" w:hAnsi="Times New Roman"/>
          <w:sz w:val="20"/>
          <w:szCs w:val="20"/>
          <w:color w:val="auto"/>
        </w:rPr>
        <w:t xml:space="preserve"> or Section </w:t>
      </w:r>
      <w:r>
        <w:rPr>
          <w:rFonts w:ascii="Times New Roman" w:cs="Times New Roman" w:eastAsia="Times New Roman" w:hAnsi="Times New Roman"/>
          <w:sz w:val="20"/>
          <w:szCs w:val="20"/>
          <w:u w:val="single" w:color="auto"/>
          <w:color w:val="0000EE"/>
        </w:rPr>
        <w:t>7(c),</w:t>
      </w:r>
      <w:r>
        <w:rPr>
          <w:rFonts w:ascii="Times New Roman" w:cs="Times New Roman" w:eastAsia="Times New Roman" w:hAnsi="Times New Roman"/>
          <w:sz w:val="20"/>
          <w:szCs w:val="20"/>
          <w:color w:val="auto"/>
        </w:rPr>
        <w:t xml:space="preserve">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5" w:lineRule="exact"/>
        <w:rPr>
          <w:rFonts w:ascii="Times New Roman" w:cs="Times New Roman" w:eastAsia="Times New Roman" w:hAnsi="Times New Roman"/>
          <w:sz w:val="20"/>
          <w:szCs w:val="20"/>
          <w:color w:val="auto"/>
        </w:rPr>
      </w:pPr>
    </w:p>
    <w:p>
      <w:pPr>
        <w:jc w:val="both"/>
        <w:ind w:left="180" w:right="219" w:firstLine="1304"/>
        <w:spacing w:after="0" w:line="245" w:lineRule="auto"/>
        <w:tabs>
          <w:tab w:leader="none" w:pos="212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CHANGES IN WARRANT</w:t>
      </w:r>
      <w:r>
        <w:rPr>
          <w:rFonts w:ascii="Times New Roman" w:cs="Times New Roman" w:eastAsia="Times New Roman" w:hAnsi="Times New Roman"/>
          <w:sz w:val="20"/>
          <w:szCs w:val="20"/>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7" w:name="page178"/>
    <w:bookmarkEnd w:id="177"/>
    <w:p>
      <w:pPr>
        <w:jc w:val="both"/>
        <w:ind w:left="180" w:right="219"/>
        <w:spacing w:after="0" w:line="249" w:lineRule="auto"/>
        <w:rPr>
          <w:sz w:val="20"/>
          <w:szCs w:val="20"/>
          <w:color w:val="auto"/>
        </w:rPr>
      </w:pPr>
      <w:r>
        <w:rPr>
          <w:rFonts w:ascii="Times New Roman" w:cs="Times New Roman" w:eastAsia="Times New Roman" w:hAnsi="Times New Roman"/>
          <w:sz w:val="20"/>
          <w:szCs w:val="20"/>
          <w:color w:val="auto"/>
        </w:rPr>
        <w:t>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93" w:lineRule="exact"/>
        <w:rPr>
          <w:sz w:val="20"/>
          <w:szCs w:val="20"/>
          <w:color w:val="auto"/>
        </w:rPr>
      </w:pPr>
    </w:p>
    <w:p>
      <w:pPr>
        <w:jc w:val="both"/>
        <w:ind w:left="180" w:right="219" w:firstLine="1304"/>
        <w:spacing w:after="0" w:line="245" w:lineRule="auto"/>
        <w:tabs>
          <w:tab w:leader="none" w:pos="212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4" w:lineRule="exact"/>
        <w:rPr>
          <w:rFonts w:ascii="Times New Roman" w:cs="Times New Roman" w:eastAsia="Times New Roman" w:hAnsi="Times New Roman"/>
          <w:sz w:val="20"/>
          <w:szCs w:val="20"/>
          <w:color w:val="auto"/>
        </w:rPr>
      </w:pPr>
    </w:p>
    <w:p>
      <w:pPr>
        <w:ind w:left="180" w:right="219" w:firstLine="1303"/>
        <w:spacing w:after="0" w:line="253" w:lineRule="auto"/>
        <w:tabs>
          <w:tab w:leader="none" w:pos="2123"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 JURY TRIAL</w:t>
      </w:r>
      <w:r>
        <w:rPr>
          <w:rFonts w:ascii="Times New Roman" w:cs="Times New Roman" w:eastAsia="Times New Roman" w:hAnsi="Times New Roman"/>
          <w:sz w:val="19"/>
          <w:szCs w:val="19"/>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9"/>
          <w:szCs w:val="19"/>
          <w:b w:val="1"/>
          <w:bCs w:val="1"/>
          <w:color w:val="auto"/>
        </w:rPr>
        <w:t>THE COMPANY HEREBY AND THE HOLDER EACH</w:t>
      </w:r>
    </w:p>
    <w:p>
      <w:pPr>
        <w:spacing w:after="0" w:line="5" w:lineRule="exact"/>
        <w:rPr>
          <w:rFonts w:ascii="Times New Roman" w:cs="Times New Roman" w:eastAsia="Times New Roman" w:hAnsi="Times New Roman"/>
          <w:sz w:val="19"/>
          <w:szCs w:val="19"/>
          <w:color w:val="auto"/>
        </w:rPr>
      </w:pPr>
    </w:p>
    <w:p>
      <w:pPr>
        <w:jc w:val="both"/>
        <w:ind w:left="180" w:right="219"/>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8" w:lineRule="exact"/>
        <w:rPr>
          <w:rFonts w:ascii="Times New Roman" w:cs="Times New Roman" w:eastAsia="Times New Roman" w:hAnsi="Times New Roman"/>
          <w:sz w:val="19"/>
          <w:szCs w:val="19"/>
          <w:color w:val="auto"/>
        </w:rPr>
      </w:pPr>
    </w:p>
    <w:p>
      <w:pPr>
        <w:ind w:left="180" w:right="219" w:firstLine="1303"/>
        <w:spacing w:after="0" w:line="245" w:lineRule="auto"/>
        <w:tabs>
          <w:tab w:leader="none" w:pos="2123"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 HEADINGS; BUSINESS DAYS</w:t>
      </w:r>
      <w:r>
        <w:rPr>
          <w:rFonts w:ascii="Times New Roman" w:cs="Times New Roman" w:eastAsia="Times New Roman" w:hAnsi="Times New Roman"/>
          <w:sz w:val="20"/>
          <w:szCs w:val="20"/>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4" w:lineRule="exact"/>
        <w:rPr>
          <w:rFonts w:ascii="Times New Roman" w:cs="Times New Roman" w:eastAsia="Times New Roman" w:hAnsi="Times New Roman"/>
          <w:sz w:val="20"/>
          <w:szCs w:val="20"/>
          <w:color w:val="auto"/>
        </w:rPr>
      </w:pPr>
    </w:p>
    <w:p>
      <w:pPr>
        <w:jc w:val="both"/>
        <w:ind w:left="180" w:right="219" w:firstLine="1304"/>
        <w:spacing w:after="0" w:line="244" w:lineRule="auto"/>
        <w:tabs>
          <w:tab w:leader="none" w:pos="212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w:t>
      </w:r>
    </w:p>
    <w:p>
      <w:pPr>
        <w:ind w:left="180" w:right="199"/>
        <w:spacing w:after="0" w:line="239" w:lineRule="auto"/>
        <w:rPr>
          <w:sz w:val="20"/>
          <w:szCs w:val="20"/>
          <w:color w:val="auto"/>
        </w:rPr>
      </w:pPr>
      <w:r>
        <w:rPr>
          <w:rFonts w:ascii="Times New Roman" w:cs="Times New Roman" w:eastAsia="Times New Roman" w:hAnsi="Times New Roman"/>
          <w:sz w:val="20"/>
          <w:szCs w:val="20"/>
          <w:color w:val="auto"/>
        </w:rPr>
        <w:t>Warrant Shares within three (3) Business Days of such disputed determination or arithmetic calculation being submitted to the Holder, then the Company shall, within two (2) Business Days submit via facsimile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8" w:name="page179"/>
    <w:bookmarkEnd w:id="178"/>
    <w:p>
      <w:pPr>
        <w:jc w:val="both"/>
        <w:ind w:left="180" w:right="219"/>
        <w:spacing w:after="0" w:line="242" w:lineRule="auto"/>
        <w:rPr>
          <w:sz w:val="20"/>
          <w:szCs w:val="20"/>
          <w:color w:val="auto"/>
        </w:rPr>
      </w:pPr>
      <w:r>
        <w:rPr>
          <w:rFonts w:ascii="Times New Roman" w:cs="Times New Roman" w:eastAsia="Times New Roman" w:hAnsi="Times New Roman"/>
          <w:sz w:val="20"/>
          <w:szCs w:val="20"/>
          <w:color w:val="auto"/>
        </w:rPr>
        <w:t xml:space="preserve">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 In and other remedies available to the Holder under Section </w:t>
      </w:r>
      <w:r>
        <w:rPr>
          <w:rFonts w:ascii="Times New Roman" w:cs="Times New Roman" w:eastAsia="Times New Roman" w:hAnsi="Times New Roman"/>
          <w:sz w:val="20"/>
          <w:szCs w:val="20"/>
          <w:u w:val="single" w:color="auto"/>
          <w:color w:val="0000EE"/>
        </w:rPr>
        <w:t>1(c)</w:t>
      </w:r>
      <w:r>
        <w:rPr>
          <w:rFonts w:ascii="Times New Roman" w:cs="Times New Roman" w:eastAsia="Times New Roman" w:hAnsi="Times New Roman"/>
          <w:sz w:val="20"/>
          <w:szCs w:val="20"/>
          <w:color w:val="auto"/>
        </w:rPr>
        <w:t xml:space="preserve"> will apply.</w:t>
      </w:r>
    </w:p>
    <w:p>
      <w:pPr>
        <w:spacing w:after="0" w:line="190" w:lineRule="exact"/>
        <w:rPr>
          <w:sz w:val="20"/>
          <w:szCs w:val="20"/>
          <w:color w:val="auto"/>
        </w:rPr>
      </w:pPr>
    </w:p>
    <w:p>
      <w:pPr>
        <w:ind w:left="180" w:right="219" w:firstLine="1303"/>
        <w:spacing w:after="0" w:line="244" w:lineRule="auto"/>
        <w:tabs>
          <w:tab w:leader="none" w:pos="2123"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OTHER OBLIGATIONS, BREACHES AND INJUNCTIVE RELIEF</w:t>
      </w:r>
      <w:r>
        <w:rPr>
          <w:rFonts w:ascii="Times New Roman" w:cs="Times New Roman" w:eastAsia="Times New Roman" w:hAnsi="Times New Roman"/>
          <w:sz w:val="20"/>
          <w:szCs w:val="20"/>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86" w:lineRule="exact"/>
        <w:rPr>
          <w:rFonts w:ascii="Times New Roman" w:cs="Times New Roman" w:eastAsia="Times New Roman" w:hAnsi="Times New Roman"/>
          <w:sz w:val="20"/>
          <w:szCs w:val="20"/>
          <w:color w:val="auto"/>
        </w:rPr>
      </w:pPr>
    </w:p>
    <w:p>
      <w:pPr>
        <w:jc w:val="both"/>
        <w:ind w:left="180" w:right="219" w:firstLine="1304"/>
        <w:spacing w:after="0" w:line="246" w:lineRule="auto"/>
        <w:tabs>
          <w:tab w:leader="none" w:pos="212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98" w:lineRule="exact"/>
        <w:rPr>
          <w:rFonts w:ascii="Times New Roman" w:cs="Times New Roman" w:eastAsia="Times New Roman" w:hAnsi="Times New Roman"/>
          <w:sz w:val="20"/>
          <w:szCs w:val="20"/>
          <w:color w:val="auto"/>
        </w:rPr>
      </w:pPr>
    </w:p>
    <w:p>
      <w:pPr>
        <w:jc w:val="both"/>
        <w:ind w:left="180" w:right="219" w:firstLine="1304"/>
        <w:spacing w:after="0" w:line="242" w:lineRule="auto"/>
        <w:tabs>
          <w:tab w:leader="none" w:pos="212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7" w:lineRule="exact"/>
        <w:rPr>
          <w:rFonts w:ascii="Times New Roman" w:cs="Times New Roman" w:eastAsia="Times New Roman" w:hAnsi="Times New Roman"/>
          <w:sz w:val="20"/>
          <w:szCs w:val="20"/>
          <w:color w:val="auto"/>
        </w:rPr>
      </w:pPr>
    </w:p>
    <w:p>
      <w:pPr>
        <w:ind w:left="180" w:right="219" w:firstLine="1304"/>
        <w:spacing w:after="0" w:line="269" w:lineRule="auto"/>
        <w:tabs>
          <w:tab w:leader="none" w:pos="212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DISCLOSURE</w:t>
      </w:r>
      <w:r>
        <w:rPr>
          <w:rFonts w:ascii="Times New Roman" w:cs="Times New Roman" w:eastAsia="Times New Roman" w:hAnsi="Times New Roman"/>
          <w:sz w:val="20"/>
          <w:szCs w:val="20"/>
          <w:color w:val="auto"/>
        </w:rPr>
        <w:t>. The Company shall not provide material, non-public information or confidential or proprietary information to the Holder without such Holder’s written consent.</w:t>
      </w:r>
    </w:p>
    <w:p>
      <w:pPr>
        <w:spacing w:after="0" w:line="172" w:lineRule="exact"/>
        <w:rPr>
          <w:rFonts w:ascii="Times New Roman" w:cs="Times New Roman" w:eastAsia="Times New Roman" w:hAnsi="Times New Roman"/>
          <w:sz w:val="20"/>
          <w:szCs w:val="20"/>
          <w:color w:val="auto"/>
        </w:rPr>
      </w:pPr>
    </w:p>
    <w:p>
      <w:pPr>
        <w:ind w:left="2140" w:hanging="657"/>
        <w:spacing w:after="0"/>
        <w:tabs>
          <w:tab w:leader="none" w:pos="21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HOLDERS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80" w:right="219" w:firstLine="1951"/>
        <w:spacing w:after="0" w:line="245" w:lineRule="auto"/>
        <w:tabs>
          <w:tab w:leader="none" w:pos="2774"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Each Holder represents and warrants that it is acquiring this Warrant and the Warrant Shares (collectively,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solely for its beneficial account, for investment purposes, and not with a view to, or for resale in connection with, any distribution of the Securities in violation of applicable securities laws.</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79" w:name="page180"/>
    <w:bookmarkEnd w:id="179"/>
    <w:p>
      <w:pPr>
        <w:jc w:val="both"/>
        <w:ind w:left="180" w:right="219" w:firstLine="1952"/>
        <w:spacing w:after="0" w:line="249" w:lineRule="auto"/>
        <w:tabs>
          <w:tab w:leader="none" w:pos="277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Unregistered Securities</w:t>
      </w:r>
      <w:r>
        <w:rPr>
          <w:rFonts w:ascii="Times New Roman" w:cs="Times New Roman" w:eastAsia="Times New Roman" w:hAnsi="Times New Roman"/>
          <w:sz w:val="20"/>
          <w:szCs w:val="20"/>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93" w:lineRule="exact"/>
        <w:rPr>
          <w:rFonts w:ascii="Times New Roman" w:cs="Times New Roman" w:eastAsia="Times New Roman" w:hAnsi="Times New Roman"/>
          <w:sz w:val="20"/>
          <w:szCs w:val="20"/>
          <w:color w:val="auto"/>
        </w:rPr>
      </w:pPr>
    </w:p>
    <w:p>
      <w:pPr>
        <w:jc w:val="both"/>
        <w:ind w:left="180" w:right="219" w:firstLine="1952"/>
        <w:spacing w:after="0" w:line="249" w:lineRule="auto"/>
        <w:tabs>
          <w:tab w:leader="none" w:pos="277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9" w:lineRule="exact"/>
        <w:rPr>
          <w:rFonts w:ascii="Times New Roman" w:cs="Times New Roman" w:eastAsia="Times New Roman" w:hAnsi="Times New Roman"/>
          <w:sz w:val="20"/>
          <w:szCs w:val="20"/>
          <w:color w:val="auto"/>
        </w:rPr>
      </w:pPr>
    </w:p>
    <w:p>
      <w:pPr>
        <w:ind w:left="180" w:right="219" w:firstLine="1952"/>
        <w:spacing w:after="0" w:line="269" w:lineRule="auto"/>
        <w:tabs>
          <w:tab w:leader="none" w:pos="277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Each Holder represents and warrants that it is an “accredited investor” as defined in Rule 501(a) under the Securities Act.</w:t>
      </w:r>
    </w:p>
    <w:p>
      <w:pPr>
        <w:spacing w:after="0" w:line="172" w:lineRule="exact"/>
        <w:rPr>
          <w:rFonts w:ascii="Times New Roman" w:cs="Times New Roman" w:eastAsia="Times New Roman" w:hAnsi="Times New Roman"/>
          <w:sz w:val="20"/>
          <w:szCs w:val="20"/>
          <w:color w:val="auto"/>
        </w:rPr>
      </w:pPr>
    </w:p>
    <w:p>
      <w:pPr>
        <w:jc w:val="both"/>
        <w:ind w:left="180" w:right="219" w:firstLine="1952"/>
        <w:spacing w:after="0" w:line="249" w:lineRule="auto"/>
        <w:tabs>
          <w:tab w:leader="none" w:pos="277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Sophisticated Investor</w:t>
      </w:r>
      <w:r>
        <w:rPr>
          <w:rFonts w:ascii="Times New Roman" w:cs="Times New Roman" w:eastAsia="Times New Roman" w:hAnsi="Times New Roman"/>
          <w:sz w:val="20"/>
          <w:szCs w:val="20"/>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9" w:lineRule="exact"/>
        <w:rPr>
          <w:rFonts w:ascii="Times New Roman" w:cs="Times New Roman" w:eastAsia="Times New Roman" w:hAnsi="Times New Roman"/>
          <w:sz w:val="20"/>
          <w:szCs w:val="20"/>
          <w:color w:val="auto"/>
        </w:rPr>
      </w:pPr>
    </w:p>
    <w:p>
      <w:pPr>
        <w:jc w:val="both"/>
        <w:ind w:left="180" w:right="219" w:firstLine="1951"/>
        <w:spacing w:after="0" w:line="249" w:lineRule="auto"/>
        <w:tabs>
          <w:tab w:leader="none" w:pos="277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9" w:lineRule="exact"/>
        <w:rPr>
          <w:rFonts w:ascii="Times New Roman" w:cs="Times New Roman" w:eastAsia="Times New Roman" w:hAnsi="Times New Roman"/>
          <w:sz w:val="20"/>
          <w:szCs w:val="20"/>
          <w:color w:val="auto"/>
        </w:rPr>
      </w:pPr>
    </w:p>
    <w:p>
      <w:pPr>
        <w:jc w:val="both"/>
        <w:ind w:left="180" w:right="219" w:firstLine="1951"/>
        <w:spacing w:after="0" w:line="241" w:lineRule="auto"/>
        <w:tabs>
          <w:tab w:leader="none" w:pos="277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97" w:lineRule="exact"/>
        <w:rPr>
          <w:rFonts w:ascii="Times New Roman" w:cs="Times New Roman" w:eastAsia="Times New Roman" w:hAnsi="Times New Roman"/>
          <w:sz w:val="20"/>
          <w:szCs w:val="20"/>
          <w:color w:val="auto"/>
        </w:rPr>
      </w:pPr>
    </w:p>
    <w:p>
      <w:pPr>
        <w:jc w:val="both"/>
        <w:ind w:left="180" w:right="219" w:firstLine="1952"/>
        <w:spacing w:after="0" w:line="254" w:lineRule="auto"/>
        <w:tabs>
          <w:tab w:leader="none" w:pos="2773"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Non-Reliance</w:t>
      </w:r>
      <w:r>
        <w:rPr>
          <w:rFonts w:ascii="Times New Roman" w:cs="Times New Roman" w:eastAsia="Times New Roman" w:hAnsi="Times New Roman"/>
          <w:sz w:val="19"/>
          <w:szCs w:val="19"/>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w:t>
      </w:r>
    </w:p>
    <w:p>
      <w:pPr>
        <w:spacing w:after="0" w:line="3" w:lineRule="exact"/>
        <w:rPr>
          <w:sz w:val="20"/>
          <w:szCs w:val="20"/>
          <w:color w:val="auto"/>
        </w:rPr>
      </w:pPr>
    </w:p>
    <w:p>
      <w:pPr>
        <w:jc w:val="both"/>
        <w:ind w:left="180" w:right="219"/>
        <w:spacing w:after="0" w:line="239" w:lineRule="auto"/>
        <w:rPr>
          <w:sz w:val="20"/>
          <w:szCs w:val="20"/>
          <w:color w:val="auto"/>
        </w:rPr>
      </w:pPr>
      <w:r>
        <w:rPr>
          <w:rFonts w:ascii="Times New Roman" w:cs="Times New Roman" w:eastAsia="Times New Roman" w:hAnsi="Times New Roman"/>
          <w:sz w:val="20"/>
          <w:szCs w:val="20"/>
          <w:color w:val="auto"/>
        </w:rPr>
        <w:t>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80" w:name="page181"/>
    <w:bookmarkEnd w:id="180"/>
    <w:p>
      <w:pPr>
        <w:jc w:val="both"/>
        <w:ind w:left="180" w:right="219"/>
        <w:spacing w:after="0" w:line="254" w:lineRule="auto"/>
        <w:rPr>
          <w:sz w:val="20"/>
          <w:szCs w:val="20"/>
          <w:color w:val="auto"/>
        </w:rPr>
      </w:pPr>
      <w:r>
        <w:rPr>
          <w:rFonts w:ascii="Times New Roman" w:cs="Times New Roman" w:eastAsia="Times New Roman" w:hAnsi="Times New Roman"/>
          <w:sz w:val="20"/>
          <w:szCs w:val="20"/>
          <w:color w:val="auto"/>
        </w:rPr>
        <w:t>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88" w:lineRule="exact"/>
        <w:rPr>
          <w:sz w:val="20"/>
          <w:szCs w:val="20"/>
          <w:color w:val="auto"/>
        </w:rPr>
      </w:pPr>
    </w:p>
    <w:p>
      <w:pPr>
        <w:ind w:left="180" w:right="679" w:firstLine="1304"/>
        <w:spacing w:after="0" w:line="269" w:lineRule="auto"/>
        <w:tabs>
          <w:tab w:leader="none" w:pos="212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THE COMPANY</w:t>
      </w:r>
      <w:r>
        <w:rPr>
          <w:rFonts w:ascii="Times New Roman" w:cs="Times New Roman" w:eastAsia="Times New Roman" w:hAnsi="Times New Roman"/>
          <w:sz w:val="20"/>
          <w:szCs w:val="20"/>
          <w:color w:val="auto"/>
        </w:rPr>
        <w:t>. The Company represents and warrants to the Holder that:</w:t>
      </w:r>
    </w:p>
    <w:p>
      <w:pPr>
        <w:spacing w:after="0" w:line="159" w:lineRule="exact"/>
        <w:rPr>
          <w:rFonts w:ascii="Times New Roman" w:cs="Times New Roman" w:eastAsia="Times New Roman" w:hAnsi="Times New Roman"/>
          <w:sz w:val="20"/>
          <w:szCs w:val="20"/>
          <w:color w:val="auto"/>
        </w:rPr>
      </w:pPr>
    </w:p>
    <w:p>
      <w:pPr>
        <w:jc w:val="both"/>
        <w:ind w:left="180" w:right="219" w:firstLine="1951"/>
        <w:spacing w:after="0" w:line="241" w:lineRule="auto"/>
        <w:tabs>
          <w:tab w:leader="none" w:pos="2774"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20"/>
          <w:szCs w:val="20"/>
          <w:b w:val="1"/>
          <w:bCs w:val="1"/>
          <w:color w:val="auto"/>
        </w:rPr>
        <w:t>Company Material Adverse Effect</w:t>
      </w:r>
      <w:r>
        <w:rPr>
          <w:rFonts w:ascii="Times New Roman" w:cs="Times New Roman" w:eastAsia="Times New Roman" w:hAnsi="Times New Roman"/>
          <w:sz w:val="20"/>
          <w:szCs w:val="20"/>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207" w:lineRule="exact"/>
        <w:rPr>
          <w:rFonts w:ascii="Times New Roman" w:cs="Times New Roman" w:eastAsia="Times New Roman" w:hAnsi="Times New Roman"/>
          <w:sz w:val="20"/>
          <w:szCs w:val="20"/>
          <w:color w:val="auto"/>
        </w:rPr>
      </w:pPr>
    </w:p>
    <w:p>
      <w:pPr>
        <w:jc w:val="both"/>
        <w:ind w:left="180" w:right="219" w:firstLine="1950"/>
        <w:spacing w:after="0" w:line="245" w:lineRule="auto"/>
        <w:tabs>
          <w:tab w:leader="none" w:pos="2773"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 and has not been issued in violation of any preemptive rights created under the Company’s organizational documents or the laws of the State of Delaware.</w:t>
      </w:r>
    </w:p>
    <w:p>
      <w:pPr>
        <w:spacing w:after="0" w:line="184" w:lineRule="exact"/>
        <w:rPr>
          <w:rFonts w:ascii="Times New Roman" w:cs="Times New Roman" w:eastAsia="Times New Roman" w:hAnsi="Times New Roman"/>
          <w:sz w:val="20"/>
          <w:szCs w:val="20"/>
          <w:color w:val="auto"/>
        </w:rPr>
      </w:pPr>
    </w:p>
    <w:p>
      <w:pPr>
        <w:jc w:val="both"/>
        <w:ind w:left="180" w:right="219" w:firstLine="1950"/>
        <w:spacing w:after="0" w:line="249" w:lineRule="auto"/>
        <w:tabs>
          <w:tab w:leader="none" w:pos="2773"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9" w:lineRule="exact"/>
        <w:rPr>
          <w:rFonts w:ascii="Times New Roman" w:cs="Times New Roman" w:eastAsia="Times New Roman" w:hAnsi="Times New Roman"/>
          <w:sz w:val="20"/>
          <w:szCs w:val="20"/>
          <w:color w:val="auto"/>
        </w:rPr>
      </w:pPr>
    </w:p>
    <w:p>
      <w:pPr>
        <w:jc w:val="both"/>
        <w:ind w:left="180" w:right="219" w:firstLine="1950"/>
        <w:spacing w:after="0" w:line="241" w:lineRule="auto"/>
        <w:tabs>
          <w:tab w:leader="none" w:pos="2773"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210" w:lineRule="exact"/>
        <w:rPr>
          <w:rFonts w:ascii="Times New Roman" w:cs="Times New Roman" w:eastAsia="Times New Roman" w:hAnsi="Times New Roman"/>
          <w:sz w:val="20"/>
          <w:szCs w:val="20"/>
          <w:color w:val="auto"/>
        </w:rPr>
      </w:pPr>
    </w:p>
    <w:p>
      <w:pPr>
        <w:ind w:left="180" w:right="219" w:firstLine="1951"/>
        <w:spacing w:after="0" w:line="250" w:lineRule="auto"/>
        <w:tabs>
          <w:tab w:leader="none" w:pos="2773"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the accuracy of the representations and warranties of the Holder, the Company is not required to obtain any consent, waiver, authorization or order of, give any</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81" w:name="page182"/>
    <w:bookmarkEnd w:id="181"/>
    <w:p>
      <w:pPr>
        <w:jc w:val="both"/>
        <w:ind w:left="180" w:right="219"/>
        <w:spacing w:after="0" w:line="243" w:lineRule="auto"/>
        <w:rPr>
          <w:sz w:val="20"/>
          <w:szCs w:val="20"/>
          <w:color w:val="auto"/>
        </w:rPr>
      </w:pPr>
      <w:r>
        <w:rPr>
          <w:rFonts w:ascii="Times New Roman" w:cs="Times New Roman" w:eastAsia="Times New Roman" w:hAnsi="Times New Roman"/>
          <w:sz w:val="20"/>
          <w:szCs w:val="20"/>
          <w:color w:val="auto"/>
        </w:rPr>
        <w:t>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9" w:lineRule="exact"/>
        <w:rPr>
          <w:sz w:val="20"/>
          <w:szCs w:val="20"/>
          <w:color w:val="auto"/>
        </w:rPr>
      </w:pPr>
    </w:p>
    <w:p>
      <w:pPr>
        <w:jc w:val="both"/>
        <w:ind w:left="180" w:right="219" w:firstLine="1951"/>
        <w:spacing w:after="0" w:line="242" w:lineRule="auto"/>
        <w:tabs>
          <w:tab w:leader="none" w:pos="2773"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their respective dates, all reports required to be filed by the Company with the SEC (the “</w:t>
      </w:r>
      <w:r>
        <w:rPr>
          <w:rFonts w:ascii="Times New Roman" w:cs="Times New Roman" w:eastAsia="Times New Roman" w:hAnsi="Times New Roman"/>
          <w:sz w:val="20"/>
          <w:szCs w:val="20"/>
          <w:b w:val="1"/>
          <w:bCs w:val="1"/>
          <w:i w:val="1"/>
          <w:iCs w:val="1"/>
          <w:color w:val="auto"/>
        </w:rPr>
        <w:t>SEC Reports</w:t>
      </w:r>
      <w:r>
        <w:rPr>
          <w:rFonts w:ascii="Times New Roman" w:cs="Times New Roman" w:eastAsia="Times New Roman" w:hAnsi="Times New Roman"/>
          <w:sz w:val="20"/>
          <w:szCs w:val="20"/>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203" w:lineRule="exact"/>
        <w:rPr>
          <w:rFonts w:ascii="Times New Roman" w:cs="Times New Roman" w:eastAsia="Times New Roman" w:hAnsi="Times New Roman"/>
          <w:sz w:val="20"/>
          <w:szCs w:val="20"/>
          <w:color w:val="auto"/>
        </w:rPr>
      </w:pPr>
    </w:p>
    <w:p>
      <w:pPr>
        <w:jc w:val="both"/>
        <w:ind w:left="180" w:right="219" w:firstLine="1950"/>
        <w:spacing w:after="0" w:line="256" w:lineRule="auto"/>
        <w:tabs>
          <w:tab w:leader="none" w:pos="2773" w:val="left"/>
        </w:tabs>
        <w:numPr>
          <w:ilvl w:val="1"/>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w:t>
      </w:r>
    </w:p>
    <w:p>
      <w:pPr>
        <w:spacing w:after="0" w:line="4" w:lineRule="exact"/>
        <w:rPr>
          <w:rFonts w:ascii="Times New Roman" w:cs="Times New Roman" w:eastAsia="Times New Roman" w:hAnsi="Times New Roman"/>
          <w:sz w:val="19"/>
          <w:szCs w:val="19"/>
          <w:color w:val="auto"/>
        </w:rPr>
      </w:pPr>
    </w:p>
    <w:p>
      <w:pPr>
        <w:ind w:left="180" w:right="219" w:firstLine="7"/>
        <w:spacing w:after="0" w:line="246" w:lineRule="auto"/>
        <w:tabs>
          <w:tab w:leader="none" w:pos="50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decree, injunction, ruling or order of any governmental authority or arbitrator outstanding against the Company or any of its directors or officers in their capacities as such.</w:t>
      </w:r>
    </w:p>
    <w:p>
      <w:pPr>
        <w:spacing w:after="0" w:line="195" w:lineRule="exact"/>
        <w:rPr>
          <w:rFonts w:ascii="Times New Roman" w:cs="Times New Roman" w:eastAsia="Times New Roman" w:hAnsi="Times New Roman"/>
          <w:sz w:val="20"/>
          <w:szCs w:val="20"/>
          <w:color w:val="auto"/>
        </w:rPr>
      </w:pPr>
    </w:p>
    <w:p>
      <w:pPr>
        <w:jc w:val="both"/>
        <w:ind w:left="180" w:right="219" w:firstLine="1950"/>
        <w:spacing w:after="0" w:line="243" w:lineRule="auto"/>
        <w:tabs>
          <w:tab w:leader="none" w:pos="2773"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9" w:lineRule="exact"/>
        <w:rPr>
          <w:rFonts w:ascii="Times New Roman" w:cs="Times New Roman" w:eastAsia="Times New Roman" w:hAnsi="Times New Roman"/>
          <w:sz w:val="20"/>
          <w:szCs w:val="20"/>
          <w:color w:val="auto"/>
        </w:rPr>
      </w:pPr>
    </w:p>
    <w:p>
      <w:pPr>
        <w:jc w:val="both"/>
        <w:ind w:left="180" w:right="219" w:firstLine="1951"/>
        <w:spacing w:after="0" w:line="249" w:lineRule="auto"/>
        <w:tabs>
          <w:tab w:leader="none" w:pos="2772"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93" w:lineRule="exact"/>
        <w:rPr>
          <w:rFonts w:ascii="Times New Roman" w:cs="Times New Roman" w:eastAsia="Times New Roman" w:hAnsi="Times New Roman"/>
          <w:sz w:val="20"/>
          <w:szCs w:val="20"/>
          <w:color w:val="auto"/>
        </w:rPr>
      </w:pPr>
    </w:p>
    <w:p>
      <w:pPr>
        <w:jc w:val="both"/>
        <w:ind w:left="180" w:right="219" w:firstLine="1951"/>
        <w:spacing w:after="0" w:line="246" w:lineRule="auto"/>
        <w:tabs>
          <w:tab w:leader="none" w:pos="2773"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4" w:lineRule="exact"/>
        <w:rPr>
          <w:rFonts w:ascii="Times New Roman" w:cs="Times New Roman" w:eastAsia="Times New Roman" w:hAnsi="Times New Roman"/>
          <w:sz w:val="20"/>
          <w:szCs w:val="20"/>
          <w:color w:val="auto"/>
        </w:rPr>
      </w:pPr>
    </w:p>
    <w:p>
      <w:pPr>
        <w:ind w:left="180" w:right="219" w:firstLine="1951"/>
        <w:spacing w:after="0" w:line="264" w:lineRule="auto"/>
        <w:tabs>
          <w:tab w:leader="none" w:pos="2773"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Company’s knowledge, the Company owns or possesses sufficient legal rights to all (a) patents, patent applications and inventions; (b) trademarks, service marks, trade names,</w:t>
      </w:r>
    </w:p>
    <w:p>
      <w:pPr>
        <w:ind w:left="39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82" w:name="page183"/>
    <w:bookmarkEnd w:id="182"/>
    <w:p>
      <w:pPr>
        <w:jc w:val="both"/>
        <w:ind w:left="180" w:right="219"/>
        <w:spacing w:after="0" w:line="243" w:lineRule="auto"/>
        <w:rPr>
          <w:sz w:val="20"/>
          <w:szCs w:val="20"/>
          <w:color w:val="auto"/>
        </w:rPr>
      </w:pPr>
      <w:r>
        <w:rPr>
          <w:rFonts w:ascii="Times New Roman" w:cs="Times New Roman" w:eastAsia="Times New Roman" w:hAnsi="Times New Roman"/>
          <w:sz w:val="20"/>
          <w:szCs w:val="20"/>
          <w:color w:val="auto"/>
        </w:rPr>
        <w:t>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203" w:lineRule="exact"/>
        <w:rPr>
          <w:sz w:val="20"/>
          <w:szCs w:val="20"/>
          <w:color w:val="auto"/>
        </w:rPr>
      </w:pPr>
    </w:p>
    <w:p>
      <w:pPr>
        <w:ind w:left="180" w:right="479" w:firstLine="1304"/>
        <w:spacing w:after="0" w:line="269" w:lineRule="auto"/>
        <w:tabs>
          <w:tab w:leader="none" w:pos="2123"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For purposes of this Warrant, the following terms shall have the following meanings:</w:t>
      </w:r>
    </w:p>
    <w:p>
      <w:pPr>
        <w:spacing w:after="0" w:line="155" w:lineRule="exact"/>
        <w:rPr>
          <w:rFonts w:ascii="Times New Roman" w:cs="Times New Roman" w:eastAsia="Times New Roman" w:hAnsi="Times New Roman"/>
          <w:sz w:val="20"/>
          <w:szCs w:val="20"/>
          <w:color w:val="auto"/>
        </w:rPr>
      </w:pPr>
    </w:p>
    <w:p>
      <w:pPr>
        <w:jc w:val="both"/>
        <w:ind w:left="180" w:right="219" w:firstLine="1951"/>
        <w:spacing w:after="0" w:line="256" w:lineRule="auto"/>
        <w:tabs>
          <w:tab w:leader="none" w:pos="2773"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2" w:lineRule="exact"/>
        <w:rPr>
          <w:rFonts w:ascii="Times New Roman" w:cs="Times New Roman" w:eastAsia="Times New Roman" w:hAnsi="Times New Roman"/>
          <w:sz w:val="20"/>
          <w:szCs w:val="20"/>
          <w:color w:val="auto"/>
        </w:rPr>
      </w:pPr>
    </w:p>
    <w:p>
      <w:pPr>
        <w:jc w:val="both"/>
        <w:ind w:left="180" w:right="219" w:firstLine="1951"/>
        <w:spacing w:after="0" w:line="243" w:lineRule="auto"/>
        <w:tabs>
          <w:tab w:leader="none" w:pos="2773"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Attribution Parties</w:t>
      </w:r>
      <w:r>
        <w:rPr>
          <w:rFonts w:ascii="Times New Roman" w:cs="Times New Roman" w:eastAsia="Times New Roman" w:hAnsi="Times New Roman"/>
          <w:sz w:val="20"/>
          <w:szCs w:val="20"/>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5" w:lineRule="exact"/>
        <w:rPr>
          <w:rFonts w:ascii="Times New Roman" w:cs="Times New Roman" w:eastAsia="Times New Roman" w:hAnsi="Times New Roman"/>
          <w:sz w:val="20"/>
          <w:szCs w:val="20"/>
          <w:color w:val="auto"/>
        </w:rPr>
      </w:pPr>
    </w:p>
    <w:p>
      <w:pPr>
        <w:jc w:val="both"/>
        <w:ind w:left="180" w:right="219" w:firstLine="1952"/>
        <w:spacing w:after="0" w:line="254" w:lineRule="auto"/>
        <w:tabs>
          <w:tab w:leader="none" w:pos="2773" w:val="left"/>
        </w:tabs>
        <w:numPr>
          <w:ilvl w:val="1"/>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Black Scholes Going Private Value</w:t>
      </w:r>
      <w:r>
        <w:rPr>
          <w:rFonts w:ascii="Times New Roman" w:cs="Times New Roman" w:eastAsia="Times New Roman" w:hAnsi="Times New Roman"/>
          <w:sz w:val="19"/>
          <w:szCs w:val="19"/>
          <w:color w:val="auto"/>
        </w:rPr>
        <w:t xml:space="preserve">” means the value of the unexercised portion of this Warrant remaining on the date of the consummation of the Fundamental Transaction referred to in Section </w:t>
      </w:r>
      <w:r>
        <w:rPr>
          <w:rFonts w:ascii="Times New Roman" w:cs="Times New Roman" w:eastAsia="Times New Roman" w:hAnsi="Times New Roman"/>
          <w:sz w:val="19"/>
          <w:szCs w:val="19"/>
          <w:u w:val="single" w:color="auto"/>
          <w:color w:val="0000EE"/>
        </w:rPr>
        <w:t>4(b)(i)</w:t>
      </w:r>
      <w:r>
        <w:rPr>
          <w:rFonts w:ascii="Times New Roman" w:cs="Times New Roman" w:eastAsia="Times New Roman" w:hAnsi="Times New Roman"/>
          <w:sz w:val="19"/>
          <w:szCs w:val="19"/>
          <w:color w:val="auto"/>
        </w:rPr>
        <w:t>,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98" w:lineRule="exact"/>
        <w:rPr>
          <w:rFonts w:ascii="Times New Roman" w:cs="Times New Roman" w:eastAsia="Times New Roman" w:hAnsi="Times New Roman"/>
          <w:sz w:val="19"/>
          <w:szCs w:val="19"/>
          <w:color w:val="auto"/>
        </w:rPr>
      </w:pPr>
    </w:p>
    <w:p>
      <w:pPr>
        <w:jc w:val="both"/>
        <w:ind w:left="180" w:right="219" w:firstLine="1951"/>
        <w:spacing w:after="0" w:line="256" w:lineRule="auto"/>
        <w:tabs>
          <w:tab w:leader="none" w:pos="2773" w:val="left"/>
        </w:tabs>
        <w:numPr>
          <w:ilvl w:val="1"/>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Black Scholes Value</w:t>
      </w:r>
      <w:r>
        <w:rPr>
          <w:rFonts w:ascii="Times New Roman" w:cs="Times New Roman" w:eastAsia="Times New Roman" w:hAnsi="Times New Roman"/>
          <w:sz w:val="19"/>
          <w:szCs w:val="19"/>
          <w:color w:val="auto"/>
        </w:rPr>
        <w:t xml:space="preserve">” means the value of the unexercised portion of this Warrant remaining on the date of the Holder’s request pursuant to Section </w:t>
      </w:r>
      <w:r>
        <w:rPr>
          <w:rFonts w:ascii="Times New Roman" w:cs="Times New Roman" w:eastAsia="Times New Roman" w:hAnsi="Times New Roman"/>
          <w:sz w:val="19"/>
          <w:szCs w:val="19"/>
          <w:u w:val="single" w:color="auto"/>
          <w:color w:val="0000EE"/>
        </w:rPr>
        <w:t>4(c)</w:t>
      </w:r>
      <w:r>
        <w:rPr>
          <w:rFonts w:ascii="Times New Roman" w:cs="Times New Roman" w:eastAsia="Times New Roman" w:hAnsi="Times New Roman"/>
          <w:sz w:val="19"/>
          <w:szCs w:val="19"/>
          <w:color w:val="auto"/>
        </w:rPr>
        <w:t>,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83" w:name="page184"/>
    <w:bookmarkEnd w:id="183"/>
    <w:p>
      <w:pPr>
        <w:jc w:val="both"/>
        <w:ind w:left="180" w:right="219"/>
        <w:spacing w:after="0" w:line="254" w:lineRule="auto"/>
        <w:rPr>
          <w:sz w:val="20"/>
          <w:szCs w:val="20"/>
          <w:color w:val="auto"/>
        </w:rPr>
      </w:pPr>
      <w:r>
        <w:rPr>
          <w:rFonts w:ascii="Times New Roman" w:cs="Times New Roman" w:eastAsia="Times New Roman" w:hAnsi="Times New Roman"/>
          <w:sz w:val="19"/>
          <w:szCs w:val="19"/>
          <w:color w:val="auto"/>
        </w:rPr>
        <w:t xml:space="preserve">ending on the Trading Day of the Holder’s request pursuant to Section </w:t>
      </w:r>
      <w:r>
        <w:rPr>
          <w:rFonts w:ascii="Times New Roman" w:cs="Times New Roman" w:eastAsia="Times New Roman" w:hAnsi="Times New Roman"/>
          <w:sz w:val="19"/>
          <w:szCs w:val="19"/>
          <w:u w:val="single" w:color="auto"/>
          <w:color w:val="0000EE"/>
        </w:rPr>
        <w:t>4(c)</w:t>
      </w:r>
      <w:r>
        <w:rPr>
          <w:rFonts w:ascii="Times New Roman" w:cs="Times New Roman" w:eastAsia="Times New Roman" w:hAnsi="Times New Roman"/>
          <w:sz w:val="19"/>
          <w:szCs w:val="19"/>
          <w:color w:val="auto"/>
        </w:rPr>
        <w:t xml:space="preserve">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w:t>
      </w:r>
      <w:r>
        <w:rPr>
          <w:rFonts w:ascii="Times New Roman" w:cs="Times New Roman" w:eastAsia="Times New Roman" w:hAnsi="Times New Roman"/>
          <w:sz w:val="19"/>
          <w:szCs w:val="19"/>
          <w:u w:val="single" w:color="auto"/>
          <w:color w:val="0000EE"/>
        </w:rPr>
        <w:t>4(c),</w:t>
      </w:r>
      <w:r>
        <w:rPr>
          <w:rFonts w:ascii="Times New Roman" w:cs="Times New Roman" w:eastAsia="Times New Roman" w:hAnsi="Times New Roman"/>
          <w:sz w:val="19"/>
          <w:szCs w:val="19"/>
          <w:color w:val="auto"/>
        </w:rPr>
        <w:t xml:space="preserve"> (iii) a risk-free interest rate corresponding to the U.S. Treasury rate for a period equal to the greater of (1) the remaining term of this Warrant as of the date of the Holder’s request pursuant to Section </w:t>
      </w:r>
      <w:r>
        <w:rPr>
          <w:rFonts w:ascii="Times New Roman" w:cs="Times New Roman" w:eastAsia="Times New Roman" w:hAnsi="Times New Roman"/>
          <w:sz w:val="19"/>
          <w:szCs w:val="19"/>
          <w:u w:val="single" w:color="auto"/>
          <w:color w:val="0000EE"/>
        </w:rPr>
        <w:t>4(c)</w:t>
      </w:r>
      <w:r>
        <w:rPr>
          <w:rFonts w:ascii="Times New Roman" w:cs="Times New Roman" w:eastAsia="Times New Roman" w:hAnsi="Times New Roman"/>
          <w:sz w:val="19"/>
          <w:szCs w:val="19"/>
          <w:color w:val="auto"/>
        </w:rPr>
        <w:t xml:space="preserve"> and (2) the remaining term of this Warrant as of the date of consummation of the applicable Fundamental Transaction or as of the date of the Holder’s request pursuant to Section </w:t>
      </w:r>
      <w:r>
        <w:rPr>
          <w:rFonts w:ascii="Times New Roman" w:cs="Times New Roman" w:eastAsia="Times New Roman" w:hAnsi="Times New Roman"/>
          <w:sz w:val="19"/>
          <w:szCs w:val="19"/>
          <w:u w:val="single" w:color="auto"/>
          <w:color w:val="0000EE"/>
        </w:rPr>
        <w:t>4(c)</w:t>
      </w:r>
      <w:r>
        <w:rPr>
          <w:rFonts w:ascii="Times New Roman" w:cs="Times New Roman" w:eastAsia="Times New Roman" w:hAnsi="Times New Roman"/>
          <w:sz w:val="19"/>
          <w:szCs w:val="19"/>
          <w:color w:val="auto"/>
        </w:rPr>
        <w:t xml:space="preserve">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w:t>
      </w:r>
    </w:p>
    <w:p>
      <w:pPr>
        <w:spacing w:after="0" w:line="3" w:lineRule="exact"/>
        <w:rPr>
          <w:sz w:val="20"/>
          <w:szCs w:val="20"/>
          <w:color w:val="auto"/>
        </w:rPr>
      </w:pPr>
    </w:p>
    <w:p>
      <w:pPr>
        <w:jc w:val="both"/>
        <w:ind w:left="180" w:right="219" w:firstLine="7"/>
        <w:spacing w:after="0" w:line="242" w:lineRule="auto"/>
        <w:tabs>
          <w:tab w:leader="none" w:pos="57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disclosure of the applicable Fundamental Transaction, (B) the consummation of the applicable Fundamental Transaction and (C) the date on which the Holder first became aware of the applicable Fundamental Transaction.</w:t>
      </w:r>
    </w:p>
    <w:p>
      <w:pPr>
        <w:spacing w:after="0" w:line="196" w:lineRule="exact"/>
        <w:rPr>
          <w:rFonts w:ascii="Times New Roman" w:cs="Times New Roman" w:eastAsia="Times New Roman" w:hAnsi="Times New Roman"/>
          <w:sz w:val="20"/>
          <w:szCs w:val="20"/>
          <w:color w:val="auto"/>
        </w:rPr>
      </w:pPr>
    </w:p>
    <w:p>
      <w:pPr>
        <w:ind w:left="2780" w:hanging="652"/>
        <w:spacing w:after="0"/>
        <w:tabs>
          <w:tab w:leader="none" w:pos="278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Bloomberg</w:t>
      </w:r>
      <w:r>
        <w:rPr>
          <w:rFonts w:ascii="Times New Roman" w:cs="Times New Roman" w:eastAsia="Times New Roman" w:hAnsi="Times New Roman"/>
          <w:sz w:val="20"/>
          <w:szCs w:val="20"/>
          <w:color w:val="auto"/>
        </w:rPr>
        <w:t>” means Bloomberg, L.P.</w:t>
      </w:r>
    </w:p>
    <w:p>
      <w:pPr>
        <w:spacing w:after="0" w:line="215" w:lineRule="exact"/>
        <w:rPr>
          <w:rFonts w:ascii="Times New Roman" w:cs="Times New Roman" w:eastAsia="Times New Roman" w:hAnsi="Times New Roman"/>
          <w:sz w:val="20"/>
          <w:szCs w:val="20"/>
          <w:color w:val="auto"/>
        </w:rPr>
      </w:pPr>
    </w:p>
    <w:p>
      <w:pPr>
        <w:jc w:val="both"/>
        <w:ind w:left="180" w:right="219" w:firstLine="1951"/>
        <w:spacing w:after="0" w:line="256" w:lineRule="auto"/>
        <w:tabs>
          <w:tab w:leader="none" w:pos="2773"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82" w:lineRule="exact"/>
        <w:rPr>
          <w:rFonts w:ascii="Times New Roman" w:cs="Times New Roman" w:eastAsia="Times New Roman" w:hAnsi="Times New Roman"/>
          <w:sz w:val="20"/>
          <w:szCs w:val="20"/>
          <w:color w:val="auto"/>
        </w:rPr>
      </w:pPr>
    </w:p>
    <w:p>
      <w:pPr>
        <w:jc w:val="both"/>
        <w:ind w:left="180" w:right="199" w:firstLine="1951"/>
        <w:spacing w:after="0" w:line="241" w:lineRule="auto"/>
        <w:tabs>
          <w:tab w:leader="none" w:pos="2773"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Bid Price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Closing Sale Price</w:t>
      </w:r>
      <w:r>
        <w:rPr>
          <w:rFonts w:ascii="Times New Roman" w:cs="Times New Roman" w:eastAsia="Times New Roman" w:hAnsi="Times New Roman"/>
          <w:sz w:val="20"/>
          <w:szCs w:val="20"/>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Times New Roman" w:cs="Times New Roman" w:eastAsia="Times New Roman" w:hAnsi="Times New Roman"/>
          <w:sz w:val="20"/>
          <w:szCs w:val="20"/>
          <w:u w:val="single" w:color="auto"/>
          <w:color w:val="0000EE"/>
        </w:rPr>
        <w:t>12.</w:t>
      </w:r>
      <w:r>
        <w:rPr>
          <w:rFonts w:ascii="Times New Roman" w:cs="Times New Roman" w:eastAsia="Times New Roman" w:hAnsi="Times New Roman"/>
          <w:sz w:val="20"/>
          <w:szCs w:val="20"/>
          <w:color w:val="auto"/>
        </w:rPr>
        <w:t xml:space="preserve"> All such determinations to be appropriately adjusted for any stock dividend, stock split, stock combination, reclassification or other similar transaction during the applicable calculation period.</w:t>
      </w:r>
    </w:p>
    <w:p>
      <w:pPr>
        <w:spacing w:after="0" w:line="187" w:lineRule="exact"/>
        <w:rPr>
          <w:rFonts w:ascii="Times New Roman" w:cs="Times New Roman" w:eastAsia="Times New Roman" w:hAnsi="Times New Roman"/>
          <w:sz w:val="20"/>
          <w:szCs w:val="20"/>
          <w:color w:val="auto"/>
        </w:rPr>
      </w:pPr>
    </w:p>
    <w:p>
      <w:pPr>
        <w:jc w:val="both"/>
        <w:ind w:left="180" w:right="219" w:firstLine="1951"/>
        <w:spacing w:after="0" w:line="256" w:lineRule="auto"/>
        <w:tabs>
          <w:tab w:leader="none" w:pos="2773"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68" w:lineRule="exact"/>
        <w:rPr>
          <w:rFonts w:ascii="Times New Roman" w:cs="Times New Roman" w:eastAsia="Times New Roman" w:hAnsi="Times New Roman"/>
          <w:sz w:val="20"/>
          <w:szCs w:val="20"/>
          <w:color w:val="auto"/>
        </w:rPr>
      </w:pPr>
    </w:p>
    <w:p>
      <w:pPr>
        <w:ind w:left="180" w:right="219" w:firstLine="1951"/>
        <w:spacing w:after="0" w:line="300" w:lineRule="auto"/>
        <w:tabs>
          <w:tab w:leader="none" w:pos="2773"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Convertible Securities</w:t>
      </w:r>
      <w:r>
        <w:rPr>
          <w:rFonts w:ascii="Times New Roman" w:cs="Times New Roman" w:eastAsia="Times New Roman" w:hAnsi="Times New Roman"/>
          <w:sz w:val="19"/>
          <w:szCs w:val="19"/>
          <w:color w:val="auto"/>
        </w:rPr>
        <w:t>” means any stock or securities (other than Options) directly or indirectly convertible into or exercisable or exchangeable for shares of Common Stock.</w:t>
      </w:r>
    </w:p>
    <w:p>
      <w:pPr>
        <w:spacing w:after="0" w:line="142" w:lineRule="exact"/>
        <w:rPr>
          <w:rFonts w:ascii="Times New Roman" w:cs="Times New Roman" w:eastAsia="Times New Roman" w:hAnsi="Times New Roman"/>
          <w:sz w:val="19"/>
          <w:szCs w:val="19"/>
          <w:color w:val="auto"/>
        </w:rPr>
      </w:pPr>
    </w:p>
    <w:p>
      <w:pPr>
        <w:ind w:left="180" w:right="219" w:firstLine="1951"/>
        <w:spacing w:after="0" w:line="253" w:lineRule="auto"/>
        <w:tabs>
          <w:tab w:leader="none" w:pos="2773"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Market</w:t>
      </w:r>
      <w:r>
        <w:rPr>
          <w:rFonts w:ascii="Times New Roman" w:cs="Times New Roman" w:eastAsia="Times New Roman" w:hAnsi="Times New Roman"/>
          <w:sz w:val="20"/>
          <w:szCs w:val="20"/>
          <w:color w:val="auto"/>
        </w:rPr>
        <w:t>” means The Nasdaq Capital Market, The Nasdaq Global Select Market, The Nasdaq Global Market, the NYSE American, or The New York Stock Exchange.</w:t>
      </w:r>
    </w:p>
    <w:p>
      <w:pPr>
        <w:ind w:left="390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84" w:name="page185"/>
    <w:bookmarkEnd w:id="184"/>
    <w:p>
      <w:pPr>
        <w:jc w:val="both"/>
        <w:ind w:left="180" w:right="219" w:firstLine="1951"/>
        <w:spacing w:after="0" w:line="256" w:lineRule="auto"/>
        <w:tabs>
          <w:tab w:leader="none" w:pos="2773"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20"/>
          <w:szCs w:val="20"/>
          <w:b w:val="1"/>
          <w:bCs w:val="1"/>
          <w:color w:val="auto"/>
        </w:rPr>
        <w:t>Holiday</w:t>
      </w:r>
      <w:r>
        <w:rPr>
          <w:rFonts w:ascii="Times New Roman" w:cs="Times New Roman" w:eastAsia="Times New Roman" w:hAnsi="Times New Roman"/>
          <w:sz w:val="20"/>
          <w:szCs w:val="20"/>
          <w:color w:val="auto"/>
        </w:rPr>
        <w:t>”), the next date that is not a Holiday.</w:t>
      </w:r>
    </w:p>
    <w:p>
      <w:pPr>
        <w:spacing w:after="0" w:line="182" w:lineRule="exact"/>
        <w:rPr>
          <w:rFonts w:ascii="Times New Roman" w:cs="Times New Roman" w:eastAsia="Times New Roman" w:hAnsi="Times New Roman"/>
          <w:sz w:val="20"/>
          <w:szCs w:val="20"/>
          <w:color w:val="auto"/>
        </w:rPr>
      </w:pPr>
    </w:p>
    <w:p>
      <w:pPr>
        <w:jc w:val="both"/>
        <w:ind w:left="180" w:right="219" w:firstLine="1951"/>
        <w:spacing w:after="0" w:line="253" w:lineRule="auto"/>
        <w:tabs>
          <w:tab w:leader="none" w:pos="2773"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 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rFonts w:ascii="Times New Roman" w:cs="Times New Roman" w:eastAsia="Times New Roman" w:hAnsi="Times New Roman"/>
          <w:sz w:val="19"/>
          <w:szCs w:val="19"/>
          <w:color w:val="auto"/>
        </w:rPr>
      </w:pPr>
    </w:p>
    <w:p>
      <w:pPr>
        <w:spacing w:after="0" w:line="211" w:lineRule="exact"/>
        <w:rPr>
          <w:rFonts w:ascii="Times New Roman" w:cs="Times New Roman" w:eastAsia="Times New Roman" w:hAnsi="Times New Roman"/>
          <w:sz w:val="19"/>
          <w:szCs w:val="19"/>
          <w:color w:val="auto"/>
        </w:rPr>
      </w:pPr>
    </w:p>
    <w:p>
      <w:pPr>
        <w:ind w:left="2780" w:hanging="649"/>
        <w:spacing w:after="0"/>
        <w:tabs>
          <w:tab w:leader="none" w:pos="278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a “group” as that term is used in Section 13(d) of the</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Exchange Act and as defined in Rule 13d-5 thereunder.</w:t>
      </w:r>
    </w:p>
    <w:p>
      <w:pPr>
        <w:ind w:left="390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185" w:name="page186"/>
    <w:bookmarkEnd w:id="185"/>
    <w:p>
      <w:pPr>
        <w:ind w:left="180" w:right="219" w:firstLine="1951"/>
        <w:spacing w:after="0" w:line="273" w:lineRule="auto"/>
        <w:tabs>
          <w:tab w:leader="none" w:pos="277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means any rights, warrants or options to subscribe for or purchase shares of Common Stock or Convertible Securities.</w:t>
      </w:r>
    </w:p>
    <w:p>
      <w:pPr>
        <w:spacing w:after="0" w:line="165" w:lineRule="exact"/>
        <w:rPr>
          <w:rFonts w:ascii="Times New Roman" w:cs="Times New Roman" w:eastAsia="Times New Roman" w:hAnsi="Times New Roman"/>
          <w:sz w:val="20"/>
          <w:szCs w:val="20"/>
          <w:color w:val="auto"/>
        </w:rPr>
      </w:pPr>
    </w:p>
    <w:p>
      <w:pPr>
        <w:jc w:val="both"/>
        <w:ind w:left="180" w:right="219" w:firstLine="1950"/>
        <w:spacing w:after="0" w:line="246" w:lineRule="auto"/>
        <w:tabs>
          <w:tab w:leader="none" w:pos="277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Entity</w:t>
      </w:r>
      <w:r>
        <w:rPr>
          <w:rFonts w:ascii="Times New Roman" w:cs="Times New Roman" w:eastAsia="Times New Roman" w:hAnsi="Times New Roman"/>
          <w:sz w:val="20"/>
          <w:szCs w:val="20"/>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8" w:lineRule="exact"/>
        <w:rPr>
          <w:rFonts w:ascii="Times New Roman" w:cs="Times New Roman" w:eastAsia="Times New Roman" w:hAnsi="Times New Roman"/>
          <w:sz w:val="20"/>
          <w:szCs w:val="20"/>
          <w:color w:val="auto"/>
        </w:rPr>
      </w:pPr>
    </w:p>
    <w:p>
      <w:pPr>
        <w:jc w:val="both"/>
        <w:ind w:left="180" w:right="219" w:firstLine="1950"/>
        <w:spacing w:after="0" w:line="256" w:lineRule="auto"/>
        <w:tabs>
          <w:tab w:leader="none" w:pos="277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2" w:lineRule="exact"/>
        <w:rPr>
          <w:rFonts w:ascii="Times New Roman" w:cs="Times New Roman" w:eastAsia="Times New Roman" w:hAnsi="Times New Roman"/>
          <w:sz w:val="20"/>
          <w:szCs w:val="20"/>
          <w:color w:val="auto"/>
        </w:rPr>
      </w:pPr>
    </w:p>
    <w:p>
      <w:pPr>
        <w:jc w:val="both"/>
        <w:ind w:left="180" w:right="219" w:firstLine="1951"/>
        <w:spacing w:after="0" w:line="256" w:lineRule="auto"/>
        <w:tabs>
          <w:tab w:leader="none" w:pos="277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Market</w:t>
      </w:r>
      <w:r>
        <w:rPr>
          <w:rFonts w:ascii="Times New Roman" w:cs="Times New Roman" w:eastAsia="Times New Roman" w:hAnsi="Times New Roman"/>
          <w:sz w:val="20"/>
          <w:szCs w:val="20"/>
          <w:color w:val="auto"/>
        </w:rPr>
        <w:t>” means the OTC Bulletin Board or any other Eligible Market, or any national securities exchange, market or trading or quotation facility on which the Common Stock is then listed or quoted.</w:t>
      </w:r>
    </w:p>
    <w:p>
      <w:pPr>
        <w:spacing w:after="0" w:line="168" w:lineRule="exact"/>
        <w:rPr>
          <w:rFonts w:ascii="Times New Roman" w:cs="Times New Roman" w:eastAsia="Times New Roman" w:hAnsi="Times New Roman"/>
          <w:sz w:val="20"/>
          <w:szCs w:val="20"/>
          <w:color w:val="auto"/>
        </w:rPr>
      </w:pPr>
    </w:p>
    <w:p>
      <w:pPr>
        <w:ind w:left="2780" w:hanging="649"/>
        <w:spacing w:after="0"/>
        <w:tabs>
          <w:tab w:leader="none" w:pos="27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5" w:lineRule="exact"/>
        <w:rPr>
          <w:rFonts w:ascii="Times New Roman" w:cs="Times New Roman" w:eastAsia="Times New Roman" w:hAnsi="Times New Roman"/>
          <w:sz w:val="20"/>
          <w:szCs w:val="20"/>
          <w:color w:val="auto"/>
        </w:rPr>
      </w:pPr>
    </w:p>
    <w:p>
      <w:pPr>
        <w:ind w:left="180" w:right="219" w:firstLine="1951"/>
        <w:spacing w:after="0" w:line="273" w:lineRule="auto"/>
        <w:tabs>
          <w:tab w:leader="none" w:pos="277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Entity</w:t>
      </w:r>
      <w:r>
        <w:rPr>
          <w:rFonts w:ascii="Times New Roman" w:cs="Times New Roman" w:eastAsia="Times New Roman" w:hAnsi="Times New Roman"/>
          <w:sz w:val="20"/>
          <w:szCs w:val="20"/>
          <w:color w:val="auto"/>
        </w:rPr>
        <w:t>” means any Person, Persons or Group or any Affiliate or associate of any such Person, Persons or Group.</w:t>
      </w:r>
    </w:p>
    <w:p>
      <w:pPr>
        <w:spacing w:after="0" w:line="165" w:lineRule="exact"/>
        <w:rPr>
          <w:rFonts w:ascii="Times New Roman" w:cs="Times New Roman" w:eastAsia="Times New Roman" w:hAnsi="Times New Roman"/>
          <w:sz w:val="20"/>
          <w:szCs w:val="20"/>
          <w:color w:val="auto"/>
        </w:rPr>
      </w:pPr>
    </w:p>
    <w:p>
      <w:pPr>
        <w:jc w:val="both"/>
        <w:ind w:left="180" w:right="219" w:firstLine="1951"/>
        <w:spacing w:after="0" w:line="250" w:lineRule="auto"/>
        <w:tabs>
          <w:tab w:leader="none" w:pos="277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Entity</w:t>
      </w:r>
      <w:r>
        <w:rPr>
          <w:rFonts w:ascii="Times New Roman" w:cs="Times New Roman" w:eastAsia="Times New Roman" w:hAnsi="Times New Roman"/>
          <w:sz w:val="20"/>
          <w:szCs w:val="20"/>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Times New Roman" w:cs="Times New Roman" w:eastAsia="Times New Roman" w:hAnsi="Times New Roman"/>
          <w:sz w:val="20"/>
          <w:szCs w:val="20"/>
          <w:color w:val="auto"/>
        </w:rPr>
      </w:pPr>
    </w:p>
    <w:p>
      <w:pPr>
        <w:jc w:val="both"/>
        <w:ind w:left="180" w:right="219" w:firstLine="1951"/>
        <w:spacing w:after="0" w:line="244" w:lineRule="auto"/>
        <w:tabs>
          <w:tab w:leader="none" w:pos="277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95" w:lineRule="exact"/>
        <w:rPr>
          <w:rFonts w:ascii="Times New Roman" w:cs="Times New Roman" w:eastAsia="Times New Roman" w:hAnsi="Times New Roman"/>
          <w:sz w:val="20"/>
          <w:szCs w:val="20"/>
          <w:color w:val="auto"/>
        </w:rPr>
      </w:pPr>
    </w:p>
    <w:p>
      <w:pPr>
        <w:jc w:val="both"/>
        <w:ind w:left="180" w:right="219" w:firstLine="1951"/>
        <w:spacing w:after="0" w:line="254" w:lineRule="auto"/>
        <w:tabs>
          <w:tab w:leader="none" w:pos="2774"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VWAP</w:t>
      </w:r>
      <w:r>
        <w:rPr>
          <w:rFonts w:ascii="Times New Roman" w:cs="Times New Roman" w:eastAsia="Times New Roman" w:hAnsi="Times New Roman"/>
          <w:sz w:val="19"/>
          <w:szCs w:val="19"/>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 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w:t>
      </w:r>
    </w:p>
    <w:p>
      <w:pPr>
        <w:spacing w:after="0" w:line="5" w:lineRule="exact"/>
        <w:rPr>
          <w:sz w:val="20"/>
          <w:szCs w:val="20"/>
          <w:color w:val="auto"/>
        </w:rPr>
      </w:pPr>
    </w:p>
    <w:p>
      <w:pPr>
        <w:ind w:left="180" w:right="219"/>
        <w:spacing w:after="0" w:line="239" w:lineRule="auto"/>
        <w:rPr>
          <w:sz w:val="20"/>
          <w:szCs w:val="20"/>
          <w:color w:val="auto"/>
        </w:rPr>
      </w:pPr>
      <w:r>
        <w:rPr>
          <w:rFonts w:ascii="Times New Roman" w:cs="Times New Roman" w:eastAsia="Times New Roman" w:hAnsi="Times New Roman"/>
          <w:sz w:val="20"/>
          <w:szCs w:val="20"/>
          <w:color w:val="auto"/>
        </w:rPr>
        <w:t>by OTC Markets Group Inc. (formerly Pink OTC Markets Inc.). If the VWAP cannot be calculated for a security on a particular date on any of the foregoing bases, the VWAP of such security on</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342900</wp:posOffset>
            </wp:positionV>
            <wp:extent cx="6231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186" w:name="page187"/>
    <w:bookmarkEnd w:id="186"/>
    <w:p>
      <w:pPr>
        <w:jc w:val="both"/>
        <w:ind w:left="180" w:right="219"/>
        <w:spacing w:after="0" w:line="246" w:lineRule="auto"/>
        <w:rPr>
          <w:sz w:val="20"/>
          <w:szCs w:val="20"/>
          <w:color w:val="auto"/>
        </w:rPr>
      </w:pPr>
      <w:r>
        <w:rPr>
          <w:rFonts w:ascii="Times New Roman" w:cs="Times New Roman" w:eastAsia="Times New Roman" w:hAnsi="Times New Roman"/>
          <w:sz w:val="20"/>
          <w:szCs w:val="20"/>
          <w:color w:val="auto"/>
        </w:rPr>
        <w:t xml:space="preserve">such date shall be the fair market value as mutually determined by the Company and the Holder. If the Company and the Holder are unable to agree upon the fair market value of such security, then such dispute shall be resolved pursuant to Section </w:t>
      </w:r>
      <w:r>
        <w:rPr>
          <w:rFonts w:ascii="Times New Roman" w:cs="Times New Roman" w:eastAsia="Times New Roman" w:hAnsi="Times New Roman"/>
          <w:sz w:val="20"/>
          <w:szCs w:val="20"/>
          <w:u w:val="single" w:color="auto"/>
          <w:color w:val="0000EE"/>
        </w:rPr>
        <w:t>12</w:t>
      </w:r>
      <w:r>
        <w:rPr>
          <w:rFonts w:ascii="Times New Roman" w:cs="Times New Roman" w:eastAsia="Times New Roman" w:hAnsi="Times New Roman"/>
          <w:sz w:val="20"/>
          <w:szCs w:val="20"/>
          <w:color w:val="auto"/>
        </w:rPr>
        <w:t xml:space="preserve">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356870</wp:posOffset>
            </wp:positionV>
            <wp:extent cx="623189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184" w:right="1440" w:bottom="1440" w:gutter="0" w:footer="0" w:header="0"/>
        </w:sectPr>
      </w:pPr>
    </w:p>
    <w:bookmarkStart w:id="187" w:name="page188"/>
    <w:bookmarkEnd w:id="187"/>
    <w:p>
      <w:pPr>
        <w:ind w:left="180" w:right="239" w:firstLine="65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Company has caused this Warrant to Purchase Common Stock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executed as of the Issuance Date set out above.</w:t>
      </w:r>
    </w:p>
    <w:p>
      <w:pPr>
        <w:spacing w:after="0" w:line="16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-10795</wp:posOffset>
            </wp:positionV>
            <wp:extent cx="8274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ind w:left="4080"/>
        <w:spacing w:after="0" w:line="237" w:lineRule="auto"/>
        <w:tabs>
          <w:tab w:leader="none" w:pos="4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Krishna Gupta</w:t>
      </w:r>
    </w:p>
    <w:p>
      <w:pPr>
        <w:spacing w:after="0" w:line="24"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Signature Page to Warrant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361315</wp:posOffset>
            </wp:positionV>
            <wp:extent cx="623189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3189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188" w:name="page189"/>
    <w:bookmarkEnd w:id="188"/>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EXERCISE NOTICE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BE EXECUTED BY THE REGISTERED HOLDER TO EXERCISE THIS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WARRANT TO PURCHASE COMMON STOCK</w:t>
      </w:r>
    </w:p>
    <w:p>
      <w:pPr>
        <w:spacing w:after="0" w:line="28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20" w:lineRule="exact"/>
        <w:rPr>
          <w:sz w:val="20"/>
          <w:szCs w:val="20"/>
          <w:color w:val="auto"/>
        </w:rPr>
      </w:pPr>
    </w:p>
    <w:p>
      <w:pPr>
        <w:ind w:left="840"/>
        <w:spacing w:after="0"/>
        <w:tabs>
          <w:tab w:leader="none" w:pos="7560" w:val="left"/>
        </w:tabs>
        <w:rPr>
          <w:sz w:val="20"/>
          <w:szCs w:val="20"/>
          <w:color w:val="auto"/>
        </w:rPr>
      </w:pPr>
      <w:r>
        <w:rPr>
          <w:rFonts w:ascii="Times New Roman" w:cs="Times New Roman" w:eastAsia="Times New Roman" w:hAnsi="Times New Roman"/>
          <w:sz w:val="20"/>
          <w:szCs w:val="20"/>
          <w:color w:val="auto"/>
        </w:rPr>
        <w:t>The undersigned holder hereby exercises the right to purchase</w:t>
      </w:r>
      <w:r>
        <w:rPr>
          <w:sz w:val="20"/>
          <w:szCs w:val="20"/>
          <w:color w:val="auto"/>
        </w:rPr>
        <w:tab/>
      </w:r>
      <w:r>
        <w:rPr>
          <w:rFonts w:ascii="Times New Roman" w:cs="Times New Roman" w:eastAsia="Times New Roman" w:hAnsi="Times New Roman"/>
          <w:sz w:val="19"/>
          <w:szCs w:val="19"/>
          <w:color w:val="auto"/>
        </w:rPr>
        <w:t>of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-10795</wp:posOffset>
            </wp:positionV>
            <wp:extent cx="11004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00455" cy="8890"/>
                    </a:xfrm>
                    <a:prstGeom prst="rect">
                      <a:avLst/>
                    </a:prstGeom>
                    <a:noFill/>
                  </pic:spPr>
                </pic:pic>
              </a:graphicData>
            </a:graphic>
          </wp:anchor>
        </w:drawing>
      </w:r>
    </w:p>
    <w:p>
      <w:pPr>
        <w:spacing w:after="0" w:line="2" w:lineRule="exact"/>
        <w:rPr>
          <w:sz w:val="20"/>
          <w:szCs w:val="20"/>
          <w:color w:val="auto"/>
        </w:rPr>
      </w:pPr>
    </w:p>
    <w:p>
      <w:pPr>
        <w:jc w:val="both"/>
        <w:ind w:left="180" w:right="219"/>
        <w:spacing w:after="0" w:line="261" w:lineRule="auto"/>
        <w:rPr>
          <w:sz w:val="20"/>
          <w:szCs w:val="20"/>
          <w:color w:val="auto"/>
        </w:rPr>
      </w:pPr>
      <w:r>
        <w:rPr>
          <w:rFonts w:ascii="Times New Roman" w:cs="Times New Roman" w:eastAsia="Times New Roman" w:hAnsi="Times New Roman"/>
          <w:sz w:val="19"/>
          <w:szCs w:val="19"/>
          <w:color w:val="auto"/>
        </w:rPr>
        <w:t>Common Stock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of Presto Automation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evidenced by the attached Warrant to Purchase Common Stock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Capitalized terms used herein and not otherwise defined shall have the respective meanings set forth in the Warrant.</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1. Form of Exercise Price. The Holder intends that payment of the Exercise Price shall be made as:</w:t>
      </w:r>
    </w:p>
    <w:p>
      <w:pPr>
        <w:spacing w:after="0" w:line="197"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a “Cash Exercise” with respect to</w:t>
            </w:r>
          </w:p>
        </w:tc>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7"/>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6"/>
        </w:trPr>
        <w:tc>
          <w:tcPr>
            <w:tcW w:w="1180" w:type="dxa"/>
            <w:vAlign w:val="bottom"/>
          </w:tcPr>
          <w:p>
            <w:pPr>
              <w:spacing w:after="0"/>
              <w:rPr>
                <w:sz w:val="22"/>
                <w:szCs w:val="22"/>
                <w:color w:val="auto"/>
              </w:rPr>
            </w:pPr>
          </w:p>
        </w:tc>
        <w:tc>
          <w:tcPr>
            <w:tcW w:w="45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and/or</w:t>
            </w:r>
          </w:p>
        </w:tc>
        <w:tc>
          <w:tcPr>
            <w:tcW w:w="1340" w:type="dxa"/>
            <w:vAlign w:val="bottom"/>
          </w:tcPr>
          <w:p>
            <w:pPr>
              <w:spacing w:after="0"/>
              <w:rPr>
                <w:sz w:val="22"/>
                <w:szCs w:val="22"/>
                <w:color w:val="auto"/>
              </w:rPr>
            </w:pPr>
          </w:p>
        </w:tc>
      </w:tr>
      <w:tr>
        <w:trPr>
          <w:trHeight w:val="39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a “Cashless Exercise” with respect to</w:t>
            </w: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6"/>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40" w:type="dxa"/>
            <w:vAlign w:val="bottom"/>
            <w:tcBorders>
              <w:left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180" w:right="219"/>
        <w:spacing w:after="0" w:line="254" w:lineRule="auto"/>
        <w:rPr>
          <w:sz w:val="20"/>
          <w:szCs w:val="20"/>
          <w:color w:val="auto"/>
        </w:rPr>
      </w:pPr>
      <w:r>
        <w:rPr>
          <w:rFonts w:ascii="Times New Roman" w:cs="Times New Roman" w:eastAsia="Times New Roman" w:hAnsi="Times New Roman"/>
          <w:sz w:val="20"/>
          <w:szCs w:val="20"/>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left="180" w:right="219" w:firstLine="655"/>
        <w:spacing w:after="0" w:line="264" w:lineRule="auto"/>
        <w:tabs>
          <w:tab w:leader="none" w:pos="1028"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Exercise Price. In the event that the holder has elected a Cash Exercise with respect to some or all of the Warrant Shares to be issued pursuant hereto, the holder shall pay the Aggregate Exercise</w:t>
      </w:r>
    </w:p>
    <w:tbl>
      <w:tblPr>
        <w:tblLayout w:type="fixed"/>
        <w:tblInd w:w="180" w:type="dxa"/>
        <w:tblCellMar>
          <w:top w:w="0" w:type="dxa"/>
          <w:left w:w="0" w:type="dxa"/>
          <w:bottom w:w="0" w:type="dxa"/>
          <w:right w:w="0" w:type="dxa"/>
        </w:tblCellMar>
      </w:tblPr>
      <w:tr>
        <w:trPr>
          <w:trHeight w:val="190"/>
        </w:trPr>
        <w:tc>
          <w:tcPr>
            <w:tcW w:w="1660" w:type="dxa"/>
            <w:vAlign w:val="bottom"/>
            <w:gridSpan w:val="3"/>
          </w:tcPr>
          <w:p>
            <w:pPr>
              <w:spacing w:after="0" w:line="190" w:lineRule="exact"/>
              <w:rPr>
                <w:sz w:val="20"/>
                <w:szCs w:val="20"/>
                <w:color w:val="auto"/>
              </w:rPr>
            </w:pPr>
            <w:r>
              <w:rPr>
                <w:rFonts w:ascii="Times New Roman" w:cs="Times New Roman" w:eastAsia="Times New Roman" w:hAnsi="Times New Roman"/>
                <w:sz w:val="20"/>
                <w:szCs w:val="20"/>
                <w:color w:val="auto"/>
                <w:w w:val="98"/>
              </w:rPr>
              <w:t>Price in the sum of $</w:t>
            </w: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080" w:type="dxa"/>
            <w:vAlign w:val="bottom"/>
            <w:gridSpan w:val="8"/>
          </w:tcPr>
          <w:p>
            <w:pPr>
              <w:ind w:left="40"/>
              <w:spacing w:after="0" w:line="190" w:lineRule="exact"/>
              <w:rPr>
                <w:sz w:val="20"/>
                <w:szCs w:val="20"/>
                <w:color w:val="auto"/>
              </w:rPr>
            </w:pPr>
            <w:r>
              <w:rPr>
                <w:rFonts w:ascii="Times New Roman" w:cs="Times New Roman" w:eastAsia="Times New Roman" w:hAnsi="Times New Roman"/>
                <w:sz w:val="20"/>
                <w:szCs w:val="20"/>
                <w:color w:val="auto"/>
              </w:rPr>
              <w:t>to the Company in accordance with the terms of the Warrant.</w:t>
            </w:r>
          </w:p>
        </w:tc>
      </w:tr>
      <w:tr>
        <w:trPr>
          <w:trHeight w:val="425"/>
        </w:trPr>
        <w:tc>
          <w:tcPr>
            <w:tcW w:w="360" w:type="dxa"/>
            <w:vAlign w:val="bottom"/>
          </w:tcPr>
          <w:p>
            <w:pPr>
              <w:spacing w:after="0"/>
              <w:rPr>
                <w:sz w:val="24"/>
                <w:szCs w:val="24"/>
                <w:color w:val="auto"/>
              </w:rPr>
            </w:pPr>
          </w:p>
        </w:tc>
        <w:tc>
          <w:tcPr>
            <w:tcW w:w="756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3. Delivery of Warrant Shares. The Company shall deliver to the holder ​</w:t>
            </w: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4"/>
              </w:rPr>
              <w:t>Warrant</w:t>
            </w:r>
          </w:p>
        </w:tc>
      </w:tr>
      <w:tr>
        <w:trPr>
          <w:trHeight w:val="256"/>
        </w:trPr>
        <w:tc>
          <w:tcPr>
            <w:tcW w:w="50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Shares in accordance with the terms of the Warrant.</w:t>
            </w:r>
          </w:p>
        </w:tc>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9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Electronic Delivery</w:t>
            </w: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DTC Participant:</w:t>
            </w: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9"/>
        </w:trPr>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gridSpan w:val="2"/>
          </w:tcPr>
          <w:p>
            <w:pPr>
              <w:ind w:left="460"/>
              <w:spacing w:after="0" w:line="209" w:lineRule="exact"/>
              <w:rPr>
                <w:sz w:val="20"/>
                <w:szCs w:val="20"/>
                <w:color w:val="auto"/>
              </w:rPr>
            </w:pPr>
            <w:r>
              <w:rPr>
                <w:rFonts w:ascii="Times New Roman" w:cs="Times New Roman" w:eastAsia="Times New Roman" w:hAnsi="Times New Roman"/>
                <w:sz w:val="20"/>
                <w:szCs w:val="20"/>
                <w:color w:val="auto"/>
              </w:rPr>
              <w:t>DTC Number:</w:t>
            </w:r>
          </w:p>
        </w:tc>
        <w:tc>
          <w:tcPr>
            <w:tcW w:w="20" w:type="dxa"/>
            <w:vAlign w:val="bottom"/>
          </w:tcPr>
          <w:p>
            <w:pPr>
              <w:spacing w:after="0"/>
              <w:rPr>
                <w:sz w:val="18"/>
                <w:szCs w:val="18"/>
                <w:color w:val="auto"/>
              </w:rPr>
            </w:pPr>
          </w:p>
        </w:tc>
        <w:tc>
          <w:tcPr>
            <w:tcW w:w="2900" w:type="dxa"/>
            <w:vAlign w:val="bottom"/>
            <w:tcBorders>
              <w:top w:val="single" w:sz="8" w:color="auto"/>
              <w:bottom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gridSpan w:val="2"/>
          </w:tcPr>
          <w:p>
            <w:pPr>
              <w:ind w:left="460"/>
              <w:spacing w:after="0" w:line="209" w:lineRule="exact"/>
              <w:rPr>
                <w:sz w:val="20"/>
                <w:szCs w:val="20"/>
                <w:color w:val="auto"/>
              </w:rPr>
            </w:pPr>
            <w:r>
              <w:rPr>
                <w:rFonts w:ascii="Times New Roman" w:cs="Times New Roman" w:eastAsia="Times New Roman" w:hAnsi="Times New Roman"/>
                <w:sz w:val="20"/>
                <w:szCs w:val="20"/>
                <w:color w:val="auto"/>
              </w:rPr>
              <w:t>Account Name:</w:t>
            </w:r>
          </w:p>
        </w:tc>
        <w:tc>
          <w:tcPr>
            <w:tcW w:w="20" w:type="dxa"/>
            <w:vAlign w:val="bottom"/>
          </w:tcPr>
          <w:p>
            <w:pPr>
              <w:spacing w:after="0"/>
              <w:rPr>
                <w:sz w:val="18"/>
                <w:szCs w:val="18"/>
                <w:color w:val="auto"/>
              </w:rPr>
            </w:pPr>
          </w:p>
        </w:tc>
        <w:tc>
          <w:tcPr>
            <w:tcW w:w="2900" w:type="dxa"/>
            <w:vAlign w:val="bottom"/>
            <w:tcBorders>
              <w:bottom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439"/>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Account Number:</w:t>
            </w:r>
          </w:p>
        </w:tc>
        <w:tc>
          <w:tcPr>
            <w:tcW w:w="20" w:type="dxa"/>
            <w:vAlign w:val="bottom"/>
          </w:tcPr>
          <w:p>
            <w:pPr>
              <w:spacing w:after="0"/>
              <w:rPr>
                <w:sz w:val="24"/>
                <w:szCs w:val="24"/>
                <w:color w:val="auto"/>
              </w:rPr>
            </w:pPr>
          </w:p>
        </w:tc>
        <w:tc>
          <w:tcPr>
            <w:tcW w:w="2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88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Physical Delivery</w:t>
            </w: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Address:</w:t>
            </w:r>
          </w:p>
        </w:tc>
        <w:tc>
          <w:tcPr>
            <w:tcW w:w="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23" w:lineRule="exact"/>
        <w:rPr>
          <w:sz w:val="20"/>
          <w:szCs w:val="20"/>
          <w:color w:val="auto"/>
        </w:rPr>
      </w:pPr>
    </w:p>
    <w:p>
      <w:pPr>
        <w:ind w:left="180"/>
        <w:spacing w:after="0"/>
        <w:tabs>
          <w:tab w:leader="none" w:pos="23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459740</wp:posOffset>
            </wp:positionV>
            <wp:extent cx="18529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5293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-10795</wp:posOffset>
            </wp:positionV>
            <wp:extent cx="15347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502920</wp:posOffset>
            </wp:positionV>
            <wp:extent cx="623189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89" w:name="page190"/>
    <w:bookmarkEnd w:id="189"/>
    <w:p>
      <w:pPr>
        <w:ind w:left="180"/>
        <w:spacing w:after="0"/>
        <w:tabs>
          <w:tab w:leader="none" w:pos="660" w:val="left"/>
        </w:tabs>
        <w:rPr>
          <w:sz w:val="20"/>
          <w:szCs w:val="20"/>
          <w:color w:val="auto"/>
        </w:rPr>
      </w:pPr>
      <w:r>
        <w:rPr>
          <w:rFonts w:ascii="Times New Roman" w:cs="Times New Roman" w:eastAsia="Times New Roman" w:hAnsi="Times New Roman"/>
          <w:sz w:val="20"/>
          <w:szCs w:val="20"/>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-10795</wp:posOffset>
            </wp:positionV>
            <wp:extent cx="17456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pacing w:after="0" w:line="1" w:lineRule="exact"/>
        <w:rPr>
          <w:sz w:val="20"/>
          <w:szCs w:val="20"/>
          <w:color w:val="auto"/>
        </w:rPr>
      </w:pPr>
    </w:p>
    <w:p>
      <w:pPr>
        <w:jc w:val="right"/>
        <w:ind w:right="7819"/>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488950</wp:posOffset>
            </wp:positionV>
            <wp:extent cx="623189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190" w:name="page191"/>
    <w:bookmarkEnd w:id="190"/>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ACKNOWLEDGMENT</w:t>
      </w:r>
    </w:p>
    <w:p>
      <w:pPr>
        <w:spacing w:after="0" w:line="220" w:lineRule="exact"/>
        <w:rPr>
          <w:sz w:val="20"/>
          <w:szCs w:val="20"/>
          <w:color w:val="auto"/>
        </w:rPr>
      </w:pPr>
    </w:p>
    <w:p>
      <w:pPr>
        <w:ind w:left="180" w:right="219" w:firstLine="648"/>
        <w:spacing w:after="0" w:line="264" w:lineRule="auto"/>
        <w:rPr>
          <w:sz w:val="20"/>
          <w:szCs w:val="20"/>
          <w:color w:val="auto"/>
        </w:rPr>
      </w:pPr>
      <w:r>
        <w:rPr>
          <w:rFonts w:ascii="Times New Roman" w:cs="Times New Roman" w:eastAsia="Times New Roman" w:hAnsi="Times New Roman"/>
          <w:sz w:val="19"/>
          <w:szCs w:val="19"/>
          <w:color w:val="auto"/>
        </w:rPr>
        <w:t>The Company hereby acknowledges this Exercise Notice and hereby directs [TRANSFER AGENT] to issue the above indicated number of shares of Common Stock in accordance with the Transfer Agent</w:t>
      </w:r>
    </w:p>
    <w:p>
      <w:pPr>
        <w:ind w:left="180"/>
        <w:spacing w:after="0"/>
        <w:tabs>
          <w:tab w:leader="none" w:pos="3700" w:val="left"/>
        </w:tabs>
        <w:rPr>
          <w:sz w:val="20"/>
          <w:szCs w:val="20"/>
          <w:color w:val="auto"/>
        </w:rPr>
      </w:pPr>
      <w:r>
        <w:rPr>
          <w:rFonts w:ascii="Times New Roman" w:cs="Times New Roman" w:eastAsia="Times New Roman" w:hAnsi="Times New Roman"/>
          <w:sz w:val="20"/>
          <w:szCs w:val="20"/>
          <w:color w:val="auto"/>
        </w:rPr>
        <w:t>Instructions  dated</w:t>
      </w:r>
      <w:r>
        <w:rPr>
          <w:sz w:val="20"/>
          <w:szCs w:val="20"/>
          <w:color w:val="auto"/>
        </w:rPr>
        <w:tab/>
      </w:r>
      <w:r>
        <w:rPr>
          <w:rFonts w:ascii="Times New Roman" w:cs="Times New Roman" w:eastAsia="Times New Roman" w:hAnsi="Times New Roman"/>
          <w:sz w:val="20"/>
          <w:szCs w:val="20"/>
          <w:color w:val="auto"/>
        </w:rPr>
        <w:t>from  the  Company  and  acknowledged  and  agreed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-24765</wp:posOffset>
            </wp:positionV>
            <wp:extent cx="11074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20"/>
          <w:szCs w:val="20"/>
          <w:color w:val="auto"/>
        </w:rPr>
        <w:t>[TRANSFER AGENT].</w:t>
      </w: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20085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08505"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w:t>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488950</wp:posOffset>
            </wp:positionV>
            <wp:extent cx="6231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31890" cy="1714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91" w:name="page192"/>
    <w:bookmarkEnd w:id="191"/>
    <w:p>
      <w:pPr>
        <w:ind w:left="3020"/>
        <w:spacing w:after="0"/>
        <w:rPr>
          <w:sz w:val="20"/>
          <w:szCs w:val="20"/>
          <w:color w:val="auto"/>
        </w:rPr>
      </w:pPr>
      <w:r>
        <w:rPr>
          <w:rFonts w:ascii="Times New Roman" w:cs="Times New Roman" w:eastAsia="Times New Roman" w:hAnsi="Times New Roman"/>
          <w:sz w:val="20"/>
          <w:szCs w:val="20"/>
          <w:b w:val="1"/>
          <w:bCs w:val="1"/>
          <w:color w:val="auto"/>
        </w:rPr>
        <w:t>ASSIGNMENT FORM</w:t>
      </w:r>
    </w:p>
    <w:p>
      <w:pPr>
        <w:spacing w:after="0" w:line="22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(To assign the foregoing warrant, execute</w:t>
      </w:r>
    </w:p>
    <w:p>
      <w:pPr>
        <w:spacing w:after="0" w:line="2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this form and supply required information.</w:t>
      </w:r>
    </w:p>
    <w:p>
      <w:pPr>
        <w:ind w:left="2220"/>
        <w:spacing w:after="0"/>
        <w:rPr>
          <w:sz w:val="20"/>
          <w:szCs w:val="20"/>
          <w:color w:val="auto"/>
        </w:rPr>
      </w:pPr>
      <w:r>
        <w:rPr>
          <w:rFonts w:ascii="Times New Roman" w:cs="Times New Roman" w:eastAsia="Times New Roman" w:hAnsi="Times New Roman"/>
          <w:sz w:val="20"/>
          <w:szCs w:val="20"/>
          <w:color w:val="auto"/>
        </w:rPr>
        <w:t>Do not use this form to exercise the warrant.)</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VALUE RECEIVED,</w:t>
            </w:r>
          </w:p>
        </w:tc>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all of or</w:t>
            </w:r>
          </w:p>
        </w:tc>
        <w:tc>
          <w:tcPr>
            <w:tcW w:w="47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w w:val="98"/>
              </w:rPr>
              <w:t>shares of the foregoing Warrant and all rights evidenced</w:t>
            </w:r>
          </w:p>
        </w:tc>
      </w:tr>
      <w:tr>
        <w:trPr>
          <w:trHeight w:val="258"/>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thereby are hereby assigned to</w:t>
            </w:r>
          </w:p>
        </w:tc>
        <w:tc>
          <w:tcPr>
            <w:tcW w:w="10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26"/>
        </w:trPr>
        <w:tc>
          <w:tcPr>
            <w:tcW w:w="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whose address is</w:t>
            </w:r>
          </w:p>
        </w:tc>
      </w:tr>
      <w:tr>
        <w:trPr>
          <w:trHeight w:val="209"/>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00" w:lineRule="exact"/>
        <w:rPr>
          <w:sz w:val="20"/>
          <w:szCs w:val="20"/>
          <w:color w:val="auto"/>
        </w:rPr>
      </w:pPr>
    </w:p>
    <w:p>
      <w:pPr>
        <w:spacing w:after="0" w:line="385" w:lineRule="exact"/>
        <w:rPr>
          <w:sz w:val="20"/>
          <w:szCs w:val="20"/>
          <w:color w:val="auto"/>
        </w:rPr>
      </w:pPr>
    </w:p>
    <w:p>
      <w:pPr>
        <w:ind w:left="5380"/>
        <w:spacing w:after="0"/>
        <w:tabs>
          <w:tab w:leader="none" w:pos="6640" w:val="left"/>
          <w:tab w:leader="none" w:pos="7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13970</wp:posOffset>
            </wp:positionV>
            <wp:extent cx="1645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-10795</wp:posOffset>
            </wp:positionV>
            <wp:extent cx="14408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-20320</wp:posOffset>
            </wp:positionV>
            <wp:extent cx="16960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20"/>
          <w:szCs w:val="20"/>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-24765</wp:posOffset>
            </wp:positionV>
            <wp:extent cx="16948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66" w:lineRule="exact"/>
        <w:rPr>
          <w:sz w:val="20"/>
          <w:szCs w:val="20"/>
          <w:color w:val="auto"/>
        </w:rPr>
      </w:pPr>
    </w:p>
    <w:p>
      <w:pPr>
        <w:ind w:left="180" w:right="179"/>
        <w:spacing w:after="0" w:line="269" w:lineRule="auto"/>
        <w:rPr>
          <w:sz w:val="20"/>
          <w:szCs w:val="20"/>
          <w:color w:val="auto"/>
        </w:rPr>
      </w:pPr>
      <w:r>
        <w:rPr>
          <w:rFonts w:ascii="Times New Roman" w:cs="Times New Roman" w:eastAsia="Times New Roman" w:hAnsi="Times New Roman"/>
          <w:sz w:val="20"/>
          <w:szCs w:val="20"/>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467360</wp:posOffset>
            </wp:positionV>
            <wp:extent cx="623189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31890" cy="2603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10.6</w:t>
      </w:r>
    </w:p>
    <w:p>
      <w:pPr>
        <w:spacing w:after="0" w:line="23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spacing w:after="0" w:line="241"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20"/>
          <w:szCs w:val="20"/>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1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WARRANT TO PURCHASE COMMON STOCK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Warrant No.: 2023-4</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Number of Shares of Common Stock: 50,920</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Date of Issuance: March 31, 2023 (“</w:t>
      </w:r>
      <w:r>
        <w:rPr>
          <w:rFonts w:ascii="Times New Roman" w:cs="Times New Roman" w:eastAsia="Times New Roman" w:hAnsi="Times New Roman"/>
          <w:sz w:val="20"/>
          <w:szCs w:val="20"/>
          <w:b w:val="1"/>
          <w:bCs w:val="1"/>
          <w:color w:val="auto"/>
        </w:rPr>
        <w:t>Issuance Date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left="640" w:firstLine="1296"/>
        <w:spacing w:after="0" w:line="242" w:lineRule="auto"/>
        <w:rPr>
          <w:sz w:val="20"/>
          <w:szCs w:val="20"/>
          <w:color w:val="auto"/>
        </w:rPr>
      </w:pPr>
      <w:r>
        <w:rPr>
          <w:rFonts w:ascii="Times New Roman" w:cs="Times New Roman" w:eastAsia="Times New Roman" w:hAnsi="Times New Roman"/>
          <w:sz w:val="20"/>
          <w:szCs w:val="20"/>
          <w:color w:val="auto"/>
        </w:rPr>
        <w:t>Presto Automation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certifies that, for good and valuable consideration, the receipt and sufficiency of which are hereby acknowledged, CEOF Holdings LP, the registered holder hereof or its permitted assigns (the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50,920 duly authorized, validly issued, fully paid, nonassessable shares of Common Stock, subject to adjustment as provided herein (the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shall have the meanings set forth in Section 17. This Warrant is being issued pursuant to Section 4 of that certain Amended and Restated Fee Letter, dated March 31, 2023, among E La Carte, LLC, the Company and Metropolitan Partners Group Administration, LLC, as agent (the “</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Capitalized terms used herein and not otherwise defined shall have the definitions ascribed to such terms in the Credit Agreement (as defined in the Fee Letter).</w:t>
      </w:r>
    </w:p>
    <w:p>
      <w:pPr>
        <w:spacing w:after="0" w:line="202" w:lineRule="exact"/>
        <w:rPr>
          <w:sz w:val="20"/>
          <w:szCs w:val="20"/>
          <w:color w:val="auto"/>
        </w:rPr>
      </w:pPr>
    </w:p>
    <w:p>
      <w:pPr>
        <w:ind w:left="2580" w:hanging="642"/>
        <w:spacing w:after="0"/>
        <w:tabs>
          <w:tab w:leader="none" w:pos="25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WARRANT.</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43" w:lineRule="auto"/>
        <w:tabs>
          <w:tab w:leader="none" w:pos="3233"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 of Exercise</w:t>
      </w:r>
      <w:r>
        <w:rPr>
          <w:rFonts w:ascii="Times New Roman" w:cs="Times New Roman" w:eastAsia="Times New Roman" w:hAnsi="Times New Roman"/>
          <w:sz w:val="20"/>
          <w:szCs w:val="20"/>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Exercise Notice</w:t>
      </w:r>
      <w:r>
        <w:rPr>
          <w:rFonts w:ascii="Times New Roman" w:cs="Times New Roman" w:eastAsia="Times New Roman" w:hAnsi="Times New Roman"/>
          <w:sz w:val="20"/>
          <w:szCs w:val="20"/>
          <w:color w:val="auto"/>
        </w:rPr>
        <w:t>”),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20"/>
          <w:szCs w:val="20"/>
          <w:b w:val="1"/>
          <w:bCs w:val="1"/>
          <w:color w:val="auto"/>
        </w:rPr>
        <w:t>Aggregate Exercise Price</w:t>
      </w:r>
      <w:r>
        <w:rPr>
          <w:rFonts w:ascii="Times New Roman" w:cs="Times New Roman" w:eastAsia="Times New Roman" w:hAnsi="Times New Roman"/>
          <w:sz w:val="20"/>
          <w:szCs w:val="20"/>
          <w:color w:val="auto"/>
        </w:rPr>
        <w:t>”) in cash by wire transfer of immediately available funds or (B) if the provisions of Section 1(d) are applicable, by notifying the Company that this Warrant is being exercised pursuant to a Cashless Exercise. The Holder shall not be required to physically</w:t>
      </w: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193" w:name="page194"/>
    <w:bookmarkEnd w:id="193"/>
    <w:p>
      <w:pPr>
        <w:jc w:val="both"/>
        <w:ind w:left="640"/>
        <w:spacing w:after="0" w:line="253" w:lineRule="auto"/>
        <w:rPr>
          <w:sz w:val="20"/>
          <w:szCs w:val="20"/>
          <w:color w:val="auto"/>
        </w:rPr>
      </w:pPr>
      <w:r>
        <w:rPr>
          <w:rFonts w:ascii="Times New Roman" w:cs="Times New Roman" w:eastAsia="Times New Roman" w:hAnsi="Times New Roman"/>
          <w:sz w:val="19"/>
          <w:szCs w:val="19"/>
          <w:color w:val="auto"/>
        </w:rPr>
        <w:t xml:space="preserve">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9"/>
          <w:szCs w:val="19"/>
          <w:b w:val="1"/>
          <w:bCs w:val="1"/>
          <w:color w:val="auto"/>
        </w:rPr>
        <w:t>The Holder and any assignee, by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9"/>
          <w:szCs w:val="19"/>
          <w:color w:val="auto"/>
        </w:rPr>
        <w:t>On or before the third (3rd) Trading Day following the date on which the Company has received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Notice (the “</w:t>
      </w:r>
      <w:r>
        <w:rPr>
          <w:rFonts w:ascii="Times New Roman" w:cs="Times New Roman" w:eastAsia="Times New Roman" w:hAnsi="Times New Roman"/>
          <w:sz w:val="19"/>
          <w:szCs w:val="19"/>
          <w:b w:val="1"/>
          <w:bCs w:val="1"/>
          <w:color w:val="auto"/>
        </w:rPr>
        <w:t>Share Delivery Date</w:t>
      </w:r>
      <w:r>
        <w:rPr>
          <w:rFonts w:ascii="Times New Roman" w:cs="Times New Roman" w:eastAsia="Times New Roman" w:hAnsi="Times New Roman"/>
          <w:sz w:val="19"/>
          <w:szCs w:val="19"/>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is participating in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Fast Automated Securities Transfer Program (“</w:t>
      </w:r>
      <w:r>
        <w:rPr>
          <w:rFonts w:ascii="Times New Roman" w:cs="Times New Roman" w:eastAsia="Times New Roman" w:hAnsi="Times New Roman"/>
          <w:sz w:val="19"/>
          <w:szCs w:val="19"/>
          <w:b w:val="1"/>
          <w:bCs w:val="1"/>
          <w:color w:val="auto"/>
        </w:rPr>
        <w:t>FAST</w:t>
      </w:r>
      <w:r>
        <w:rPr>
          <w:rFonts w:ascii="Times New Roman" w:cs="Times New Roman" w:eastAsia="Times New Roman" w:hAnsi="Times New Roman"/>
          <w:sz w:val="19"/>
          <w:szCs w:val="19"/>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right="700" w:firstLine="1946"/>
        <w:spacing w:after="0" w:line="273" w:lineRule="auto"/>
        <w:tabs>
          <w:tab w:leader="none" w:pos="3228"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For purposes of this Warrant,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means $0.01, subject to adjustment as provided herein.</w:t>
      </w:r>
    </w:p>
    <w:p>
      <w:pPr>
        <w:spacing w:after="0" w:line="3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94" w:name="page195"/>
    <w:bookmarkEnd w:id="194"/>
    <w:p>
      <w:pPr>
        <w:jc w:val="both"/>
        <w:ind w:left="640" w:firstLine="1950"/>
        <w:spacing w:after="0" w:line="253" w:lineRule="auto"/>
        <w:tabs>
          <w:tab w:leader="none" w:pos="3233" w:val="left"/>
        </w:tabs>
        <w:numPr>
          <w:ilvl w:val="1"/>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Company’s Failure to Timely Deliver Securities</w:t>
      </w:r>
      <w:r>
        <w:rPr>
          <w:rFonts w:ascii="Times New Roman" w:cs="Times New Roman" w:eastAsia="Times New Roman" w:hAnsi="Times New Roman"/>
          <w:sz w:val="19"/>
          <w:szCs w:val="19"/>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 w:cs="Times New Roman" w:eastAsia="Times New Roman" w:hAnsi="Times New Roman"/>
          <w:sz w:val="19"/>
          <w:szCs w:val="19"/>
          <w:b w:val="1"/>
          <w:bCs w:val="1"/>
          <w:color w:val="auto"/>
        </w:rPr>
        <w:t>Delivery Failure</w:t>
      </w:r>
      <w:r>
        <w:rPr>
          <w:rFonts w:ascii="Times New Roman" w:cs="Times New Roman" w:eastAsia="Times New Roman" w:hAnsi="Times New Roman"/>
          <w:sz w:val="19"/>
          <w:szCs w:val="19"/>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9"/>
          <w:szCs w:val="19"/>
          <w:b w:val="1"/>
          <w:bCs w:val="1"/>
          <w:color w:val="auto"/>
        </w:rPr>
        <w:t>Buy-In Price</w:t>
      </w:r>
      <w:r>
        <w:rPr>
          <w:rFonts w:ascii="Times New Roman" w:cs="Times New Roman" w:eastAsia="Times New Roman" w:hAnsi="Times New Roman"/>
          <w:sz w:val="19"/>
          <w:szCs w:val="19"/>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w:t>
      </w:r>
    </w:p>
    <w:p>
      <w:pPr>
        <w:spacing w:after="0" w:line="223" w:lineRule="exact"/>
        <w:rPr>
          <w:rFonts w:ascii="Times New Roman" w:cs="Times New Roman" w:eastAsia="Times New Roman" w:hAnsi="Times New Roman"/>
          <w:sz w:val="19"/>
          <w:szCs w:val="19"/>
          <w:color w:val="auto"/>
        </w:rPr>
      </w:pPr>
    </w:p>
    <w:p>
      <w:pPr>
        <w:jc w:val="both"/>
        <w:ind w:left="640" w:firstLine="5"/>
        <w:spacing w:after="0"/>
        <w:tabs>
          <w:tab w:leader="none" w:pos="98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Sale Price of the Common Stock on the Share Delivery Date with respect to the related Exercise Notice (the “</w:t>
      </w:r>
      <w:r>
        <w:rPr>
          <w:rFonts w:ascii="Times New Roman" w:cs="Times New Roman" w:eastAsia="Times New Roman" w:hAnsi="Times New Roman"/>
          <w:sz w:val="20"/>
          <w:szCs w:val="20"/>
          <w:b w:val="1"/>
          <w:bCs w:val="1"/>
          <w:color w:val="auto"/>
        </w:rPr>
        <w:t>Buy-In Payment Amount</w:t>
      </w:r>
      <w:r>
        <w:rPr>
          <w:rFonts w:ascii="Times New Roman" w:cs="Times New Roman" w:eastAsia="Times New Roman" w:hAnsi="Times New Roman"/>
          <w:sz w:val="20"/>
          <w:szCs w:val="20"/>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3" w:lineRule="exact"/>
        <w:rPr>
          <w:rFonts w:ascii="Times New Roman" w:cs="Times New Roman" w:eastAsia="Times New Roman" w:hAnsi="Times New Roman"/>
          <w:sz w:val="20"/>
          <w:szCs w:val="20"/>
          <w:color w:val="auto"/>
        </w:rPr>
      </w:pPr>
    </w:p>
    <w:p>
      <w:pPr>
        <w:jc w:val="both"/>
        <w:ind w:left="640" w:firstLine="1949"/>
        <w:spacing w:after="0" w:line="245" w:lineRule="auto"/>
        <w:tabs>
          <w:tab w:leader="none" w:pos="3233"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Exercise</w:t>
      </w:r>
      <w:r>
        <w:rPr>
          <w:rFonts w:ascii="Times New Roman" w:cs="Times New Roman" w:eastAsia="Times New Roman" w:hAnsi="Times New Roman"/>
          <w:sz w:val="20"/>
          <w:szCs w:val="20"/>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95" w:name="page196"/>
    <w:bookmarkEnd w:id="195"/>
    <w:p>
      <w:pPr>
        <w:jc w:val="right"/>
        <w:ind w:right="4960"/>
        <w:spacing w:after="0"/>
        <w:rPr>
          <w:sz w:val="20"/>
          <w:szCs w:val="20"/>
          <w:color w:val="auto"/>
        </w:rPr>
      </w:pPr>
      <w:r>
        <w:rPr>
          <w:rFonts w:ascii="Times New Roman" w:cs="Times New Roman" w:eastAsia="Times New Roman" w:hAnsi="Times New Roman"/>
          <w:sz w:val="20"/>
          <w:szCs w:val="20"/>
          <w:color w:val="auto"/>
        </w:rPr>
        <w:t xml:space="preserve">Net Number = </w:t>
      </w:r>
      <w:r>
        <w:rPr>
          <w:rFonts w:ascii="Times New Roman" w:cs="Times New Roman" w:eastAsia="Times New Roman" w:hAnsi="Times New Roman"/>
          <w:sz w:val="20"/>
          <w:szCs w:val="20"/>
          <w:u w:val="single" w:color="auto"/>
          <w:color w:val="auto"/>
        </w:rPr>
        <w:t>(A x B) - (A x C)</w:t>
      </w:r>
    </w:p>
    <w:p>
      <w:pPr>
        <w:spacing w:after="0" w:line="22" w:lineRule="exact"/>
        <w:rPr>
          <w:sz w:val="20"/>
          <w:szCs w:val="20"/>
          <w:color w:val="auto"/>
        </w:rPr>
      </w:pPr>
    </w:p>
    <w:p>
      <w:pPr>
        <w:jc w:val="right"/>
        <w:ind w:right="4880"/>
        <w:spacing w:after="0"/>
        <w:rPr>
          <w:sz w:val="20"/>
          <w:szCs w:val="20"/>
          <w:color w:val="auto"/>
        </w:rPr>
      </w:pPr>
      <w:r>
        <w:rPr>
          <w:rFonts w:ascii="Times New Roman" w:cs="Times New Roman" w:eastAsia="Times New Roman" w:hAnsi="Times New Roman"/>
          <w:sz w:val="20"/>
          <w:szCs w:val="20"/>
          <w:color w:val="auto"/>
        </w:rPr>
        <w:t>B</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For purposes of the foregoing formula:</w:t>
      </w:r>
    </w:p>
    <w:p>
      <w:pPr>
        <w:spacing w:after="0" w:line="2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A= the total number of shares with respect to which this Warrant is then being exercised.</w:t>
      </w:r>
    </w:p>
    <w:p>
      <w:pPr>
        <w:spacing w:after="0" w:line="216" w:lineRule="exact"/>
        <w:rPr>
          <w:sz w:val="20"/>
          <w:szCs w:val="20"/>
          <w:color w:val="auto"/>
        </w:rPr>
      </w:pPr>
    </w:p>
    <w:p>
      <w:pPr>
        <w:jc w:val="both"/>
        <w:ind w:left="1940"/>
        <w:spacing w:after="0" w:line="254" w:lineRule="auto"/>
        <w:rPr>
          <w:sz w:val="20"/>
          <w:szCs w:val="20"/>
          <w:color w:val="auto"/>
        </w:rPr>
      </w:pPr>
      <w:r>
        <w:rPr>
          <w:rFonts w:ascii="Times New Roman" w:cs="Times New Roman" w:eastAsia="Times New Roman" w:hAnsi="Times New Roman"/>
          <w:sz w:val="20"/>
          <w:szCs w:val="20"/>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88" w:lineRule="exact"/>
        <w:rPr>
          <w:sz w:val="20"/>
          <w:szCs w:val="20"/>
          <w:color w:val="auto"/>
        </w:rPr>
      </w:pPr>
    </w:p>
    <w:p>
      <w:pPr>
        <w:jc w:val="both"/>
        <w:ind w:left="1940"/>
        <w:spacing w:after="0" w:line="269" w:lineRule="auto"/>
        <w:rPr>
          <w:sz w:val="20"/>
          <w:szCs w:val="20"/>
          <w:color w:val="auto"/>
        </w:rPr>
      </w:pPr>
      <w:r>
        <w:rPr>
          <w:rFonts w:ascii="Times New Roman" w:cs="Times New Roman" w:eastAsia="Times New Roman" w:hAnsi="Times New Roman"/>
          <w:sz w:val="20"/>
          <w:szCs w:val="20"/>
          <w:color w:val="auto"/>
        </w:rPr>
        <w:t>C = the Exercise Price then in effect for the applicable Warrant Shares at the time of such exercise.</w:t>
      </w:r>
    </w:p>
    <w:p>
      <w:pPr>
        <w:spacing w:after="0" w:line="173"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0" w:lineRule="exact"/>
        <w:rPr>
          <w:sz w:val="20"/>
          <w:szCs w:val="20"/>
          <w:color w:val="auto"/>
        </w:rPr>
      </w:pPr>
    </w:p>
    <w:p>
      <w:pPr>
        <w:jc w:val="both"/>
        <w:ind w:left="640" w:firstLine="1950"/>
        <w:spacing w:after="0" w:line="249" w:lineRule="auto"/>
        <w:tabs>
          <w:tab w:leader="none" w:pos="3233"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tabs>
          <w:tab w:leader="none" w:pos="3233"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Exercises</w:t>
      </w:r>
      <w:r>
        <w:rPr>
          <w:rFonts w:ascii="Times New Roman" w:cs="Times New Roman" w:eastAsia="Times New Roman" w:hAnsi="Times New Roman"/>
          <w:sz w:val="20"/>
          <w:szCs w:val="20"/>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20"/>
          <w:szCs w:val="20"/>
          <w:b w:val="1"/>
          <w:bCs w:val="1"/>
          <w:color w:val="auto"/>
        </w:rPr>
        <w:t>Maximum Percentage</w:t>
      </w:r>
      <w:r>
        <w:rPr>
          <w:rFonts w:ascii="Times New Roman" w:cs="Times New Roman" w:eastAsia="Times New Roman" w:hAnsi="Times New Roman"/>
          <w:sz w:val="20"/>
          <w:szCs w:val="20"/>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20"/>
          <w:szCs w:val="20"/>
          <w:b w:val="1"/>
          <w:bCs w:val="1"/>
          <w:color w:val="auto"/>
        </w:rPr>
        <w:t>Reported Outstanding Share Number</w:t>
      </w:r>
      <w:r>
        <w:rPr>
          <w:rFonts w:ascii="Times New Roman" w:cs="Times New Roman" w:eastAsia="Times New Roman" w:hAnsi="Times New Roman"/>
          <w:sz w:val="20"/>
          <w:szCs w:val="20"/>
          <w:color w:val="auto"/>
        </w:rPr>
        <w:t>”). If the Company receives an Exercise Notice from the Holder at a time when the actual number of outstanding shares of Common Stock is less than the Reported</w:t>
      </w:r>
    </w:p>
    <w:p>
      <w:pPr>
        <w:spacing w:after="0" w:line="200" w:lineRule="exact"/>
        <w:rPr>
          <w:sz w:val="20"/>
          <w:szCs w:val="20"/>
          <w:color w:val="auto"/>
        </w:rPr>
      </w:pPr>
    </w:p>
    <w:p>
      <w:pPr>
        <w:spacing w:after="0" w:line="24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96" w:name="page197"/>
    <w:bookmarkEnd w:id="196"/>
    <w:p>
      <w:pPr>
        <w:jc w:val="both"/>
        <w:ind w:left="640"/>
        <w:spacing w:after="0" w:line="253" w:lineRule="auto"/>
        <w:rPr>
          <w:sz w:val="20"/>
          <w:szCs w:val="20"/>
          <w:color w:val="auto"/>
        </w:rPr>
      </w:pPr>
      <w:r>
        <w:rPr>
          <w:rFonts w:ascii="Times New Roman" w:cs="Times New Roman" w:eastAsia="Times New Roman" w:hAnsi="Times New Roman"/>
          <w:sz w:val="19"/>
          <w:szCs w:val="19"/>
          <w:color w:val="auto"/>
        </w:rPr>
        <w:t>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and (ii) as soon as reasonably practicable, the Company shall return to the Holder any exercise price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 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40" w:firstLine="1950"/>
        <w:spacing w:after="0" w:line="241" w:lineRule="auto"/>
        <w:tabs>
          <w:tab w:leader="none" w:pos="3232"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Authorized Shares</w:t>
      </w:r>
      <w:r>
        <w:rPr>
          <w:rFonts w:ascii="Times New Roman" w:cs="Times New Roman" w:eastAsia="Times New Roman" w:hAnsi="Times New Roman"/>
          <w:sz w:val="20"/>
          <w:szCs w:val="20"/>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 w:cs="Times New Roman" w:eastAsia="Times New Roman" w:hAnsi="Times New Roman"/>
          <w:sz w:val="20"/>
          <w:szCs w:val="20"/>
          <w:b w:val="1"/>
          <w:bCs w:val="1"/>
          <w:color w:val="auto"/>
        </w:rPr>
        <w:t>Required Reserve Amount</w:t>
      </w:r>
      <w:r>
        <w:rPr>
          <w:rFonts w:ascii="Times New Roman" w:cs="Times New Roman" w:eastAsia="Times New Roman" w:hAnsi="Times New Roman"/>
          <w:sz w:val="20"/>
          <w:szCs w:val="20"/>
          <w:color w:val="auto"/>
        </w:rPr>
        <w:t>” and the failure to have such sufficient number of authorized and unreserved shares of Common Stock, an “</w:t>
      </w:r>
      <w:r>
        <w:rPr>
          <w:rFonts w:ascii="Times New Roman" w:cs="Times New Roman" w:eastAsia="Times New Roman" w:hAnsi="Times New Roman"/>
          <w:sz w:val="20"/>
          <w:szCs w:val="20"/>
          <w:b w:val="1"/>
          <w:bCs w:val="1"/>
          <w:color w:val="auto"/>
        </w:rPr>
        <w:t>Authorized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Failure</w:t>
      </w:r>
      <w:r>
        <w:rPr>
          <w:rFonts w:ascii="Times New Roman" w:cs="Times New Roman" w:eastAsia="Times New Roman" w:hAnsi="Times New Roman"/>
          <w:sz w:val="20"/>
          <w:szCs w:val="20"/>
          <w:color w:val="auto"/>
        </w:rPr>
        <w:t>”), then the Company shall as soon as reasonably practicable take all action necessary to increase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w:t>
      </w: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97" w:name="page198"/>
    <w:bookmarkEnd w:id="197"/>
    <w:p>
      <w:pPr>
        <w:jc w:val="both"/>
        <w:ind w:left="640"/>
        <w:spacing w:after="0" w:line="255" w:lineRule="auto"/>
        <w:rPr>
          <w:sz w:val="20"/>
          <w:szCs w:val="20"/>
          <w:color w:val="auto"/>
        </w:rPr>
      </w:pPr>
      <w:r>
        <w:rPr>
          <w:rFonts w:ascii="Times New Roman" w:cs="Times New Roman" w:eastAsia="Times New Roman" w:hAnsi="Times New Roman"/>
          <w:sz w:val="19"/>
          <w:szCs w:val="19"/>
          <w:color w:val="auto"/>
        </w:rPr>
        <w:t>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9"/>
          <w:szCs w:val="19"/>
          <w:b w:val="1"/>
          <w:bCs w:val="1"/>
          <w:color w:val="auto"/>
        </w:rPr>
        <w:t>Authorization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Failure Shares</w:t>
      </w:r>
      <w:r>
        <w:rPr>
          <w:rFonts w:ascii="Times New Roman" w:cs="Times New Roman" w:eastAsia="Times New Roman" w:hAnsi="Times New Roman"/>
          <w:sz w:val="19"/>
          <w:szCs w:val="19"/>
          <w:color w:val="auto"/>
        </w:rPr>
        <w:t>”), in lieu of delivering such Authorization Failure Shares to the Holder, the Company shall pay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190" w:lineRule="exact"/>
        <w:rPr>
          <w:sz w:val="20"/>
          <w:szCs w:val="20"/>
          <w:color w:val="auto"/>
        </w:rPr>
      </w:pPr>
    </w:p>
    <w:p>
      <w:pPr>
        <w:ind w:left="2580" w:hanging="642"/>
        <w:spacing w:after="0"/>
        <w:tabs>
          <w:tab w:leader="none" w:pos="258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OF EXERCISE PRICE AND NUMBER OF WARRANT</w:t>
      </w:r>
    </w:p>
    <w:p>
      <w:pPr>
        <w:spacing w:after="0" w:line="22" w:lineRule="exact"/>
        <w:rPr>
          <w:sz w:val="20"/>
          <w:szCs w:val="20"/>
          <w:color w:val="auto"/>
        </w:rPr>
      </w:pPr>
    </w:p>
    <w:p>
      <w:pPr>
        <w:ind w:left="640"/>
        <w:spacing w:after="0" w:line="246" w:lineRule="auto"/>
        <w:rPr>
          <w:sz w:val="20"/>
          <w:szCs w:val="20"/>
          <w:color w:val="auto"/>
        </w:rPr>
      </w:pP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The Exercise Price and the number of Warrant Shares issuable upon exercise of this Warrant are subject to adjustments from time to time as set forth in this Section 2.</w:t>
      </w:r>
    </w:p>
    <w:p>
      <w:pPr>
        <w:spacing w:after="0" w:line="182" w:lineRule="exact"/>
        <w:rPr>
          <w:sz w:val="20"/>
          <w:szCs w:val="20"/>
          <w:color w:val="auto"/>
        </w:rPr>
      </w:pPr>
    </w:p>
    <w:p>
      <w:pPr>
        <w:jc w:val="both"/>
        <w:ind w:left="640" w:firstLine="1950"/>
        <w:spacing w:after="0" w:line="242" w:lineRule="auto"/>
        <w:tabs>
          <w:tab w:leader="none" w:pos="323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Upon Subdivision or Combination of Shares of Common Stock</w:t>
      </w:r>
      <w:r>
        <w:rPr>
          <w:rFonts w:ascii="Times New Roman" w:cs="Times New Roman" w:eastAsia="Times New Roman" w:hAnsi="Times New Roman"/>
          <w:sz w:val="20"/>
          <w:szCs w:val="20"/>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205" w:lineRule="exact"/>
        <w:rPr>
          <w:rFonts w:ascii="Times New Roman" w:cs="Times New Roman" w:eastAsia="Times New Roman" w:hAnsi="Times New Roman"/>
          <w:sz w:val="20"/>
          <w:szCs w:val="20"/>
          <w:color w:val="auto"/>
        </w:rPr>
      </w:pPr>
    </w:p>
    <w:p>
      <w:pPr>
        <w:jc w:val="both"/>
        <w:ind w:left="640" w:firstLine="1950"/>
        <w:spacing w:after="0" w:line="245" w:lineRule="auto"/>
        <w:tabs>
          <w:tab w:leader="none" w:pos="3232"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Number of Warrant Shares.</w:t>
      </w:r>
      <w:r>
        <w:rPr>
          <w:rFonts w:ascii="Times New Roman" w:cs="Times New Roman" w:eastAsia="Times New Roman" w:hAnsi="Times New Roman"/>
          <w:sz w:val="20"/>
          <w:szCs w:val="20"/>
          <w:color w:val="auto"/>
        </w:rPr>
        <w:t xml:space="preserve"> Simultaneously with any adjustment to the Exercise Price pursuant to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4" w:lineRule="exact"/>
        <w:rPr>
          <w:rFonts w:ascii="Times New Roman" w:cs="Times New Roman" w:eastAsia="Times New Roman" w:hAnsi="Times New Roman"/>
          <w:sz w:val="20"/>
          <w:szCs w:val="20"/>
          <w:color w:val="auto"/>
        </w:rPr>
      </w:pPr>
    </w:p>
    <w:p>
      <w:pPr>
        <w:ind w:left="640" w:firstLine="1950"/>
        <w:spacing w:after="0" w:line="269" w:lineRule="auto"/>
        <w:tabs>
          <w:tab w:leader="none" w:pos="323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 Value</w:t>
      </w:r>
      <w:r>
        <w:rPr>
          <w:rFonts w:ascii="Times New Roman" w:cs="Times New Roman" w:eastAsia="Times New Roman" w:hAnsi="Times New Roman"/>
          <w:sz w:val="20"/>
          <w:szCs w:val="20"/>
          <w:color w:val="auto"/>
        </w:rPr>
        <w:t>. Notwithstanding anything to the contrary in this Warrant, in no event shall the Exercise Price be reduced below the par value of the Company’s Common Stock.</w:t>
      </w:r>
    </w:p>
    <w:p>
      <w:pPr>
        <w:spacing w:after="0" w:line="172"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2"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Adjustment by Company</w:t>
      </w:r>
      <w:r>
        <w:rPr>
          <w:rFonts w:ascii="Times New Roman" w:cs="Times New Roman" w:eastAsia="Times New Roman" w:hAnsi="Times New Roman"/>
          <w:sz w:val="20"/>
          <w:szCs w:val="20"/>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93" w:lineRule="exact"/>
        <w:rPr>
          <w:rFonts w:ascii="Times New Roman" w:cs="Times New Roman" w:eastAsia="Times New Roman" w:hAnsi="Times New Roman"/>
          <w:sz w:val="20"/>
          <w:szCs w:val="20"/>
          <w:color w:val="auto"/>
        </w:rPr>
      </w:pPr>
    </w:p>
    <w:p>
      <w:pPr>
        <w:jc w:val="both"/>
        <w:ind w:left="640" w:firstLine="1302"/>
        <w:spacing w:after="0" w:line="249" w:lineRule="auto"/>
        <w:tabs>
          <w:tab w:leader="none" w:pos="258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UPON DISTRIBUTION OF ASSETS</w:t>
      </w:r>
      <w:r>
        <w:rPr>
          <w:rFonts w:ascii="Times New Roman" w:cs="Times New Roman" w:eastAsia="Times New Roman" w:hAnsi="Times New Roman"/>
          <w:sz w:val="20"/>
          <w:szCs w:val="20"/>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98" w:name="page199"/>
    <w:bookmarkEnd w:id="198"/>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4" w:lineRule="exact"/>
        <w:rPr>
          <w:sz w:val="20"/>
          <w:szCs w:val="20"/>
          <w:color w:val="auto"/>
        </w:rPr>
      </w:pPr>
    </w:p>
    <w:p>
      <w:pPr>
        <w:ind w:left="2580" w:hanging="642"/>
        <w:spacing w:after="0"/>
        <w:tabs>
          <w:tab w:leader="none" w:pos="258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RIGHTS; FUNDAMENTAL TRANSACTIONS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40" w:firstLine="1949"/>
        <w:spacing w:after="0" w:line="254" w:lineRule="auto"/>
        <w:tabs>
          <w:tab w:leader="none" w:pos="3233"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3" w:lineRule="exact"/>
        <w:rPr>
          <w:rFonts w:ascii="Times New Roman" w:cs="Times New Roman" w:eastAsia="Times New Roman" w:hAnsi="Times New Roman"/>
          <w:sz w:val="19"/>
          <w:szCs w:val="19"/>
          <w:color w:val="auto"/>
        </w:rPr>
      </w:pPr>
    </w:p>
    <w:p>
      <w:pPr>
        <w:ind w:left="640" w:right="20" w:firstLine="1950"/>
        <w:spacing w:after="0" w:line="269" w:lineRule="auto"/>
        <w:tabs>
          <w:tab w:leader="none" w:pos="3232"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Fundamental Transactions</w:t>
      </w:r>
      <w:r>
        <w:rPr>
          <w:rFonts w:ascii="Times New Roman" w:cs="Times New Roman" w:eastAsia="Times New Roman" w:hAnsi="Times New Roman"/>
          <w:sz w:val="20"/>
          <w:szCs w:val="20"/>
          <w:color w:val="auto"/>
        </w:rPr>
        <w:t>. The Company shall not enter into or be party to a Fundamental Transaction unless:</w:t>
      </w:r>
    </w:p>
    <w:p>
      <w:pPr>
        <w:spacing w:after="0" w:line="172" w:lineRule="exact"/>
        <w:rPr>
          <w:rFonts w:ascii="Times New Roman" w:cs="Times New Roman" w:eastAsia="Times New Roman" w:hAnsi="Times New Roman"/>
          <w:sz w:val="20"/>
          <w:szCs w:val="20"/>
          <w:color w:val="auto"/>
        </w:rPr>
      </w:pPr>
    </w:p>
    <w:p>
      <w:pPr>
        <w:jc w:val="both"/>
        <w:ind w:left="640" w:firstLine="2597"/>
        <w:spacing w:after="0" w:line="245" w:lineRule="auto"/>
        <w:tabs>
          <w:tab w:leader="none" w:pos="3880" w:val="left"/>
        </w:tabs>
        <w:numPr>
          <w:ilvl w:val="2"/>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199" w:name="page200"/>
    <w:bookmarkEnd w:id="199"/>
    <w:p>
      <w:pPr>
        <w:ind w:left="640"/>
        <w:spacing w:after="0" w:line="269" w:lineRule="auto"/>
        <w:rPr>
          <w:sz w:val="20"/>
          <w:szCs w:val="20"/>
          <w:color w:val="auto"/>
        </w:rPr>
      </w:pPr>
      <w:r>
        <w:rPr>
          <w:rFonts w:ascii="Times New Roman" w:cs="Times New Roman" w:eastAsia="Times New Roman" w:hAnsi="Times New Roman"/>
          <w:sz w:val="20"/>
          <w:szCs w:val="20"/>
          <w:color w:val="auto"/>
        </w:rPr>
        <w:t>the obligations of the Company under this Warrant and the other Loan Documents, including any obligation to deliver to the Holder in exchange for this Warrant any security of the Successor Entity, and</w:t>
      </w:r>
    </w:p>
    <w:p>
      <w:pPr>
        <w:spacing w:after="0" w:line="173" w:lineRule="exact"/>
        <w:rPr>
          <w:sz w:val="20"/>
          <w:szCs w:val="20"/>
          <w:color w:val="auto"/>
        </w:rPr>
      </w:pPr>
    </w:p>
    <w:p>
      <w:pPr>
        <w:jc w:val="both"/>
        <w:ind w:left="640" w:firstLine="2597"/>
        <w:spacing w:after="0" w:line="253" w:lineRule="auto"/>
        <w:tabs>
          <w:tab w:leader="none" w:pos="388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 w:cs="Times New Roman" w:eastAsia="Times New Roman" w:hAnsi="Times New Roman"/>
          <w:sz w:val="19"/>
          <w:szCs w:val="19"/>
          <w:b w:val="1"/>
          <w:bCs w:val="1"/>
          <w:color w:val="auto"/>
        </w:rPr>
        <w:t>Public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the Successor Entity shall (x) succeed to, and be substituted for (so that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20"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20"/>
          <w:szCs w:val="20"/>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20"/>
          <w:szCs w:val="20"/>
          <w:b w:val="1"/>
          <w:bCs w:val="1"/>
          <w:color w:val="auto"/>
        </w:rPr>
        <w:t>Corporate Event</w:t>
      </w:r>
      <w:r>
        <w:rPr>
          <w:rFonts w:ascii="Times New Roman" w:cs="Times New Roman" w:eastAsia="Times New Roman" w:hAnsi="Times New Roman"/>
          <w:sz w:val="20"/>
          <w:szCs w:val="20"/>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w:t>
      </w: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0" w:name="page201"/>
    <w:bookmarkEnd w:id="200"/>
    <w:p>
      <w:pPr>
        <w:ind w:left="640"/>
        <w:spacing w:after="0" w:line="269" w:lineRule="auto"/>
        <w:rPr>
          <w:sz w:val="20"/>
          <w:szCs w:val="20"/>
          <w:color w:val="auto"/>
        </w:rPr>
      </w:pPr>
      <w:r>
        <w:rPr>
          <w:rFonts w:ascii="Times New Roman" w:cs="Times New Roman" w:eastAsia="Times New Roman" w:hAnsi="Times New Roman"/>
          <w:sz w:val="20"/>
          <w:szCs w:val="20"/>
          <w:color w:val="auto"/>
        </w:rPr>
        <w:t>on the exercise of this Warrant). Provision made pursuant to the preceding sentence shall be in a form and substance reasonably satisfactory to the Holder.</w:t>
      </w:r>
    </w:p>
    <w:p>
      <w:pPr>
        <w:spacing w:after="0" w:line="173" w:lineRule="exact"/>
        <w:rPr>
          <w:sz w:val="20"/>
          <w:szCs w:val="20"/>
          <w:color w:val="auto"/>
        </w:rPr>
      </w:pPr>
    </w:p>
    <w:p>
      <w:pPr>
        <w:jc w:val="both"/>
        <w:ind w:left="640" w:firstLine="1949"/>
        <w:spacing w:after="0" w:line="242" w:lineRule="auto"/>
        <w:tabs>
          <w:tab w:leader="none" w:pos="3233"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Holder Optional Redemptions</w:t>
      </w:r>
      <w:r>
        <w:rPr>
          <w:rFonts w:ascii="Times New Roman" w:cs="Times New Roman" w:eastAsia="Times New Roman" w:hAnsi="Times New Roman"/>
          <w:sz w:val="20"/>
          <w:szCs w:val="20"/>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5" w:lineRule="auto"/>
        <w:tabs>
          <w:tab w:leader="none" w:pos="3231"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97" w:lineRule="exact"/>
        <w:rPr>
          <w:rFonts w:ascii="Times New Roman" w:cs="Times New Roman" w:eastAsia="Times New Roman" w:hAnsi="Times New Roman"/>
          <w:sz w:val="20"/>
          <w:szCs w:val="20"/>
          <w:color w:val="auto"/>
        </w:rPr>
      </w:pPr>
    </w:p>
    <w:p>
      <w:pPr>
        <w:jc w:val="both"/>
        <w:ind w:left="640" w:firstLine="1301"/>
        <w:spacing w:after="0" w:line="254" w:lineRule="auto"/>
        <w:tabs>
          <w:tab w:leader="none" w:pos="2585"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NONCIRCUMVENTION</w:t>
      </w:r>
      <w:r>
        <w:rPr>
          <w:rFonts w:ascii="Times New Roman" w:cs="Times New Roman" w:eastAsia="Times New Roman" w:hAnsi="Times New Roman"/>
          <w:sz w:val="19"/>
          <w:szCs w:val="19"/>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ind w:left="640" w:firstLine="1298"/>
        <w:spacing w:after="0" w:line="243" w:lineRule="auto"/>
        <w:tabs>
          <w:tab w:leader="none" w:pos="258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 HOLDER NOT DEEMED A STOCKHOLDER</w:t>
      </w:r>
      <w:r>
        <w:rPr>
          <w:rFonts w:ascii="Times New Roman" w:cs="Times New Roman" w:eastAsia="Times New Roman" w:hAnsi="Times New Roman"/>
          <w:sz w:val="20"/>
          <w:szCs w:val="20"/>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w:t>
      </w: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1" w:name="page202"/>
    <w:bookmarkEnd w:id="201"/>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85" w:lineRule="exact"/>
        <w:rPr>
          <w:sz w:val="20"/>
          <w:szCs w:val="20"/>
          <w:color w:val="auto"/>
        </w:rPr>
      </w:pPr>
    </w:p>
    <w:p>
      <w:pPr>
        <w:ind w:left="2580" w:hanging="642"/>
        <w:spacing w:after="0"/>
        <w:tabs>
          <w:tab w:leader="none" w:pos="258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REISSUANCE OF WARRANTS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42" w:lineRule="auto"/>
        <w:tabs>
          <w:tab w:leader="none" w:pos="3233"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Warrant</w:t>
      </w:r>
      <w:r>
        <w:rPr>
          <w:rFonts w:ascii="Times New Roman" w:cs="Times New Roman" w:eastAsia="Times New Roman" w:hAnsi="Times New Roman"/>
          <w:sz w:val="20"/>
          <w:szCs w:val="20"/>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4" w:lineRule="auto"/>
        <w:tabs>
          <w:tab w:leader="none" w:pos="3233"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or Mutilated Warrant</w:t>
      </w:r>
      <w:r>
        <w:rPr>
          <w:rFonts w:ascii="Times New Roman" w:cs="Times New Roman" w:eastAsia="Times New Roman" w:hAnsi="Times New Roman"/>
          <w:sz w:val="20"/>
          <w:szCs w:val="20"/>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5" w:lineRule="exact"/>
        <w:rPr>
          <w:rFonts w:ascii="Times New Roman" w:cs="Times New Roman" w:eastAsia="Times New Roman" w:hAnsi="Times New Roman"/>
          <w:sz w:val="20"/>
          <w:szCs w:val="20"/>
          <w:color w:val="auto"/>
        </w:rPr>
      </w:pPr>
    </w:p>
    <w:p>
      <w:pPr>
        <w:jc w:val="both"/>
        <w:ind w:left="640" w:firstLine="1950"/>
        <w:spacing w:after="0" w:line="245" w:lineRule="auto"/>
        <w:tabs>
          <w:tab w:leader="none" w:pos="3233"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Exchangeable for Multiple Warrants</w:t>
      </w:r>
      <w:r>
        <w:rPr>
          <w:rFonts w:ascii="Times New Roman" w:cs="Times New Roman" w:eastAsia="Times New Roman" w:hAnsi="Times New Roman"/>
          <w:sz w:val="20"/>
          <w:szCs w:val="20"/>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warrants for fractional shares of Common Stock shall be given.</w:t>
      </w:r>
    </w:p>
    <w:p>
      <w:pPr>
        <w:spacing w:after="0" w:line="184" w:lineRule="exact"/>
        <w:rPr>
          <w:rFonts w:ascii="Times New Roman" w:cs="Times New Roman" w:eastAsia="Times New Roman" w:hAnsi="Times New Roman"/>
          <w:sz w:val="20"/>
          <w:szCs w:val="20"/>
          <w:color w:val="auto"/>
        </w:rPr>
      </w:pPr>
    </w:p>
    <w:p>
      <w:pPr>
        <w:jc w:val="both"/>
        <w:ind w:left="640" w:firstLine="1950"/>
        <w:spacing w:after="0" w:line="243" w:lineRule="auto"/>
        <w:tabs>
          <w:tab w:leader="none" w:pos="3232"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New Warrants</w:t>
      </w:r>
      <w:r>
        <w:rPr>
          <w:rFonts w:ascii="Times New Roman" w:cs="Times New Roman" w:eastAsia="Times New Roman" w:hAnsi="Times New Roman"/>
          <w:sz w:val="20"/>
          <w:szCs w:val="20"/>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5" w:lineRule="exact"/>
        <w:rPr>
          <w:rFonts w:ascii="Times New Roman" w:cs="Times New Roman" w:eastAsia="Times New Roman" w:hAnsi="Times New Roman"/>
          <w:sz w:val="20"/>
          <w:szCs w:val="20"/>
          <w:color w:val="auto"/>
        </w:rPr>
      </w:pPr>
    </w:p>
    <w:p>
      <w:pPr>
        <w:jc w:val="both"/>
        <w:ind w:left="640" w:firstLine="1302"/>
        <w:spacing w:after="0" w:line="249" w:lineRule="auto"/>
        <w:tabs>
          <w:tab w:leader="none" w:pos="2585"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CHANGES IN WARRANT</w:t>
      </w:r>
      <w:r>
        <w:rPr>
          <w:rFonts w:ascii="Times New Roman" w:cs="Times New Roman" w:eastAsia="Times New Roman" w:hAnsi="Times New Roman"/>
          <w:sz w:val="20"/>
          <w:szCs w:val="20"/>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2" w:name="page203"/>
    <w:bookmarkEnd w:id="202"/>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88" w:lineRule="exact"/>
        <w:rPr>
          <w:sz w:val="20"/>
          <w:szCs w:val="20"/>
          <w:color w:val="auto"/>
        </w:rPr>
      </w:pPr>
    </w:p>
    <w:p>
      <w:pPr>
        <w:jc w:val="both"/>
        <w:ind w:left="640" w:firstLine="1302"/>
        <w:spacing w:after="0" w:line="260" w:lineRule="auto"/>
        <w:tabs>
          <w:tab w:leader="none" w:pos="2585"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w:t>
      </w:r>
    </w:p>
    <w:p>
      <w:pPr>
        <w:jc w:val="both"/>
        <w:ind w:left="640" w:firstLine="6"/>
        <w:spacing w:after="0" w:line="242" w:lineRule="auto"/>
        <w:tabs>
          <w:tab w:leader="none" w:pos="88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86" w:lineRule="exact"/>
        <w:rPr>
          <w:rFonts w:ascii="Times New Roman" w:cs="Times New Roman" w:eastAsia="Times New Roman" w:hAnsi="Times New Roman"/>
          <w:sz w:val="20"/>
          <w:szCs w:val="20"/>
          <w:color w:val="auto"/>
        </w:rPr>
      </w:pPr>
    </w:p>
    <w:p>
      <w:pPr>
        <w:ind w:left="640" w:firstLine="1298"/>
        <w:spacing w:after="0"/>
        <w:tabs>
          <w:tab w:leader="none" w:pos="258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JURY TRIAL</w:t>
      </w:r>
      <w:r>
        <w:rPr>
          <w:rFonts w:ascii="Times New Roman" w:cs="Times New Roman" w:eastAsia="Times New Roman" w:hAnsi="Times New Roman"/>
          <w:sz w:val="20"/>
          <w:szCs w:val="20"/>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20"/>
          <w:szCs w:val="20"/>
          <w:b w:val="1"/>
          <w:bCs w:val="1"/>
          <w:color w:val="auto"/>
        </w:rPr>
        <w:t>THE COMPANY HEREBY AND THE HOLDER EACH</w:t>
      </w:r>
    </w:p>
    <w:p>
      <w:pPr>
        <w:spacing w:after="0" w:line="12" w:lineRule="exact"/>
        <w:rPr>
          <w:rFonts w:ascii="Times New Roman" w:cs="Times New Roman" w:eastAsia="Times New Roman" w:hAnsi="Times New Roman"/>
          <w:sz w:val="20"/>
          <w:szCs w:val="20"/>
          <w:color w:val="auto"/>
        </w:rPr>
      </w:pPr>
    </w:p>
    <w:p>
      <w:pPr>
        <w:jc w:val="both"/>
        <w:ind w:left="64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8" w:lineRule="exact"/>
        <w:rPr>
          <w:rFonts w:ascii="Times New Roman" w:cs="Times New Roman" w:eastAsia="Times New Roman" w:hAnsi="Times New Roman"/>
          <w:sz w:val="20"/>
          <w:szCs w:val="20"/>
          <w:color w:val="auto"/>
        </w:rPr>
      </w:pPr>
    </w:p>
    <w:p>
      <w:pPr>
        <w:ind w:left="2580" w:hanging="642"/>
        <w:spacing w:after="0"/>
        <w:tabs>
          <w:tab w:leader="none" w:pos="258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 HEADINGS; BUSINESS DAYS</w:t>
      </w:r>
      <w:r>
        <w:rPr>
          <w:rFonts w:ascii="Times New Roman" w:cs="Times New Roman" w:eastAsia="Times New Roman" w:hAnsi="Times New Roman"/>
          <w:sz w:val="20"/>
          <w:szCs w:val="20"/>
          <w:color w:val="auto"/>
        </w:rPr>
        <w:t>. This Warrant shall be</w:t>
      </w:r>
    </w:p>
    <w:p>
      <w:pPr>
        <w:spacing w:after="0" w:line="22" w:lineRule="exact"/>
        <w:rPr>
          <w:sz w:val="20"/>
          <w:szCs w:val="20"/>
          <w:color w:val="auto"/>
        </w:rPr>
      </w:pPr>
    </w:p>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0" w:lineRule="exact"/>
        <w:rPr>
          <w:sz w:val="20"/>
          <w:szCs w:val="20"/>
          <w:color w:val="auto"/>
        </w:rPr>
      </w:pPr>
    </w:p>
    <w:p>
      <w:pPr>
        <w:jc w:val="both"/>
        <w:ind w:left="640" w:firstLine="1302"/>
        <w:spacing w:after="0" w:line="244" w:lineRule="auto"/>
        <w:tabs>
          <w:tab w:leader="none" w:pos="258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w:t>
      </w: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3" w:name="page204"/>
    <w:bookmarkEnd w:id="203"/>
    <w:p>
      <w:pPr>
        <w:jc w:val="both"/>
        <w:ind w:left="640"/>
        <w:spacing w:after="0" w:line="242" w:lineRule="auto"/>
        <w:rPr>
          <w:sz w:val="20"/>
          <w:szCs w:val="20"/>
          <w:color w:val="auto"/>
        </w:rPr>
      </w:pPr>
      <w:r>
        <w:rPr>
          <w:rFonts w:ascii="Times New Roman" w:cs="Times New Roman" w:eastAsia="Times New Roman" w:hAnsi="Times New Roman"/>
          <w:sz w:val="20"/>
          <w:szCs w:val="20"/>
          <w:color w:val="auto"/>
        </w:rPr>
        <w:t>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 In and other remedies available to the Holder under Section 1(c) will apply.</w:t>
      </w:r>
    </w:p>
    <w:p>
      <w:pPr>
        <w:spacing w:after="0" w:line="190" w:lineRule="exact"/>
        <w:rPr>
          <w:sz w:val="20"/>
          <w:szCs w:val="20"/>
          <w:color w:val="auto"/>
        </w:rPr>
      </w:pPr>
    </w:p>
    <w:p>
      <w:pPr>
        <w:ind w:left="640" w:firstLine="1298"/>
        <w:spacing w:after="0" w:line="242" w:lineRule="auto"/>
        <w:tabs>
          <w:tab w:leader="none" w:pos="258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OTHER OBLIGATIONS, BREACHES AND INJUNCTIVE RELIEF</w:t>
      </w:r>
      <w:r>
        <w:rPr>
          <w:rFonts w:ascii="Times New Roman" w:cs="Times New Roman" w:eastAsia="Times New Roman" w:hAnsi="Times New Roman"/>
          <w:sz w:val="20"/>
          <w:szCs w:val="20"/>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205" w:lineRule="exact"/>
        <w:rPr>
          <w:rFonts w:ascii="Times New Roman" w:cs="Times New Roman" w:eastAsia="Times New Roman" w:hAnsi="Times New Roman"/>
          <w:sz w:val="20"/>
          <w:szCs w:val="20"/>
          <w:color w:val="auto"/>
        </w:rPr>
      </w:pPr>
    </w:p>
    <w:p>
      <w:pPr>
        <w:jc w:val="both"/>
        <w:ind w:left="640" w:firstLine="1302"/>
        <w:spacing w:after="0" w:line="246" w:lineRule="auto"/>
        <w:tabs>
          <w:tab w:leader="none" w:pos="258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98" w:lineRule="exact"/>
        <w:rPr>
          <w:rFonts w:ascii="Times New Roman" w:cs="Times New Roman" w:eastAsia="Times New Roman" w:hAnsi="Times New Roman"/>
          <w:sz w:val="20"/>
          <w:szCs w:val="20"/>
          <w:color w:val="auto"/>
        </w:rPr>
      </w:pPr>
    </w:p>
    <w:p>
      <w:pPr>
        <w:jc w:val="both"/>
        <w:ind w:left="640" w:firstLine="1302"/>
        <w:spacing w:after="0" w:line="242" w:lineRule="auto"/>
        <w:tabs>
          <w:tab w:leader="none" w:pos="258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rFonts w:ascii="Times New Roman" w:cs="Times New Roman" w:eastAsia="Times New Roman" w:hAnsi="Times New Roman"/>
          <w:sz w:val="20"/>
          <w:szCs w:val="20"/>
          <w:color w:val="auto"/>
        </w:rPr>
      </w:pPr>
    </w:p>
    <w:p>
      <w:pPr>
        <w:ind w:left="640" w:firstLine="1302"/>
        <w:spacing w:after="0" w:line="269" w:lineRule="auto"/>
        <w:tabs>
          <w:tab w:leader="none" w:pos="258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DISCLOSURE</w:t>
      </w:r>
      <w:r>
        <w:rPr>
          <w:rFonts w:ascii="Times New Roman" w:cs="Times New Roman" w:eastAsia="Times New Roman" w:hAnsi="Times New Roman"/>
          <w:sz w:val="20"/>
          <w:szCs w:val="20"/>
          <w:color w:val="auto"/>
        </w:rPr>
        <w:t>. The Company shall not provide material, non-public information or confidential or proprietary information to the Holder without such Holder’s written consent.</w:t>
      </w:r>
    </w:p>
    <w:p>
      <w:pPr>
        <w:spacing w:after="0" w:line="172" w:lineRule="exact"/>
        <w:rPr>
          <w:rFonts w:ascii="Times New Roman" w:cs="Times New Roman" w:eastAsia="Times New Roman" w:hAnsi="Times New Roman"/>
          <w:sz w:val="20"/>
          <w:szCs w:val="20"/>
          <w:color w:val="auto"/>
        </w:rPr>
      </w:pPr>
    </w:p>
    <w:p>
      <w:pPr>
        <w:ind w:left="2580" w:hanging="642"/>
        <w:spacing w:after="0"/>
        <w:tabs>
          <w:tab w:leader="none" w:pos="258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HOLDERS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3"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Each Holder represents and warrants that it is acquiring this Warrant and the Warrant Shares (collectively,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solely for its beneficial account, for investment purposes, and not with a view to, or for resale in connection with, any distribution of the Securities in violation of applicable securities laws.</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4" w:name="page205"/>
    <w:bookmarkEnd w:id="204"/>
    <w:p>
      <w:pPr>
        <w:jc w:val="both"/>
        <w:ind w:left="640" w:firstLine="1950"/>
        <w:spacing w:after="0" w:line="249" w:lineRule="auto"/>
        <w:tabs>
          <w:tab w:leader="none" w:pos="323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Unregistered Securities</w:t>
      </w:r>
      <w:r>
        <w:rPr>
          <w:rFonts w:ascii="Times New Roman" w:cs="Times New Roman" w:eastAsia="Times New Roman" w:hAnsi="Times New Roman"/>
          <w:sz w:val="20"/>
          <w:szCs w:val="20"/>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93"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3"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79" w:lineRule="exact"/>
        <w:rPr>
          <w:rFonts w:ascii="Times New Roman" w:cs="Times New Roman" w:eastAsia="Times New Roman" w:hAnsi="Times New Roman"/>
          <w:sz w:val="20"/>
          <w:szCs w:val="20"/>
          <w:color w:val="auto"/>
        </w:rPr>
      </w:pPr>
    </w:p>
    <w:p>
      <w:pPr>
        <w:ind w:left="640" w:firstLine="1950"/>
        <w:spacing w:after="0" w:line="269" w:lineRule="auto"/>
        <w:tabs>
          <w:tab w:leader="none" w:pos="323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Each Holder represents and warrants that it is an “accredited investor” as defined in Rule 501(a) under the Securities Act.</w:t>
      </w:r>
    </w:p>
    <w:p>
      <w:pPr>
        <w:spacing w:after="0" w:line="172" w:lineRule="exact"/>
        <w:rPr>
          <w:rFonts w:ascii="Times New Roman" w:cs="Times New Roman" w:eastAsia="Times New Roman" w:hAnsi="Times New Roman"/>
          <w:sz w:val="20"/>
          <w:szCs w:val="20"/>
          <w:color w:val="auto"/>
        </w:rPr>
      </w:pPr>
    </w:p>
    <w:p>
      <w:pPr>
        <w:jc w:val="both"/>
        <w:ind w:left="640" w:firstLine="1950"/>
        <w:spacing w:after="0" w:line="249" w:lineRule="auto"/>
        <w:tabs>
          <w:tab w:leader="none" w:pos="3233"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Sophisticated Investor</w:t>
      </w:r>
      <w:r>
        <w:rPr>
          <w:rFonts w:ascii="Times New Roman" w:cs="Times New Roman" w:eastAsia="Times New Roman" w:hAnsi="Times New Roman"/>
          <w:sz w:val="20"/>
          <w:szCs w:val="20"/>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3"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79"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3"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97" w:lineRule="exact"/>
        <w:rPr>
          <w:rFonts w:ascii="Times New Roman" w:cs="Times New Roman" w:eastAsia="Times New Roman" w:hAnsi="Times New Roman"/>
          <w:sz w:val="20"/>
          <w:szCs w:val="20"/>
          <w:color w:val="auto"/>
        </w:rPr>
      </w:pPr>
    </w:p>
    <w:p>
      <w:pPr>
        <w:jc w:val="both"/>
        <w:ind w:left="640" w:firstLine="1950"/>
        <w:spacing w:after="0" w:line="241" w:lineRule="auto"/>
        <w:tabs>
          <w:tab w:leader="none" w:pos="323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Non-Reliance</w:t>
      </w:r>
      <w:r>
        <w:rPr>
          <w:rFonts w:ascii="Times New Roman" w:cs="Times New Roman" w:eastAsia="Times New Roman" w:hAnsi="Times New Roman"/>
          <w:sz w:val="20"/>
          <w:szCs w:val="20"/>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notwithstanding anything in this Section 17(h) or otherwise to the contrary, each Holder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w:t>
      </w:r>
    </w:p>
    <w:p>
      <w:pPr>
        <w:spacing w:after="0" w:line="200" w:lineRule="exact"/>
        <w:rPr>
          <w:sz w:val="20"/>
          <w:szCs w:val="20"/>
          <w:color w:val="auto"/>
        </w:rPr>
      </w:pP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5" w:name="page206"/>
    <w:bookmarkEnd w:id="205"/>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88" w:lineRule="exact"/>
        <w:rPr>
          <w:sz w:val="20"/>
          <w:szCs w:val="20"/>
          <w:color w:val="auto"/>
        </w:rPr>
      </w:pPr>
    </w:p>
    <w:p>
      <w:pPr>
        <w:ind w:left="2580" w:hanging="638"/>
        <w:spacing w:after="0"/>
        <w:tabs>
          <w:tab w:leader="none" w:pos="2580"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OF THE COMPANY</w:t>
      </w:r>
      <w:r>
        <w:rPr>
          <w:rFonts w:ascii="Times New Roman" w:cs="Times New Roman" w:eastAsia="Times New Roman" w:hAnsi="Times New Roman"/>
          <w:sz w:val="20"/>
          <w:szCs w:val="20"/>
          <w:color w:val="auto"/>
        </w:rPr>
        <w:t>. The Company represents and warrants</w:t>
      </w:r>
    </w:p>
    <w:p>
      <w:pPr>
        <w:spacing w:after="0" w:line="21"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Holder that:</w:t>
      </w:r>
    </w:p>
    <w:p>
      <w:pPr>
        <w:spacing w:after="0" w:line="193"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3"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 w:cs="Times New Roman" w:eastAsia="Times New Roman" w:hAnsi="Times New Roman"/>
          <w:sz w:val="20"/>
          <w:szCs w:val="20"/>
          <w:b w:val="1"/>
          <w:bCs w:val="1"/>
          <w:color w:val="auto"/>
        </w:rPr>
        <w:t>Company Material Adverse Effect</w:t>
      </w:r>
      <w:r>
        <w:rPr>
          <w:rFonts w:ascii="Times New Roman" w:cs="Times New Roman" w:eastAsia="Times New Roman" w:hAnsi="Times New Roman"/>
          <w:sz w:val="20"/>
          <w:szCs w:val="20"/>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207" w:lineRule="exact"/>
        <w:rPr>
          <w:rFonts w:ascii="Times New Roman" w:cs="Times New Roman" w:eastAsia="Times New Roman" w:hAnsi="Times New Roman"/>
          <w:sz w:val="20"/>
          <w:szCs w:val="20"/>
          <w:color w:val="auto"/>
        </w:rPr>
      </w:pPr>
    </w:p>
    <w:p>
      <w:pPr>
        <w:jc w:val="both"/>
        <w:ind w:left="640" w:firstLine="1948"/>
        <w:spacing w:after="0" w:line="245" w:lineRule="auto"/>
        <w:tabs>
          <w:tab w:leader="none" w:pos="3232"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 and has not been issued in violation of any preemptive rights created under the Company’s organizational documents or the laws of the State of Delaware.</w:t>
      </w:r>
    </w:p>
    <w:p>
      <w:pPr>
        <w:spacing w:after="0" w:line="184" w:lineRule="exact"/>
        <w:rPr>
          <w:rFonts w:ascii="Times New Roman" w:cs="Times New Roman" w:eastAsia="Times New Roman" w:hAnsi="Times New Roman"/>
          <w:sz w:val="20"/>
          <w:szCs w:val="20"/>
          <w:color w:val="auto"/>
        </w:rPr>
      </w:pPr>
    </w:p>
    <w:p>
      <w:pPr>
        <w:jc w:val="both"/>
        <w:ind w:left="640" w:firstLine="1948"/>
        <w:spacing w:after="0" w:line="249" w:lineRule="auto"/>
        <w:tabs>
          <w:tab w:leader="none" w:pos="3232" w:val="left"/>
        </w:tabs>
        <w:numPr>
          <w:ilvl w:val="2"/>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79" w:lineRule="exact"/>
        <w:rPr>
          <w:rFonts w:ascii="Times New Roman" w:cs="Times New Roman" w:eastAsia="Times New Roman" w:hAnsi="Times New Roman"/>
          <w:sz w:val="20"/>
          <w:szCs w:val="20"/>
          <w:color w:val="auto"/>
        </w:rPr>
      </w:pPr>
    </w:p>
    <w:p>
      <w:pPr>
        <w:jc w:val="both"/>
        <w:ind w:left="640" w:firstLine="1948"/>
        <w:spacing w:after="0" w:line="255" w:lineRule="auto"/>
        <w:tabs>
          <w:tab w:leader="none" w:pos="3232" w:val="left"/>
        </w:tabs>
        <w:numPr>
          <w:ilvl w:val="2"/>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w:t>
      </w:r>
    </w:p>
    <w:p>
      <w:pPr>
        <w:jc w:val="both"/>
        <w:ind w:left="640" w:firstLine="5"/>
        <w:spacing w:after="0" w:line="239" w:lineRule="auto"/>
        <w:tabs>
          <w:tab w:leader="none" w:pos="1023"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statute or any judgment, order, rule or regulation of any court or governmental agency or body, domestic or foreign, having jurisdiction over the Company or any of its properties that, in the case of clauses</w:t>
      </w:r>
    </w:p>
    <w:p>
      <w:pPr>
        <w:ind w:left="640" w:firstLine="5"/>
        <w:spacing w:after="0" w:line="246" w:lineRule="auto"/>
        <w:tabs>
          <w:tab w:leader="none" w:pos="90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(iii), would reasonably be expected to have a Company Material Adverse Effect or have a material adverse effect on the Company’s ability to consummate the transactions contemplated hereby.</w:t>
      </w:r>
    </w:p>
    <w:p>
      <w:pPr>
        <w:spacing w:after="0" w:line="195" w:lineRule="exact"/>
        <w:rPr>
          <w:rFonts w:ascii="Times New Roman" w:cs="Times New Roman" w:eastAsia="Times New Roman" w:hAnsi="Times New Roman"/>
          <w:sz w:val="20"/>
          <w:szCs w:val="20"/>
          <w:color w:val="auto"/>
        </w:rPr>
      </w:pPr>
    </w:p>
    <w:p>
      <w:pPr>
        <w:ind w:left="640" w:right="20" w:firstLine="1949"/>
        <w:spacing w:after="0" w:line="269" w:lineRule="auto"/>
        <w:tabs>
          <w:tab w:leader="none" w:pos="3232" w:val="left"/>
        </w:tabs>
        <w:numPr>
          <w:ilvl w:val="2"/>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the accuracy of the representations and warranties of the Holder, the Company is not required to obtain any consent, waiver, authorization or order of, give any</w:t>
      </w:r>
    </w:p>
    <w:p>
      <w:pPr>
        <w:spacing w:after="0" w:line="200" w:lineRule="exact"/>
        <w:rPr>
          <w:sz w:val="20"/>
          <w:szCs w:val="20"/>
          <w:color w:val="auto"/>
        </w:rPr>
      </w:pPr>
    </w:p>
    <w:p>
      <w:pPr>
        <w:spacing w:after="0" w:line="20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6" w:name="page207"/>
    <w:bookmarkEnd w:id="206"/>
    <w:p>
      <w:pPr>
        <w:jc w:val="both"/>
        <w:ind w:left="640"/>
        <w:spacing w:after="0" w:line="243" w:lineRule="auto"/>
        <w:rPr>
          <w:sz w:val="20"/>
          <w:szCs w:val="20"/>
          <w:color w:val="auto"/>
        </w:rPr>
      </w:pPr>
      <w:r>
        <w:rPr>
          <w:rFonts w:ascii="Times New Roman" w:cs="Times New Roman" w:eastAsia="Times New Roman" w:hAnsi="Times New Roman"/>
          <w:sz w:val="20"/>
          <w:szCs w:val="20"/>
          <w:color w:val="auto"/>
        </w:rPr>
        <w:t>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89" w:lineRule="exact"/>
        <w:rPr>
          <w:sz w:val="20"/>
          <w:szCs w:val="20"/>
          <w:color w:val="auto"/>
        </w:rPr>
      </w:pPr>
    </w:p>
    <w:p>
      <w:pPr>
        <w:jc w:val="both"/>
        <w:ind w:left="640" w:firstLine="1949"/>
        <w:spacing w:after="0" w:line="256" w:lineRule="auto"/>
        <w:tabs>
          <w:tab w:leader="none" w:pos="3233"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their respective dates, all reports required to be filed by the Company with the SEC (the “</w:t>
      </w:r>
      <w:r>
        <w:rPr>
          <w:rFonts w:ascii="Times New Roman" w:cs="Times New Roman" w:eastAsia="Times New Roman" w:hAnsi="Times New Roman"/>
          <w:sz w:val="19"/>
          <w:szCs w:val="19"/>
          <w:b w:val="1"/>
          <w:bCs w:val="1"/>
          <w:i w:val="1"/>
          <w:iCs w:val="1"/>
          <w:color w:val="auto"/>
        </w:rPr>
        <w:t>SEC Reports</w:t>
      </w:r>
      <w:r>
        <w:rPr>
          <w:rFonts w:ascii="Times New Roman" w:cs="Times New Roman" w:eastAsia="Times New Roman" w:hAnsi="Times New Roman"/>
          <w:sz w:val="19"/>
          <w:szCs w:val="19"/>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94" w:lineRule="exact"/>
        <w:rPr>
          <w:rFonts w:ascii="Times New Roman" w:cs="Times New Roman" w:eastAsia="Times New Roman" w:hAnsi="Times New Roman"/>
          <w:sz w:val="19"/>
          <w:szCs w:val="19"/>
          <w:color w:val="auto"/>
        </w:rPr>
      </w:pPr>
    </w:p>
    <w:p>
      <w:pPr>
        <w:jc w:val="both"/>
        <w:ind w:left="640" w:firstLine="1948"/>
        <w:spacing w:after="0" w:line="244" w:lineRule="auto"/>
        <w:tabs>
          <w:tab w:leader="none" w:pos="3232"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w:t>
      </w:r>
    </w:p>
    <w:p>
      <w:pPr>
        <w:ind w:left="640" w:firstLine="5"/>
        <w:spacing w:after="0" w:line="246" w:lineRule="auto"/>
        <w:tabs>
          <w:tab w:leader="none" w:pos="976"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decree, injunction, ruling or order of any governmental authority or arbitrator outstanding against the Company or any of its directors or officers in their capacities as such.</w:t>
      </w:r>
    </w:p>
    <w:p>
      <w:pPr>
        <w:spacing w:after="0" w:line="195" w:lineRule="exact"/>
        <w:rPr>
          <w:rFonts w:ascii="Times New Roman" w:cs="Times New Roman" w:eastAsia="Times New Roman" w:hAnsi="Times New Roman"/>
          <w:sz w:val="20"/>
          <w:szCs w:val="20"/>
          <w:color w:val="auto"/>
        </w:rPr>
      </w:pPr>
    </w:p>
    <w:p>
      <w:pPr>
        <w:jc w:val="both"/>
        <w:ind w:left="640" w:firstLine="1948"/>
        <w:spacing w:after="0" w:line="243" w:lineRule="auto"/>
        <w:tabs>
          <w:tab w:leader="none" w:pos="3232"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89" w:lineRule="exact"/>
        <w:rPr>
          <w:rFonts w:ascii="Times New Roman" w:cs="Times New Roman" w:eastAsia="Times New Roman" w:hAnsi="Times New Roman"/>
          <w:sz w:val="20"/>
          <w:szCs w:val="20"/>
          <w:color w:val="auto"/>
        </w:rPr>
      </w:pPr>
    </w:p>
    <w:p>
      <w:pPr>
        <w:jc w:val="both"/>
        <w:ind w:left="640" w:firstLine="1949"/>
        <w:spacing w:after="0" w:line="249" w:lineRule="auto"/>
        <w:tabs>
          <w:tab w:leader="none" w:pos="3232"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93" w:lineRule="exact"/>
        <w:rPr>
          <w:rFonts w:ascii="Times New Roman" w:cs="Times New Roman" w:eastAsia="Times New Roman" w:hAnsi="Times New Roman"/>
          <w:sz w:val="20"/>
          <w:szCs w:val="20"/>
          <w:color w:val="auto"/>
        </w:rPr>
      </w:pPr>
    </w:p>
    <w:p>
      <w:pPr>
        <w:jc w:val="both"/>
        <w:ind w:left="640" w:firstLine="1949"/>
        <w:spacing w:after="0" w:line="246" w:lineRule="auto"/>
        <w:tabs>
          <w:tab w:leader="none" w:pos="3232"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4" w:lineRule="exact"/>
        <w:rPr>
          <w:rFonts w:ascii="Times New Roman" w:cs="Times New Roman" w:eastAsia="Times New Roman" w:hAnsi="Times New Roman"/>
          <w:sz w:val="20"/>
          <w:szCs w:val="20"/>
          <w:color w:val="auto"/>
        </w:rPr>
      </w:pPr>
    </w:p>
    <w:p>
      <w:pPr>
        <w:ind w:left="640" w:firstLine="1949"/>
        <w:spacing w:after="0" w:line="269" w:lineRule="auto"/>
        <w:tabs>
          <w:tab w:leader="none" w:pos="3232"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the Company owns or possesses sufficient legal rights to all (a) patents, patent applications and inventions; (b) trademarks, service marks, trade names,</w:t>
      </w:r>
    </w:p>
    <w:p>
      <w:pPr>
        <w:spacing w:after="0" w:line="200" w:lineRule="exact"/>
        <w:rPr>
          <w:sz w:val="20"/>
          <w:szCs w:val="20"/>
          <w:color w:val="auto"/>
        </w:rPr>
      </w:pPr>
    </w:p>
    <w:p>
      <w:pPr>
        <w:spacing w:after="0" w:line="20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7" w:name="page208"/>
    <w:bookmarkEnd w:id="207"/>
    <w:p>
      <w:pPr>
        <w:jc w:val="both"/>
        <w:ind w:left="640"/>
        <w:spacing w:after="0" w:line="243" w:lineRule="auto"/>
        <w:rPr>
          <w:sz w:val="20"/>
          <w:szCs w:val="20"/>
          <w:color w:val="auto"/>
        </w:rPr>
      </w:pPr>
      <w:r>
        <w:rPr>
          <w:rFonts w:ascii="Times New Roman" w:cs="Times New Roman" w:eastAsia="Times New Roman" w:hAnsi="Times New Roman"/>
          <w:sz w:val="20"/>
          <w:szCs w:val="20"/>
          <w:color w:val="auto"/>
        </w:rPr>
        <w:t>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203" w:lineRule="exact"/>
        <w:rPr>
          <w:sz w:val="20"/>
          <w:szCs w:val="20"/>
          <w:color w:val="auto"/>
        </w:rPr>
      </w:pPr>
    </w:p>
    <w:p>
      <w:pPr>
        <w:ind w:left="640" w:right="340" w:firstLine="1302"/>
        <w:spacing w:after="0" w:line="269" w:lineRule="auto"/>
        <w:tabs>
          <w:tab w:leader="none" w:pos="2583"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For purposes of this Warrant, the following terms shall have the following meanings:</w:t>
      </w:r>
    </w:p>
    <w:p>
      <w:pPr>
        <w:spacing w:after="0" w:line="155"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2"/>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2" w:lineRule="exact"/>
        <w:rPr>
          <w:rFonts w:ascii="Times New Roman" w:cs="Times New Roman" w:eastAsia="Times New Roman" w:hAnsi="Times New Roman"/>
          <w:sz w:val="20"/>
          <w:szCs w:val="20"/>
          <w:color w:val="auto"/>
        </w:rPr>
      </w:pPr>
    </w:p>
    <w:p>
      <w:pPr>
        <w:ind w:left="3240" w:hanging="651"/>
        <w:spacing w:after="0"/>
        <w:tabs>
          <w:tab w:leader="none" w:pos="3240" w:val="left"/>
        </w:tabs>
        <w:numPr>
          <w:ilvl w:val="2"/>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w:t>
      </w:r>
    </w:p>
    <w:p>
      <w:pPr>
        <w:spacing w:after="0" w:line="37" w:lineRule="exact"/>
        <w:rPr>
          <w:rFonts w:ascii="Times New Roman" w:cs="Times New Roman" w:eastAsia="Times New Roman" w:hAnsi="Times New Roman"/>
          <w:sz w:val="19"/>
          <w:szCs w:val="19"/>
          <w:color w:val="auto"/>
        </w:rPr>
      </w:pPr>
    </w:p>
    <w:p>
      <w:pPr>
        <w:jc w:val="both"/>
        <w:ind w:left="640" w:firstLine="6"/>
        <w:spacing w:after="0"/>
        <w:tabs>
          <w:tab w:leader="none" w:pos="88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86" w:lineRule="exact"/>
        <w:rPr>
          <w:rFonts w:ascii="Times New Roman" w:cs="Times New Roman" w:eastAsia="Times New Roman" w:hAnsi="Times New Roman"/>
          <w:sz w:val="20"/>
          <w:szCs w:val="20"/>
          <w:color w:val="auto"/>
        </w:rPr>
      </w:pPr>
    </w:p>
    <w:p>
      <w:pPr>
        <w:jc w:val="both"/>
        <w:ind w:left="640" w:firstLine="1950"/>
        <w:spacing w:after="0" w:line="241" w:lineRule="auto"/>
        <w:tabs>
          <w:tab w:leader="none" w:pos="3233" w:val="left"/>
        </w:tabs>
        <w:numPr>
          <w:ilvl w:val="2"/>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 Scholes Going Private Value</w:t>
      </w:r>
      <w:r>
        <w:rPr>
          <w:rFonts w:ascii="Times New Roman" w:cs="Times New Roman" w:eastAsia="Times New Roman" w:hAnsi="Times New Roman"/>
          <w:sz w:val="20"/>
          <w:szCs w:val="20"/>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203" w:lineRule="exact"/>
        <w:rPr>
          <w:rFonts w:ascii="Times New Roman" w:cs="Times New Roman" w:eastAsia="Times New Roman" w:hAnsi="Times New Roman"/>
          <w:sz w:val="20"/>
          <w:szCs w:val="20"/>
          <w:color w:val="auto"/>
        </w:rPr>
      </w:pPr>
    </w:p>
    <w:p>
      <w:pPr>
        <w:jc w:val="both"/>
        <w:ind w:left="640" w:firstLine="1949"/>
        <w:spacing w:after="0" w:line="246" w:lineRule="auto"/>
        <w:tabs>
          <w:tab w:leader="none" w:pos="3232" w:val="left"/>
        </w:tabs>
        <w:numPr>
          <w:ilvl w:val="2"/>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 Scholes Value</w:t>
      </w:r>
      <w:r>
        <w:rPr>
          <w:rFonts w:ascii="Times New Roman" w:cs="Times New Roman" w:eastAsia="Times New Roman" w:hAnsi="Times New Roman"/>
          <w:sz w:val="20"/>
          <w:szCs w:val="20"/>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w:t>
      </w: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8" w:name="page209"/>
    <w:bookmarkEnd w:id="208"/>
    <w:p>
      <w:pPr>
        <w:jc w:val="both"/>
        <w:ind w:left="640"/>
        <w:spacing w:after="0" w:line="241" w:lineRule="auto"/>
        <w:rPr>
          <w:sz w:val="20"/>
          <w:szCs w:val="20"/>
          <w:color w:val="auto"/>
        </w:rPr>
      </w:pPr>
      <w:r>
        <w:rPr>
          <w:rFonts w:ascii="Times New Roman" w:cs="Times New Roman" w:eastAsia="Times New Roman" w:hAnsi="Times New Roman"/>
          <w:sz w:val="20"/>
          <w:szCs w:val="20"/>
          <w:color w:val="auto"/>
        </w:rPr>
        <w:t>ending on the Trading Day of the Holder’s request pursuant to Section 4(c) and (2) the sum of the price per share being offered in cash in the applicable Fundamental Transaction (if any) plus the value of the non- 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w:t>
      </w:r>
    </w:p>
    <w:p>
      <w:pPr>
        <w:spacing w:after="0" w:line="6" w:lineRule="exact"/>
        <w:rPr>
          <w:sz w:val="20"/>
          <w:szCs w:val="20"/>
          <w:color w:val="auto"/>
        </w:rPr>
      </w:pPr>
    </w:p>
    <w:p>
      <w:pPr>
        <w:jc w:val="both"/>
        <w:ind w:left="640" w:firstLine="5"/>
        <w:spacing w:after="0" w:line="242" w:lineRule="auto"/>
        <w:tabs>
          <w:tab w:leader="none" w:pos="97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disclosure of the applicable Fundamental Transaction, (B) the consummation of the applicable Fundamental Transaction and (C) the date on which the Holder first became aware of the applicable Fundamental Transaction.</w:t>
      </w:r>
    </w:p>
    <w:p>
      <w:pPr>
        <w:spacing w:after="0" w:line="196" w:lineRule="exact"/>
        <w:rPr>
          <w:rFonts w:ascii="Times New Roman" w:cs="Times New Roman" w:eastAsia="Times New Roman" w:hAnsi="Times New Roman"/>
          <w:sz w:val="20"/>
          <w:szCs w:val="20"/>
          <w:color w:val="auto"/>
        </w:rPr>
      </w:pPr>
    </w:p>
    <w:p>
      <w:pPr>
        <w:ind w:left="3240" w:hanging="654"/>
        <w:spacing w:after="0"/>
        <w:tabs>
          <w:tab w:leader="none" w:pos="3240"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Bloomberg</w:t>
      </w:r>
      <w:r>
        <w:rPr>
          <w:rFonts w:ascii="Times New Roman" w:cs="Times New Roman" w:eastAsia="Times New Roman" w:hAnsi="Times New Roman"/>
          <w:sz w:val="20"/>
          <w:szCs w:val="20"/>
          <w:color w:val="auto"/>
        </w:rPr>
        <w:t>” means Bloomberg, L.P.</w:t>
      </w:r>
    </w:p>
    <w:p>
      <w:pPr>
        <w:spacing w:after="0" w:line="229"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8" w:lineRule="exact"/>
        <w:rPr>
          <w:rFonts w:ascii="Times New Roman" w:cs="Times New Roman" w:eastAsia="Times New Roman" w:hAnsi="Times New Roman"/>
          <w:sz w:val="20"/>
          <w:szCs w:val="20"/>
          <w:color w:val="auto"/>
        </w:rPr>
      </w:pPr>
    </w:p>
    <w:p>
      <w:pPr>
        <w:jc w:val="both"/>
        <w:ind w:left="640" w:firstLine="1949"/>
        <w:spacing w:after="0" w:line="241" w:lineRule="auto"/>
        <w:tabs>
          <w:tab w:leader="none" w:pos="3232"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Bid Price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Closing Sale Price</w:t>
      </w:r>
      <w:r>
        <w:rPr>
          <w:rFonts w:ascii="Times New Roman" w:cs="Times New Roman" w:eastAsia="Times New Roman" w:hAnsi="Times New Roman"/>
          <w:sz w:val="20"/>
          <w:szCs w:val="20"/>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202"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68" w:lineRule="exact"/>
        <w:rPr>
          <w:rFonts w:ascii="Times New Roman" w:cs="Times New Roman" w:eastAsia="Times New Roman" w:hAnsi="Times New Roman"/>
          <w:sz w:val="20"/>
          <w:szCs w:val="20"/>
          <w:color w:val="auto"/>
        </w:rPr>
      </w:pPr>
    </w:p>
    <w:p>
      <w:pPr>
        <w:ind w:left="640" w:firstLine="1949"/>
        <w:spacing w:after="0" w:line="273" w:lineRule="auto"/>
        <w:tabs>
          <w:tab w:leader="none" w:pos="3232"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Convertible Securities</w:t>
      </w:r>
      <w:r>
        <w:rPr>
          <w:rFonts w:ascii="Times New Roman" w:cs="Times New Roman" w:eastAsia="Times New Roman" w:hAnsi="Times New Roman"/>
          <w:sz w:val="20"/>
          <w:szCs w:val="20"/>
          <w:color w:val="auto"/>
        </w:rPr>
        <w:t>” means any stock or securities (other than Options) directly or indirectly convertible into or exercisable or exchangeable for shares of Common Stock.</w:t>
      </w:r>
    </w:p>
    <w:p>
      <w:pPr>
        <w:spacing w:after="0" w:line="151" w:lineRule="exact"/>
        <w:rPr>
          <w:rFonts w:ascii="Times New Roman" w:cs="Times New Roman" w:eastAsia="Times New Roman" w:hAnsi="Times New Roman"/>
          <w:sz w:val="20"/>
          <w:szCs w:val="20"/>
          <w:color w:val="auto"/>
        </w:rPr>
      </w:pPr>
    </w:p>
    <w:p>
      <w:pPr>
        <w:ind w:left="640" w:firstLine="1949"/>
        <w:spacing w:after="0" w:line="273" w:lineRule="auto"/>
        <w:tabs>
          <w:tab w:leader="none" w:pos="3232"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Market</w:t>
      </w:r>
      <w:r>
        <w:rPr>
          <w:rFonts w:ascii="Times New Roman" w:cs="Times New Roman" w:eastAsia="Times New Roman" w:hAnsi="Times New Roman"/>
          <w:sz w:val="20"/>
          <w:szCs w:val="20"/>
          <w:color w:val="auto"/>
        </w:rPr>
        <w:t>” means The Nasdaq Capital Market, The Nasdaq Global Select Market, The Nasdaq Global Market, the NYSE American, or The New York Stock Exchange.</w:t>
      </w:r>
    </w:p>
    <w:p>
      <w:pPr>
        <w:spacing w:after="0" w:line="3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09" w:name="page210"/>
    <w:bookmarkEnd w:id="209"/>
    <w:p>
      <w:pPr>
        <w:jc w:val="both"/>
        <w:ind w:left="640" w:firstLine="1949"/>
        <w:spacing w:after="0" w:line="256" w:lineRule="auto"/>
        <w:tabs>
          <w:tab w:leader="none" w:pos="3232"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means the date that is the five (5) year anniversary of the Issuance Date or, if such date falls on a day other than a Trading Day or on which trading does not take place on the Principal Market (a “</w:t>
      </w:r>
      <w:r>
        <w:rPr>
          <w:rFonts w:ascii="Times New Roman" w:cs="Times New Roman" w:eastAsia="Times New Roman" w:hAnsi="Times New Roman"/>
          <w:sz w:val="20"/>
          <w:szCs w:val="20"/>
          <w:b w:val="1"/>
          <w:bCs w:val="1"/>
          <w:color w:val="auto"/>
        </w:rPr>
        <w:t>Holiday</w:t>
      </w:r>
      <w:r>
        <w:rPr>
          <w:rFonts w:ascii="Times New Roman" w:cs="Times New Roman" w:eastAsia="Times New Roman" w:hAnsi="Times New Roman"/>
          <w:sz w:val="20"/>
          <w:szCs w:val="20"/>
          <w:color w:val="auto"/>
        </w:rPr>
        <w:t>”), the next date that is not a Holiday.</w:t>
      </w:r>
    </w:p>
    <w:p>
      <w:pPr>
        <w:spacing w:after="0" w:line="182" w:lineRule="exact"/>
        <w:rPr>
          <w:rFonts w:ascii="Times New Roman" w:cs="Times New Roman" w:eastAsia="Times New Roman" w:hAnsi="Times New Roman"/>
          <w:sz w:val="20"/>
          <w:szCs w:val="20"/>
          <w:color w:val="auto"/>
        </w:rPr>
      </w:pPr>
    </w:p>
    <w:p>
      <w:pPr>
        <w:jc w:val="both"/>
        <w:ind w:left="640" w:firstLine="1949"/>
        <w:spacing w:after="0" w:line="254" w:lineRule="auto"/>
        <w:tabs>
          <w:tab w:leader="none" w:pos="3232"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 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w:t>
      </w:r>
    </w:p>
    <w:p>
      <w:pPr>
        <w:spacing w:after="0" w:line="1" w:lineRule="exact"/>
        <w:rPr>
          <w:rFonts w:ascii="Times New Roman" w:cs="Times New Roman" w:eastAsia="Times New Roman" w:hAnsi="Times New Roman"/>
          <w:sz w:val="19"/>
          <w:szCs w:val="19"/>
          <w:color w:val="auto"/>
        </w:rPr>
      </w:pPr>
    </w:p>
    <w:p>
      <w:pPr>
        <w:jc w:val="both"/>
        <w:ind w:left="640" w:firstLine="6"/>
        <w:spacing w:after="0" w:line="239" w:lineRule="auto"/>
        <w:tabs>
          <w:tab w:leader="none" w:pos="99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3" w:lineRule="exact"/>
        <w:rPr>
          <w:rFonts w:ascii="Times New Roman" w:cs="Times New Roman" w:eastAsia="Times New Roman" w:hAnsi="Times New Roman"/>
          <w:sz w:val="20"/>
          <w:szCs w:val="20"/>
          <w:color w:val="auto"/>
        </w:rPr>
      </w:pPr>
    </w:p>
    <w:p>
      <w:pPr>
        <w:ind w:left="640" w:right="20" w:firstLine="1949"/>
        <w:spacing w:after="0" w:line="273" w:lineRule="auto"/>
        <w:tabs>
          <w:tab w:leader="none" w:pos="3232"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a “group” as that term is used in Section 13(d) of the Exchange Act and as defined in Rule 13d-5 thereunder.</w:t>
      </w:r>
    </w:p>
    <w:p>
      <w:pPr>
        <w:spacing w:after="0" w:line="3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10" w:right="999" w:bottom="1440" w:gutter="0" w:footer="0" w:header="0"/>
        </w:sectPr>
      </w:pPr>
    </w:p>
    <w:bookmarkStart w:id="210" w:name="page211"/>
    <w:bookmarkEnd w:id="210"/>
    <w:p>
      <w:pPr>
        <w:ind w:left="640" w:firstLine="1949"/>
        <w:spacing w:after="0" w:line="273" w:lineRule="auto"/>
        <w:tabs>
          <w:tab w:leader="none" w:pos="323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means any rights, warrants or options to subscribe for or purchase shares of Common Stock or Convertible Securities.</w:t>
      </w:r>
    </w:p>
    <w:p>
      <w:pPr>
        <w:spacing w:after="0" w:line="165" w:lineRule="exact"/>
        <w:rPr>
          <w:rFonts w:ascii="Times New Roman" w:cs="Times New Roman" w:eastAsia="Times New Roman" w:hAnsi="Times New Roman"/>
          <w:sz w:val="20"/>
          <w:szCs w:val="20"/>
          <w:color w:val="auto"/>
        </w:rPr>
      </w:pPr>
    </w:p>
    <w:p>
      <w:pPr>
        <w:jc w:val="both"/>
        <w:ind w:left="640" w:firstLine="1948"/>
        <w:spacing w:after="0" w:line="246" w:lineRule="auto"/>
        <w:tabs>
          <w:tab w:leader="none" w:pos="323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Entity</w:t>
      </w:r>
      <w:r>
        <w:rPr>
          <w:rFonts w:ascii="Times New Roman" w:cs="Times New Roman" w:eastAsia="Times New Roman" w:hAnsi="Times New Roman"/>
          <w:sz w:val="20"/>
          <w:szCs w:val="20"/>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78" w:lineRule="exact"/>
        <w:rPr>
          <w:rFonts w:ascii="Times New Roman" w:cs="Times New Roman" w:eastAsia="Times New Roman" w:hAnsi="Times New Roman"/>
          <w:sz w:val="20"/>
          <w:szCs w:val="20"/>
          <w:color w:val="auto"/>
        </w:rPr>
      </w:pPr>
    </w:p>
    <w:p>
      <w:pPr>
        <w:jc w:val="both"/>
        <w:ind w:left="640" w:firstLine="1948"/>
        <w:spacing w:after="0" w:line="256" w:lineRule="auto"/>
        <w:tabs>
          <w:tab w:leader="none" w:pos="323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2" w:lineRule="exact"/>
        <w:rPr>
          <w:rFonts w:ascii="Times New Roman" w:cs="Times New Roman" w:eastAsia="Times New Roman" w:hAnsi="Times New Roman"/>
          <w:sz w:val="20"/>
          <w:szCs w:val="20"/>
          <w:color w:val="auto"/>
        </w:rPr>
      </w:pPr>
    </w:p>
    <w:p>
      <w:pPr>
        <w:jc w:val="both"/>
        <w:ind w:left="640" w:firstLine="1949"/>
        <w:spacing w:after="0" w:line="256" w:lineRule="auto"/>
        <w:tabs>
          <w:tab w:leader="none" w:pos="323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Market</w:t>
      </w:r>
      <w:r>
        <w:rPr>
          <w:rFonts w:ascii="Times New Roman" w:cs="Times New Roman" w:eastAsia="Times New Roman" w:hAnsi="Times New Roman"/>
          <w:sz w:val="20"/>
          <w:szCs w:val="20"/>
          <w:color w:val="auto"/>
        </w:rPr>
        <w:t>” means the OTC Bulletin Board or any other Eligible Market, or any national securities exchange, market or trading or quotation facility on which the Common Stock is then listed or quoted.</w:t>
      </w:r>
    </w:p>
    <w:p>
      <w:pPr>
        <w:spacing w:after="0" w:line="168" w:lineRule="exact"/>
        <w:rPr>
          <w:rFonts w:ascii="Times New Roman" w:cs="Times New Roman" w:eastAsia="Times New Roman" w:hAnsi="Times New Roman"/>
          <w:sz w:val="20"/>
          <w:szCs w:val="20"/>
          <w:color w:val="auto"/>
        </w:rPr>
      </w:pPr>
    </w:p>
    <w:p>
      <w:pPr>
        <w:ind w:left="3240" w:hanging="654"/>
        <w:spacing w:after="0"/>
        <w:tabs>
          <w:tab w:leader="none" w:pos="324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29" w:lineRule="exact"/>
        <w:rPr>
          <w:rFonts w:ascii="Times New Roman" w:cs="Times New Roman" w:eastAsia="Times New Roman" w:hAnsi="Times New Roman"/>
          <w:sz w:val="20"/>
          <w:szCs w:val="20"/>
          <w:color w:val="auto"/>
        </w:rPr>
      </w:pPr>
    </w:p>
    <w:p>
      <w:pPr>
        <w:ind w:left="640" w:right="20" w:firstLine="1949"/>
        <w:spacing w:after="0" w:line="273" w:lineRule="auto"/>
        <w:tabs>
          <w:tab w:leader="none" w:pos="323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Entity</w:t>
      </w:r>
      <w:r>
        <w:rPr>
          <w:rFonts w:ascii="Times New Roman" w:cs="Times New Roman" w:eastAsia="Times New Roman" w:hAnsi="Times New Roman"/>
          <w:sz w:val="20"/>
          <w:szCs w:val="20"/>
          <w:color w:val="auto"/>
        </w:rPr>
        <w:t>” means any Person, Persons or Group or any Affiliate or associate of any such Person, Persons or Group.</w:t>
      </w:r>
    </w:p>
    <w:p>
      <w:pPr>
        <w:spacing w:after="0" w:line="151" w:lineRule="exact"/>
        <w:rPr>
          <w:rFonts w:ascii="Times New Roman" w:cs="Times New Roman" w:eastAsia="Times New Roman" w:hAnsi="Times New Roman"/>
          <w:sz w:val="20"/>
          <w:szCs w:val="20"/>
          <w:color w:val="auto"/>
        </w:rPr>
      </w:pPr>
    </w:p>
    <w:p>
      <w:pPr>
        <w:jc w:val="both"/>
        <w:ind w:left="640" w:firstLine="1949"/>
        <w:spacing w:after="0" w:line="250" w:lineRule="auto"/>
        <w:tabs>
          <w:tab w:leader="none" w:pos="323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Entity</w:t>
      </w:r>
      <w:r>
        <w:rPr>
          <w:rFonts w:ascii="Times New Roman" w:cs="Times New Roman" w:eastAsia="Times New Roman" w:hAnsi="Times New Roman"/>
          <w:sz w:val="20"/>
          <w:szCs w:val="20"/>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Times New Roman" w:cs="Times New Roman" w:eastAsia="Times New Roman" w:hAnsi="Times New Roman"/>
          <w:sz w:val="20"/>
          <w:szCs w:val="20"/>
          <w:color w:val="auto"/>
        </w:rPr>
      </w:pPr>
    </w:p>
    <w:p>
      <w:pPr>
        <w:jc w:val="both"/>
        <w:ind w:left="640" w:firstLine="1949"/>
        <w:spacing w:after="0" w:line="244" w:lineRule="auto"/>
        <w:tabs>
          <w:tab w:leader="none" w:pos="323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95" w:lineRule="exact"/>
        <w:rPr>
          <w:rFonts w:ascii="Times New Roman" w:cs="Times New Roman" w:eastAsia="Times New Roman" w:hAnsi="Times New Roman"/>
          <w:sz w:val="20"/>
          <w:szCs w:val="20"/>
          <w:color w:val="auto"/>
        </w:rPr>
      </w:pPr>
    </w:p>
    <w:p>
      <w:pPr>
        <w:jc w:val="both"/>
        <w:ind w:left="640" w:firstLine="1949"/>
        <w:spacing w:after="0" w:line="242" w:lineRule="auto"/>
        <w:tabs>
          <w:tab w:leader="none" w:pos="323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means, for any security as of any date, the dollar volume- 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 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w:t>
      </w: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0" w:right="999" w:bottom="1440" w:gutter="0" w:footer="0" w:header="0"/>
        </w:sectPr>
      </w:pPr>
    </w:p>
    <w:bookmarkStart w:id="211" w:name="page212"/>
    <w:bookmarkEnd w:id="211"/>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14" w:right="999" w:bottom="1440" w:gutter="0" w:footer="0" w:header="0"/>
        </w:sectPr>
      </w:pPr>
    </w:p>
    <w:bookmarkStart w:id="212" w:name="page213"/>
    <w:bookmarkEnd w:id="212"/>
    <w:p>
      <w:pPr>
        <w:ind w:left="1760"/>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Company has caused this Warrant to Purchase Common Stock to be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0" w:type="dxa"/>
            <w:vAlign w:val="bottom"/>
            <w:gridSpan w:val="3"/>
          </w:tcPr>
          <w:p>
            <w:pPr>
              <w:ind w:left="1100"/>
              <w:spacing w:after="0"/>
              <w:rPr>
                <w:sz w:val="20"/>
                <w:szCs w:val="20"/>
                <w:color w:val="auto"/>
              </w:rPr>
            </w:pPr>
            <w:r>
              <w:rPr>
                <w:rFonts w:ascii="Times New Roman" w:cs="Times New Roman" w:eastAsia="Times New Roman" w:hAnsi="Times New Roman"/>
                <w:sz w:val="20"/>
                <w:szCs w:val="20"/>
                <w:color w:val="auto"/>
              </w:rPr>
              <w:t>duly executed as of the Issuance Date set out above.</w:t>
            </w:r>
          </w:p>
        </w:tc>
        <w:tc>
          <w:tcPr>
            <w:tcW w:w="1920" w:type="dxa"/>
            <w:vAlign w:val="bottom"/>
          </w:tcPr>
          <w:p>
            <w:pPr>
              <w:spacing w:after="0"/>
              <w:rPr>
                <w:sz w:val="22"/>
                <w:szCs w:val="22"/>
                <w:color w:val="auto"/>
              </w:rPr>
            </w:pPr>
          </w:p>
        </w:tc>
      </w:tr>
      <w:tr>
        <w:trPr>
          <w:trHeight w:val="423"/>
        </w:trPr>
        <w:tc>
          <w:tcPr>
            <w:tcW w:w="8000" w:type="dxa"/>
            <w:vAlign w:val="bottom"/>
            <w:gridSpan w:val="3"/>
          </w:tcPr>
          <w:p>
            <w:pPr>
              <w:ind w:left="5000"/>
              <w:spacing w:after="0"/>
              <w:rPr>
                <w:sz w:val="20"/>
                <w:szCs w:val="20"/>
                <w:color w:val="auto"/>
              </w:rPr>
            </w:pPr>
            <w:r>
              <w:rPr>
                <w:rFonts w:ascii="Times New Roman" w:cs="Times New Roman" w:eastAsia="Times New Roman" w:hAnsi="Times New Roman"/>
                <w:sz w:val="20"/>
                <w:szCs w:val="20"/>
                <w:b w:val="1"/>
                <w:bCs w:val="1"/>
                <w:color w:val="auto"/>
              </w:rPr>
              <w:t>PRESTO AUTOMATION INC.</w:t>
            </w:r>
          </w:p>
        </w:tc>
        <w:tc>
          <w:tcPr>
            <w:tcW w:w="1920" w:type="dxa"/>
            <w:vAlign w:val="bottom"/>
          </w:tcPr>
          <w:p>
            <w:pPr>
              <w:spacing w:after="0"/>
              <w:rPr>
                <w:sz w:val="24"/>
                <w:szCs w:val="24"/>
                <w:color w:val="auto"/>
              </w:rPr>
            </w:pPr>
          </w:p>
        </w:tc>
      </w:tr>
      <w:tr>
        <w:trPr>
          <w:trHeight w:val="413"/>
        </w:trPr>
        <w:tc>
          <w:tcPr>
            <w:tcW w:w="8000" w:type="dxa"/>
            <w:vAlign w:val="bottom"/>
            <w:gridSpan w:val="3"/>
          </w:tcPr>
          <w:p>
            <w:pPr>
              <w:ind w:left="5000"/>
              <w:spacing w:after="0"/>
              <w:rPr>
                <w:sz w:val="20"/>
                <w:szCs w:val="20"/>
                <w:color w:val="auto"/>
              </w:rPr>
            </w:pPr>
            <w:r>
              <w:rPr>
                <w:rFonts w:ascii="Times New Roman" w:cs="Times New Roman" w:eastAsia="Times New Roman" w:hAnsi="Times New Roman"/>
                <w:sz w:val="20"/>
                <w:szCs w:val="20"/>
                <w:color w:val="auto"/>
              </w:rPr>
              <w:t>By: /s/ Krishna Gupta​</w:t>
            </w:r>
          </w:p>
        </w:tc>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Name: Krishna Gupta</w:t>
            </w:r>
          </w:p>
        </w:tc>
      </w:tr>
      <w:tr>
        <w:trPr>
          <w:trHeight w:val="20"/>
        </w:trPr>
        <w:tc>
          <w:tcPr>
            <w:tcW w:w="53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56"/>
        </w:trPr>
        <w:tc>
          <w:tcPr>
            <w:tcW w:w="8000" w:type="dxa"/>
            <w:vAlign w:val="bottom"/>
            <w:gridSpan w:val="3"/>
          </w:tcPr>
          <w:p>
            <w:pPr>
              <w:ind w:left="5000"/>
              <w:spacing w:after="0"/>
              <w:rPr>
                <w:sz w:val="20"/>
                <w:szCs w:val="20"/>
                <w:color w:val="auto"/>
              </w:rPr>
            </w:pPr>
            <w:r>
              <w:rPr>
                <w:rFonts w:ascii="Times New Roman" w:cs="Times New Roman" w:eastAsia="Times New Roman" w:hAnsi="Times New Roman"/>
                <w:sz w:val="20"/>
                <w:szCs w:val="20"/>
                <w:color w:val="auto"/>
                <w:w w:val="97"/>
              </w:rPr>
              <w:t>Title: Interim Chief Executive Officer</w:t>
            </w:r>
          </w:p>
        </w:tc>
        <w:tc>
          <w:tcPr>
            <w:tcW w:w="1920" w:type="dxa"/>
            <w:vAlign w:val="bottom"/>
          </w:tcPr>
          <w:p>
            <w:pPr>
              <w:spacing w:after="0"/>
              <w:rPr>
                <w:sz w:val="22"/>
                <w:szCs w:val="22"/>
                <w:color w:val="auto"/>
              </w:rPr>
            </w:pPr>
          </w:p>
        </w:tc>
      </w:tr>
      <w:tr>
        <w:trPr>
          <w:trHeight w:val="872"/>
        </w:trPr>
        <w:tc>
          <w:tcPr>
            <w:tcW w:w="8000" w:type="dxa"/>
            <w:vAlign w:val="bottom"/>
            <w:gridSpan w:val="3"/>
          </w:tcPr>
          <w:p>
            <w:pPr>
              <w:ind w:left="2980"/>
              <w:spacing w:after="0"/>
              <w:rPr>
                <w:sz w:val="20"/>
                <w:szCs w:val="20"/>
                <w:color w:val="auto"/>
              </w:rPr>
            </w:pPr>
            <w:r>
              <w:rPr>
                <w:rFonts w:ascii="Times New Roman" w:cs="Times New Roman" w:eastAsia="Times New Roman" w:hAnsi="Times New Roman"/>
                <w:sz w:val="18"/>
                <w:szCs w:val="18"/>
                <w:i w:val="1"/>
                <w:iCs w:val="1"/>
                <w:color w:val="auto"/>
              </w:rPr>
              <w:t>Signature Page to Warrant to Purchase Common Stock</w:t>
            </w:r>
          </w:p>
        </w:tc>
        <w:tc>
          <w:tcPr>
            <w:tcW w:w="1920" w:type="dxa"/>
            <w:vAlign w:val="bottom"/>
          </w:tcPr>
          <w:p>
            <w:pPr>
              <w:spacing w:after="0"/>
              <w:rPr>
                <w:sz w:val="24"/>
                <w:szCs w:val="24"/>
                <w:color w:val="auto"/>
              </w:rPr>
            </w:pPr>
          </w:p>
        </w:tc>
      </w:tr>
      <w:tr>
        <w:trPr>
          <w:trHeight w:val="560"/>
        </w:trPr>
        <w:tc>
          <w:tcPr>
            <w:tcW w:w="5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3" w:right="99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NOTICE</w:t>
      </w:r>
    </w:p>
    <w:p>
      <w:pPr>
        <w:spacing w:after="0" w:line="216"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TO BE EXECUTED BY THE REGISTERED HOLDER TO EXERCISE THIS WARRANT TO PURCHASE COMMON STOCK</w:t>
      </w:r>
    </w:p>
    <w:p>
      <w:pPr>
        <w:spacing w:after="0" w:line="24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20" w:lineRule="exact"/>
        <w:rPr>
          <w:sz w:val="20"/>
          <w:szCs w:val="20"/>
          <w:color w:val="auto"/>
        </w:rPr>
      </w:pPr>
    </w:p>
    <w:p>
      <w:pPr>
        <w:ind w:left="1760"/>
        <w:spacing w:after="0"/>
        <w:tabs>
          <w:tab w:leader="none" w:pos="8640" w:val="left"/>
        </w:tabs>
        <w:rPr>
          <w:sz w:val="20"/>
          <w:szCs w:val="20"/>
          <w:color w:val="auto"/>
        </w:rPr>
      </w:pPr>
      <w:r>
        <w:rPr>
          <w:rFonts w:ascii="Times New Roman" w:cs="Times New Roman" w:eastAsia="Times New Roman" w:hAnsi="Times New Roman"/>
          <w:sz w:val="20"/>
          <w:szCs w:val="20"/>
          <w:color w:val="auto"/>
        </w:rPr>
        <w:t>The undersigned holder hereby exercises the right to purchase</w:t>
      </w:r>
      <w:r>
        <w:rPr>
          <w:sz w:val="20"/>
          <w:szCs w:val="20"/>
          <w:color w:val="auto"/>
        </w:rPr>
        <w:tab/>
      </w:r>
      <w:r>
        <w:rPr>
          <w:rFonts w:ascii="Times New Roman" w:cs="Times New Roman" w:eastAsia="Times New Roman" w:hAnsi="Times New Roman"/>
          <w:sz w:val="20"/>
          <w:szCs w:val="20"/>
          <w:color w:val="auto"/>
        </w:rPr>
        <w:t>of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-10795</wp:posOffset>
            </wp:positionV>
            <wp:extent cx="10998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 w:lineRule="exact"/>
        <w:rPr>
          <w:sz w:val="20"/>
          <w:szCs w:val="20"/>
          <w:color w:val="auto"/>
        </w:rPr>
      </w:pPr>
    </w:p>
    <w:p>
      <w:pPr>
        <w:jc w:val="both"/>
        <w:ind w:left="1100"/>
        <w:spacing w:after="0" w:line="242" w:lineRule="auto"/>
        <w:rPr>
          <w:sz w:val="20"/>
          <w:szCs w:val="20"/>
          <w:color w:val="auto"/>
        </w:rPr>
      </w:pPr>
      <w:r>
        <w:rPr>
          <w:rFonts w:ascii="Times New Roman" w:cs="Times New Roman" w:eastAsia="Times New Roman" w:hAnsi="Times New Roman"/>
          <w:sz w:val="20"/>
          <w:szCs w:val="20"/>
          <w:color w:val="auto"/>
        </w:rPr>
        <w:t>Common Stock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of Presto Automation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evidenced by the attached Warrant to Purchase Common Stock (the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Capitalized terms used herein and not otherwise defined shall have the respective meanings set forth in the Warrant.</w:t>
      </w:r>
    </w:p>
    <w:p>
      <w:pPr>
        <w:spacing w:after="0" w:line="20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1. Form of Exercise Price. The Holder intends that payment of the Exercise Price shall be made as:</w:t>
      </w:r>
    </w:p>
    <w:p>
      <w:pPr>
        <w:spacing w:after="0" w:line="197"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 “Cash Exercise” with respect to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6"/>
        </w:trPr>
        <w:tc>
          <w:tcPr>
            <w:tcW w:w="1180" w:type="dxa"/>
            <w:vAlign w:val="bottom"/>
          </w:tcPr>
          <w:p>
            <w:pPr>
              <w:spacing w:after="0"/>
              <w:rPr>
                <w:sz w:val="22"/>
                <w:szCs w:val="22"/>
                <w:color w:val="auto"/>
              </w:rPr>
            </w:pPr>
          </w:p>
        </w:tc>
        <w:tc>
          <w:tcPr>
            <w:tcW w:w="45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and/or</w:t>
            </w:r>
          </w:p>
        </w:tc>
        <w:tc>
          <w:tcPr>
            <w:tcW w:w="1320" w:type="dxa"/>
            <w:vAlign w:val="bottom"/>
          </w:tcPr>
          <w:p>
            <w:pPr>
              <w:spacing w:after="0"/>
              <w:rPr>
                <w:sz w:val="22"/>
                <w:szCs w:val="22"/>
                <w:color w:val="auto"/>
              </w:rPr>
            </w:pPr>
          </w:p>
        </w:tc>
      </w:tr>
      <w:tr>
        <w:trPr>
          <w:trHeight w:val="39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 “Cashless Exercise” with respect to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 Shares.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1100"/>
        <w:spacing w:after="0" w:line="254" w:lineRule="auto"/>
        <w:rPr>
          <w:sz w:val="20"/>
          <w:szCs w:val="20"/>
          <w:color w:val="auto"/>
        </w:rPr>
      </w:pPr>
      <w:r>
        <w:rPr>
          <w:rFonts w:ascii="Times New Roman" w:cs="Times New Roman" w:eastAsia="Times New Roman" w:hAnsi="Times New Roman"/>
          <w:sz w:val="20"/>
          <w:szCs w:val="20"/>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4" w:lineRule="exact"/>
        <w:rPr>
          <w:sz w:val="20"/>
          <w:szCs w:val="20"/>
          <w:color w:val="auto"/>
        </w:rPr>
      </w:pPr>
    </w:p>
    <w:p>
      <w:pPr>
        <w:jc w:val="both"/>
        <w:ind w:left="1100" w:firstLine="653"/>
        <w:spacing w:after="0" w:line="250" w:lineRule="auto"/>
        <w:tabs>
          <w:tab w:leader="none" w:pos="194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Exercise Price. In the event that the holder has elected a Cash Exercise with respect to some or all of the Warrant Shares to be issued pursuant hereto, the holder shall pay the Aggregate Exercise</w:t>
      </w:r>
    </w:p>
    <w:tbl>
      <w:tblPr>
        <w:tblLayout w:type="fixed"/>
        <w:tblInd w:w="0" w:type="dxa"/>
        <w:tblCellMar>
          <w:top w:w="0" w:type="dxa"/>
          <w:left w:w="0" w:type="dxa"/>
          <w:bottom w:w="0" w:type="dxa"/>
          <w:right w:w="0" w:type="dxa"/>
        </w:tblCellMar>
      </w:tblPr>
      <w:tr>
        <w:trPr>
          <w:trHeight w:val="192"/>
        </w:trPr>
        <w:tc>
          <w:tcPr>
            <w:tcW w:w="2880" w:type="dxa"/>
            <w:vAlign w:val="bottom"/>
            <w:gridSpan w:val="4"/>
          </w:tcPr>
          <w:p>
            <w:pPr>
              <w:ind w:left="1100"/>
              <w:spacing w:after="0" w:line="192" w:lineRule="exact"/>
              <w:rPr>
                <w:sz w:val="20"/>
                <w:szCs w:val="20"/>
                <w:color w:val="auto"/>
              </w:rPr>
            </w:pPr>
            <w:r>
              <w:rPr>
                <w:rFonts w:ascii="Times New Roman" w:cs="Times New Roman" w:eastAsia="Times New Roman" w:hAnsi="Times New Roman"/>
                <w:sz w:val="20"/>
                <w:szCs w:val="20"/>
                <w:color w:val="auto"/>
              </w:rPr>
              <w:t>Price in the sum of $</w:t>
            </w:r>
          </w:p>
        </w:tc>
        <w:tc>
          <w:tcPr>
            <w:tcW w:w="1000" w:type="dxa"/>
            <w:vAlign w:val="bottom"/>
            <w:tcBorders>
              <w:bottom w:val="single" w:sz="8" w:color="auto"/>
            </w:tcBorders>
            <w:gridSpan w:val="2"/>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4440" w:type="dxa"/>
            <w:vAlign w:val="bottom"/>
            <w:gridSpan w:val="7"/>
          </w:tcPr>
          <w:p>
            <w:pPr>
              <w:jc w:val="right"/>
              <w:spacing w:after="0" w:line="192" w:lineRule="exact"/>
              <w:rPr>
                <w:sz w:val="20"/>
                <w:szCs w:val="20"/>
                <w:color w:val="auto"/>
              </w:rPr>
            </w:pPr>
            <w:r>
              <w:rPr>
                <w:rFonts w:ascii="Times New Roman" w:cs="Times New Roman" w:eastAsia="Times New Roman" w:hAnsi="Times New Roman"/>
                <w:sz w:val="20"/>
                <w:szCs w:val="20"/>
                <w:color w:val="auto"/>
              </w:rPr>
              <w:t>to the Company in accordance with the terms of the</w:t>
            </w:r>
          </w:p>
        </w:tc>
      </w:tr>
      <w:tr>
        <w:trPr>
          <w:trHeight w:val="256"/>
        </w:trPr>
        <w:tc>
          <w:tcPr>
            <w:tcW w:w="3880" w:type="dxa"/>
            <w:vAlign w:val="bottom"/>
            <w:gridSpan w:val="6"/>
          </w:tcPr>
          <w:p>
            <w:pPr>
              <w:ind w:left="1100"/>
              <w:spacing w:after="0"/>
              <w:rPr>
                <w:sz w:val="20"/>
                <w:szCs w:val="20"/>
                <w:color w:val="auto"/>
              </w:rPr>
            </w:pPr>
            <w:r>
              <w:rPr>
                <w:rFonts w:ascii="Times New Roman" w:cs="Times New Roman" w:eastAsia="Times New Roman" w:hAnsi="Times New Roman"/>
                <w:sz w:val="20"/>
                <w:szCs w:val="20"/>
                <w:color w:val="auto"/>
              </w:rPr>
              <w:t>Warrant.</w:t>
            </w:r>
          </w:p>
        </w:tc>
        <w:tc>
          <w:tcPr>
            <w:tcW w:w="1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99"/>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3. Delivery of Warrant Shares. The Company shall deliver to the holder ​</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Warrant</w:t>
            </w:r>
          </w:p>
        </w:tc>
      </w:tr>
      <w:tr>
        <w:trPr>
          <w:trHeight w:val="256"/>
        </w:trPr>
        <w:tc>
          <w:tcPr>
            <w:tcW w:w="6360" w:type="dxa"/>
            <w:vAlign w:val="bottom"/>
            <w:gridSpan w:val="8"/>
          </w:tcPr>
          <w:p>
            <w:pPr>
              <w:ind w:left="1100"/>
              <w:spacing w:after="0"/>
              <w:rPr>
                <w:sz w:val="20"/>
                <w:szCs w:val="20"/>
                <w:color w:val="auto"/>
              </w:rPr>
            </w:pPr>
            <w:r>
              <w:rPr>
                <w:rFonts w:ascii="Times New Roman" w:cs="Times New Roman" w:eastAsia="Times New Roman" w:hAnsi="Times New Roman"/>
                <w:sz w:val="20"/>
                <w:szCs w:val="20"/>
                <w:color w:val="auto"/>
              </w:rPr>
              <w:t>Shares in accordance with the terms of the Warrant.</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r>
      <w:tr>
        <w:trPr>
          <w:trHeight w:val="399"/>
        </w:trPr>
        <w:tc>
          <w:tcPr>
            <w:tcW w:w="110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4"/>
                <w:szCs w:val="24"/>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Electronic Delivery</w:t>
            </w:r>
          </w:p>
        </w:tc>
        <w:tc>
          <w:tcPr>
            <w:tcW w:w="24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DTC Participant:</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80" w:type="dxa"/>
            <w:vAlign w:val="bottom"/>
            <w:gridSpan w:val="2"/>
          </w:tcPr>
          <w:p>
            <w:pPr>
              <w:ind w:left="460"/>
              <w:spacing w:after="0" w:line="209" w:lineRule="exact"/>
              <w:rPr>
                <w:sz w:val="20"/>
                <w:szCs w:val="20"/>
                <w:color w:val="auto"/>
              </w:rPr>
            </w:pPr>
            <w:r>
              <w:rPr>
                <w:rFonts w:ascii="Times New Roman" w:cs="Times New Roman" w:eastAsia="Times New Roman" w:hAnsi="Times New Roman"/>
                <w:sz w:val="20"/>
                <w:szCs w:val="20"/>
                <w:color w:val="auto"/>
              </w:rPr>
              <w:t>DTC   Number:</w:t>
            </w:r>
          </w:p>
        </w:tc>
        <w:tc>
          <w:tcPr>
            <w:tcW w:w="1780" w:type="dxa"/>
            <w:vAlign w:val="bottom"/>
            <w:tcBorders>
              <w:bottom w:val="single" w:sz="8" w:color="auto"/>
            </w:tcBorders>
            <w:gridSpan w:val="3"/>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17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Account   Name:</w:t>
            </w: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gridSpan w:val="3"/>
          </w:tcPr>
          <w:p>
            <w:pPr>
              <w:ind w:lef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1700" w:type="dxa"/>
            <w:vAlign w:val="bottom"/>
            <w:gridSpan w:val="2"/>
          </w:tcPr>
          <w:p>
            <w:pPr>
              <w:jc w:val="right"/>
              <w:ind w:right="121"/>
              <w:spacing w:after="0" w:line="209" w:lineRule="exact"/>
              <w:rPr>
                <w:sz w:val="20"/>
                <w:szCs w:val="20"/>
                <w:color w:val="auto"/>
              </w:rPr>
            </w:pPr>
            <w:r>
              <w:rPr>
                <w:rFonts w:ascii="Times New Roman" w:cs="Times New Roman" w:eastAsia="Times New Roman" w:hAnsi="Times New Roman"/>
                <w:sz w:val="20"/>
                <w:szCs w:val="20"/>
                <w:color w:val="auto"/>
              </w:rPr>
              <w:t>Account Number:</w:t>
            </w:r>
          </w:p>
        </w:tc>
      </w:tr>
      <w:tr>
        <w:trPr>
          <w:trHeight w:val="439"/>
        </w:trPr>
        <w:tc>
          <w:tcPr>
            <w:tcW w:w="110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4"/>
                <w:szCs w:val="24"/>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Physical Delivery</w:t>
            </w:r>
          </w:p>
        </w:tc>
        <w:tc>
          <w:tcPr>
            <w:tcW w:w="24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Address:</w:t>
            </w:r>
          </w:p>
        </w:tc>
        <w:tc>
          <w:tcPr>
            <w:tcW w:w="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66"/>
        </w:trPr>
        <w:tc>
          <w:tcPr>
            <w:tcW w:w="11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720" w:type="dxa"/>
            <w:vAlign w:val="bottom"/>
            <w:tcBorders>
              <w:bottom w:val="single" w:sz="8" w:color="auto"/>
            </w:tcBorders>
            <w:gridSpan w:val="3"/>
          </w:tcPr>
          <w:p>
            <w:pPr>
              <w:spacing w:after="0"/>
              <w:rPr>
                <w:sz w:val="24"/>
                <w:szCs w:val="24"/>
                <w:color w:val="auto"/>
              </w:rPr>
            </w:pPr>
          </w:p>
        </w:tc>
        <w:tc>
          <w:tcPr>
            <w:tcW w:w="58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85"/>
        </w:trPr>
        <w:tc>
          <w:tcPr>
            <w:tcW w:w="1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Name of Registered Holder</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16"/>
        </w:trPr>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214" w:name="page215"/>
    <w:bookmarkEnd w:id="214"/>
    <w:p>
      <w:pPr>
        <w:ind w:left="640"/>
        <w:spacing w:after="0"/>
        <w:tabs>
          <w:tab w:leader="none" w:pos="1120" w:val="left"/>
          <w:tab w:leader="none" w:pos="3920" w:val="left"/>
        </w:tabs>
        <w:rPr>
          <w:sz w:val="20"/>
          <w:szCs w:val="20"/>
          <w:color w:val="auto"/>
        </w:rPr>
      </w:pPr>
      <w:r>
        <w:rPr>
          <w:rFonts w:ascii="Times New Roman" w:cs="Times New Roman" w:eastAsia="Times New Roman" w:hAnsi="Times New Roman"/>
          <w:sz w:val="20"/>
          <w:szCs w:val="20"/>
          <w:color w:val="auto"/>
        </w:rPr>
        <w:t>By:</w:t>
        <w:tab/>
        <w:t>​</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-10795</wp:posOffset>
            </wp:positionV>
            <wp:extent cx="1745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779145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0"/>
          <w:szCs w:val="20"/>
          <w:b w:val="1"/>
          <w:bCs w:val="1"/>
          <w:color w:val="auto"/>
        </w:rPr>
        <w:t>ACKNOWLEDGMENT</w:t>
      </w:r>
    </w:p>
    <w:p>
      <w:pPr>
        <w:spacing w:after="0" w:line="233" w:lineRule="exact"/>
        <w:rPr>
          <w:sz w:val="20"/>
          <w:szCs w:val="20"/>
          <w:color w:val="auto"/>
        </w:rPr>
      </w:pPr>
    </w:p>
    <w:p>
      <w:pPr>
        <w:ind w:left="1100" w:firstLine="648"/>
        <w:spacing w:after="0" w:line="250" w:lineRule="auto"/>
        <w:rPr>
          <w:sz w:val="20"/>
          <w:szCs w:val="20"/>
          <w:color w:val="auto"/>
        </w:rPr>
      </w:pPr>
      <w:r>
        <w:rPr>
          <w:rFonts w:ascii="Times New Roman" w:cs="Times New Roman" w:eastAsia="Times New Roman" w:hAnsi="Times New Roman"/>
          <w:sz w:val="20"/>
          <w:szCs w:val="20"/>
          <w:color w:val="auto"/>
        </w:rPr>
        <w:t>The Company hereby acknowledges this Exercise Notice and hereby directs [TRANSFER AGENT] to issue the above indicated number of shares of Common Stock in accordance with the Transfer Agent</w:t>
      </w:r>
    </w:p>
    <w:p>
      <w:pPr>
        <w:spacing w:after="0" w:line="1" w:lineRule="exact"/>
        <w:rPr>
          <w:sz w:val="20"/>
          <w:szCs w:val="20"/>
          <w:color w:val="auto"/>
        </w:rPr>
      </w:pPr>
    </w:p>
    <w:p>
      <w:pPr>
        <w:ind w:left="1100"/>
        <w:spacing w:after="0"/>
        <w:tabs>
          <w:tab w:leader="none" w:pos="5060" w:val="left"/>
        </w:tabs>
        <w:rPr>
          <w:sz w:val="20"/>
          <w:szCs w:val="20"/>
          <w:color w:val="auto"/>
        </w:rPr>
      </w:pPr>
      <w:r>
        <w:rPr>
          <w:rFonts w:ascii="Times New Roman" w:cs="Times New Roman" w:eastAsia="Times New Roman" w:hAnsi="Times New Roman"/>
          <w:sz w:val="20"/>
          <w:szCs w:val="20"/>
          <w:color w:val="auto"/>
        </w:rPr>
        <w:t>Instructions dated ​</w:t>
      </w:r>
      <w:r>
        <w:rPr>
          <w:sz w:val="20"/>
          <w:szCs w:val="20"/>
          <w:color w:val="auto"/>
        </w:rPr>
        <w:tab/>
      </w:r>
      <w:r>
        <w:rPr>
          <w:rFonts w:ascii="Times New Roman" w:cs="Times New Roman" w:eastAsia="Times New Roman" w:hAnsi="Times New Roman"/>
          <w:sz w:val="20"/>
          <w:szCs w:val="20"/>
          <w:color w:val="auto"/>
        </w:rPr>
        <w:t>from the Company and acknowledged and agreed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1698625</wp:posOffset>
            </wp:positionH>
            <wp:positionV relativeFrom="paragraph">
              <wp:posOffset>-24765</wp:posOffset>
            </wp:positionV>
            <wp:extent cx="1453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ind w:left="1100"/>
        <w:spacing w:after="0"/>
        <w:rPr>
          <w:sz w:val="20"/>
          <w:szCs w:val="20"/>
          <w:color w:val="auto"/>
        </w:rPr>
      </w:pPr>
      <w:r>
        <w:rPr>
          <w:rFonts w:ascii="Times New Roman" w:cs="Times New Roman" w:eastAsia="Times New Roman" w:hAnsi="Times New Roman"/>
          <w:sz w:val="20"/>
          <w:szCs w:val="20"/>
          <w:color w:val="auto"/>
        </w:rPr>
        <w:t>[TRANSFER AGENT].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60" w:type="dxa"/>
            <w:vAlign w:val="bottom"/>
            <w:gridSpan w:val="2"/>
          </w:tcPr>
          <w:p>
            <w:pPr>
              <w:ind w:left="3620"/>
              <w:spacing w:after="0"/>
              <w:rPr>
                <w:sz w:val="20"/>
                <w:szCs w:val="20"/>
                <w:color w:val="auto"/>
              </w:rPr>
            </w:pPr>
            <w:r>
              <w:rPr>
                <w:rFonts w:ascii="Times New Roman" w:cs="Times New Roman" w:eastAsia="Times New Roman" w:hAnsi="Times New Roman"/>
                <w:sz w:val="20"/>
                <w:szCs w:val="20"/>
                <w:b w:val="1"/>
                <w:bCs w:val="1"/>
                <w:color w:val="auto"/>
              </w:rPr>
              <w:t>PRESTO AUTOMATION INC.</w:t>
            </w:r>
          </w:p>
        </w:tc>
        <w:tc>
          <w:tcPr>
            <w:tcW w:w="2760" w:type="dxa"/>
            <w:vAlign w:val="bottom"/>
          </w:tcPr>
          <w:p>
            <w:pPr>
              <w:spacing w:after="0"/>
              <w:rPr>
                <w:sz w:val="22"/>
                <w:szCs w:val="22"/>
                <w:color w:val="auto"/>
              </w:rPr>
            </w:pPr>
          </w:p>
        </w:tc>
      </w:tr>
      <w:tr>
        <w:trPr>
          <w:trHeight w:val="413"/>
        </w:trPr>
        <w:tc>
          <w:tcPr>
            <w:tcW w:w="7160" w:type="dxa"/>
            <w:vAlign w:val="bottom"/>
            <w:gridSpan w:val="2"/>
          </w:tcPr>
          <w:p>
            <w:pPr>
              <w:ind w:left="3700"/>
              <w:spacing w:after="0"/>
              <w:rPr>
                <w:sz w:val="20"/>
                <w:szCs w:val="20"/>
                <w:color w:val="auto"/>
              </w:rPr>
            </w:pPr>
            <w:r>
              <w:rPr>
                <w:rFonts w:ascii="Times New Roman" w:cs="Times New Roman" w:eastAsia="Times New Roman" w:hAnsi="Times New Roman"/>
                <w:sz w:val="20"/>
                <w:szCs w:val="20"/>
                <w:color w:val="auto"/>
              </w:rPr>
              <w:t>By:​</w:t>
            </w:r>
          </w:p>
        </w:tc>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Name:</w:t>
            </w:r>
          </w:p>
        </w:tc>
      </w:tr>
      <w:tr>
        <w:trPr>
          <w:trHeight w:val="20"/>
        </w:trPr>
        <w:tc>
          <w:tcPr>
            <w:tcW w:w="39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6"/>
        </w:trPr>
        <w:tc>
          <w:tcPr>
            <w:tcW w:w="7160" w:type="dxa"/>
            <w:vAlign w:val="bottom"/>
            <w:gridSpan w:val="2"/>
          </w:tcPr>
          <w:p>
            <w:pPr>
              <w:ind w:left="3700"/>
              <w:spacing w:after="0"/>
              <w:rPr>
                <w:sz w:val="20"/>
                <w:szCs w:val="20"/>
                <w:color w:val="auto"/>
              </w:rPr>
            </w:pPr>
            <w:r>
              <w:rPr>
                <w:rFonts w:ascii="Times New Roman" w:cs="Times New Roman" w:eastAsia="Times New Roman" w:hAnsi="Times New Roman"/>
                <w:sz w:val="20"/>
                <w:szCs w:val="20"/>
                <w:color w:val="auto"/>
              </w:rPr>
              <w:t>Title:</w:t>
            </w:r>
          </w:p>
        </w:tc>
        <w:tc>
          <w:tcPr>
            <w:tcW w:w="2760" w:type="dxa"/>
            <w:vAlign w:val="bottom"/>
          </w:tcPr>
          <w:p>
            <w:pPr>
              <w:spacing w:after="0"/>
              <w:rPr>
                <w:sz w:val="22"/>
                <w:szCs w:val="22"/>
                <w:color w:val="auto"/>
              </w:rPr>
            </w:pPr>
          </w:p>
        </w:tc>
      </w:tr>
      <w:tr>
        <w:trPr>
          <w:trHeight w:val="1229"/>
        </w:trPr>
        <w:tc>
          <w:tcPr>
            <w:tcW w:w="39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10" w:right="999" w:bottom="1440" w:gutter="0" w:footer="0" w:header="0"/>
        </w:sectPr>
      </w:pPr>
    </w:p>
    <w:bookmarkStart w:id="216" w:name="page217"/>
    <w:bookmarkEnd w:id="216"/>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ASSIGNMENT FORM</w:t>
      </w:r>
    </w:p>
    <w:p>
      <w:pPr>
        <w:spacing w:after="0" w:line="23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(To assign the foregoing warrant, execute</w:t>
      </w:r>
    </w:p>
    <w:p>
      <w:pPr>
        <w:spacing w:after="0" w:line="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this form and supply required information.</w:t>
      </w:r>
    </w:p>
    <w:p>
      <w:pPr>
        <w:ind w:left="2720"/>
        <w:spacing w:after="0"/>
        <w:rPr>
          <w:sz w:val="20"/>
          <w:szCs w:val="20"/>
          <w:color w:val="auto"/>
        </w:rPr>
      </w:pPr>
      <w:r>
        <w:rPr>
          <w:rFonts w:ascii="Times New Roman" w:cs="Times New Roman" w:eastAsia="Times New Roman" w:hAnsi="Times New Roman"/>
          <w:sz w:val="20"/>
          <w:szCs w:val="20"/>
          <w:color w:val="auto"/>
        </w:rPr>
        <w:t>Do not use this form to exercise the warrant.)</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FOR VALUE RECEIVED,</w:t>
            </w:r>
          </w:p>
        </w:tc>
        <w:tc>
          <w:tcPr>
            <w:tcW w:w="1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all of or</w:t>
            </w:r>
          </w:p>
        </w:tc>
        <w:tc>
          <w:tcPr>
            <w:tcW w:w="4700" w:type="dxa"/>
            <w:vAlign w:val="bottom"/>
            <w:gridSpan w:val="6"/>
          </w:tcPr>
          <w:p>
            <w:pPr>
              <w:ind w:left="260"/>
              <w:spacing w:after="0"/>
              <w:rPr>
                <w:sz w:val="20"/>
                <w:szCs w:val="20"/>
                <w:color w:val="auto"/>
              </w:rPr>
            </w:pPr>
            <w:r>
              <w:rPr>
                <w:rFonts w:ascii="Times New Roman" w:cs="Times New Roman" w:eastAsia="Times New Roman" w:hAnsi="Times New Roman"/>
                <w:sz w:val="20"/>
                <w:szCs w:val="20"/>
                <w:color w:val="auto"/>
                <w:w w:val="98"/>
              </w:rPr>
              <w:t>shares of the foregoing Warrant and all rights evidenced</w:t>
            </w:r>
          </w:p>
        </w:tc>
      </w:tr>
      <w:tr>
        <w:trPr>
          <w:trHeight w:val="258"/>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thereby are hereby assigned to</w:t>
            </w:r>
          </w:p>
        </w:tc>
        <w:tc>
          <w:tcPr>
            <w:tcW w:w="10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41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whose address is</w:t>
            </w:r>
          </w:p>
        </w:tc>
      </w:tr>
      <w:tr>
        <w:trPr>
          <w:trHeight w:val="453"/>
        </w:trPr>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Dated:</w:t>
            </w:r>
          </w:p>
        </w:tc>
        <w:tc>
          <w:tcPr>
            <w:tcW w:w="7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w:t>
            </w:r>
          </w:p>
        </w:tc>
      </w:tr>
      <w:tr>
        <w:trPr>
          <w:trHeight w:val="20"/>
        </w:trPr>
        <w:tc>
          <w:tcPr>
            <w:tcW w:w="2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2630170</wp:posOffset>
            </wp:positionH>
            <wp:positionV relativeFrom="paragraph">
              <wp:posOffset>-10795</wp:posOffset>
            </wp:positionV>
            <wp:extent cx="16332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-24765</wp:posOffset>
            </wp:positionV>
            <wp:extent cx="16649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64970" cy="8255"/>
                    </a:xfrm>
                    <a:prstGeom prst="rect">
                      <a:avLst/>
                    </a:prstGeom>
                    <a:noFill/>
                  </pic:spPr>
                </pic:pic>
              </a:graphicData>
            </a:graphic>
          </wp:anchor>
        </w:drawing>
      </w:r>
    </w:p>
    <w:p>
      <w:pPr>
        <w:spacing w:after="0" w:line="214" w:lineRule="exact"/>
        <w:rPr>
          <w:sz w:val="20"/>
          <w:szCs w:val="20"/>
          <w:color w:val="auto"/>
        </w:rPr>
      </w:pPr>
    </w:p>
    <w:p>
      <w:pPr>
        <w:ind w:left="640"/>
        <w:spacing w:after="0" w:line="269" w:lineRule="auto"/>
        <w:rPr>
          <w:sz w:val="20"/>
          <w:szCs w:val="20"/>
          <w:color w:val="auto"/>
        </w:rPr>
      </w:pPr>
      <w:r>
        <w:rPr>
          <w:rFonts w:ascii="Times New Roman" w:cs="Times New Roman" w:eastAsia="Times New Roman" w:hAnsi="Times New Roman"/>
          <w:sz w:val="20"/>
          <w:szCs w:val="20"/>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509905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360"/>
          </w:cols>
          <w:pgMar w:left="1440" w:top="410" w:right="10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4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March 31, 2023, by and among Presto Automation Inc.,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each of the Persons listed on the Schedule of Investors attached hereto as of the date hereof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xml:space="preserve">”). Unless otherwise provided in this Agreement, capitalized terms used herein shall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WHEREAS, Pubco entered into that certain credit agreement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dated September 21, 2022 with certain lending parties; and</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WHEREAS, Pubco entered into an amended and restated fee letter (the “</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dated March 31, 2023, by and among E La Carte, LLC, a Delaware limited liability company, Pubco and Metropolitan Partners Group Administration LLC, a Delaware limited liability company, in connection with a first amendment to the Credit Agreement, dated as of the same date as the Fee Letter, pursuant to which Pubco issued warrants to purchase common stock, with an exercise price of $0.01 per share, to the Investors (the “</w:t>
      </w:r>
      <w:r>
        <w:rPr>
          <w:rFonts w:ascii="Times New Roman" w:cs="Times New Roman" w:eastAsia="Times New Roman" w:hAnsi="Times New Roman"/>
          <w:sz w:val="18"/>
          <w:szCs w:val="18"/>
          <w:u w:val="single" w:color="auto"/>
          <w:color w:val="auto"/>
        </w:rPr>
        <w:t>Amendment 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40" w:firstLine="647"/>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89" w:lineRule="exact"/>
        <w:rPr>
          <w:sz w:val="20"/>
          <w:szCs w:val="20"/>
          <w:color w:val="auto"/>
        </w:rPr>
      </w:pPr>
    </w:p>
    <w:p>
      <w:pPr>
        <w:ind w:left="1280" w:hanging="638"/>
        <w:spacing w:after="0"/>
        <w:tabs>
          <w:tab w:leader="none" w:pos="12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57" w:lineRule="auto"/>
        <w:tabs>
          <w:tab w:leader="none" w:pos="1937"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Pubco shall use its reasonable best efforts to prepare and file or cause to be prepared and filed with the Commission, no later than 30 days following the date hereof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a Registration Statement for an offering to be made on a continuous basis pursuant to Rule</w:t>
      </w:r>
    </w:p>
    <w:p>
      <w:pPr>
        <w:spacing w:after="0" w:line="1" w:lineRule="exact"/>
        <w:rPr>
          <w:rFonts w:ascii="Times New Roman" w:cs="Times New Roman" w:eastAsia="Times New Roman" w:hAnsi="Times New Roman"/>
          <w:sz w:val="18"/>
          <w:szCs w:val="18"/>
          <w:color w:val="auto"/>
        </w:rPr>
      </w:pPr>
    </w:p>
    <w:p>
      <w:pPr>
        <w:jc w:val="both"/>
        <w:ind w:left="640" w:firstLine="5"/>
        <w:spacing w:after="0" w:line="250" w:lineRule="auto"/>
        <w:tabs>
          <w:tab w:leader="none" w:pos="96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registering the resale from time to time by the Investors of all of the Registrable Securities held by the Investors (the “</w:t>
      </w:r>
      <w:r>
        <w:rPr>
          <w:rFonts w:ascii="Times New Roman" w:cs="Times New Roman" w:eastAsia="Times New Roman" w:hAnsi="Times New Roman"/>
          <w:sz w:val="18"/>
          <w:szCs w:val="18"/>
          <w:u w:val="single" w:color="auto"/>
          <w:color w:val="auto"/>
        </w:rPr>
        <w:t>Resale Shelf Registration Statement</w:t>
      </w:r>
      <w:r>
        <w:rPr>
          <w:rFonts w:ascii="Times New Roman" w:cs="Times New Roman" w:eastAsia="Times New Roman" w:hAnsi="Times New Roman"/>
          <w:sz w:val="18"/>
          <w:szCs w:val="18"/>
          <w:color w:val="auto"/>
        </w:rPr>
        <w:t xml:space="preserve">”). The Resale Shelf Registration Statement shall be on Form S-1;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Pubco shall file, within 30 days of such time as Form S-3 (“</w:t>
      </w:r>
      <w:r>
        <w:rPr>
          <w:rFonts w:ascii="Times New Roman" w:cs="Times New Roman" w:eastAsia="Times New Roman" w:hAnsi="Times New Roman"/>
          <w:sz w:val="18"/>
          <w:szCs w:val="18"/>
          <w:u w:val="single" w:color="auto"/>
          <w:color w:val="auto"/>
        </w:rPr>
        <w:t>Form S- 3</w:t>
      </w:r>
      <w:r>
        <w:rPr>
          <w:rFonts w:ascii="Times New Roman" w:cs="Times New Roman" w:eastAsia="Times New Roman" w:hAnsi="Times New Roman"/>
          <w:sz w:val="18"/>
          <w:szCs w:val="18"/>
          <w:color w:val="auto"/>
        </w:rPr>
        <w:t>”) is available for the Resale Shelf Registration Statement, a post-effective amendment to the Resale Shelf Registration Statement then in effect, or otherwise file a Registration Statement on Form S-3, registering the Registrable Securities for resale in accordance with the immediately preceding sentence on Form S-3 (provided that Pubco shall maintain the effectiveness of the Registration Statement then in effect until such time as a Registration Statement (or post-effective amendment) on Form S-3 covering such Registrable Securities has been declared effective by the Commission). Pubco shall use reasonable best efforts to cause the Resale Shelf Registration Statement to be declared effective as soon as possible after filing, but in no event later than the earlier of (i) 60 days following the Filing Deadline and (ii) three Business Days after the Commission notifies Pubco that it will not review the Resale Shelf Registration Statement, if applicable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provided, that, if the Registration Statement filed pursuant to this Section 1(a) is reviewed by, and Pubco receives comments from, the Commission with respect to such Registration Statement, the Effectiveness Deadline shall be extended to 90 days following the Filing Deadline. Without limiting the foregoing, as soon as practicable, but in no event later than three Business Days, following the resolution or clearance of all Commission comments or, if applicable, following notification by the Commission that any such Registration Statement or any amendment thereto will not be subject to review, Pubco shall file a request for acceleration of effectiveness of such Registration Statement (to the extent required, by declaration or ordering of effectiveness, of such Registration Statement or amendment by the Commission) to a time and date not later than two Business days after the submission of such request. Once effective, Pubco shall use reasonable best efforts to keep the Resale Shelf Registration Statement continuously effective and to be supplemented and amended to the extent necessary to ensure that such Registration Statement is available or, if not available, to ensure that another Registration Statement is available, under the Securities Act at all times for the public resale of all of the Registrable Securities until such date as all Registrable Securities covered by the Resale Shelf Registration Statement have been disposed of in accordance with the intended method(s) of distribution set forth in such Registration Statement. The Resale Shelf Registration Statement shall contain a Prospectus in such form as to permit any Investor to sell such Registrable Securities pursuant to Rule 415 under the Securities Act (or any successor or similar provision adopted by the Commission then in effect) at any time beginning on the effective date for such Registration Statement, and Pubco</w:t>
      </w:r>
    </w:p>
    <w:p>
      <w:pPr>
        <w:spacing w:after="0" w:line="200" w:lineRule="exact"/>
        <w:rPr>
          <w:sz w:val="20"/>
          <w:szCs w:val="20"/>
          <w:color w:val="auto"/>
        </w:rPr>
      </w:pPr>
    </w:p>
    <w:p>
      <w:pPr>
        <w:spacing w:after="0" w:line="2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218" w:name="page219"/>
    <w:bookmarkEnd w:id="218"/>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shall file with the Commission the final form of such Prospectus pursuant to Rule 424 (or successor thereto) under the Securities Act no later than the first Business Day after the Resale Shelf Registration Statement becomes effective. The Resale Shelf Registration Statement shall provide that the Registrable Securities may be sold pursuant to any method or combination of methods legally available to, and requested by, the Investors.</w:t>
      </w:r>
    </w:p>
    <w:p>
      <w:pPr>
        <w:spacing w:after="0" w:line="193" w:lineRule="exact"/>
        <w:rPr>
          <w:sz w:val="20"/>
          <w:szCs w:val="20"/>
          <w:color w:val="auto"/>
        </w:rPr>
      </w:pPr>
    </w:p>
    <w:p>
      <w:pPr>
        <w:jc w:val="both"/>
        <w:ind w:left="640" w:firstLine="653"/>
        <w:spacing w:after="0" w:line="251" w:lineRule="auto"/>
        <w:tabs>
          <w:tab w:leader="none" w:pos="1937"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in the event that, despite Pubco’s efforts to include all of the Registrable Securities in any Registration Statement filed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the Commission informs Pubco (the “</w:t>
      </w:r>
      <w:r>
        <w:rPr>
          <w:rFonts w:ascii="Times New Roman" w:cs="Times New Roman" w:eastAsia="Times New Roman" w:hAnsi="Times New Roman"/>
          <w:sz w:val="18"/>
          <w:szCs w:val="18"/>
          <w:u w:val="single" w:color="auto"/>
          <w:color w:val="auto"/>
        </w:rPr>
        <w:t>Commission’s Notice</w:t>
      </w:r>
      <w:r>
        <w:rPr>
          <w:rFonts w:ascii="Times New Roman" w:cs="Times New Roman" w:eastAsia="Times New Roman" w:hAnsi="Times New Roman"/>
          <w:sz w:val="18"/>
          <w:szCs w:val="18"/>
          <w:color w:val="auto"/>
        </w:rPr>
        <w:t>”) that all of the Registrable Securities cannot, as a result of the application of Rule 415 or otherwise, be registered for resale as a secondary offering on a single Registration Statement, Pubco agrees to promptly (i) inform each of the holders thereof and use its reasonable best efforts to file amendments to the Resale Shelf Registration Statement as required by the Commission and (ii) as soon as practicable but in no event later than the New Registration Statement Filing Deadline, file an additional Registration Statement (a “</w:t>
      </w:r>
      <w:r>
        <w:rPr>
          <w:rFonts w:ascii="Times New Roman" w:cs="Times New Roman" w:eastAsia="Times New Roman" w:hAnsi="Times New Roman"/>
          <w:sz w:val="18"/>
          <w:szCs w:val="18"/>
          <w:u w:val="single" w:color="auto"/>
          <w:color w:val="auto"/>
        </w:rPr>
        <w:t>New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on Form S-3, or if Form S-3 is not then available to Pubco for such Registration Statement, on such other form available to register for resale the Registrable Securities as a secondary offering; provided, however, that prior to filing such amendment or New Registration Statement, Pubco shall be obligated to use its reasonable best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xml:space="preserve">”), including without limitation, the Manual of Publicly Available Telephone Interpretations D.29. The Investors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Investor’s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or otherwise required by the SEC, the number of Registrable Securities to be registered on such Registration Statement will be reduced on a pro rata basis based on the total number of Registrable Securities held by the Investors. In the event Pubco amends the Resale Shelf Registration Statement or files a New Registration Statement, as the case may be, under clauses (i) or (ii) above, Pubco will use its reasonable best efforts to file with the Commission, as promptly as allowed by Commission or SEC Guidance provided to Pubco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 If Pubco shall not be able to register for resale all of the Registrable Securities on the Resale Shelf Registration Statement within three months following the date of Pubco’s receipt of the Commission’s Notice, then, until such Resale Shelf Registration Statement is effective, the Majority Investors shall be entitled to demand registration rights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w:t>
      </w:r>
    </w:p>
    <w:p>
      <w:pPr>
        <w:spacing w:after="0" w:line="201" w:lineRule="exact"/>
        <w:rPr>
          <w:rFonts w:ascii="Times New Roman" w:cs="Times New Roman" w:eastAsia="Times New Roman" w:hAnsi="Times New Roman"/>
          <w:sz w:val="18"/>
          <w:szCs w:val="18"/>
          <w:color w:val="auto"/>
        </w:rPr>
      </w:pPr>
    </w:p>
    <w:p>
      <w:pPr>
        <w:ind w:left="640" w:right="120" w:firstLine="654"/>
        <w:spacing w:after="0" w:line="282" w:lineRule="auto"/>
        <w:tabs>
          <w:tab w:leader="none" w:pos="193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Registrations effected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 shall not be counted as Demand Registrations effected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640" w:firstLine="654"/>
        <w:spacing w:after="0" w:line="253" w:lineRule="auto"/>
        <w:tabs>
          <w:tab w:leader="none" w:pos="1937"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Investor shall be named as an “underwriter” in any Registration Statement filed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without the Investor’s prior written consent; provided that if the Commission requests that an Investor be identified as a statutory underwriter in the Registration Statement, then such Investor will have the option, in its sole and absolute discretion, to either (i) have the opportunity to withdraw from the Registration Statement upon its prompt written request to Pubco, in which case Pubco’s obligation to register such Investor’s Registrable Securities shall be deemed satisfied or (ii) be included as such in the Registration Statement. Each Registration Statement (and each amendment or supplement thereto, and each request for acceleration of effectiveness thereof) shall be provided to (and shall be subject to the approval, which shall not be unreasonably withheld or delayed, of) the Investors prior to its filing with, or other submission to, the Commission; provided that, Pubco shall not be deemed to be in breach of any Effectiveness Deadline or other deadline set forth in this Agreement if the failure of Pubco to meet such deadline is the result of an Investor’s failure to approve such Registration Statement or amendment or supplement thereto or request for acceleration thereof.</w:t>
      </w:r>
    </w:p>
    <w:p>
      <w:pPr>
        <w:spacing w:after="0" w:line="205" w:lineRule="exact"/>
        <w:rPr>
          <w:rFonts w:ascii="Times New Roman" w:cs="Times New Roman" w:eastAsia="Times New Roman" w:hAnsi="Times New Roman"/>
          <w:sz w:val="18"/>
          <w:szCs w:val="18"/>
          <w:color w:val="auto"/>
        </w:rPr>
      </w:pPr>
    </w:p>
    <w:p>
      <w:pPr>
        <w:jc w:val="both"/>
        <w:ind w:left="640" w:firstLine="654"/>
        <w:spacing w:after="0" w:line="266" w:lineRule="auto"/>
        <w:tabs>
          <w:tab w:leader="none" w:pos="19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any Trading Day (as defined below) (the “</w:t>
      </w:r>
      <w:r>
        <w:rPr>
          <w:rFonts w:ascii="Times New Roman" w:cs="Times New Roman" w:eastAsia="Times New Roman" w:hAnsi="Times New Roman"/>
          <w:sz w:val="18"/>
          <w:szCs w:val="18"/>
          <w:u w:val="single" w:color="auto"/>
          <w:color w:val="auto"/>
        </w:rPr>
        <w:t>Registration Trigger Date</w:t>
      </w:r>
      <w:r>
        <w:rPr>
          <w:rFonts w:ascii="Times New Roman" w:cs="Times New Roman" w:eastAsia="Times New Roman" w:hAnsi="Times New Roman"/>
          <w:sz w:val="18"/>
          <w:szCs w:val="18"/>
          <w:color w:val="auto"/>
        </w:rPr>
        <w:t xml:space="preserve">”) the number of shares available under the Registration Statements filed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is insufficient to cover all of the Registrable Securities (without giving effect to any limitations on the exercise or conversion of any securities</w:t>
      </w:r>
    </w:p>
    <w:p>
      <w:pPr>
        <w:spacing w:after="0" w:line="39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19" w:name="page220"/>
    <w:bookmarkEnd w:id="219"/>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exercisable for, or convertible into, Registrable Securities and, in the case of Registrable Securities issuable upon the exercise of warrants, assuming the exercise of such warrants for cash), Pubco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Pubco shall use its reasonable best efforts to cause such amendment and/or new Registration Statement to become effective as soon as practicable following the filing thereof, but in any event Pubco shall cause such amendment and/or new Registration Statement to become effective within 60 days of the Registration Trigger Date (or 90 days if the applicable Registration Statement or amendment is reviewed by, and comments are thereto provided from, the Commission) or as promptly as practicable in the event Pubco is required to increase its authorized shares.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any day on which the Common Stock is traded for any period on the principal securities exchange or other securities market on which the Common Stock is then being traded.</w:t>
      </w:r>
    </w:p>
    <w:p>
      <w:pPr>
        <w:spacing w:after="0" w:line="197" w:lineRule="exact"/>
        <w:rPr>
          <w:sz w:val="20"/>
          <w:szCs w:val="20"/>
          <w:color w:val="auto"/>
        </w:rPr>
      </w:pPr>
    </w:p>
    <w:p>
      <w:pPr>
        <w:ind w:left="1280" w:hanging="638"/>
        <w:spacing w:after="0"/>
        <w:tabs>
          <w:tab w:leader="none" w:pos="12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Registrations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560" w:firstLine="733"/>
        <w:spacing w:after="0" w:line="252" w:lineRule="auto"/>
        <w:tabs>
          <w:tab w:leader="none" w:pos="193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Registration</w:t>
      </w:r>
      <w:r>
        <w:rPr>
          <w:rFonts w:ascii="Times New Roman" w:cs="Times New Roman" w:eastAsia="Times New Roman" w:hAnsi="Times New Roman"/>
          <w:sz w:val="18"/>
          <w:szCs w:val="18"/>
          <w:color w:val="auto"/>
        </w:rPr>
        <w:t>. Provided that Pubco does not then have an effective Registration Statement outstanding covering all of the Registrable Securities, the holders of Registrable Securities may request registration under the Securities Act of all or any portion of their Registrable Securities on Form S-1 or any similar long-form registration statement (“</w:t>
      </w:r>
      <w:r>
        <w:rPr>
          <w:rFonts w:ascii="Times New Roman" w:cs="Times New Roman" w:eastAsia="Times New Roman" w:hAnsi="Times New Roman"/>
          <w:sz w:val="18"/>
          <w:szCs w:val="18"/>
          <w:u w:val="single" w:color="auto"/>
          <w:color w:val="auto"/>
        </w:rPr>
        <w:t>Long-Form Registrations</w:t>
      </w:r>
      <w:r>
        <w:rPr>
          <w:rFonts w:ascii="Times New Roman" w:cs="Times New Roman" w:eastAsia="Times New Roman" w:hAnsi="Times New Roman"/>
          <w:sz w:val="18"/>
          <w:szCs w:val="18"/>
          <w:color w:val="auto"/>
        </w:rPr>
        <w:t>”) or, if available, on Form S-3 (including a shelf registration pursuant to Rule 415 under the Securities Act) or any similar short-form registration statement, including an automatic shelf registration statement (as defined in Rule 405) (an “</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if available to Pubco (“</w:t>
      </w:r>
      <w:r>
        <w:rPr>
          <w:rFonts w:ascii="Times New Roman" w:cs="Times New Roman" w:eastAsia="Times New Roman" w:hAnsi="Times New Roman"/>
          <w:sz w:val="18"/>
          <w:szCs w:val="18"/>
          <w:u w:val="single" w:color="auto"/>
          <w:color w:val="auto"/>
        </w:rPr>
        <w:t>Short-Form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below (such holders being referred to herein as the “</w:t>
      </w:r>
      <w:r>
        <w:rPr>
          <w:rFonts w:ascii="Times New Roman" w:cs="Times New Roman" w:eastAsia="Times New Roman" w:hAnsi="Times New Roman"/>
          <w:sz w:val="18"/>
          <w:szCs w:val="18"/>
          <w:u w:val="single" w:color="auto"/>
          <w:color w:val="auto"/>
        </w:rPr>
        <w:t>Initiating Investors</w:t>
      </w:r>
      <w:r>
        <w:rPr>
          <w:rFonts w:ascii="Times New Roman" w:cs="Times New Roman" w:eastAsia="Times New Roman" w:hAnsi="Times New Roman"/>
          <w:sz w:val="18"/>
          <w:szCs w:val="18"/>
          <w:color w:val="auto"/>
        </w:rPr>
        <w:t>” and all registrations requested by the Initiating Investors being referred to herein as “</w:t>
      </w:r>
      <w:r>
        <w:rPr>
          <w:rFonts w:ascii="Times New Roman" w:cs="Times New Roman" w:eastAsia="Times New Roman" w:hAnsi="Times New Roman"/>
          <w:sz w:val="18"/>
          <w:szCs w:val="18"/>
          <w:u w:val="single" w:color="auto"/>
          <w:color w:val="auto"/>
        </w:rPr>
        <w:t>Demand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Each request for a Demand Registration shall specify the approximate number of Registrable Securities requested to be registered and the intended method of distribution. Subject to Sections 10(a) and 10(b) (collectively, the “</w:t>
      </w:r>
      <w:r>
        <w:rPr>
          <w:rFonts w:ascii="Times New Roman" w:cs="Times New Roman" w:eastAsia="Times New Roman" w:hAnsi="Times New Roman"/>
          <w:sz w:val="18"/>
          <w:szCs w:val="18"/>
          <w:u w:val="single" w:color="auto"/>
          <w:color w:val="auto"/>
        </w:rPr>
        <w:t>MNPI Provisions</w:t>
      </w:r>
      <w:r>
        <w:rPr>
          <w:rFonts w:ascii="Times New Roman" w:cs="Times New Roman" w:eastAsia="Times New Roman" w:hAnsi="Times New Roman"/>
          <w:sz w:val="18"/>
          <w:szCs w:val="18"/>
          <w:color w:val="auto"/>
        </w:rPr>
        <w:t>”), within five Business Days after receipt of any such request, Pubco shall give written notice of such requested registration to all other holders of Registrable Securities and, subject to the terms and conditions set forth herein, shall include in such registration (and in all related registrations and qualifications under state blue sky laws or in compliance with other registration requirements and in any related underwriting) all such Registrable Securities with respect to which Pubco has received written requests for inclusion therein within five Business Days after the receipt of Pubco’s notice. Each holder of Registrable Securities agrees that such holder shall treat as confidential the receipt of the notice of Demand Registration and shall not disclose or use the information contained in such notice of Demand Registration without the prior written consent of Pubco until such time as the information contained therein is or becomes available to the public generally, other than as a result of disclosure by the holder in breach of the terms of this Agreement.</w:t>
      </w:r>
    </w:p>
    <w:p>
      <w:pPr>
        <w:spacing w:after="0" w:line="190" w:lineRule="exact"/>
        <w:rPr>
          <w:rFonts w:ascii="Times New Roman" w:cs="Times New Roman" w:eastAsia="Times New Roman" w:hAnsi="Times New Roman"/>
          <w:sz w:val="18"/>
          <w:szCs w:val="18"/>
          <w:color w:val="auto"/>
        </w:rPr>
      </w:pPr>
    </w:p>
    <w:p>
      <w:pPr>
        <w:jc w:val="both"/>
        <w:ind w:left="560" w:firstLine="733"/>
        <w:spacing w:after="0" w:line="254" w:lineRule="auto"/>
        <w:tabs>
          <w:tab w:leader="none" w:pos="193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Long-Form Registrations</w:t>
      </w:r>
      <w:r>
        <w:rPr>
          <w:rFonts w:ascii="Times New Roman" w:cs="Times New Roman" w:eastAsia="Times New Roman" w:hAnsi="Times New Roman"/>
          <w:sz w:val="18"/>
          <w:szCs w:val="18"/>
          <w:color w:val="auto"/>
        </w:rPr>
        <w:t>. The Majority Investors may request two Long-Form Registrations in which Pubco shall pay all Registration Expenses whether or not any such Long-Form Registration has become effective, provided that if Pubco has already effected a Demand Registration (which became effective) in the preceding 45-day period. A registration shall not count as one of the permitted Long-Form Registrations until it has become effective and unless the holders of Registrable Securities are able to register and sell at least 90% of the Registrable Securities requested to be included in such registration; provided that in any event Pubco shall pay all Registration Expenses in connection with any registration initiated as a Long-Form Registration whether or not it has become effective and whether or not such registration has counted as one of the permitted Long-Form Registrations hereunder.</w:t>
      </w:r>
    </w:p>
    <w:p>
      <w:pPr>
        <w:spacing w:after="0" w:line="205" w:lineRule="exact"/>
        <w:rPr>
          <w:rFonts w:ascii="Times New Roman" w:cs="Times New Roman" w:eastAsia="Times New Roman" w:hAnsi="Times New Roman"/>
          <w:sz w:val="18"/>
          <w:szCs w:val="18"/>
          <w:color w:val="auto"/>
        </w:rPr>
      </w:pPr>
    </w:p>
    <w:p>
      <w:pPr>
        <w:jc w:val="both"/>
        <w:ind w:left="560" w:firstLine="733"/>
        <w:spacing w:after="0" w:line="254" w:lineRule="auto"/>
        <w:tabs>
          <w:tab w:leader="none" w:pos="193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Short-Form Registrations</w:t>
      </w:r>
      <w:r>
        <w:rPr>
          <w:rFonts w:ascii="Times New Roman" w:cs="Times New Roman" w:eastAsia="Times New Roman" w:hAnsi="Times New Roman"/>
          <w:sz w:val="18"/>
          <w:szCs w:val="18"/>
          <w:color w:val="auto"/>
        </w:rPr>
        <w:t xml:space="preserve">. In addition to the Long-Form Registration provided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the Majority Investors shall be entitled to request Short-Form Registrations in which Pubco shall pay all Registration Expenses whether or not any such Short-Form Registration has become effective; provided, however, that Pubco shall not be obligated to effect any such Short-Form Registration: (x) if Pubco has already effected three Short- Form Registrations (which became effective) for the holders of Registrable Securities requesting a Short-Form Registration pursuant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or (y) if Pubco has already effected a Demand Registration (which became effective) in the preceding 90-day period. Demand Registrations shall be Short-Form Registrations whenever Pubco is permitted to use any applicable short form registration and if the managing underwriters (if any) agree to the use of a Short-Form Registration. For so long as Pubco is subject to the reporting requirements of the Exchange Act, Pubco</w:t>
      </w:r>
    </w:p>
    <w:p>
      <w:pPr>
        <w:spacing w:after="0" w:line="200" w:lineRule="exact"/>
        <w:rPr>
          <w:sz w:val="20"/>
          <w:szCs w:val="20"/>
          <w:color w:val="auto"/>
        </w:rPr>
      </w:pPr>
    </w:p>
    <w:p>
      <w:pPr>
        <w:spacing w:after="0" w:line="20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0" w:name="page221"/>
    <w:bookmarkEnd w:id="220"/>
    <w:p>
      <w:pPr>
        <w:jc w:val="both"/>
        <w:ind w:left="560"/>
        <w:spacing w:after="0" w:line="252" w:lineRule="auto"/>
        <w:rPr>
          <w:sz w:val="20"/>
          <w:szCs w:val="20"/>
          <w:color w:val="auto"/>
        </w:rPr>
      </w:pPr>
      <w:r>
        <w:rPr>
          <w:rFonts w:ascii="Times New Roman" w:cs="Times New Roman" w:eastAsia="Times New Roman" w:hAnsi="Times New Roman"/>
          <w:sz w:val="18"/>
          <w:szCs w:val="18"/>
          <w:color w:val="auto"/>
        </w:rPr>
        <w:t>shall use its reasonable best efforts to make Short-Form Registrations available for the offer and sale of Registrable Securities. If Pubco is qualified to and, pursuant to the request of the holders of a majority of the Registrable Securities, has filed with the Commission a Registration Statement under the Securities Act on Form S-3 pursuant to Rule 415 (a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then Pubco shall use its reasonable best efforts to cause the Shelf Registration to be declared effective under the Securities Act as soon as practicable after filing, and, if Pubco is a WKSI at the time of any such request, to cause such Shelf Registration to be an Automatic Shelf Registration Statement, and once effective, Pubco shall cause such Shelf Registration to remain effective (including by filing a new Shelf Registration, if necessary) for a period ending on the earlier of (i) the date on which all Registrable Securities included in such registration have been sold or distributed pursuant to the Shelf Registration or (ii) the date as of which all of the Registrable Securities included in such registration are able to be sold within a 45-day period in compliance with Rule 144 under the Securities Act (without any restrictions as to volume or the manner of sale or otherwise and without the requirement for Pubco to be in compliance with the current public information required under Rule 144(c)(i) or Rule 144(i)(2) and, in the case of Registrable Securities issuable upon the exercise of warrants, assuming the exercise of such warrants for cash). If for any reason Pubco ceases to be a WKSI or becomes ineligible to utilize Form S-3, Pubco shall prepare and file with the Commission a Registration Statement or Registration Statements on such form that is available for the sale of Registrable Securities.</w:t>
      </w:r>
    </w:p>
    <w:p>
      <w:pPr>
        <w:spacing w:after="0" w:line="209" w:lineRule="exact"/>
        <w:rPr>
          <w:sz w:val="20"/>
          <w:szCs w:val="20"/>
          <w:color w:val="auto"/>
        </w:rPr>
      </w:pPr>
    </w:p>
    <w:p>
      <w:pPr>
        <w:jc w:val="both"/>
        <w:ind w:left="560" w:firstLine="733"/>
        <w:spacing w:after="0" w:line="251" w:lineRule="auto"/>
        <w:tabs>
          <w:tab w:leader="none" w:pos="193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 At any time when the Resale Shelf Registration Statement or a Shelf Registration for the sale or distribution by holders of Registrable Securities on a delayed or continuous basis pursuant to Rule 415, including by way of an underwritten offering, block sale or other distribution plan (each, a “</w:t>
      </w:r>
      <w:r>
        <w:rPr>
          <w:rFonts w:ascii="Times New Roman" w:cs="Times New Roman" w:eastAsia="Times New Roman" w:hAnsi="Times New Roman"/>
          <w:sz w:val="18"/>
          <w:szCs w:val="18"/>
          <w:u w:val="single" w:color="auto"/>
          <w:color w:val="auto"/>
        </w:rPr>
        <w:t>Resale Shelf Registration</w:t>
      </w:r>
      <w:r>
        <w:rPr>
          <w:rFonts w:ascii="Times New Roman" w:cs="Times New Roman" w:eastAsia="Times New Roman" w:hAnsi="Times New Roman"/>
          <w:sz w:val="18"/>
          <w:szCs w:val="18"/>
          <w:color w:val="auto"/>
        </w:rPr>
        <w:t xml:space="preserve">”), is effective and its use has not been otherwise suspended by Pubco in accordance with the terms of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below, upon a written demand (a “</w:t>
      </w:r>
      <w:r>
        <w:rPr>
          <w:rFonts w:ascii="Times New Roman" w:cs="Times New Roman" w:eastAsia="Times New Roman" w:hAnsi="Times New Roman"/>
          <w:sz w:val="18"/>
          <w:szCs w:val="18"/>
          <w:u w:val="single" w:color="auto"/>
          <w:color w:val="auto"/>
        </w:rPr>
        <w:t>Takedown Demand</w:t>
      </w:r>
      <w:r>
        <w:rPr>
          <w:rFonts w:ascii="Times New Roman" w:cs="Times New Roman" w:eastAsia="Times New Roman" w:hAnsi="Times New Roman"/>
          <w:sz w:val="18"/>
          <w:szCs w:val="18"/>
          <w:color w:val="auto"/>
        </w:rPr>
        <w:t>”) by any Investor that is, in either case, a Shelf Participant holding Registrable Securities at such time (the “</w:t>
      </w:r>
      <w:r>
        <w:rPr>
          <w:rFonts w:ascii="Times New Roman" w:cs="Times New Roman" w:eastAsia="Times New Roman" w:hAnsi="Times New Roman"/>
          <w:sz w:val="18"/>
          <w:szCs w:val="18"/>
          <w:u w:val="single" w:color="auto"/>
          <w:color w:val="auto"/>
        </w:rPr>
        <w:t>Initiating Holder</w:t>
      </w:r>
      <w:r>
        <w:rPr>
          <w:rFonts w:ascii="Times New Roman" w:cs="Times New Roman" w:eastAsia="Times New Roman" w:hAnsi="Times New Roman"/>
          <w:sz w:val="18"/>
          <w:szCs w:val="18"/>
          <w:color w:val="auto"/>
        </w:rPr>
        <w:t>”), Pubco will facilitate in the manner described in this Agreement a “takedown” of Registrable Securities off of such Resale Shelf Registration (a “</w:t>
      </w:r>
      <w:r>
        <w:rPr>
          <w:rFonts w:ascii="Times New Roman" w:cs="Times New Roman" w:eastAsia="Times New Roman" w:hAnsi="Times New Roman"/>
          <w:sz w:val="18"/>
          <w:szCs w:val="18"/>
          <w:u w:val="single" w:color="auto"/>
          <w:color w:val="auto"/>
        </w:rPr>
        <w:t>take down offering</w:t>
      </w:r>
      <w:r>
        <w:rPr>
          <w:rFonts w:ascii="Times New Roman" w:cs="Times New Roman" w:eastAsia="Times New Roman" w:hAnsi="Times New Roman"/>
          <w:sz w:val="18"/>
          <w:szCs w:val="18"/>
          <w:color w:val="auto"/>
        </w:rPr>
        <w:t>”) and Pubco shall pay all Registration Expenses in connection therewith; provided that, subject to the MNPI Provisions, Pubco will provide (x) in connection with any non-marketed underwritten takedown offering (other than a Block Trade), at least two Business Days’ notice of such Takedown Demand to each holder of Registrable Securities (other than the Initiating Holder) that is a Shelf Participant, (y) in connection with any Block Trade initiated prior to the three year anniversary of the date hereof, notice of such Takedown Demand to each holder of Registrable Securities (other than the Initiating Holder) that is a Shelf Participant no later than noon Eastern time on the Business Day prior to the requested Takedown Demand and (z) in connection with any marketed underwritten takedown offering, at least five Business Days’ notice of such Takedown Demand to each holder of Registrable Securities (other than the Initiating Holder) that is a Shelf Participant. In connection with (x) any non-marketed underwritten takedown offering initiated prior to the three year anniversary of the date hereof and (y) any marketed underwritten takedown offering, if any Shelf Participants entitled to receive a notice pursuant to the preceding sentence request inclusion of their Registrable Securities (by notice to Pubco, which notice must be received by Pubco no later than (A) in the case of a non-marketed underwritten takedown offering (other than a Block Trade), the Business Day following the date notice is given to such participant, (B) in the case of a Block Trade, by 10:00 p.m. Eastern time on the date notice is given to such participant and (C) in the case of a marketed underwritten takedown offering, three Business Days following the date notice is given to such participant), the Initiating Holder and the other Shelf Participants that request inclusion of their Registrable Securities shall be entitled to sell their Registrable Securities in such offering. Each holder of Registrable Securities that is a Shelf Participant agrees that such holder shall treat as confidential the receipt of the notice of a Takedown Demand and shall not disclose or use the information contained in such notice without the prior written consent of Pubco until such time as the information contained therein is or becomes available to the public generally, other than as a result of disclosure by the holder in breach of the terms of this Agreement.</w:t>
      </w:r>
    </w:p>
    <w:p>
      <w:pPr>
        <w:spacing w:after="0" w:line="203" w:lineRule="exact"/>
        <w:rPr>
          <w:rFonts w:ascii="Times New Roman" w:cs="Times New Roman" w:eastAsia="Times New Roman" w:hAnsi="Times New Roman"/>
          <w:sz w:val="18"/>
          <w:szCs w:val="18"/>
          <w:color w:val="auto"/>
        </w:rPr>
      </w:pPr>
    </w:p>
    <w:p>
      <w:pPr>
        <w:jc w:val="both"/>
        <w:ind w:left="560" w:firstLine="733"/>
        <w:spacing w:after="0" w:line="254" w:lineRule="auto"/>
        <w:tabs>
          <w:tab w:leader="none" w:pos="193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Demand Registrations and Takedown Offerings</w:t>
      </w:r>
      <w:r>
        <w:rPr>
          <w:rFonts w:ascii="Times New Roman" w:cs="Times New Roman" w:eastAsia="Times New Roman" w:hAnsi="Times New Roman"/>
          <w:sz w:val="18"/>
          <w:szCs w:val="18"/>
          <w:color w:val="auto"/>
        </w:rPr>
        <w:t>. Pubco shall not include in any Demand Registration that is an underwritten offering any securities that are not Registrable Securities without the prior written consent of the managing underwriters and the holders of a majority of the Registrable Securities then outstanding. If a Demand Registration or a takedown offering is an underwritten offering and the managing underwriters advise Pubco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holders of a majority of the Registrable Securities included in such underwritten offering, Pubco shall include in such offering, prior to the inclusion of any securities which are not Registrable Securities, the Registrable Securities requested to be included in</w:t>
      </w:r>
    </w:p>
    <w:p>
      <w:pPr>
        <w:spacing w:after="0" w:line="200" w:lineRule="exact"/>
        <w:rPr>
          <w:sz w:val="20"/>
          <w:szCs w:val="20"/>
          <w:color w:val="auto"/>
        </w:rPr>
      </w:pPr>
    </w:p>
    <w:p>
      <w:pPr>
        <w:spacing w:after="0" w:line="20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1" w:name="page222"/>
    <w:bookmarkEnd w:id="221"/>
    <w:p>
      <w:pPr>
        <w:ind w:left="560" w:right="480"/>
        <w:spacing w:after="0" w:line="282" w:lineRule="auto"/>
        <w:rPr>
          <w:sz w:val="20"/>
          <w:szCs w:val="20"/>
          <w:color w:val="auto"/>
        </w:rPr>
      </w:pPr>
      <w:r>
        <w:rPr>
          <w:rFonts w:ascii="Times New Roman" w:cs="Times New Roman" w:eastAsia="Times New Roman" w:hAnsi="Times New Roman"/>
          <w:sz w:val="18"/>
          <w:szCs w:val="18"/>
          <w:color w:val="auto"/>
        </w:rPr>
        <w:t>such registration (pro rata among the holders of such Registrable Securities on the basis of the number of Registrable Securities owned by each such holder).</w:t>
      </w:r>
    </w:p>
    <w:p>
      <w:pPr>
        <w:spacing w:after="0" w:line="162" w:lineRule="exact"/>
        <w:rPr>
          <w:sz w:val="20"/>
          <w:szCs w:val="20"/>
          <w:color w:val="auto"/>
        </w:rPr>
      </w:pPr>
    </w:p>
    <w:p>
      <w:pPr>
        <w:ind w:left="1940" w:hanging="650"/>
        <w:spacing w:after="0"/>
        <w:tabs>
          <w:tab w:leader="none" w:pos="19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Demand Registrations and Takedown Offerings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1301"/>
        <w:spacing w:after="0" w:line="252" w:lineRule="auto"/>
        <w:tabs>
          <w:tab w:leader="none" w:pos="2585"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 shall not be obligated to effect any Demand Registration within 60 days prior to Pubco’s good faith estimate of the date of filing of a Registration Statement in respect of an underwritten public offering of Pubco’s securities and for such a period of time after such a filing as the managing underwriters request, provided that such period shall not exceed 120 days from the date of the underwriting agreement entered into in respect of such underwritten public offering. Pubco may postpone, for up to 60 days from the date of the request, the filing or the effectiveness of a Registration Statement for a Demand Registration or suspend the use of a prospectus that is part of any Resale Shelf Registration Statement (and therefore suspend sales of the Registrable Securities included therein pursuant to such Resale Shelf Registration Statement) by providing written notice to the holders of Registrable Securities in accordance with </w:t>
      </w:r>
      <w:r>
        <w:rPr>
          <w:rFonts w:ascii="Times New Roman" w:cs="Times New Roman" w:eastAsia="Times New Roman" w:hAnsi="Times New Roman"/>
          <w:sz w:val="18"/>
          <w:szCs w:val="18"/>
          <w:u w:val="single" w:color="auto"/>
          <w:color w:val="auto"/>
        </w:rPr>
        <w:t>Section 2(f)(ii)</w:t>
      </w:r>
      <w:r>
        <w:rPr>
          <w:rFonts w:ascii="Times New Roman" w:cs="Times New Roman" w:eastAsia="Times New Roman" w:hAnsi="Times New Roman"/>
          <w:sz w:val="18"/>
          <w:szCs w:val="18"/>
          <w:color w:val="auto"/>
        </w:rPr>
        <w:t xml:space="preserve"> if the board of directors of Pubco reasonably determines in good faith that the offer or sale of Registrable Securities would be expected to have a detrimental effect on any proposal or plan by Pubco or any subsidiary thereof to engage in any material acquisition or disposition of assets or stock (other than in the ordinary course of business) or any material merger, consolidation, tender offer, recapitalization, reorganization or similar transaction or would require Pubco to disclose any material nonpublic information which would reasonably be likely to be detrimental to Pubco and its subsidiaries; provided that in such event, the holders of Registrable Securities initially requesting such Demand Registration or Takedown Demand shall be entitled to withdraw such request. Pubco may delay or suspend the effectiveness of a Registration Statement filed hereunder or takedown offering pursuant to this </w:t>
      </w:r>
      <w:r>
        <w:rPr>
          <w:rFonts w:ascii="Times New Roman" w:cs="Times New Roman" w:eastAsia="Times New Roman" w:hAnsi="Times New Roman"/>
          <w:sz w:val="18"/>
          <w:szCs w:val="18"/>
          <w:u w:val="single" w:color="auto"/>
          <w:color w:val="auto"/>
        </w:rPr>
        <w:t>Section 2(f)(i)</w:t>
      </w:r>
      <w:r>
        <w:rPr>
          <w:rFonts w:ascii="Times New Roman" w:cs="Times New Roman" w:eastAsia="Times New Roman" w:hAnsi="Times New Roman"/>
          <w:sz w:val="18"/>
          <w:szCs w:val="18"/>
          <w:color w:val="auto"/>
        </w:rPr>
        <w:t xml:space="preserve"> twice in any consecutive twelve-month period; provided that, for the avoidance of doubt, Pubco may in any event delay or suspend the effectiveness of Demand Registration or takedown offering in the case of an event described under </w:t>
      </w:r>
      <w:r>
        <w:rPr>
          <w:rFonts w:ascii="Times New Roman" w:cs="Times New Roman" w:eastAsia="Times New Roman" w:hAnsi="Times New Roman"/>
          <w:sz w:val="18"/>
          <w:szCs w:val="18"/>
          <w:u w:val="single" w:color="auto"/>
          <w:color w:val="auto"/>
        </w:rPr>
        <w:t>Section 5(g)</w:t>
      </w:r>
      <w:r>
        <w:rPr>
          <w:rFonts w:ascii="Times New Roman" w:cs="Times New Roman" w:eastAsia="Times New Roman" w:hAnsi="Times New Roman"/>
          <w:sz w:val="18"/>
          <w:szCs w:val="18"/>
          <w:color w:val="auto"/>
        </w:rPr>
        <w:t xml:space="preserve"> to enable it to comply with its obligations set forth in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left="640" w:firstLine="1301"/>
        <w:spacing w:after="0" w:line="252" w:lineRule="auto"/>
        <w:tabs>
          <w:tab w:leader="none" w:pos="2585"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event that causes Pubco to suspend the use of any Resale Shelf Registration as set forth in </w:t>
      </w:r>
      <w:r>
        <w:rPr>
          <w:rFonts w:ascii="Times New Roman" w:cs="Times New Roman" w:eastAsia="Times New Roman" w:hAnsi="Times New Roman"/>
          <w:sz w:val="18"/>
          <w:szCs w:val="18"/>
          <w:u w:val="single" w:color="auto"/>
          <w:color w:val="auto"/>
        </w:rPr>
        <w:t>Section 2(f)(i)</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5(g)</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Pubco shall give a notice to the holders of Registrable Securities registered pursuant to such Shelf Registration (a “</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no later than three Business Days from the date of such Suspension Event, to suspend sales of the Registrable Securities and, subject to the MNPI Provisions, such notice shall state that such suspension shall continue only for so long as the Suspension Event or its effect is continuing (provided that in each notice Pubco shall not disclose the basis for such suspension or any material non-public information to any Investor unless otherwise requested in writing by such Investor). Pubco shall use commercially reasonable efforts to make the Resale Shelf Registration Statement available for the sale by Investors of Registrable Securities as soon as practicable following a Suspension Event. A holder of Registrable Securities shall not effect any sales of the Registrable Securities pursuant to such Resale Shelf Registration (or such filings) at any time after it has received a Suspension Notice from Pubco and prior to receipt of an End of Suspension Notice (as defined below); provided, for the avoidance of doubt, that the foregoing shall not restrict or otherwise affect the consummation of any sale pursuant to a contract entered into, or order placed, by any holder prior to the delivery the Suspension Notice. Each holder of Registrable Securities agrees that such holder shall treat as confidential the receipt of the Suspension Notice and shall not disclose the information contained in such Suspension Notice without the prior written consent of Pubco until such time as the information contained therein is or becomes available to the public generally, other than as a result of disclosure by such holder in breach of the terms of this Agreement. The holders of Registrable Securities may recommence effecting sales of the Registrable Securities pursuant to the Resale Shelf Registration (or such filings) following further written notice to such effect (an “</w:t>
      </w:r>
      <w:r>
        <w:rPr>
          <w:rFonts w:ascii="Times New Roman" w:cs="Times New Roman" w:eastAsia="Times New Roman" w:hAnsi="Times New Roman"/>
          <w:sz w:val="18"/>
          <w:szCs w:val="18"/>
          <w:u w:val="single" w:color="auto"/>
          <w:color w:val="auto"/>
        </w:rPr>
        <w:t>End of Suspension Notice</w:t>
      </w:r>
      <w:r>
        <w:rPr>
          <w:rFonts w:ascii="Times New Roman" w:cs="Times New Roman" w:eastAsia="Times New Roman" w:hAnsi="Times New Roman"/>
          <w:sz w:val="18"/>
          <w:szCs w:val="18"/>
          <w:color w:val="auto"/>
        </w:rPr>
        <w:t>”) from Pubco, which End of Suspension Notice shall be given by Pubco to the holders of Registrable Securities and to such holders’ counsel, if any, promptly following the conclusion of any Suspension Event.</w:t>
      </w:r>
    </w:p>
    <w:p>
      <w:pPr>
        <w:spacing w:after="0" w:line="201" w:lineRule="exact"/>
        <w:rPr>
          <w:rFonts w:ascii="Times New Roman" w:cs="Times New Roman" w:eastAsia="Times New Roman" w:hAnsi="Times New Roman"/>
          <w:sz w:val="18"/>
          <w:szCs w:val="18"/>
          <w:color w:val="auto"/>
        </w:rPr>
      </w:pPr>
    </w:p>
    <w:p>
      <w:pPr>
        <w:jc w:val="both"/>
        <w:ind w:left="640" w:firstLine="1301"/>
        <w:spacing w:after="0" w:line="255" w:lineRule="auto"/>
        <w:tabs>
          <w:tab w:leader="none" w:pos="2585"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if Pubco shall give a Suspension Notice with respect to any Resale Shelf Registration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Pubco agrees that it shall extend the period of time during which such Resale Shelf Registration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provided that such period of time shall not be extended beyond the date that Common Stock covered by such Resale Shelf Registration are no longer Registrable Securities.</w:t>
      </w:r>
    </w:p>
    <w:p>
      <w:pPr>
        <w:spacing w:after="0" w:line="200" w:lineRule="exact"/>
        <w:rPr>
          <w:sz w:val="20"/>
          <w:szCs w:val="20"/>
          <w:color w:val="auto"/>
        </w:rPr>
      </w:pPr>
    </w:p>
    <w:p>
      <w:pPr>
        <w:spacing w:after="0" w:line="20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2" w:name="page223"/>
    <w:bookmarkEnd w:id="222"/>
    <w:p>
      <w:pPr>
        <w:jc w:val="both"/>
        <w:ind w:left="640" w:firstLine="653"/>
        <w:spacing w:after="0" w:line="253" w:lineRule="auto"/>
        <w:tabs>
          <w:tab w:leader="none" w:pos="1937"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In connection with any Demand Registration, the Applicable Approving Party shall have the right to select the investment banker(s) and manager(s) to administer the offering; provided that such selection shall be subject to the written consent of Pubco, which consent will not be unreasonably withheld, conditioned or delayed. If any takedown offering is an underwritten offering, the Applicable Approving Party shall have the right to select the investment banker(s) and manager(s) to administer such takedown offering, provided that such selection shall be subject to the written consent of Pubco, which consent will not be unreasonably withheld, conditioned or delayed. In each case, Pubco and the Applicable Approving Party shall have the right to approve the underwriting arrangements with such investment banker(s) and manager(s) on behalf of all holders of Registrable Securities participating in such offering. All Investors proposing to distribute their securities through underwriting shall (together with Pubco) enter into an underwriting agreement in customary form with the underwriter or underwriters selected for such underwriting.</w:t>
      </w:r>
    </w:p>
    <w:p>
      <w:pPr>
        <w:spacing w:after="0" w:line="207" w:lineRule="exact"/>
        <w:rPr>
          <w:rFonts w:ascii="Times New Roman" w:cs="Times New Roman" w:eastAsia="Times New Roman" w:hAnsi="Times New Roman"/>
          <w:sz w:val="18"/>
          <w:szCs w:val="18"/>
          <w:color w:val="auto"/>
        </w:rPr>
      </w:pPr>
    </w:p>
    <w:p>
      <w:pPr>
        <w:jc w:val="both"/>
        <w:ind w:left="640" w:firstLine="654"/>
        <w:spacing w:after="0" w:line="258" w:lineRule="auto"/>
        <w:tabs>
          <w:tab w:leader="none" w:pos="1937"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Pubco represents and warrants to each holder of Registrable Securities that the registration rights granted in this Agreement do not conflict with any other registration rights granted by Pubco. Except as provided in this Agreement, Pubco shall not grant to any Persons the right to request Pubco to register any equity securities of Pubco, or any securities, options or rights convertible or exchangeable into or exercisable for such securities, without the prior written consent of the holders of a majority of the Registrable Securities then outstanding.</w:t>
      </w:r>
    </w:p>
    <w:p>
      <w:pPr>
        <w:spacing w:after="0" w:line="183" w:lineRule="exact"/>
        <w:rPr>
          <w:rFonts w:ascii="Times New Roman" w:cs="Times New Roman" w:eastAsia="Times New Roman" w:hAnsi="Times New Roman"/>
          <w:sz w:val="18"/>
          <w:szCs w:val="18"/>
          <w:color w:val="auto"/>
        </w:rPr>
      </w:pPr>
    </w:p>
    <w:p>
      <w:pPr>
        <w:jc w:val="both"/>
        <w:ind w:left="640" w:firstLine="654"/>
        <w:spacing w:after="0" w:line="256" w:lineRule="auto"/>
        <w:tabs>
          <w:tab w:leader="none" w:pos="1936"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Demand Notice or Takedown Notice</w:t>
      </w:r>
      <w:r>
        <w:rPr>
          <w:rFonts w:ascii="Times New Roman" w:cs="Times New Roman" w:eastAsia="Times New Roman" w:hAnsi="Times New Roman"/>
          <w:sz w:val="18"/>
          <w:szCs w:val="18"/>
          <w:color w:val="auto"/>
        </w:rPr>
        <w:t>. At any time prior to the effective date of the Registration Statement relating to a Demand Registration or the “pricing” of any offering relating to a Takedown Demand, the holders of Registrable Securities that requested such Demand Registration or takedown offering may revoke such request for a Demand Registration or takedown offering on behalf of all holders of Registrable Securities participating in such Demand Registration or takedown offering without liability to such holders of Registrable Securities, in each case by providing written notice to Pubco.</w:t>
      </w:r>
    </w:p>
    <w:p>
      <w:pPr>
        <w:spacing w:after="0" w:line="200"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4"/>
        <w:spacing w:after="0" w:line="254" w:lineRule="auto"/>
        <w:tabs>
          <w:tab w:leader="none" w:pos="1936"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Piggyback</w:t>
      </w:r>
      <w:r>
        <w:rPr>
          <w:rFonts w:ascii="Times New Roman" w:cs="Times New Roman" w:eastAsia="Times New Roman" w:hAnsi="Times New Roman"/>
          <w:sz w:val="18"/>
          <w:szCs w:val="18"/>
          <w:color w:val="auto"/>
        </w:rPr>
        <w:t xml:space="preserve">. Whenever Pubco proposes to register under the Securities Act an offering of any of its securities on behalf of any holders thereof or otherwise effect an underwritten offering of securities (other than (i) pursuant to the Resale Shelf Registration Statement, (ii) pursuant to a Demand Registration (which, for the avoidance of doubt, is addressed in and subject to the rights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(iii) pursuant to a Takedown Demand (which, for the avoidance of doubt, is addressed in and subject to the rights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3" w:lineRule="exact"/>
        <w:rPr>
          <w:rFonts w:ascii="Times New Roman" w:cs="Times New Roman" w:eastAsia="Times New Roman" w:hAnsi="Times New Roman"/>
          <w:sz w:val="18"/>
          <w:szCs w:val="18"/>
          <w:color w:val="auto"/>
        </w:rPr>
      </w:pPr>
    </w:p>
    <w:p>
      <w:pPr>
        <w:jc w:val="both"/>
        <w:ind w:left="640" w:firstLine="6"/>
        <w:spacing w:after="0" w:line="251" w:lineRule="auto"/>
        <w:tabs>
          <w:tab w:leader="none" w:pos="96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registrations on Form S-4 or S-8 promulgated by the Commission or any successor forms, (v) pursuant to a registration relating solely to employment benefit plans, or (vi) in connection with a registration the primary purpose of which is to register debt securities) and the registration form to be used may be used for the registration of Registrable Securities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Pubco shall give prompt written notice to all holders of Registrable Securities of its intention to effect such a Piggyback Registration and, subject to the terms of </w:t>
      </w:r>
      <w:r>
        <w:rPr>
          <w:rFonts w:ascii="Times New Roman" w:cs="Times New Roman" w:eastAsia="Times New Roman" w:hAnsi="Times New Roman"/>
          <w:sz w:val="18"/>
          <w:szCs w:val="18"/>
          <w:u w:val="single" w:color="auto"/>
          <w:color w:val="auto"/>
        </w:rPr>
        <w:t>Sections 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3(d)</w:t>
      </w:r>
      <w:r>
        <w:rPr>
          <w:rFonts w:ascii="Times New Roman" w:cs="Times New Roman" w:eastAsia="Times New Roman" w:hAnsi="Times New Roman"/>
          <w:sz w:val="18"/>
          <w:szCs w:val="18"/>
          <w:color w:val="auto"/>
        </w:rPr>
        <w:t xml:space="preserve"> hereof, shall include in such Piggyback Registration (and in all related registrations or qualifications under blue sky laws or in compliance with other registration requirements and in any related underwriting) all Registrable Securities with respect to which Pubco has received written requests for inclusion therein within 10 Business Days after the delivery of Pubco’s notice; provided that any such other holder may withdraw its request for inclusion at any time prior to executing the underwriting agreement or, if none, prior to the applicable Registration Statement becoming effective (if applicable).</w:t>
      </w:r>
    </w:p>
    <w:p>
      <w:pPr>
        <w:spacing w:after="0" w:line="206" w:lineRule="exact"/>
        <w:rPr>
          <w:rFonts w:ascii="Times New Roman" w:cs="Times New Roman" w:eastAsia="Times New Roman" w:hAnsi="Times New Roman"/>
          <w:sz w:val="18"/>
          <w:szCs w:val="18"/>
          <w:color w:val="auto"/>
        </w:rPr>
      </w:pPr>
    </w:p>
    <w:p>
      <w:pPr>
        <w:ind w:left="640" w:firstLine="654"/>
        <w:spacing w:after="0" w:line="282" w:lineRule="auto"/>
        <w:tabs>
          <w:tab w:leader="none" w:pos="1937"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Expenses</w:t>
      </w:r>
      <w:r>
        <w:rPr>
          <w:rFonts w:ascii="Times New Roman" w:cs="Times New Roman" w:eastAsia="Times New Roman" w:hAnsi="Times New Roman"/>
          <w:sz w:val="18"/>
          <w:szCs w:val="18"/>
          <w:color w:val="auto"/>
        </w:rPr>
        <w:t>. The Registration Expenses of the holders of Registrable Securities shall be paid by Pubco in all Piggyback Registrations, whether or not any such registration became effective.</w:t>
      </w:r>
    </w:p>
    <w:p>
      <w:pPr>
        <w:spacing w:after="0" w:line="161" w:lineRule="exact"/>
        <w:rPr>
          <w:rFonts w:ascii="Times New Roman" w:cs="Times New Roman" w:eastAsia="Times New Roman" w:hAnsi="Times New Roman"/>
          <w:sz w:val="18"/>
          <w:szCs w:val="18"/>
          <w:color w:val="auto"/>
        </w:rPr>
      </w:pPr>
    </w:p>
    <w:p>
      <w:pPr>
        <w:jc w:val="both"/>
        <w:ind w:left="640" w:firstLine="654"/>
        <w:spacing w:after="0" w:line="254" w:lineRule="auto"/>
        <w:tabs>
          <w:tab w:leader="none" w:pos="1936"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Primary Registrations</w:t>
      </w:r>
      <w:r>
        <w:rPr>
          <w:rFonts w:ascii="Times New Roman" w:cs="Times New Roman" w:eastAsia="Times New Roman" w:hAnsi="Times New Roman"/>
          <w:sz w:val="18"/>
          <w:szCs w:val="18"/>
          <w:color w:val="auto"/>
        </w:rPr>
        <w:t>. If a Piggyback Registration is an underwritten primary registration on behalf of Pubco,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Pubco proposes to sell, (ii) 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w:t>
      </w:r>
    </w:p>
    <w:p>
      <w:pPr>
        <w:spacing w:after="0" w:line="200" w:lineRule="exact"/>
        <w:rPr>
          <w:sz w:val="20"/>
          <w:szCs w:val="20"/>
          <w:color w:val="auto"/>
        </w:rPr>
      </w:pPr>
    </w:p>
    <w:p>
      <w:pPr>
        <w:spacing w:after="0" w:line="20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3" w:name="page224"/>
    <w:bookmarkEnd w:id="223"/>
    <w:p>
      <w:pPr>
        <w:ind w:left="640" w:right="280"/>
        <w:spacing w:after="0" w:line="282" w:lineRule="auto"/>
        <w:rPr>
          <w:sz w:val="20"/>
          <w:szCs w:val="20"/>
          <w:color w:val="auto"/>
        </w:rPr>
      </w:pPr>
      <w:r>
        <w:rPr>
          <w:rFonts w:ascii="Times New Roman" w:cs="Times New Roman" w:eastAsia="Times New Roman" w:hAnsi="Times New Roman"/>
          <w:sz w:val="18"/>
          <w:szCs w:val="18"/>
          <w:color w:val="auto"/>
        </w:rPr>
        <w:t>securities requested to be included in such registration which, in the opinion of such underwriters, can be sold, without any such adverse effect.</w:t>
      </w:r>
    </w:p>
    <w:p>
      <w:pPr>
        <w:spacing w:after="0" w:line="175" w:lineRule="exact"/>
        <w:rPr>
          <w:sz w:val="20"/>
          <w:szCs w:val="20"/>
          <w:color w:val="auto"/>
        </w:rPr>
      </w:pPr>
    </w:p>
    <w:p>
      <w:pPr>
        <w:jc w:val="both"/>
        <w:ind w:left="640" w:firstLine="653"/>
        <w:spacing w:after="0" w:line="253" w:lineRule="auto"/>
        <w:tabs>
          <w:tab w:leader="none" w:pos="1937"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Secondary Registrations</w:t>
      </w:r>
      <w:r>
        <w:rPr>
          <w:rFonts w:ascii="Times New Roman" w:cs="Times New Roman" w:eastAsia="Times New Roman" w:hAnsi="Times New Roman"/>
          <w:sz w:val="18"/>
          <w:szCs w:val="18"/>
          <w:color w:val="auto"/>
        </w:rPr>
        <w:t>. If a Piggyback Registration is an underwritten secondary registration on behalf of holders of Pubco’s securities other than holders of Registrable Securities,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requested to be included therein by the holders initially requesting such registration,</w:t>
      </w:r>
    </w:p>
    <w:p>
      <w:pPr>
        <w:spacing w:after="0" w:line="5" w:lineRule="exact"/>
        <w:rPr>
          <w:rFonts w:ascii="Times New Roman" w:cs="Times New Roman" w:eastAsia="Times New Roman" w:hAnsi="Times New Roman"/>
          <w:sz w:val="18"/>
          <w:szCs w:val="18"/>
          <w:color w:val="auto"/>
        </w:rPr>
      </w:pPr>
    </w:p>
    <w:p>
      <w:pPr>
        <w:jc w:val="both"/>
        <w:ind w:left="640" w:firstLine="5"/>
        <w:spacing w:after="0" w:line="253" w:lineRule="auto"/>
        <w:tabs>
          <w:tab w:leader="none" w:pos="91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186" w:lineRule="exact"/>
        <w:rPr>
          <w:rFonts w:ascii="Times New Roman" w:cs="Times New Roman" w:eastAsia="Times New Roman" w:hAnsi="Times New Roman"/>
          <w:sz w:val="18"/>
          <w:szCs w:val="18"/>
          <w:color w:val="auto"/>
        </w:rPr>
      </w:pPr>
    </w:p>
    <w:p>
      <w:pPr>
        <w:jc w:val="both"/>
        <w:ind w:left="640" w:firstLine="653"/>
        <w:spacing w:after="0" w:line="254" w:lineRule="auto"/>
        <w:tabs>
          <w:tab w:leader="none" w:pos="1937"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Registrations</w:t>
      </w:r>
      <w:r>
        <w:rPr>
          <w:rFonts w:ascii="Times New Roman" w:cs="Times New Roman" w:eastAsia="Times New Roman" w:hAnsi="Times New Roman"/>
          <w:sz w:val="18"/>
          <w:szCs w:val="18"/>
          <w:color w:val="auto"/>
        </w:rPr>
        <w:t xml:space="preserve">. If Pubco has previously filed a Registration Statement with respect to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if such previous registration has not been withdrawn or abandoned, then Pubco shall not be required to file or cause to be effected any other registration of any of its equity securities or securities convertible or exchangeable into or exercisable for its equity securities under the Securities Act (except on Form S-8 or any successor form or the Resale Shelf Registration Statement or a New Registration Statement) at the request of any holder or holders of such Registrable Securities until a period of at least 90 days has elapsed from the effective date of such previous registration; provided, however, that Pubco shall at all times remain obligated to file, supplement and/or amend, as applicable, each Registration Statement required to be filed pursuant to Section 1 in accordance with Sections 1(a) and 1(b), as applicable.</w:t>
      </w:r>
    </w:p>
    <w:p>
      <w:pPr>
        <w:spacing w:after="0" w:line="188" w:lineRule="exact"/>
        <w:rPr>
          <w:rFonts w:ascii="Times New Roman" w:cs="Times New Roman" w:eastAsia="Times New Roman" w:hAnsi="Times New Roman"/>
          <w:sz w:val="18"/>
          <w:szCs w:val="18"/>
          <w:color w:val="auto"/>
        </w:rPr>
      </w:pPr>
    </w:p>
    <w:p>
      <w:pPr>
        <w:jc w:val="both"/>
        <w:ind w:left="640" w:firstLine="654"/>
        <w:spacing w:after="0" w:line="261" w:lineRule="auto"/>
        <w:tabs>
          <w:tab w:leader="none" w:pos="1936"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Terminate Registration</w:t>
      </w:r>
      <w:r>
        <w:rPr>
          <w:rFonts w:ascii="Times New Roman" w:cs="Times New Roman" w:eastAsia="Times New Roman" w:hAnsi="Times New Roman"/>
          <w:sz w:val="18"/>
          <w:szCs w:val="18"/>
          <w:color w:val="auto"/>
        </w:rPr>
        <w:t xml:space="preserve">. Pubco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 whether or not any holder of Registrable Securities has elected to include securities in such registration. The Registration Expenses of such withdrawn registration shall be borne by Pubco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of Certain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52" w:lineRule="auto"/>
        <w:tabs>
          <w:tab w:leader="none" w:pos="1937"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by the managing underwriter(s), in connection with any underwritten Public Offering on or after the date hereof, any Investor that beneficially owns 1% or more of the outstanding Common Stock on the date of such underwritten Public Offering shall enter into lock-up agreements with the managing underwriter(s) of such underwritten Public Offering in such form as agreed to by such managing underwriter(s). In no event shall any Investor holding Registrable Securities be required to enter into any such lock-up agreement (i) that contains less favorable terms than the terms offered to any other Investor, or (ii) unless such Investor has requested its Registrable Securities be included in such underwritten registration, after the first anniversary of the date hereof if it owns less than 5% of the outstanding Common Stock on the date of such underwritten Public Offering. In addition, (i) in no event shall any Investor be required to enter into lock-up agreements pursuant to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on more than two occasions (unless such Investor is including its Registrable Securities in an underwritten registration and such lock-up is requested by the managing underwriter(s) in connection therewith), (ii) any lock-up agreement into which any Investor enters into pursuant to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be for a period of not more than 60 days, (iii) the obligations of the Investors to enter into lockup agreements pursuant to this Section 4(a) shall terminate on the second anniversary of the date hereof, and (iv) no Investor shall be required to enter into a lock-up agreement pursuant to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within six months following the expiration of a previous lock-up agreement entered into by such Investor pursuant to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left="640" w:firstLine="654"/>
        <w:spacing w:after="0" w:line="259" w:lineRule="auto"/>
        <w:tabs>
          <w:tab w:leader="none" w:pos="1937"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Registrable Securities shall use commercially reasonable efforts to provide such information as may reasonably be requested by Pubco, or the managing underwriter, if any, in connection with the preparation of any Registration Statement in which the Registrable Securities of such holder are to be included, including amendments and supplements thereto, in order to effect the Registration Statement, including amendments and supplements thereto,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Notwithstanding anything else in this Agreement, Pubco shall not be obligated to include such holder’s Registrable Securities to the extent Pubco has not received such information, and received any other reasonably requested selling stockholder questionnaires, on or prior to the later of (i)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w:t>
      </w:r>
    </w:p>
    <w:p>
      <w:pPr>
        <w:spacing w:after="0" w:line="2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4" w:name="page225"/>
    <w:bookmarkEnd w:id="224"/>
    <w:p>
      <w:pPr>
        <w:ind w:left="640" w:right="100"/>
        <w:spacing w:after="0" w:line="282" w:lineRule="auto"/>
        <w:rPr>
          <w:sz w:val="20"/>
          <w:szCs w:val="20"/>
          <w:color w:val="auto"/>
        </w:rPr>
      </w:pPr>
      <w:r>
        <w:rPr>
          <w:rFonts w:ascii="Times New Roman" w:cs="Times New Roman" w:eastAsia="Times New Roman" w:hAnsi="Times New Roman"/>
          <w:sz w:val="18"/>
          <w:szCs w:val="18"/>
          <w:color w:val="auto"/>
        </w:rPr>
        <w:t>following the date on which such information is requested from such holder and (ii) the second Business Day prior to the first anticipated filing date of a Registration Statement pursuant to this Agreement.</w:t>
      </w:r>
    </w:p>
    <w:p>
      <w:pPr>
        <w:spacing w:after="0" w:line="175" w:lineRule="exact"/>
        <w:rPr>
          <w:sz w:val="20"/>
          <w:szCs w:val="20"/>
          <w:color w:val="auto"/>
        </w:rPr>
      </w:pPr>
    </w:p>
    <w:p>
      <w:pPr>
        <w:jc w:val="both"/>
        <w:ind w:left="640" w:firstLine="6"/>
        <w:spacing w:after="0" w:line="258" w:lineRule="auto"/>
        <w:tabs>
          <w:tab w:leader="none" w:pos="1287"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In connection with the Registration to be effected pursuant to the Resale Shelf Registration Statement, and whenever the holders of Registrable Securities have requested that any Registrable Securities be registered pursuant to this Agreement or have initiated a takedown offering, Pubco shall use its reasonable best efforts to effect the registration and the sale of such Registrable Securities in accordance with the intended method of disposition thereof, and pursuant thereto Pubco shall as expeditiously as reasonably possible:</w:t>
      </w:r>
    </w:p>
    <w:p>
      <w:pPr>
        <w:spacing w:after="0" w:line="183" w:lineRule="exact"/>
        <w:rPr>
          <w:rFonts w:ascii="Times New Roman" w:cs="Times New Roman" w:eastAsia="Times New Roman" w:hAnsi="Times New Roman"/>
          <w:sz w:val="18"/>
          <w:szCs w:val="18"/>
          <w:color w:val="auto"/>
        </w:rPr>
      </w:pPr>
    </w:p>
    <w:p>
      <w:pPr>
        <w:jc w:val="both"/>
        <w:ind w:left="640" w:firstLine="653"/>
        <w:spacing w:after="0" w:line="254" w:lineRule="auto"/>
        <w:tabs>
          <w:tab w:leader="none" w:pos="193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in accordance with the Securities Act and all applicable rules and regulations promulgated thereunder and file with the Commission a Registration Statement, and all amendments and supplements thereto and related prospectuses as may be necessary to comply with applicable securities laws, with respect to such Registrable Securities and use its reasonable best efforts to cause such Registration Statement to become effective (provided that at least two Business Days before filing a Registration Statement or prospectus or any amendments or supplements thereto, Pubco shall furnish to counsel selected by the Applicable Approving Party copies of all such documents proposed to be filed, which documents shall be subject to the review and comment of such counsel, and no such document shall be filed with the Commission to which any Investor or its counsel reasonably objects);</w:t>
      </w:r>
    </w:p>
    <w:p>
      <w:pPr>
        <w:spacing w:after="0" w:line="191" w:lineRule="exact"/>
        <w:rPr>
          <w:rFonts w:ascii="Times New Roman" w:cs="Times New Roman" w:eastAsia="Times New Roman" w:hAnsi="Times New Roman"/>
          <w:sz w:val="18"/>
          <w:szCs w:val="18"/>
          <w:color w:val="auto"/>
        </w:rPr>
      </w:pPr>
    </w:p>
    <w:p>
      <w:pPr>
        <w:jc w:val="both"/>
        <w:ind w:left="640" w:firstLine="653"/>
        <w:spacing w:after="0" w:line="258" w:lineRule="auto"/>
        <w:tabs>
          <w:tab w:leader="none" w:pos="193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of (A) the issuance by the Commission of any stop order suspending the effectiveness of any Registration Statement or the initiation of any proceedings for that purpose, (B) the receipt by Pubco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96" w:lineRule="exact"/>
        <w:rPr>
          <w:rFonts w:ascii="Times New Roman" w:cs="Times New Roman" w:eastAsia="Times New Roman" w:hAnsi="Times New Roman"/>
          <w:sz w:val="18"/>
          <w:szCs w:val="18"/>
          <w:color w:val="auto"/>
        </w:rPr>
      </w:pPr>
    </w:p>
    <w:p>
      <w:pPr>
        <w:jc w:val="both"/>
        <w:ind w:left="640" w:firstLine="654"/>
        <w:spacing w:after="0" w:line="253" w:lineRule="auto"/>
        <w:tabs>
          <w:tab w:leader="none" w:pos="193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supplements to such Registration Statement and the prospectus used in connection therewith as may be necessary to keep such Registration Statement and the prospectus used in connection therewith current, effective and available for the resale of all of the Registrable Securities required to be covered thereby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205" w:lineRule="exact"/>
        <w:rPr>
          <w:rFonts w:ascii="Times New Roman" w:cs="Times New Roman" w:eastAsia="Times New Roman" w:hAnsi="Times New Roman"/>
          <w:sz w:val="18"/>
          <w:szCs w:val="18"/>
          <w:color w:val="auto"/>
        </w:rPr>
      </w:pPr>
    </w:p>
    <w:p>
      <w:pPr>
        <w:jc w:val="both"/>
        <w:ind w:left="640" w:firstLine="653"/>
        <w:spacing w:after="0" w:line="261" w:lineRule="auto"/>
        <w:tabs>
          <w:tab w:leader="none" w:pos="193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seller of Registrable Securities thereunder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79" w:lineRule="exact"/>
        <w:rPr>
          <w:rFonts w:ascii="Times New Roman" w:cs="Times New Roman" w:eastAsia="Times New Roman" w:hAnsi="Times New Roman"/>
          <w:sz w:val="18"/>
          <w:szCs w:val="18"/>
          <w:color w:val="auto"/>
        </w:rPr>
      </w:pPr>
    </w:p>
    <w:p>
      <w:pPr>
        <w:jc w:val="both"/>
        <w:ind w:left="640" w:firstLine="654"/>
        <w:spacing w:after="0" w:line="266" w:lineRule="auto"/>
        <w:tabs>
          <w:tab w:leader="none" w:pos="193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in which a prospectus is required to be delivered under the Securities Act, promptly file all documents required to be filed with the Commission, including pursuant to Sections 13(a), 13(c), 14 or 15(d) of the Securities Act;</w:t>
      </w:r>
    </w:p>
    <w:p>
      <w:pPr>
        <w:spacing w:after="0" w:line="175" w:lineRule="exact"/>
        <w:rPr>
          <w:rFonts w:ascii="Times New Roman" w:cs="Times New Roman" w:eastAsia="Times New Roman" w:hAnsi="Times New Roman"/>
          <w:sz w:val="18"/>
          <w:szCs w:val="18"/>
          <w:color w:val="auto"/>
        </w:rPr>
      </w:pPr>
    </w:p>
    <w:p>
      <w:pPr>
        <w:jc w:val="both"/>
        <w:ind w:left="640" w:firstLine="653"/>
        <w:spacing w:after="0" w:line="253" w:lineRule="auto"/>
        <w:tabs>
          <w:tab w:leader="none" w:pos="193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reasonable best efforts to register or qualify such Registrable Securities under such other securities or blue sky laws of such jurisdictions as the lead underwriter or the Applicable Approving Party reasonably requests and do any and all other acts and things which may be reasonably necessary or advisable to enable such seller to consummate the disposition in such jurisdictions of the Registrable Securities owned by such seller (provided that Pubco shall not be required to (i) qualify generally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(ii) consent to general service of process in any such jurisdiction or</w:t>
      </w:r>
    </w:p>
    <w:p>
      <w:pPr>
        <w:spacing w:after="0" w:line="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subject itself to taxation in any such jurisdiction);</w:t>
      </w:r>
    </w:p>
    <w:p>
      <w:pPr>
        <w:spacing w:after="0" w:line="220"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93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in writing each seller of such Registrable Securities (i) after it receives notice thereof, of the date and time when such Registration Statement and each post-effective amendment thereto has become effective or a prospectus or supplement to any prospectus relating to a Registration Statement has been filed and when</w:t>
      </w:r>
    </w:p>
    <w:p>
      <w:pPr>
        <w:spacing w:after="0" w:line="39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5" w:name="page226"/>
    <w:bookmarkEnd w:id="225"/>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any registration or qualification has become effective under a state securities or blue sky law or any exemption thereunder has been obtained, (ii) subject to the MNPI Provisions after receipt thereof, of any request by the Commission for the amendment or supplementing of such Registration Statement or prospectus or for additional information, and (iii)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Pubco promptly shall prepare, file with the Commission and furnish to each such seller a reasonable number of copies of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208" w:lineRule="exact"/>
        <w:rPr>
          <w:sz w:val="20"/>
          <w:szCs w:val="20"/>
          <w:color w:val="auto"/>
        </w:rPr>
      </w:pPr>
    </w:p>
    <w:p>
      <w:pPr>
        <w:jc w:val="both"/>
        <w:ind w:left="640" w:firstLine="653"/>
        <w:spacing w:after="0" w:line="261" w:lineRule="auto"/>
        <w:tabs>
          <w:tab w:leader="none" w:pos="19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such Registrable Securities to be listed on each securities exchange on which similar securities issued by Pubco are then listed and, if similar securities are not so listed, to be listed on a securities exchange and, without limiting the generality of the foregoing, to arrange for at least two market makers to register as such with respect to such Registrable Securities with FINRA;</w:t>
      </w:r>
    </w:p>
    <w:p>
      <w:pPr>
        <w:spacing w:after="0" w:line="179" w:lineRule="exact"/>
        <w:rPr>
          <w:rFonts w:ascii="Times New Roman" w:cs="Times New Roman" w:eastAsia="Times New Roman" w:hAnsi="Times New Roman"/>
          <w:sz w:val="18"/>
          <w:szCs w:val="18"/>
          <w:color w:val="auto"/>
        </w:rPr>
      </w:pPr>
    </w:p>
    <w:p>
      <w:pPr>
        <w:jc w:val="both"/>
        <w:ind w:left="640" w:firstLine="654"/>
        <w:spacing w:after="0" w:line="258" w:lineRule="auto"/>
        <w:tabs>
          <w:tab w:leader="none" w:pos="19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promptly effect a filing with FINRA pursuant to FINRA Rule 5110 (or successor thereto) with respect to the public offering contemplated by resales of securities under the Resale Shelf Registration Statement (an “</w:t>
      </w:r>
      <w:r>
        <w:rPr>
          <w:rFonts w:ascii="Times New Roman" w:cs="Times New Roman" w:eastAsia="Times New Roman" w:hAnsi="Times New Roman"/>
          <w:sz w:val="18"/>
          <w:szCs w:val="18"/>
          <w:u w:val="single" w:color="auto"/>
          <w:color w:val="auto"/>
        </w:rPr>
        <w:t>Issuer Filing</w:t>
      </w:r>
      <w:r>
        <w:rPr>
          <w:rFonts w:ascii="Times New Roman" w:cs="Times New Roman" w:eastAsia="Times New Roman" w:hAnsi="Times New Roman"/>
          <w:sz w:val="18"/>
          <w:szCs w:val="18"/>
          <w:color w:val="auto"/>
        </w:rPr>
        <w:t>”), pay the filing fee required by such Issuer Filing and use its reasonable best efforts to pursue the Issuer Filing until FINRA issues a letter confirming that it does not object to the terms of the offering contemplated by the Resale Shelf Registration Statement.</w:t>
      </w:r>
    </w:p>
    <w:p>
      <w:pPr>
        <w:spacing w:after="0" w:line="183" w:lineRule="exact"/>
        <w:rPr>
          <w:rFonts w:ascii="Times New Roman" w:cs="Times New Roman" w:eastAsia="Times New Roman" w:hAnsi="Times New Roman"/>
          <w:sz w:val="18"/>
          <w:szCs w:val="18"/>
          <w:color w:val="auto"/>
        </w:rPr>
      </w:pPr>
    </w:p>
    <w:p>
      <w:pPr>
        <w:ind w:left="640" w:firstLine="653"/>
        <w:spacing w:after="0" w:line="282" w:lineRule="auto"/>
        <w:tabs>
          <w:tab w:leader="none" w:pos="19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such Registrable Securities not later than the effective date of such Registration Statement;</w:t>
      </w:r>
    </w:p>
    <w:p>
      <w:pPr>
        <w:spacing w:after="0" w:line="175" w:lineRule="exact"/>
        <w:rPr>
          <w:rFonts w:ascii="Times New Roman" w:cs="Times New Roman" w:eastAsia="Times New Roman" w:hAnsi="Times New Roman"/>
          <w:sz w:val="18"/>
          <w:szCs w:val="18"/>
          <w:color w:val="auto"/>
        </w:rPr>
      </w:pPr>
    </w:p>
    <w:p>
      <w:pPr>
        <w:jc w:val="both"/>
        <w:ind w:left="640" w:firstLine="653"/>
        <w:spacing w:after="0" w:line="258" w:lineRule="auto"/>
        <w:tabs>
          <w:tab w:leader="none" w:pos="19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perform such customary agreements (including underwriting agreements in customary form) and take all such other actions as the Applicable Approving Party or the underwriters, if any, reasonably request in order to expedite or facilitate the disposition of such Registrable Securities (including, without limitation, participating in such number of “road shows”, investor presentations and marketing events as the underwriters managing such offering may reasonably request);</w:t>
      </w:r>
    </w:p>
    <w:p>
      <w:pPr>
        <w:spacing w:after="0" w:line="183" w:lineRule="exact"/>
        <w:rPr>
          <w:rFonts w:ascii="Times New Roman" w:cs="Times New Roman" w:eastAsia="Times New Roman" w:hAnsi="Times New Roman"/>
          <w:sz w:val="18"/>
          <w:szCs w:val="18"/>
          <w:color w:val="auto"/>
        </w:rPr>
      </w:pPr>
    </w:p>
    <w:p>
      <w:pPr>
        <w:jc w:val="both"/>
        <w:ind w:left="640" w:firstLine="653"/>
        <w:spacing w:after="0" w:line="254" w:lineRule="auto"/>
        <w:tabs>
          <w:tab w:leader="none" w:pos="19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by a representative of the Majority Investors, any underwriter participating in any disposition pursuant to such Registration Statement and any attorney, accountant or other agent retained by any such representative or underwriter, all financial and other records, pertinent corporate and business documents and properties of Pubco as shall be reasonably requested to enable them to exercise their due diligence responsibility, and cause Pubco’s officers, managers, directors, employees, agents, representatives and independent accountants to supply all information reasonably requested by any such representative, underwriter, attorney, accountant or agent in connection with such Registration Statement; provided, however, that any such representative or underwriter enters into a confidentiality agreement, in form and substance reasonably satisfactory to Pubco, prior to the release or disclosure of any such information;</w:t>
      </w:r>
    </w:p>
    <w:p>
      <w:pPr>
        <w:spacing w:after="0" w:line="201" w:lineRule="exact"/>
        <w:rPr>
          <w:rFonts w:ascii="Times New Roman" w:cs="Times New Roman" w:eastAsia="Times New Roman" w:hAnsi="Times New Roman"/>
          <w:sz w:val="18"/>
          <w:szCs w:val="18"/>
          <w:color w:val="auto"/>
        </w:rPr>
      </w:pPr>
    </w:p>
    <w:p>
      <w:pPr>
        <w:jc w:val="both"/>
        <w:ind w:left="640" w:firstLine="653"/>
        <w:spacing w:after="0" w:line="256" w:lineRule="auto"/>
        <w:tabs>
          <w:tab w:leader="none" w:pos="193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actions to ensure that any Free-Writing Prospectus utilized in connection with any Demand Registration (including any Shelf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1940" w:hanging="647"/>
        <w:spacing w:after="0"/>
        <w:tabs>
          <w:tab w:leader="none" w:pos="19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comply with all applicable rules and regulations of the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w:t>
      </w:r>
    </w:p>
    <w:p>
      <w:pPr>
        <w:spacing w:after="0" w:line="220" w:lineRule="exact"/>
        <w:rPr>
          <w:rFonts w:ascii="Times New Roman" w:cs="Times New Roman" w:eastAsia="Times New Roman" w:hAnsi="Times New Roman"/>
          <w:sz w:val="18"/>
          <w:szCs w:val="18"/>
          <w:color w:val="auto"/>
        </w:rPr>
      </w:pPr>
    </w:p>
    <w:p>
      <w:pPr>
        <w:jc w:val="both"/>
        <w:ind w:left="640" w:firstLine="653"/>
        <w:spacing w:after="0" w:line="261" w:lineRule="auto"/>
        <w:tabs>
          <w:tab w:leader="none" w:pos="19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holder of Registrable Securities who, in its good faith judgment (based on the advice of counsel), could reasonably be expected to be deemed to be an underwriter or a controlling Person of Pubco to participate in the preparation of such registration or comparable statement and to require the insertion therein of material furnished to Pubco in writing, which in the reasonable judgment of such holder and its counsel should be included;</w:t>
      </w:r>
    </w:p>
    <w:p>
      <w:pPr>
        <w:spacing w:after="0" w:line="39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6" w:name="page227"/>
    <w:bookmarkEnd w:id="226"/>
    <w:p>
      <w:pPr>
        <w:jc w:val="both"/>
        <w:ind w:left="640" w:firstLine="653"/>
        <w:spacing w:after="0" w:line="261" w:lineRule="auto"/>
        <w:tabs>
          <w:tab w:leader="none" w:pos="19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use its reasonable best efforts promptly to obtain the withdrawal of such order;</w:t>
      </w:r>
    </w:p>
    <w:p>
      <w:pPr>
        <w:spacing w:after="0" w:line="193"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9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75" w:lineRule="exact"/>
        <w:rPr>
          <w:rFonts w:ascii="Times New Roman" w:cs="Times New Roman" w:eastAsia="Times New Roman" w:hAnsi="Times New Roman"/>
          <w:sz w:val="18"/>
          <w:szCs w:val="18"/>
          <w:color w:val="auto"/>
        </w:rPr>
      </w:pPr>
    </w:p>
    <w:p>
      <w:pPr>
        <w:jc w:val="both"/>
        <w:ind w:left="640" w:firstLine="654"/>
        <w:spacing w:after="0" w:line="258" w:lineRule="auto"/>
        <w:tabs>
          <w:tab w:leader="none" w:pos="193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196" w:lineRule="exact"/>
        <w:rPr>
          <w:rFonts w:ascii="Times New Roman" w:cs="Times New Roman" w:eastAsia="Times New Roman" w:hAnsi="Times New Roman"/>
          <w:sz w:val="18"/>
          <w:szCs w:val="18"/>
          <w:color w:val="auto"/>
        </w:rPr>
      </w:pPr>
    </w:p>
    <w:p>
      <w:pPr>
        <w:jc w:val="both"/>
        <w:ind w:left="640" w:firstLine="654"/>
        <w:spacing w:after="0" w:line="266" w:lineRule="auto"/>
        <w:tabs>
          <w:tab w:leader="none" w:pos="193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89" w:lineRule="exact"/>
        <w:rPr>
          <w:rFonts w:ascii="Times New Roman" w:cs="Times New Roman" w:eastAsia="Times New Roman" w:hAnsi="Times New Roman"/>
          <w:sz w:val="18"/>
          <w:szCs w:val="18"/>
          <w:color w:val="auto"/>
        </w:rPr>
      </w:pPr>
    </w:p>
    <w:p>
      <w:pPr>
        <w:jc w:val="both"/>
        <w:ind w:left="640" w:firstLine="653"/>
        <w:spacing w:after="0" w:line="261" w:lineRule="auto"/>
        <w:tabs>
          <w:tab w:leader="none" w:pos="19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registration includes an underwritten public offering, use its reasonable best efforts to obtain a cold comfort letter from Pubco’s independent public accountants and addressed to the underwriters, in customary form and covering such matters of the type customarily covered by cold comfort letters as the underwriters in such registration reasonably request;</w:t>
      </w:r>
    </w:p>
    <w:p>
      <w:pPr>
        <w:spacing w:after="0" w:line="179" w:lineRule="exact"/>
        <w:rPr>
          <w:rFonts w:ascii="Times New Roman" w:cs="Times New Roman" w:eastAsia="Times New Roman" w:hAnsi="Times New Roman"/>
          <w:sz w:val="18"/>
          <w:szCs w:val="18"/>
          <w:color w:val="auto"/>
        </w:rPr>
      </w:pPr>
    </w:p>
    <w:p>
      <w:pPr>
        <w:jc w:val="both"/>
        <w:ind w:left="640" w:firstLine="653"/>
        <w:spacing w:after="0" w:line="256" w:lineRule="auto"/>
        <w:tabs>
          <w:tab w:leader="none" w:pos="19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legal opinion of Pubco’s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w:t>
      </w:r>
    </w:p>
    <w:p>
      <w:pPr>
        <w:spacing w:after="0" w:line="187"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9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Pubco files an Automatic Shelf Registration Statement covering any Registrable Securities, use its reasonable best efforts to remain a WKSI (and not become an ineligible issuer (as defined in Rule 405)) during the period during which such Automatic Shelf Registration Statement is required to remain effective;</w:t>
      </w:r>
    </w:p>
    <w:p>
      <w:pPr>
        <w:spacing w:after="0" w:line="175" w:lineRule="exact"/>
        <w:rPr>
          <w:rFonts w:ascii="Times New Roman" w:cs="Times New Roman" w:eastAsia="Times New Roman" w:hAnsi="Times New Roman"/>
          <w:sz w:val="18"/>
          <w:szCs w:val="18"/>
          <w:color w:val="auto"/>
        </w:rPr>
      </w:pPr>
    </w:p>
    <w:p>
      <w:pPr>
        <w:ind w:left="640" w:right="20" w:firstLine="653"/>
        <w:spacing w:after="0" w:line="282" w:lineRule="auto"/>
        <w:tabs>
          <w:tab w:leader="none" w:pos="193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Pubco does not pay the filing fee covering the Registrable Securities at the time an Automatic Shelf Registration Statement is filed, pay such fee at such time or times as the Registrable Securities are to be sold;</w:t>
      </w:r>
    </w:p>
    <w:p>
      <w:pPr>
        <w:spacing w:after="0" w:line="175" w:lineRule="exact"/>
        <w:rPr>
          <w:rFonts w:ascii="Times New Roman" w:cs="Times New Roman" w:eastAsia="Times New Roman" w:hAnsi="Times New Roman"/>
          <w:sz w:val="18"/>
          <w:szCs w:val="18"/>
          <w:color w:val="auto"/>
        </w:rPr>
      </w:pPr>
    </w:p>
    <w:p>
      <w:pPr>
        <w:jc w:val="both"/>
        <w:ind w:left="640" w:firstLine="654"/>
        <w:spacing w:after="0" w:line="256" w:lineRule="auto"/>
        <w:tabs>
          <w:tab w:leader="none" w:pos="193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if an Automatic Shelf Registration Statement has been outstanding for at least three years, at the end of the third year, refile a new Automatic Shelf Registration Statement covering the Registrable Securities, and, if at any time when Pubco is required to re-evaluate its WKSI status Pubco determines that it is not a WKSI, use its reasonable best efforts to refile the Registration Statement on Form S-3 and keep such Registration Statement effective (including by filing a new Resale Shelf Registration or Shelf Registration, if necessary) during the period throughout which such Registration Statement is required to be kept effective;</w:t>
      </w:r>
    </w:p>
    <w:p>
      <w:pPr>
        <w:spacing w:after="0" w:line="187" w:lineRule="exact"/>
        <w:rPr>
          <w:rFonts w:ascii="Times New Roman" w:cs="Times New Roman" w:eastAsia="Times New Roman" w:hAnsi="Times New Roman"/>
          <w:sz w:val="18"/>
          <w:szCs w:val="18"/>
          <w:color w:val="auto"/>
        </w:rPr>
      </w:pPr>
    </w:p>
    <w:p>
      <w:pPr>
        <w:jc w:val="both"/>
        <w:ind w:left="640" w:firstLine="653"/>
        <w:spacing w:after="0" w:line="254" w:lineRule="auto"/>
        <w:tabs>
          <w:tab w:leader="none" w:pos="19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Investor that holds Registrable Securities being offered and the managing underwriter or underwriters with respect to an applicable Registration Statement, if any, to facilitate the timely (i) preparation and delivery of certificates (not bearing any restrictive legends) representing Registrable Securities to be offered pursuant to such Registration Statement, and enable such certificates to be registered in such names and in such denominations or amounts, as the case may be, or (ii) crediting of the Registrable Securities to be offered pursuant to a Registration Statement to the applicable account (or accounts) with The Depository Trust Company (“DTC”) through its Deposit/Withdrawal At Custodian (“DWAC”) system, in any such case as such Investor or the managing underwriter or underwriters, if any, may reasonably request; and</w:t>
      </w:r>
    </w:p>
    <w:p>
      <w:pPr>
        <w:spacing w:after="0" w:line="200" w:lineRule="exact"/>
        <w:rPr>
          <w:sz w:val="20"/>
          <w:szCs w:val="20"/>
          <w:color w:val="auto"/>
        </w:rPr>
      </w:pPr>
    </w:p>
    <w:p>
      <w:pPr>
        <w:spacing w:after="0" w:line="20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7" w:name="page228"/>
    <w:bookmarkEnd w:id="227"/>
    <w:p>
      <w:pPr>
        <w:jc w:val="both"/>
        <w:ind w:left="640" w:firstLine="653"/>
        <w:spacing w:after="0" w:line="254" w:lineRule="auto"/>
        <w:tabs>
          <w:tab w:leader="none" w:pos="193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this Agreement remains effective, (a) cause the Common Stock to be eligible for clearing through DTC, through its DWAC system; (b) be eligible and participating in the Direct Registration System (DRS) of DTC with respect to the Common Stock; (c) ensure that the transfer agent for the Common Stock is a participant in, and that the Common Stock is eligible for transfer pursuant to, DTC’s Fast Automated Securities Transfer Program (or successor thereto); and (d)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use its reasonable best efforts to cause any such “chill,” “freeze” or similar restriction to be removed at the earliest possible time.</w:t>
      </w:r>
    </w:p>
    <w:p>
      <w:pPr>
        <w:spacing w:after="0" w:line="201" w:lineRule="exact"/>
        <w:rPr>
          <w:rFonts w:ascii="Times New Roman" w:cs="Times New Roman" w:eastAsia="Times New Roman" w:hAnsi="Times New Roman"/>
          <w:sz w:val="18"/>
          <w:szCs w:val="18"/>
          <w:color w:val="auto"/>
        </w:rPr>
      </w:pPr>
    </w:p>
    <w:p>
      <w:pPr>
        <w:jc w:val="both"/>
        <w:ind w:left="640" w:firstLine="5"/>
        <w:spacing w:after="0" w:line="261" w:lineRule="auto"/>
        <w:tabs>
          <w:tab w:leader="none" w:pos="128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Notwithstanding anything contained herein to the contrary, the right of any Investor to include Registrable Securities in any Demand Registration or any Piggyback Registration shall terminate on such date that</w:t>
      </w:r>
    </w:p>
    <w:p>
      <w:pPr>
        <w:jc w:val="both"/>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Investor (together with its affiliates) beneficially owns less than 1% of the outstanding Common Stock, (ii) has held the securities for one year and (iii) may sell all of the Registrable Securities owned by such Investor pursuant to Rule</w:t>
      </w:r>
    </w:p>
    <w:p>
      <w:pPr>
        <w:jc w:val="both"/>
        <w:ind w:left="640" w:firstLine="5"/>
        <w:spacing w:after="0" w:line="251" w:lineRule="auto"/>
        <w:tabs>
          <w:tab w:leader="none" w:pos="98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without any restrictions as to volume or the manner of sale or otherwise and without the requirement for Pubco to be in compliance with the current public information required under Rule 144(c)(i) or Rule 144(i)(2); provided, however, that with respect to any Investor whose rights have terminated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if following such a termination, such Investor loses the ability to sell all of its Registrable Securities pursuant to Rule 144 of the Securities Act without any restrictions as to volume or the manner of sale or otherwise and without the requirement for Pubco to be in compliance with the current public information required under Rule 144(c)(i) or Rule 144(i)(2) due to a change in interpretive guidance by the Commission or otherwise, then such Investor’s right to include Registrable Securities in any Demand Registration or any Piggyback Registration shall be reinstated until such time as the Investor is once again able to sell all of its Registrable Securities pursuant to Rule 144 of the Securities Act without any restrictions as to volume or the manner of sale or otherwise and without the requirement for Pubco to be in compliance with the current public information required under Rule 144(c)(i) or Rule 144(i)(2).</w:t>
      </w:r>
    </w:p>
    <w:p>
      <w:pPr>
        <w:spacing w:after="0" w:line="192"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53" w:lineRule="auto"/>
        <w:tabs>
          <w:tab w:leader="none" w:pos="1937"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incident to Pubco’s performance of or compliance with this Agreement, including, without limitation, all registration, qualification and filing fees, listing fees, fees and expenses of compliance with securities or blue sky laws, stock exchange rules and filings, printing expenses, messenger and delivery expenses, fees and disbursements of custodians, and fees and disbursements of counsel for Pubco and all independent certified public accountants, underwriters (excluding underwriting discounts and commissions) and other Persons retained by Pubco (all such expenses being herein called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be borne by Pubco as provided in this Agreement and, for the avoidance of doubt, Pubco also shall pay all of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Pubco are then listed. Each Person that sells securities hereunder shall bear and pay all underwriting discounts and commissions, underwriter marketing costs, brokerage fees and transfer taxes applicable to the securities sold for such Person’s account and all reasonable fees and expenses of any legal counsel representing any such Person.</w:t>
      </w:r>
    </w:p>
    <w:p>
      <w:pPr>
        <w:spacing w:after="0" w:line="187"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93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reimburse the holders of Registrable Securities included in such registration for the reasonable fees and disbursements of one counsel chosen by the Applicable Approving Party in connection with any underwritten Demand Registration.</w:t>
      </w:r>
    </w:p>
    <w:p>
      <w:pPr>
        <w:spacing w:after="0" w:line="189"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55" w:lineRule="auto"/>
        <w:tabs>
          <w:tab w:leader="none" w:pos="1937"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agrees to (i) indemnify, defend and hold harmless, to the fullest extent permitted by law, each Investor, each Person who controls such Investor (within the meaning of the Securities Act or the Exchange Act) each Investor’s and control Person’s respective officers, directors, members, partners, managers, agents, affiliates and employees from and against all losses, claims, actions, damages, liabilities and expenses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caused by any untrue or alleged untrue statement of material fact contained in any Registration Statement, prospectus, preliminary prospectus, free writing prospectus or any amendment thereof or supplement thereto or any omission or alleged omission of a material fact required to be stated therein or necessary to make the statements therein not misleading (in</w:t>
      </w:r>
    </w:p>
    <w:p>
      <w:pPr>
        <w:spacing w:after="0" w:line="200" w:lineRule="exact"/>
        <w:rPr>
          <w:sz w:val="20"/>
          <w:szCs w:val="20"/>
          <w:color w:val="auto"/>
        </w:rPr>
      </w:pPr>
    </w:p>
    <w:p>
      <w:pPr>
        <w:spacing w:after="0" w:line="20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8" w:name="page229"/>
    <w:bookmarkEnd w:id="228"/>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 xml:space="preserve">the case of a prospectus, in light of the circumstances under which the statements therein were made), and (ii) pay to each Investor and their respective officers, directors, members, partners, managers, agents, affiliates and employees and each Person who controls such Investor (within the meaning of the Securities Act or the Exchange Act), as incurred, any legal and any other expenses reasonably incurred in connection with investigating, preparing or defending any such claim, loss, damage, liability or action, except in each case of (i) or (ii) insofar as the same are caused by or contained in any information furnished in writing to Pubco or any managing underwriter by or on behalf of such Investor expressly for use therein; provided, however, that the indemnity agreement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amounts paid in settlement of any such claim, loss, damage, liability or action if such settlement is effected without the consent of Pubco (which consent shall not be unreasonably withheld, conditioned or delayed), nor shall Pubco be liable in any such case for any such claim, loss, damage, liability or action to the extent that it arises out of or is based upon an untrue or alleged untrue statement of any material fact contained in the Registration Statement, prospectus, preliminary prospectus, free writing prospectus or any amendment thereof or supplement thereto or omission or alleged omission to state therein a material fact required to be stated therein or necessary to make the statements therein not misleading, in each case to the extent that such untrue statement or alleged untrue statement or omission or alleged omission was made in the Registration Statement, prospectus, preliminary prospectus, free writing prospectus or any amendment thereof or supplement thereto, in reliance upon and in conformity with written information furnished by or on behalf of such Investor expressly for use in connection with such Registration Statement or to the extent that such Loss results from an Investor’s initiation of a transaction pursuant to a Registration Statement during a Suspension Event noticed to such Investor by Pubco in accordance with Section 2(f)(ii) hereof. In connection with an underwritten offering, Pubco shall indemnify any underwriters or deemed underwriters, their officers and directors and each Person who controls such underwriters (within the meaning of the Securities Act or the Exchange Act) to the same extent as provided above with respect to the indemnification of the holders of Registrable Securities.</w:t>
      </w:r>
    </w:p>
    <w:p>
      <w:pPr>
        <w:spacing w:after="0" w:line="219" w:lineRule="exact"/>
        <w:rPr>
          <w:sz w:val="20"/>
          <w:szCs w:val="20"/>
          <w:color w:val="auto"/>
        </w:rPr>
      </w:pPr>
    </w:p>
    <w:p>
      <w:pPr>
        <w:jc w:val="both"/>
        <w:ind w:left="640" w:firstLine="653"/>
        <w:spacing w:after="0" w:line="252" w:lineRule="auto"/>
        <w:tabs>
          <w:tab w:leader="none" w:pos="193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a holder of Registrable Securities is participating, each such holder shall furnish to Pubco in writing such information relating to such holder as Pubco reasonably requests for use in connection with any such Registration Statement or prospectus and, to the extent permitted by law, shall indemnify Pubco, its officers, directors, employees, agents and representatives and each Person who controls Pubco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so furnished in writing by or on behalf of such holder or to the extent that such Loss results from an Investor’s initiation of a transaction pursuant to a Registration Statement during a Suspension Event noticed to such Investor by Pubco in accordance with Section 2(f)(ii) hereof; provided that the obligation to indemnify shall be individual, not joint and several, for each holder and shall be limited to the net amount of proceeds actually received by such holder from the sale of Registrable Securities pursuant to such Registration Statement.</w:t>
      </w:r>
    </w:p>
    <w:p>
      <w:pPr>
        <w:spacing w:after="0" w:line="197" w:lineRule="exact"/>
        <w:rPr>
          <w:rFonts w:ascii="Times New Roman" w:cs="Times New Roman" w:eastAsia="Times New Roman" w:hAnsi="Times New Roman"/>
          <w:sz w:val="18"/>
          <w:szCs w:val="18"/>
          <w:color w:val="auto"/>
        </w:rPr>
      </w:pPr>
    </w:p>
    <w:p>
      <w:pPr>
        <w:jc w:val="both"/>
        <w:ind w:left="640" w:firstLine="653"/>
        <w:spacing w:after="0" w:line="252" w:lineRule="auto"/>
        <w:tabs>
          <w:tab w:leader="none" w:pos="193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(as well as one local counsel for each applicable jurisdiction)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of a majority of the Registrable Securities included in the registration, at the expense of the indemnifying party. Notwithstanding anything to the contrary contained herein, Pubco shall not, without the prior written consent of the Person entitled to indemnification, consent to entry of any judgment or enter into any settlement or other compromise with respect to</w:t>
      </w:r>
    </w:p>
    <w:p>
      <w:pPr>
        <w:spacing w:after="0" w:line="200" w:lineRule="exact"/>
        <w:rPr>
          <w:sz w:val="20"/>
          <w:szCs w:val="20"/>
          <w:color w:val="auto"/>
        </w:rPr>
      </w:pPr>
    </w:p>
    <w:p>
      <w:pPr>
        <w:spacing w:after="0" w:line="2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29" w:name="page230"/>
    <w:bookmarkEnd w:id="229"/>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any claim in respect of which indemnification or contribution may be or has been sought hereunder (whether or not any such indemnified Person is an actual or potential party to such action or claim) which does not include as an unconditional term thereof the giving by the claimant or plaintiff to the indemnified Persons of a full release from all liability with respect to such claim or which includes any admission as to fault or culpability or failure to act on the part of any indemnified Person.</w:t>
      </w:r>
    </w:p>
    <w:p>
      <w:pPr>
        <w:spacing w:after="0" w:line="197" w:lineRule="exact"/>
        <w:rPr>
          <w:sz w:val="20"/>
          <w:szCs w:val="20"/>
          <w:color w:val="auto"/>
        </w:rPr>
      </w:pPr>
    </w:p>
    <w:p>
      <w:pPr>
        <w:jc w:val="both"/>
        <w:ind w:left="640" w:firstLine="653"/>
        <w:spacing w:after="0" w:line="251" w:lineRule="auto"/>
        <w:tabs>
          <w:tab w:leader="none" w:pos="193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agrees that, if for any reason the indemnification provisions contemplated by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8(b)</w:t>
      </w:r>
      <w:r>
        <w:rPr>
          <w:rFonts w:ascii="Times New Roman" w:cs="Times New Roman" w:eastAsia="Times New Roman" w:hAnsi="Times New Roman"/>
          <w:sz w:val="18"/>
          <w:szCs w:val="18"/>
          <w:color w:val="auto"/>
        </w:rPr>
        <w:t xml:space="preserve"> are unavailable to or insufficient to hold harmless an indemnified party in respect of any losses, claims, damages, liabilities or expenses (or actions in respect thereof) referred to therein, then each indemnifying party, in lieu of indemnifying such indemnified party, shall contribute to the amount paid or payable by such indemnified party as a result of such losses, claims, damages, liabilities or expenses (or actions in respect thereof) in such proportion as is appropriate to reflect the relative fault of the indemnifying party and the indemnified party in connection with the actions which resulted in such losses, claims, damages, liabilities or expenses,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to state a material fact, relates to information supplied by or on behalf of such indemnifying party or indemnified party, and the parties’ relative intent, knowledge, access to information and opportunity to correct or prevent such statement or omission. The parties hereto agree that it would not be just or equitable if contribution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sellers’ obligations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to contribute shall be several in proportion to the amount of securities registered by them and not joint and shall be limited to an amount equal to the net proceeds actually received by such seller from the sale of Registrable Securities effected pursuant to such registration (less the aggregate amount of any damages or other amounts such Investor has otherwise been required to pay (pursuant to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or otherwise) as a result of any untrue statements, alleged untrue statements, omissions or alleged omissions in connection with such registration).</w:t>
      </w:r>
    </w:p>
    <w:p>
      <w:pPr>
        <w:spacing w:after="0" w:line="204" w:lineRule="exact"/>
        <w:rPr>
          <w:rFonts w:ascii="Times New Roman" w:cs="Times New Roman" w:eastAsia="Times New Roman" w:hAnsi="Times New Roman"/>
          <w:sz w:val="18"/>
          <w:szCs w:val="18"/>
          <w:color w:val="auto"/>
        </w:rPr>
      </w:pPr>
    </w:p>
    <w:p>
      <w:pPr>
        <w:jc w:val="both"/>
        <w:ind w:left="640" w:firstLine="653"/>
        <w:spacing w:after="0" w:line="261" w:lineRule="auto"/>
        <w:tabs>
          <w:tab w:leader="none" w:pos="193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contribution provided for under this Agreement shall remain in full force and effect regardless of any investigation made by or on behalf of the indemnified party or any officer, director, manager, agent, representative or controlling Person of such indemnified party and shall survive the transfer of Registrable Securities and the termination or expiration of this Agreement.</w:t>
      </w:r>
    </w:p>
    <w:p>
      <w:pPr>
        <w:spacing w:after="0" w:line="193" w:lineRule="exact"/>
        <w:rPr>
          <w:rFonts w:ascii="Times New Roman" w:cs="Times New Roman" w:eastAsia="Times New Roman" w:hAnsi="Times New Roman"/>
          <w:sz w:val="18"/>
          <w:szCs w:val="18"/>
          <w:color w:val="auto"/>
        </w:rPr>
      </w:pPr>
    </w:p>
    <w:p>
      <w:pPr>
        <w:jc w:val="both"/>
        <w:ind w:left="640" w:firstLine="5"/>
        <w:spacing w:after="0" w:line="252" w:lineRule="auto"/>
        <w:tabs>
          <w:tab w:leader="none" w:pos="128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Underwritten Registrations</w:t>
      </w:r>
      <w:r>
        <w:rPr>
          <w:rFonts w:ascii="Times New Roman" w:cs="Times New Roman" w:eastAsia="Times New Roman" w:hAnsi="Times New Roman"/>
          <w:sz w:val="18"/>
          <w:szCs w:val="18"/>
          <w:color w:val="auto"/>
        </w:rPr>
        <w:t xml:space="preserve">. No Person may participate in any registration hereunder which is underwritten unless such Person (a)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provided that no holder of Registrable Securities shall be required to sell more than the number of Registrable Securities such holder has requested to include) and (b) completes and executes all questionnaires, powers of attorney, custody agreements, stock powers, indemnities, underwriting agreements and other documents required under the terms of such underwriting arrangements; provided that no holder of Registrable Securities included in any underwritten registration shall be required to make any representations or warranties to Pubco or the underwriters (other than representations and warranties regarding such holder, such holder’s title to the securities, such Person’s authority to sell such securities and such holder’s intended method of distribution) or to undertake any indemnification obligations to Pubco or the underwriters with respect thereto that are materially more burdensome than those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Each holder of Registrable Securities shall execute and deliver such other agreements as may be reasonably requested by Pubco and the lead managing underwriter(s) that are consistent with such holder’s obligations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that are necessary to give further effect thereto, and Pubco shall execute and deliver such other agreements as may be reasonably requested by the lead managing underwriter(s) (if applicable) in order to effect any registration required hereunder. To the extent that any such agreement is entered into pursuant to, and consistent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respective rights and obligations created under such agreement shall supersede the respective rights and obligations of the holders, Pubco and the underwriters created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30" w:name="page231"/>
    <w:bookmarkEnd w:id="230"/>
    <w:p>
      <w:pPr>
        <w:ind w:left="1280" w:hanging="638"/>
        <w:spacing w:after="0"/>
        <w:tabs>
          <w:tab w:leader="none" w:pos="12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54" w:lineRule="auto"/>
        <w:tabs>
          <w:tab w:leader="none" w:pos="193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Investor holds Registrable Securities that may be sold pursuant to Rule 144 only if Pubco is in compliance with the current public information requirement under Rule 144(c)(1) (or Rule 144(i)(2), if applicable), Pubco will use its commercially reasonable efforts to make and keep public information available, as those terms are understood and defined in Rule 144 and, in furtherance thereof, (i) remain subject to the reporting requirements of Section 13 or 15(d) of the Exchange Act; and (ii) timely (without giving effect to any extensions pursuant to Rule 12b-</w:t>
      </w:r>
    </w:p>
    <w:p>
      <w:pPr>
        <w:spacing w:after="0" w:line="3" w:lineRule="exact"/>
        <w:rPr>
          <w:rFonts w:ascii="Times New Roman" w:cs="Times New Roman" w:eastAsia="Times New Roman" w:hAnsi="Times New Roman"/>
          <w:sz w:val="18"/>
          <w:szCs w:val="18"/>
          <w:color w:val="auto"/>
        </w:rPr>
      </w:pPr>
    </w:p>
    <w:p>
      <w:pPr>
        <w:jc w:val="both"/>
        <w:ind w:left="640" w:firstLine="5"/>
        <w:spacing w:after="0" w:line="253" w:lineRule="auto"/>
        <w:tabs>
          <w:tab w:leader="none" w:pos="86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as applicable) file all reports and other materials required to be filed by Section 13 or 15(d) of the Exchange Act, as applicable (provided, that the failure to file Current Reports on Form 8-K shall not be deemed to violate this Section 10(b) to the extent that Rule 144 remains available for the resale of Registrable Securities). Upon reasonable prior written request, Pubco shall deliver to the Investors a customary written statement as to whether it has complied with such requirements.</w:t>
      </w:r>
    </w:p>
    <w:p>
      <w:pPr>
        <w:spacing w:after="0" w:line="200" w:lineRule="exact"/>
        <w:rPr>
          <w:rFonts w:ascii="Times New Roman" w:cs="Times New Roman" w:eastAsia="Times New Roman" w:hAnsi="Times New Roman"/>
          <w:sz w:val="18"/>
          <w:szCs w:val="18"/>
          <w:color w:val="auto"/>
        </w:rPr>
      </w:pPr>
    </w:p>
    <w:p>
      <w:pPr>
        <w:jc w:val="both"/>
        <w:ind w:left="640" w:firstLine="652"/>
        <w:spacing w:after="0" w:line="252" w:lineRule="auto"/>
        <w:tabs>
          <w:tab w:leader="none" w:pos="193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the event that Pubco believes that a notice or communication required by this Agreement to be delivered to any Investor contains material, nonpublic information relating to Pubco, its securities, any of its affiliates or any other Person, Pubco shall so indicate to such Investor prior to delivery of such notice or communication, and such indication shall provide such Investor the means to refuse to receive such notice or communication; and in the absence of any such indication, the Investors and their respective affiliates, agents and representatives shall be allowed to presume that all matters relating to such notice or communication do not constitute material, nonpublic information relating to Pubco, its securities, any of its affiliates or any other Person. In the event of a breach of any of the foregoing covenants by Pubco, any of its affiliates, or any of its or their respective officers, directors (or equivalent persons), employees, attorneys, agents or representatives, in addition to any other remedies otherwise available at law or in equity, each of the Investors shall have the right to make a public disclosure in the form of a press release or otherwise, of the applicable material nonpublic information without the prior approval by Pubco or any of its affiliates, officers, directors (or equivalent persons), employees, stockholders, attorneys, agents or representatives, and no Investor (nor any of its affiliates, agents or representatives) shall have any liability to Pubco, any of its affiliates or any of its or their respective officers, directors (or equivalent persons), employees, stockholders, attorneys, agents or representatives for any such disclosure.</w:t>
      </w:r>
    </w:p>
    <w:p>
      <w:pPr>
        <w:spacing w:after="0" w:line="195" w:lineRule="exact"/>
        <w:rPr>
          <w:rFonts w:ascii="Times New Roman" w:cs="Times New Roman" w:eastAsia="Times New Roman" w:hAnsi="Times New Roman"/>
          <w:sz w:val="18"/>
          <w:szCs w:val="18"/>
          <w:color w:val="auto"/>
        </w:rPr>
      </w:pPr>
    </w:p>
    <w:p>
      <w:pPr>
        <w:jc w:val="both"/>
        <w:ind w:left="640" w:firstLine="653"/>
        <w:spacing w:after="0" w:line="252" w:lineRule="auto"/>
        <w:tabs>
          <w:tab w:leader="none" w:pos="1937"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Pubco reasonably and in good faith determines that it is necessary to disclose material non-public information to an Investor in order to comply with its obligations hereunder (a “</w:t>
      </w:r>
      <w:r>
        <w:rPr>
          <w:rFonts w:ascii="Times New Roman" w:cs="Times New Roman" w:eastAsia="Times New Roman" w:hAnsi="Times New Roman"/>
          <w:sz w:val="18"/>
          <w:szCs w:val="18"/>
          <w:u w:val="single" w:color="auto"/>
          <w:color w:val="auto"/>
        </w:rPr>
        <w:t>Necessary Disclosure</w:t>
      </w:r>
      <w:r>
        <w:rPr>
          <w:rFonts w:ascii="Times New Roman" w:cs="Times New Roman" w:eastAsia="Times New Roman" w:hAnsi="Times New Roman"/>
          <w:sz w:val="18"/>
          <w:szCs w:val="18"/>
          <w:color w:val="auto"/>
        </w:rPr>
        <w:t>”), Pubco shall inform counsel to such Investor of such determination without disclosing the applicable material non-public information, and Pubco and such counsel on behalf of the applicable Investor shall endeavor to agree upon a process for making such Necessary Disclosure to the applicable Investor or its representatives that is mutually acceptable to such Investor and Pubco (an “</w:t>
      </w:r>
      <w:r>
        <w:rPr>
          <w:rFonts w:ascii="Times New Roman" w:cs="Times New Roman" w:eastAsia="Times New Roman" w:hAnsi="Times New Roman"/>
          <w:sz w:val="18"/>
          <w:szCs w:val="18"/>
          <w:u w:val="single" w:color="auto"/>
          <w:color w:val="auto"/>
        </w:rPr>
        <w:t>Agreed Disclosure Process</w:t>
      </w:r>
      <w:r>
        <w:rPr>
          <w:rFonts w:ascii="Times New Roman" w:cs="Times New Roman" w:eastAsia="Times New Roman" w:hAnsi="Times New Roman"/>
          <w:sz w:val="18"/>
          <w:szCs w:val="18"/>
          <w:color w:val="auto"/>
        </w:rPr>
        <w:t>”). Thereafter, Pubco shall be permitted to make such Necessary Disclosure (only) in accordance with the Agreed Disclosure Process. In furtherance of (but without limiting) the foregoing, at any time on or after the effective date of the Resale Shelf Registration Statement, any Investor may deliver written notice (an “</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to Pubco requesting that such Investor thereafter not receive notices from Pubco otherwise required by Section 10 of this Agreement, other than Suspension Notices to the extent applicable to such Investor; provided, however, that such Investor may later revoke any such Opt-Out Notice in writing. Following receipt of an Opt-Out Notice from any Investor (unless such Opt-Out Notice is subsequently revoked), Pubco shall not deliver any such notices to such Investor, and such Investor shall no longer be entitled to the rights associated with any such notice or conditioned upon the receipt of or response to any such notice.</w:t>
      </w:r>
    </w:p>
    <w:p>
      <w:pPr>
        <w:spacing w:after="0" w:line="197" w:lineRule="exact"/>
        <w:rPr>
          <w:rFonts w:ascii="Times New Roman" w:cs="Times New Roman" w:eastAsia="Times New Roman" w:hAnsi="Times New Roman"/>
          <w:sz w:val="18"/>
          <w:szCs w:val="18"/>
          <w:color w:val="auto"/>
        </w:rPr>
      </w:pPr>
    </w:p>
    <w:p>
      <w:pPr>
        <w:jc w:val="both"/>
        <w:ind w:left="640" w:firstLine="653"/>
        <w:spacing w:after="0" w:line="252" w:lineRule="auto"/>
        <w:tabs>
          <w:tab w:leader="none" w:pos="193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certificates evidencing the Registrable Securities (and/or book entries representing the Registrable Securities) held by each Investor shall not contain or be subject to any legend restricting the transfer thereof (and the Registrable Securities shall not be subject to any stop transfer or similar instructions or notations) and no Investor shall be required to delivery any documentation affixed with a medallion guarantee in connection therewith: (A) while a Registration Statement covering the sale or resale of such securities is effective under the Securities Act, or (B) if such Investor provides customary paperwork to the effect that it has sold such shares pursuant to Rule 144, or (C) if such Registrable Securities are eligible for sale under Rule 144(b)(1) as set forth in customary non-affiliate paperwork provided by such Investor, or (D) if at any time on or after the date that is one year after the Form 10 Disclosure Filing Date such Investor certifies that it is not an affiliate of Pubco and that such Investor’s holding period for purposes of Rule</w:t>
      </w:r>
    </w:p>
    <w:p>
      <w:pPr>
        <w:spacing w:after="0" w:line="6" w:lineRule="exact"/>
        <w:rPr>
          <w:rFonts w:ascii="Times New Roman" w:cs="Times New Roman" w:eastAsia="Times New Roman" w:hAnsi="Times New Roman"/>
          <w:sz w:val="18"/>
          <w:szCs w:val="18"/>
          <w:color w:val="auto"/>
        </w:rPr>
      </w:pPr>
    </w:p>
    <w:p>
      <w:pPr>
        <w:ind w:left="640" w:firstLine="6"/>
        <w:spacing w:after="0" w:line="260" w:lineRule="auto"/>
        <w:tabs>
          <w:tab w:leader="none" w:pos="96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Registrable Securities is at least six months, or (E) if such legend is not required under applicable requirements of the Securities Act (including judicial interpretations and</w:t>
      </w:r>
    </w:p>
    <w:p>
      <w:pPr>
        <w:spacing w:after="0" w:line="3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31" w:name="page232"/>
    <w:bookmarkEnd w:id="231"/>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pronouncements issued by the staff of the Commission) as determined in good faith by counsel to Pubco or set forth in a legal opinion delivered by nationally recognized counsel to the Initiating Holder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Pubco agrees that following the Registration Date or at such time as any of the Unrestricted Conditions is met or such legend is otherwise no longer required it will, no later than two Business Days following the delivery by an Investor to Pubco or Pubco’s transfer agent of a certificate representing any Registrable Securities, issued with a restrictive legend, (or, in the case of Registrable Securities represented by book entries, delivery by an Investor to Pubco or Pubco’s transfer agent of a legend removal request) deliver or cause to be delivered to such Investor a certificate or, at the request of such Investor, deliver or cause to be delivered such Registrable Securities to such Investor by crediting the account of such Investor’s prime broker with DTC through its Deposit/Withdrawal at Custodian (DWAC) system, in each case, free from all restrictive and other legends and stop transfer or similar instructions or notations and without the requirement for any Investor to deliver any documentation affixed with a medallion guarantee. For purposes hereof, “</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shall mean the date that the Resale Shelf Registration Statement covering the Registration Statement has been declared effective by the Commission. If any of the Unrestricted Conditions is met at the time of issuance of any Registrable Securities (e.g., upon exercise of warrants), then such securities shall be issued free of all legends. Each Investor shall have the right to pursue any remedies available to it hereunder, or otherwise at law or in equity, including a decree of specific performance and/or injunctive relief, with respect to Pubco’s failure to timely deliver shares of Common Stock without legend as required pursuant to the terms hereof.</w:t>
      </w:r>
    </w:p>
    <w:p>
      <w:pPr>
        <w:spacing w:after="0" w:line="207" w:lineRule="exact"/>
        <w:rPr>
          <w:sz w:val="20"/>
          <w:szCs w:val="20"/>
          <w:color w:val="auto"/>
        </w:rPr>
      </w:pPr>
    </w:p>
    <w:p>
      <w:pPr>
        <w:ind w:left="1280" w:hanging="638"/>
        <w:spacing w:after="0"/>
        <w:tabs>
          <w:tab w:leader="none" w:pos="12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4"/>
        <w:spacing w:after="0" w:line="266" w:lineRule="auto"/>
        <w:tabs>
          <w:tab w:leader="none" w:pos="193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Approving Party</w:t>
      </w:r>
      <w:r>
        <w:rPr>
          <w:rFonts w:ascii="Times New Roman" w:cs="Times New Roman" w:eastAsia="Times New Roman" w:hAnsi="Times New Roman"/>
          <w:sz w:val="18"/>
          <w:szCs w:val="18"/>
          <w:color w:val="auto"/>
        </w:rPr>
        <w:t xml:space="preserve">” means the holders of a majority of the Registrable Securities participating in the applicable offering or, in the case of a Short-Form Registration effected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the holders of a majority of the type of Registrable Securities that initiated such Short-Form Registration.</w:t>
      </w:r>
    </w:p>
    <w:p>
      <w:pPr>
        <w:spacing w:after="0" w:line="175" w:lineRule="exact"/>
        <w:rPr>
          <w:rFonts w:ascii="Times New Roman" w:cs="Times New Roman" w:eastAsia="Times New Roman" w:hAnsi="Times New Roman"/>
          <w:sz w:val="18"/>
          <w:szCs w:val="18"/>
          <w:color w:val="auto"/>
        </w:rPr>
      </w:pPr>
    </w:p>
    <w:p>
      <w:pPr>
        <w:ind w:left="640" w:right="20" w:firstLine="654"/>
        <w:spacing w:after="0" w:line="282" w:lineRule="auto"/>
        <w:tabs>
          <w:tab w:leader="none" w:pos="1937"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means any non-marketed underwritten takedown offering taking the form of a bought deal or block sale to a financial institution.</w:t>
      </w:r>
    </w:p>
    <w:p>
      <w:pPr>
        <w:spacing w:after="0" w:line="175" w:lineRule="exact"/>
        <w:rPr>
          <w:rFonts w:ascii="Times New Roman" w:cs="Times New Roman" w:eastAsia="Times New Roman" w:hAnsi="Times New Roman"/>
          <w:sz w:val="18"/>
          <w:szCs w:val="18"/>
          <w:color w:val="auto"/>
        </w:rPr>
      </w:pPr>
    </w:p>
    <w:p>
      <w:pPr>
        <w:ind w:left="640" w:firstLine="654"/>
        <w:spacing w:after="0" w:line="282" w:lineRule="auto"/>
        <w:tabs>
          <w:tab w:leader="none" w:pos="193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or Sunday or a legal holiday in the state in which Pubco’s chief executive office is located or in New York, NY.</w:t>
      </w:r>
    </w:p>
    <w:p>
      <w:pPr>
        <w:spacing w:after="0" w:line="175"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Pubco, par value $0.0001 per share.</w:t>
      </w:r>
    </w:p>
    <w:p>
      <w:pPr>
        <w:spacing w:after="0" w:line="225" w:lineRule="exact"/>
        <w:rPr>
          <w:rFonts w:ascii="Times New Roman" w:cs="Times New Roman" w:eastAsia="Times New Roman" w:hAnsi="Times New Roman"/>
          <w:sz w:val="18"/>
          <w:szCs w:val="18"/>
          <w:color w:val="auto"/>
        </w:rPr>
      </w:pPr>
    </w:p>
    <w:p>
      <w:pPr>
        <w:ind w:left="640" w:right="380" w:firstLine="654"/>
        <w:spacing w:after="0" w:line="282" w:lineRule="auto"/>
        <w:tabs>
          <w:tab w:leader="none" w:pos="1935"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federal law then in force, together with all rules and regulations promulgated thereunder.</w:t>
      </w:r>
    </w:p>
    <w:p>
      <w:pPr>
        <w:spacing w:after="0" w:line="161"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or any successor thereto.</w:t>
      </w:r>
    </w:p>
    <w:p>
      <w:pPr>
        <w:spacing w:after="0" w:line="238" w:lineRule="exact"/>
        <w:rPr>
          <w:rFonts w:ascii="Times New Roman" w:cs="Times New Roman" w:eastAsia="Times New Roman" w:hAnsi="Times New Roman"/>
          <w:sz w:val="18"/>
          <w:szCs w:val="18"/>
          <w:color w:val="auto"/>
        </w:rPr>
      </w:pPr>
    </w:p>
    <w:p>
      <w:pPr>
        <w:jc w:val="both"/>
        <w:ind w:left="640" w:firstLine="654"/>
        <w:spacing w:after="0" w:line="261" w:lineRule="auto"/>
        <w:tabs>
          <w:tab w:leader="none" w:pos="1937"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10 Disclosure Filing Date</w:t>
      </w:r>
      <w:r>
        <w:rPr>
          <w:rFonts w:ascii="Times New Roman" w:cs="Times New Roman" w:eastAsia="Times New Roman" w:hAnsi="Times New Roman"/>
          <w:sz w:val="18"/>
          <w:szCs w:val="18"/>
          <w:color w:val="auto"/>
        </w:rPr>
        <w:t>” means September 27, 2022, the date on which Pubco filed with the Commission a Current Report on Form 8-K that includes current “Form 10 information” (within the meaning of Rule</w:t>
      </w:r>
    </w:p>
    <w:p>
      <w:pPr>
        <w:ind w:left="1020" w:hanging="374"/>
        <w:spacing w:after="0"/>
        <w:tabs>
          <w:tab w:leader="none" w:pos="102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Pubco’s status as an entity that is no longer an issuer described in paragraph (i)(1)(i) of Rule 144.</w:t>
      </w:r>
    </w:p>
    <w:p>
      <w:pPr>
        <w:spacing w:after="0" w:line="206"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Free-Writing Prospectus</w:t>
      </w:r>
      <w:r>
        <w:rPr>
          <w:rFonts w:ascii="Times New Roman" w:cs="Times New Roman" w:eastAsia="Times New Roman" w:hAnsi="Times New Roman"/>
          <w:sz w:val="18"/>
          <w:szCs w:val="18"/>
          <w:color w:val="auto"/>
        </w:rPr>
        <w:t>” means a free-writing prospectus, as defined in Rule 405 of the Securities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ind w:left="640" w:right="20" w:firstLine="654"/>
        <w:spacing w:after="0" w:line="282" w:lineRule="auto"/>
        <w:tabs>
          <w:tab w:leader="none" w:pos="1936"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Investors</w:t>
      </w:r>
      <w:r>
        <w:rPr>
          <w:rFonts w:ascii="Times New Roman" w:cs="Times New Roman" w:eastAsia="Times New Roman" w:hAnsi="Times New Roman"/>
          <w:sz w:val="18"/>
          <w:szCs w:val="18"/>
          <w:color w:val="auto"/>
        </w:rPr>
        <w:t>” means the Investors, as of any date of determination, the holders of a majority of the Registrable Securities held by the Investors as of such date.</w:t>
      </w:r>
    </w:p>
    <w:p>
      <w:pPr>
        <w:spacing w:after="0" w:line="161" w:lineRule="exact"/>
        <w:rPr>
          <w:rFonts w:ascii="Times New Roman" w:cs="Times New Roman" w:eastAsia="Times New Roman" w:hAnsi="Times New Roman"/>
          <w:sz w:val="18"/>
          <w:szCs w:val="18"/>
          <w:color w:val="auto"/>
        </w:rPr>
      </w:pPr>
    </w:p>
    <w:p>
      <w:pPr>
        <w:jc w:val="both"/>
        <w:ind w:left="640" w:firstLine="653"/>
        <w:spacing w:after="0" w:line="224" w:lineRule="auto"/>
        <w:tabs>
          <w:tab w:leader="none" w:pos="1937"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Registration Statement Filing Deadline</w:t>
      </w:r>
      <w:r>
        <w:rPr>
          <w:rFonts w:ascii="Times New Roman" w:cs="Times New Roman" w:eastAsia="Times New Roman" w:hAnsi="Times New Roman"/>
          <w:sz w:val="18"/>
          <w:szCs w:val="18"/>
          <w:color w:val="auto"/>
        </w:rPr>
        <w:t>” means, with respect to any New Registration Statements that may be required pursuant to Section 1(b), (i)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first date on which such Registrable Securities may then be included in a Registration Statement if such Registration Statement is required to be filed because the Commission shall have informed Pubco that certain Registrable Securities were not eligible for inclusion in a previously filed Registration Statement, or (B) if such New Registration Statement is required for a reason other than as described in clause (i) of this definition,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on which Pubco first knows that such New Registration Statement is required.</w:t>
      </w:r>
    </w:p>
    <w:p>
      <w:pPr>
        <w:spacing w:after="0" w:line="203"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means any Person to whom an Investor transfers Registrable Securities.</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32" w:name="page233"/>
    <w:bookmarkEnd w:id="232"/>
    <w:p>
      <w:pPr>
        <w:jc w:val="both"/>
        <w:ind w:left="640" w:firstLine="654"/>
        <w:spacing w:after="0" w:line="266" w:lineRule="auto"/>
        <w:tabs>
          <w:tab w:leader="none" w:pos="193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any other legal entity or business organization and a governmental entity or any department, agency or political subdivision thereof.</w:t>
      </w:r>
    </w:p>
    <w:p>
      <w:pPr>
        <w:spacing w:after="0" w:line="189" w:lineRule="exact"/>
        <w:rPr>
          <w:rFonts w:ascii="Times New Roman" w:cs="Times New Roman" w:eastAsia="Times New Roman" w:hAnsi="Times New Roman"/>
          <w:sz w:val="18"/>
          <w:szCs w:val="18"/>
          <w:color w:val="auto"/>
        </w:rPr>
      </w:pPr>
    </w:p>
    <w:p>
      <w:pPr>
        <w:jc w:val="both"/>
        <w:ind w:left="640" w:firstLine="654"/>
        <w:spacing w:after="0" w:line="261" w:lineRule="auto"/>
        <w:tabs>
          <w:tab w:leader="none" w:pos="193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(i) the prospectus included in any Registration Statement, as supplemented by any and all prospectus supplements and as amended by any and all post-effective amendments and including all material incorporated by reference in such prospectus and (ii) any free writing prospectus (within the meaning of Rule 405 under the Securities Act) relating to any offering of Registrable Securities pursuant to a Registration Statement.</w:t>
      </w:r>
    </w:p>
    <w:p>
      <w:pPr>
        <w:spacing w:after="0" w:line="179" w:lineRule="exact"/>
        <w:rPr>
          <w:rFonts w:ascii="Times New Roman" w:cs="Times New Roman" w:eastAsia="Times New Roman" w:hAnsi="Times New Roman"/>
          <w:sz w:val="18"/>
          <w:szCs w:val="18"/>
          <w:color w:val="auto"/>
        </w:rPr>
      </w:pPr>
    </w:p>
    <w:p>
      <w:pPr>
        <w:ind w:left="640" w:firstLine="654"/>
        <w:spacing w:after="0" w:line="282" w:lineRule="auto"/>
        <w:tabs>
          <w:tab w:leader="none" w:pos="193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any sale or distribution by Pubco and/or holders of Registrable Securities to the public of Common Stock pursuant to an offering registered under the Securities Act.</w:t>
      </w:r>
    </w:p>
    <w:p>
      <w:pPr>
        <w:spacing w:after="0" w:line="161" w:lineRule="exact"/>
        <w:rPr>
          <w:rFonts w:ascii="Times New Roman" w:cs="Times New Roman" w:eastAsia="Times New Roman" w:hAnsi="Times New Roman"/>
          <w:sz w:val="18"/>
          <w:szCs w:val="18"/>
          <w:color w:val="auto"/>
        </w:rPr>
      </w:pPr>
    </w:p>
    <w:p>
      <w:pPr>
        <w:jc w:val="both"/>
        <w:ind w:left="640" w:firstLine="654"/>
        <w:spacing w:after="0" w:line="266" w:lineRule="auto"/>
        <w:tabs>
          <w:tab w:leader="none" w:pos="193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89" w:lineRule="exact"/>
        <w:rPr>
          <w:rFonts w:ascii="Times New Roman" w:cs="Times New Roman" w:eastAsia="Times New Roman" w:hAnsi="Times New Roman"/>
          <w:sz w:val="18"/>
          <w:szCs w:val="18"/>
          <w:color w:val="auto"/>
        </w:rPr>
      </w:pPr>
    </w:p>
    <w:p>
      <w:pPr>
        <w:jc w:val="both"/>
        <w:ind w:left="640" w:firstLine="654"/>
        <w:spacing w:after="0" w:line="253" w:lineRule="auto"/>
        <w:tabs>
          <w:tab w:leader="none" w:pos="193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any shares of Common Stock issued to an Investor upon exercise of the Amendment Warrants, (ii) any other shares of Common Stock or warrants to purchase shares of Common Stock held or later acquired by an Investor, (iii) any shares of Common Stock issued or issuable upon the exercise, conversion or exchange of, or pursuant to anti-dilution provisions applicable to, securities hereafter issued in exchange or substitution for, or otherwise with respect to, securities referred to in clauses (i) through (ii) by way of reclassification, exchange or otherwise, and (iv) any Common Stock issued or issuable with respect to the securities referred to in the preceding clauses</w:t>
      </w:r>
    </w:p>
    <w:p>
      <w:pPr>
        <w:spacing w:after="0" w:line="5" w:lineRule="exact"/>
        <w:rPr>
          <w:rFonts w:ascii="Times New Roman" w:cs="Times New Roman" w:eastAsia="Times New Roman" w:hAnsi="Times New Roman"/>
          <w:sz w:val="18"/>
          <w:szCs w:val="18"/>
          <w:color w:val="auto"/>
        </w:rPr>
      </w:pPr>
    </w:p>
    <w:p>
      <w:pPr>
        <w:jc w:val="both"/>
        <w:ind w:left="640" w:firstLine="6"/>
        <w:spacing w:after="0" w:line="251" w:lineRule="auto"/>
        <w:tabs>
          <w:tab w:leader="none" w:pos="8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(iii) by way of a stock dividend or stock split or in connection with a combination of shares, recapitalization, merger, consolidation or other reorganization. As to any particular Registrable Securities, such securities shall cease to be Registrable Securities when they have been sold or distributed to the public pursuant to an offering registered under the Securities Act or sold to the public through a broker, dealer or market maker in compliance with Rule 144 or repurchased by Pubco or any of its subsidiaries.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w:t>
      </w:r>
    </w:p>
    <w:p>
      <w:pPr>
        <w:spacing w:after="0" w:line="205" w:lineRule="exact"/>
        <w:rPr>
          <w:rFonts w:ascii="Times New Roman" w:cs="Times New Roman" w:eastAsia="Times New Roman" w:hAnsi="Times New Roman"/>
          <w:sz w:val="18"/>
          <w:szCs w:val="18"/>
          <w:color w:val="auto"/>
        </w:rPr>
      </w:pPr>
    </w:p>
    <w:p>
      <w:pPr>
        <w:jc w:val="both"/>
        <w:ind w:left="640" w:firstLine="653"/>
        <w:spacing w:after="0" w:line="258" w:lineRule="auto"/>
        <w:tabs>
          <w:tab w:leader="none" w:pos="193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filed by Pubco with the Commission in compliance with the Securities Act and the rules and regulations promulgated thereunder for a public offering and sale of Common Stock or Registrable Securities,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3" w:lineRule="exact"/>
        <w:rPr>
          <w:rFonts w:ascii="Times New Roman" w:cs="Times New Roman" w:eastAsia="Times New Roman" w:hAnsi="Times New Roman"/>
          <w:sz w:val="18"/>
          <w:szCs w:val="18"/>
          <w:color w:val="auto"/>
        </w:rPr>
      </w:pPr>
    </w:p>
    <w:p>
      <w:pPr>
        <w:jc w:val="both"/>
        <w:ind w:left="640" w:firstLine="654"/>
        <w:spacing w:after="0" w:line="266" w:lineRule="auto"/>
        <w:tabs>
          <w:tab w:leader="none" w:pos="193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 in each case, such rule promulgated under the Securities Act (or any successor provision) by the Commission, as the same shall be amended from time to time, or any successor rule then in force.</w:t>
      </w:r>
    </w:p>
    <w:p>
      <w:pPr>
        <w:spacing w:after="0" w:line="189" w:lineRule="exact"/>
        <w:rPr>
          <w:rFonts w:ascii="Times New Roman" w:cs="Times New Roman" w:eastAsia="Times New Roman" w:hAnsi="Times New Roman"/>
          <w:sz w:val="18"/>
          <w:szCs w:val="18"/>
          <w:color w:val="auto"/>
        </w:rPr>
      </w:pPr>
    </w:p>
    <w:p>
      <w:pPr>
        <w:ind w:left="640" w:firstLine="654"/>
        <w:spacing w:after="0" w:line="282" w:lineRule="auto"/>
        <w:tabs>
          <w:tab w:leader="none" w:pos="193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or any successor federal law then in force, together with all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left="640" w:firstLine="654"/>
        <w:spacing w:after="0" w:line="261" w:lineRule="auto"/>
        <w:tabs>
          <w:tab w:leader="none" w:pos="1981"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Participant</w:t>
      </w:r>
      <w:r>
        <w:rPr>
          <w:rFonts w:ascii="Times New Roman" w:cs="Times New Roman" w:eastAsia="Times New Roman" w:hAnsi="Times New Roman"/>
          <w:sz w:val="18"/>
          <w:szCs w:val="18"/>
          <w:color w:val="auto"/>
        </w:rPr>
        <w:t>” means any holder of Registrable Securities listed as a potential selling stockholder in connection with the Resale Shelf Registration Statement or the Shelf Registration or any such holder that could be added to such Resale Shelf Registration Statement or Shelf Registration without the need for a post- effective amendment thereto or added by means of an automatic post-effective amendment thereto.</w:t>
      </w:r>
    </w:p>
    <w:p>
      <w:pPr>
        <w:spacing w:after="0" w:line="179"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means a “well-known seasoned issuer” as defined under Rule 405.</w:t>
      </w:r>
    </w:p>
    <w:p>
      <w:pPr>
        <w:spacing w:after="0" w:line="239" w:lineRule="exact"/>
        <w:rPr>
          <w:sz w:val="20"/>
          <w:szCs w:val="20"/>
          <w:color w:val="auto"/>
        </w:rPr>
      </w:pPr>
    </w:p>
    <w:p>
      <w:pPr>
        <w:ind w:left="1280" w:hanging="638"/>
        <w:spacing w:after="0"/>
        <w:tabs>
          <w:tab w:leader="none" w:pos="12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4"/>
        <w:spacing w:after="0" w:line="266" w:lineRule="auto"/>
        <w:tabs>
          <w:tab w:leader="none" w:pos="1936"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Pubco shall not hereafter enter into any agreement with respect to its securities which is inconsistent with or violates or in any way impairs the rights granted to the Investors in this Agreement.</w:t>
      </w:r>
    </w:p>
    <w:p>
      <w:pPr>
        <w:spacing w:after="0" w:line="17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33" w:name="page234"/>
    <w:bookmarkEnd w:id="233"/>
    <w:p>
      <w:pPr>
        <w:jc w:val="both"/>
        <w:ind w:left="640" w:firstLine="654"/>
        <w:spacing w:after="0" w:line="266" w:lineRule="auto"/>
        <w:tabs>
          <w:tab w:leader="none" w:pos="193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hereto with respect to the subject matter hereof and supersedes all prior agreements, understandings, negotiations and discussions among the parties hereto, written or oral, with respect to the subject matter hereof.</w:t>
      </w:r>
    </w:p>
    <w:p>
      <w:pPr>
        <w:spacing w:after="0" w:line="189" w:lineRule="exact"/>
        <w:rPr>
          <w:rFonts w:ascii="Times New Roman" w:cs="Times New Roman" w:eastAsia="Times New Roman" w:hAnsi="Times New Roman"/>
          <w:sz w:val="18"/>
          <w:szCs w:val="18"/>
          <w:color w:val="auto"/>
        </w:rPr>
      </w:pPr>
    </w:p>
    <w:p>
      <w:pPr>
        <w:jc w:val="both"/>
        <w:ind w:left="640" w:firstLine="653"/>
        <w:spacing w:after="0" w:line="255" w:lineRule="auto"/>
        <w:tabs>
          <w:tab w:leader="none" w:pos="193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Any Person having rights under any provision of this Agreement shall be entitled to enforce such rights specifically (without posting a bond or other security), to recover damages caused by reason of any breach of any provision of this Agreement and to exercise all other rights granted by law. The parties hereto agree and acknowledge that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8" w:lineRule="exact"/>
        <w:rPr>
          <w:rFonts w:ascii="Times New Roman" w:cs="Times New Roman" w:eastAsia="Times New Roman" w:hAnsi="Times New Roman"/>
          <w:sz w:val="18"/>
          <w:szCs w:val="18"/>
          <w:color w:val="auto"/>
        </w:rPr>
      </w:pPr>
    </w:p>
    <w:p>
      <w:pPr>
        <w:jc w:val="both"/>
        <w:ind w:left="640" w:firstLine="654"/>
        <w:spacing w:after="0" w:line="254" w:lineRule="auto"/>
        <w:tabs>
          <w:tab w:leader="none" w:pos="193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Except as otherwise provided herein, the provisions of this Agreement may be amended or waived only with the prior written consent of Pubco and the holders of a majority of the Registrable Securities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may materially and disproportionately adversely affect the rights of any holder of Registrable Securities compared to other holders of Registrable Securities without the consent of such adversely affected holder. Any amendment or waiver effected in accordance with this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shall be binding upon each Investor and Pubco.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205" w:lineRule="exact"/>
        <w:rPr>
          <w:rFonts w:ascii="Times New Roman" w:cs="Times New Roman" w:eastAsia="Times New Roman" w:hAnsi="Times New Roman"/>
          <w:sz w:val="18"/>
          <w:szCs w:val="18"/>
          <w:color w:val="auto"/>
        </w:rPr>
      </w:pPr>
    </w:p>
    <w:p>
      <w:pPr>
        <w:jc w:val="both"/>
        <w:ind w:left="640" w:firstLine="654"/>
        <w:spacing w:after="0" w:line="255" w:lineRule="auto"/>
        <w:tabs>
          <w:tab w:leader="none" w:pos="193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Agreement by or on behalf of any of the parties hereto shall bind and inure to the benefit of the respective successors and permitted assigns of the parties hereto whether so expressed or not. In addition, whether or not any express assignment has been made, the provisions of this Agreement which are for the benefit of purchasers or holders of Registrable Securities are also for the benefit of, and enforceable by, any subsequent holder of Registrable Securities and any subsequent holder of securities that are convertible into, or exercisable or exchangeable for, Registrable Securities. Pubco shall not assign its obligations hereunder without the prior written consent of the holders of a majority of the Registrable Securities then outstanding.</w:t>
      </w:r>
    </w:p>
    <w:p>
      <w:pPr>
        <w:spacing w:after="0" w:line="202" w:lineRule="exact"/>
        <w:rPr>
          <w:rFonts w:ascii="Times New Roman" w:cs="Times New Roman" w:eastAsia="Times New Roman" w:hAnsi="Times New Roman"/>
          <w:sz w:val="18"/>
          <w:szCs w:val="18"/>
          <w:color w:val="auto"/>
        </w:rPr>
      </w:pPr>
    </w:p>
    <w:p>
      <w:pPr>
        <w:jc w:val="both"/>
        <w:ind w:left="640" w:firstLine="653"/>
        <w:spacing w:after="0" w:line="252" w:lineRule="auto"/>
        <w:tabs>
          <w:tab w:leader="none" w:pos="193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Rights</w:t>
      </w:r>
      <w:r>
        <w:rPr>
          <w:rFonts w:ascii="Times New Roman" w:cs="Times New Roman" w:eastAsia="Times New Roman" w:hAnsi="Times New Roman"/>
          <w:sz w:val="18"/>
          <w:szCs w:val="18"/>
          <w:color w:val="auto"/>
        </w:rPr>
        <w:t xml:space="preserve">. An Investor may transfer or assign, in whole or from time to time in part, to one or more Permitted Transferees, its rights and obligations under this Agreement and such rights will be transferred to such transferee effective upon receipt by Pubco of (A) written notice from such Investor stating the name and address of the transferee and identifying the number of Registrable Securities with respect to which rights under this Agreement are being transferred and the nature of the rights so transferred, and (B) except in the case of a transfer to an existing Investor, a written agreement from such transferee to be bound by the terms of this Agreement. A transferee of Registrable Securities who satisfies the conditions set forth in this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shall henceforth be an “Investor” for purposes of this Agreement. In the event a holder transfers Registrable Securities included on a Registration Statement and such Registrable Securities remain Registrable Securities following such transfer, at the request of such holder, Pubco shall use its reasonable best efforts to amend or supplement the Resale Shelf Registration Statement as may be necessary in order to enable such transferee to offer and sell such Registrable Securities pursuant to such Resale Shelf Registration Statement; provided that in no event shall Pubco be required to file a post-effective amendment to the Resale Shelf Registration Statement unless Pubco receives a written request from the subsequent transferee, requesting that its shares of Common Stock be included in the Resale Shelf Registration Statement, with all information reasonably requested by Pubco.</w:t>
      </w:r>
    </w:p>
    <w:p>
      <w:pPr>
        <w:spacing w:after="0" w:line="200" w:lineRule="exact"/>
        <w:rPr>
          <w:sz w:val="20"/>
          <w:szCs w:val="20"/>
          <w:color w:val="auto"/>
        </w:rPr>
      </w:pP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34" w:name="page235"/>
    <w:bookmarkEnd w:id="234"/>
    <w:p>
      <w:pPr>
        <w:jc w:val="both"/>
        <w:ind w:left="640" w:firstLine="654"/>
        <w:spacing w:after="0" w:line="261" w:lineRule="auto"/>
        <w:tabs>
          <w:tab w:leader="none" w:pos="193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prohibited by or invalid, illegal or unenforceable in any respect under any applicable law, such provision shall be ineffective only to the extent of such prohibition, invalidity, illegality or unenforceability, without invalidating the remainder of this Agreement.</w:t>
      </w:r>
    </w:p>
    <w:p>
      <w:pPr>
        <w:spacing w:after="0" w:line="193" w:lineRule="exact"/>
        <w:rPr>
          <w:rFonts w:ascii="Times New Roman" w:cs="Times New Roman" w:eastAsia="Times New Roman" w:hAnsi="Times New Roman"/>
          <w:sz w:val="18"/>
          <w:szCs w:val="18"/>
          <w:color w:val="auto"/>
        </w:rPr>
      </w:pPr>
    </w:p>
    <w:p>
      <w:pPr>
        <w:jc w:val="both"/>
        <w:ind w:left="640" w:firstLine="654"/>
        <w:spacing w:after="0" w:line="261" w:lineRule="auto"/>
        <w:tabs>
          <w:tab w:leader="none" w:pos="193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counterparts (including by means of facsimile, electronic mail, portable data format (PDF) or other electronic signature pages), any one of which need not contain the signatures of more than one party, but all such counterparts taken together shall constitute one and the same Agreement.</w:t>
      </w:r>
    </w:p>
    <w:p>
      <w:pPr>
        <w:spacing w:after="0" w:line="179" w:lineRule="exact"/>
        <w:rPr>
          <w:rFonts w:ascii="Times New Roman" w:cs="Times New Roman" w:eastAsia="Times New Roman" w:hAnsi="Times New Roman"/>
          <w:sz w:val="18"/>
          <w:szCs w:val="18"/>
          <w:color w:val="auto"/>
        </w:rPr>
      </w:pPr>
    </w:p>
    <w:p>
      <w:pPr>
        <w:jc w:val="both"/>
        <w:ind w:left="640" w:firstLine="654"/>
        <w:spacing w:after="0" w:line="256" w:lineRule="auto"/>
        <w:tabs>
          <w:tab w:leader="none" w:pos="19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part of this Agreement. Unless the context otherwise required: (i) the use of the word “including” herein shall mean “including without limitation,” (ii) all references to Sections, Schedules or Exhibits are to Sections, Schedules or Exhibits contained in or attached to this Agreement, and (iii) words in the singular or plural include the singular and plural, and pronouns stated in either the masculine, the feminine or neuter gender shall include the masculine, feminine and neuter.</w:t>
      </w:r>
    </w:p>
    <w:p>
      <w:pPr>
        <w:spacing w:after="0" w:line="200" w:lineRule="exact"/>
        <w:rPr>
          <w:rFonts w:ascii="Times New Roman" w:cs="Times New Roman" w:eastAsia="Times New Roman" w:hAnsi="Times New Roman"/>
          <w:sz w:val="18"/>
          <w:szCs w:val="18"/>
          <w:color w:val="auto"/>
        </w:rPr>
      </w:pPr>
    </w:p>
    <w:p>
      <w:pPr>
        <w:jc w:val="both"/>
        <w:ind w:left="640" w:firstLine="654"/>
        <w:spacing w:after="0" w:line="261" w:lineRule="auto"/>
        <w:tabs>
          <w:tab w:leader="none" w:pos="19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9" w:lineRule="exact"/>
        <w:rPr>
          <w:rFonts w:ascii="Times New Roman" w:cs="Times New Roman" w:eastAsia="Times New Roman" w:hAnsi="Times New Roman"/>
          <w:sz w:val="18"/>
          <w:szCs w:val="18"/>
          <w:color w:val="auto"/>
        </w:rPr>
      </w:pPr>
    </w:p>
    <w:p>
      <w:pPr>
        <w:jc w:val="both"/>
        <w:ind w:left="640" w:firstLine="654"/>
        <w:spacing w:after="0" w:line="258" w:lineRule="auto"/>
        <w:tabs>
          <w:tab w:leader="none" w:pos="193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demands or other communications to be given or delivered under or by reason of the provisions of this Agreement shall be in writing and shall be given (and shall be deemed to have been duly given upon receipt) by delivery in person, by or email or by registered or certified mail (postage prepaid, return receipt requested) to each Investor at the address indicated on the Schedule of Investors attached hereto and to Pubco at the address indicated below (or at such other address as shall be specified in a notice given in accordance with this </w:t>
      </w:r>
      <w:r>
        <w:rPr>
          <w:rFonts w:ascii="Times New Roman" w:cs="Times New Roman" w:eastAsia="Times New Roman" w:hAnsi="Times New Roman"/>
          <w:sz w:val="18"/>
          <w:szCs w:val="18"/>
          <w:u w:val="single" w:color="auto"/>
          <w:color w:val="auto"/>
        </w:rPr>
        <w:t>Section 12(k)</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810 Hamilton St.</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Redwood City, CA 94063</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 kkg@remusgroup.com</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Krishna Gupta</w:t>
      </w:r>
    </w:p>
    <w:p>
      <w:pPr>
        <w:spacing w:after="0" w:line="8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10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New York, NY 10020-1095</w:t>
      </w:r>
    </w:p>
    <w:p>
      <w:pPr>
        <w:spacing w:after="0" w:line="9" w:lineRule="exact"/>
        <w:rPr>
          <w:sz w:val="20"/>
          <w:szCs w:val="20"/>
          <w:color w:val="auto"/>
        </w:rPr>
      </w:pPr>
    </w:p>
    <w:p>
      <w:pPr>
        <w:ind w:left="2700"/>
        <w:spacing w:after="0"/>
        <w:tabs>
          <w:tab w:leader="none" w:pos="3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cdiamond@whitecase.com</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laurakatherine.mann@whitecase.com</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Colin Diamond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Laura Katherine Mann</w:t>
      </w:r>
    </w:p>
    <w:p>
      <w:pPr>
        <w:spacing w:after="0" w:line="207" w:lineRule="exact"/>
        <w:rPr>
          <w:sz w:val="20"/>
          <w:szCs w:val="20"/>
          <w:color w:val="auto"/>
        </w:rPr>
      </w:pPr>
    </w:p>
    <w:p>
      <w:pPr>
        <w:jc w:val="both"/>
        <w:ind w:left="640" w:firstLine="654"/>
        <w:spacing w:after="0" w:line="256" w:lineRule="auto"/>
        <w:tabs>
          <w:tab w:leader="none" w:pos="19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As a specifically bargained inducement for each of the parties to enter into this Agreement (with each party having had opportunity to consult counsel), each party hereto expressly and irrevocably waives the right to trial by jury in any lawsuit or legal proceeding relating to or arising in any way from this Agreement or the transactions contemplated herein, and any lawsuit or legal proceeding relating to or arising in any way to this Agreement or the transactions contemplated herein shall be tried in a court of competent jurisdiction by a judge sitting without a jury.</w:t>
      </w:r>
    </w:p>
    <w:p>
      <w:pPr>
        <w:spacing w:after="0" w:line="200" w:lineRule="exact"/>
        <w:rPr>
          <w:rFonts w:ascii="Times New Roman" w:cs="Times New Roman" w:eastAsia="Times New Roman" w:hAnsi="Times New Roman"/>
          <w:sz w:val="18"/>
          <w:szCs w:val="18"/>
          <w:color w:val="auto"/>
        </w:rPr>
      </w:pPr>
    </w:p>
    <w:p>
      <w:pPr>
        <w:jc w:val="both"/>
        <w:ind w:left="640" w:firstLine="654"/>
        <w:spacing w:after="0" w:line="261" w:lineRule="auto"/>
        <w:tabs>
          <w:tab w:leader="none" w:pos="1937"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79" w:lineRule="exact"/>
        <w:rPr>
          <w:rFonts w:ascii="Times New Roman" w:cs="Times New Roman" w:eastAsia="Times New Roman" w:hAnsi="Times New Roman"/>
          <w:sz w:val="18"/>
          <w:szCs w:val="18"/>
          <w:color w:val="auto"/>
        </w:rPr>
      </w:pPr>
    </w:p>
    <w:p>
      <w:pPr>
        <w:ind w:left="4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5" w:right="999" w:bottom="1440" w:gutter="0" w:footer="0" w:header="0"/>
        </w:sectPr>
      </w:pPr>
    </w:p>
    <w:bookmarkStart w:id="235" w:name="page236"/>
    <w:bookmarkEnd w:id="235"/>
    <w:p>
      <w:pPr>
        <w:ind w:left="640" w:firstLine="432"/>
        <w:spacing w:after="0" w:line="261" w:lineRule="auto"/>
        <w:rPr>
          <w:sz w:val="20"/>
          <w:szCs w:val="20"/>
          <w:color w:val="auto"/>
        </w:rPr>
      </w:pPr>
      <w:r>
        <w:rPr>
          <w:rFonts w:ascii="Times New Roman" w:cs="Times New Roman" w:eastAsia="Times New Roman" w:hAnsi="Times New Roman"/>
          <w:sz w:val="18"/>
          <w:szCs w:val="18"/>
          <w:color w:val="auto"/>
        </w:rPr>
        <w:t>IN WITNESS WHEREOF, the parties hereto have executed this Registration Rights Agreement as of the date first written above.</w:t>
      </w:r>
    </w:p>
    <w:p>
      <w:pPr>
        <w:ind w:left="544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8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Krishna Gupta</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18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LEVERED PARTNERS FUND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VII, LP</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-7620</wp:posOffset>
            </wp:positionV>
            <wp:extent cx="8280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PARTNERS FUND VII, LP</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-7620</wp:posOffset>
            </wp:positionV>
            <wp:extent cx="8280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0" w:lineRule="exact"/>
        <w:rPr>
          <w:sz w:val="20"/>
          <w:szCs w:val="20"/>
          <w:color w:val="auto"/>
        </w:rPr>
      </w:pPr>
    </w:p>
    <w:p>
      <w:pPr>
        <w:spacing w:after="0" w:line="2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OFFSHORE PARTNERS FUND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VII, LP</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-7620</wp:posOffset>
            </wp:positionV>
            <wp:extent cx="8280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CEOF HOLDINGS LP</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-7620</wp:posOffset>
            </wp:positionV>
            <wp:extent cx="8280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4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Daniel Friedman</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20"/>
          </w:cols>
          <w:pgMar w:left="1440" w:top="1390" w:right="1139" w:bottom="1440" w:gutter="0" w:footer="0" w:header="0"/>
        </w:sectPr>
      </w:pPr>
    </w:p>
    <w:bookmarkStart w:id="236" w:name="page237"/>
    <w:bookmarkEnd w:id="236"/>
    <w:p>
      <w:pPr>
        <w:ind w:left="640"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Registration Rights Agreement as of the date first written above.</w:t>
      </w:r>
    </w:p>
    <w:p>
      <w:pPr>
        <w:spacing w:after="0" w:line="5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1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-7620</wp:posOffset>
            </wp:positionV>
            <wp:extent cx="8280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LEVERED PARTNERS</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FUND VII, LP</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Paul K. Lisiak</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PARTNERS FUND VII, LP</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By: : </w:t>
      </w:r>
      <w:r>
        <w:rPr>
          <w:rFonts w:ascii="Times New Roman" w:cs="Times New Roman" w:eastAsia="Times New Roman" w:hAnsi="Times New Roman"/>
          <w:sz w:val="18"/>
          <w:szCs w:val="18"/>
          <w:u w:val="single" w:color="auto"/>
          <w:color w:val="auto"/>
        </w:rPr>
        <w:t>/s/ Paul K. Lisiak</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OFFSHORE PARTNERS FUND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VII, LP</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By: : </w:t>
      </w:r>
      <w:r>
        <w:rPr>
          <w:rFonts w:ascii="Times New Roman" w:cs="Times New Roman" w:eastAsia="Times New Roman" w:hAnsi="Times New Roman"/>
          <w:sz w:val="18"/>
          <w:szCs w:val="18"/>
          <w:u w:val="single" w:color="auto"/>
          <w:color w:val="auto"/>
        </w:rPr>
        <w:t>/s/ Paul K. Lisiak</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CEOF HOLDINGS LP</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Corbin Capital Partners, L.P. its Investment</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-7620</wp:posOffset>
            </wp:positionV>
            <wp:extent cx="8280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Daniel Friedman</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320"/>
          </w:cols>
          <w:pgMar w:left="1440" w:top="877" w:right="1139" w:bottom="1440" w:gutter="0" w:footer="0" w:header="0"/>
        </w:sectPr>
      </w:pPr>
    </w:p>
    <w:bookmarkStart w:id="237" w:name="page238"/>
    <w:bookmarkEnd w:id="237"/>
    <w:p>
      <w:pPr>
        <w:ind w:left="640"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Registration Rights Agreement as of the date first written above.</w:t>
      </w:r>
    </w:p>
    <w:p>
      <w:pPr>
        <w:spacing w:after="0" w:line="5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1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-7620</wp:posOffset>
            </wp:positionV>
            <wp:extent cx="8280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LEVERED PARTNERS FUND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VII, LP</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-7620</wp:posOffset>
            </wp:positionV>
            <wp:extent cx="8280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PARTNERS FUND VII, LP</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8280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METROPOLITAN OFFSHORE PARTNERS FUND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VII, LP</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8280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CEOF HOLDINGS LP</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Corbin Capital Partners, L.P. its Investment</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By: :  </w:t>
      </w:r>
      <w:r>
        <w:rPr>
          <w:rFonts w:ascii="Times New Roman" w:cs="Times New Roman" w:eastAsia="Times New Roman" w:hAnsi="Times New Roman"/>
          <w:sz w:val="18"/>
          <w:szCs w:val="18"/>
          <w:u w:val="single" w:color="auto"/>
          <w:color w:val="auto"/>
        </w:rPr>
        <w:t>/s/ Daniel Friedman</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Daniel Friedman</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9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20"/>
          </w:cols>
          <w:pgMar w:left="1440" w:top="877" w:right="11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INVESTORS</w:t>
      </w:r>
    </w:p>
    <w:p>
      <w:pPr>
        <w:spacing w:after="0" w:line="252"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4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187"/>
        </w:trPr>
        <w:tc>
          <w:tcPr>
            <w:tcW w:w="42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Metropolitan Levered Partners Fund VII, LP</w:t>
            </w:r>
          </w:p>
        </w:tc>
        <w:tc>
          <w:tcPr>
            <w:tcW w:w="470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color w:val="auto"/>
              </w:rPr>
              <w:t>Metropolitan Partners Group Administration, LLC 850</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Metropolitan Partners Fund VII, LP Metropolitan</w:t>
            </w: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Third Avenue, 18th Floor</w:t>
            </w: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Offshore Partners Fund VII, LP</w:t>
            </w: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New York, NY 10022 Attention: Paul Lisiak Telephone No.:</w:t>
            </w:r>
          </w:p>
        </w:tc>
      </w:tr>
      <w:tr>
        <w:trPr>
          <w:trHeight w:val="216"/>
        </w:trPr>
        <w:tc>
          <w:tcPr>
            <w:tcW w:w="420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(212) 561-1250 E-Mail: plisiak@metpg.com</w:t>
            </w:r>
          </w:p>
        </w:tc>
      </w:tr>
      <w:tr>
        <w:trPr>
          <w:trHeight w:val="216"/>
        </w:trPr>
        <w:tc>
          <w:tcPr>
            <w:tcW w:w="420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a copy (which shall not constitute notice) to: K&amp;L</w:t>
            </w:r>
          </w:p>
        </w:tc>
      </w:tr>
      <w:tr>
        <w:trPr>
          <w:trHeight w:val="216"/>
        </w:trPr>
        <w:tc>
          <w:tcPr>
            <w:tcW w:w="420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Gates LLP</w:t>
            </w:r>
          </w:p>
        </w:tc>
      </w:tr>
      <w:tr>
        <w:trPr>
          <w:trHeight w:val="216"/>
        </w:trPr>
        <w:tc>
          <w:tcPr>
            <w:tcW w:w="420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599 Lexington Avenue New York, NY 10022</w:t>
            </w:r>
          </w:p>
        </w:tc>
      </w:tr>
      <w:tr>
        <w:trPr>
          <w:trHeight w:val="216"/>
        </w:trPr>
        <w:tc>
          <w:tcPr>
            <w:tcW w:w="420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Attention: Aaron S. Rothman Telephone No.: 704-331-7446</w:t>
            </w:r>
          </w:p>
        </w:tc>
      </w:tr>
      <w:tr>
        <w:trPr>
          <w:trHeight w:val="234"/>
        </w:trPr>
        <w:tc>
          <w:tcPr>
            <w:tcW w:w="420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 aaron.rothman@klgates.com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-1388110</wp:posOffset>
            </wp:positionV>
            <wp:extent cx="5648960" cy="37630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4896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CEOF Holdings LP</w:t>
            </w: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CEOF Holdings LP</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 Corbin Capital Partners, L.P. 590 Madison Avenue, 31st</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Floor New York, NY 10022</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Attn: General Counsel</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Email: fof-ops@corbincapital.com</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with a copy (which shall not constitute notice) to: Fox</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Rothschild LLP</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101 Park Avenue 17th Floor</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New York, NY 10178 Attention: Zev M. Bomrind</w:t>
            </w:r>
          </w:p>
        </w:tc>
      </w:tr>
      <w:tr>
        <w:trPr>
          <w:trHeight w:val="216"/>
        </w:trPr>
        <w:tc>
          <w:tcPr>
            <w:tcW w:w="3540" w:type="dxa"/>
            <w:vAlign w:val="bottom"/>
          </w:tcPr>
          <w:p>
            <w:pPr>
              <w:spacing w:after="0"/>
              <w:rPr>
                <w:sz w:val="18"/>
                <w:szCs w:val="18"/>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Telephone No.: 212-878-7951</w:t>
            </w:r>
          </w:p>
        </w:tc>
      </w:tr>
      <w:tr>
        <w:trPr>
          <w:trHeight w:val="234"/>
        </w:trPr>
        <w:tc>
          <w:tcPr>
            <w:tcW w:w="3540" w:type="dxa"/>
            <w:vAlign w:val="bottom"/>
          </w:tcPr>
          <w:p>
            <w:pPr>
              <w:spacing w:after="0"/>
              <w:rPr>
                <w:sz w:val="20"/>
                <w:szCs w:val="20"/>
                <w:color w:val="auto"/>
              </w:rPr>
            </w:pPr>
          </w:p>
        </w:tc>
        <w:tc>
          <w:tcPr>
            <w:tcW w:w="63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E-Mail: zbomrind@foxrothschild.com</w:t>
            </w:r>
          </w:p>
        </w:tc>
      </w:tr>
      <w:tr>
        <w:trPr>
          <w:trHeight w:val="1802"/>
        </w:trPr>
        <w:tc>
          <w:tcPr>
            <w:tcW w:w="35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73" w:right="999" w:bottom="1440" w:gutter="0" w:footer="0" w:header="0"/>
        </w:sectPr>
      </w:pPr>
    </w:p>
    <w:bookmarkStart w:id="239" w:name="page240"/>
    <w:bookmarkEnd w:id="239"/>
    <w:p>
      <w:pPr>
        <w:ind w:left="2400"/>
        <w:spacing w:after="0"/>
        <w:rPr>
          <w:sz w:val="20"/>
          <w:szCs w:val="20"/>
          <w:color w:val="auto"/>
        </w:rPr>
      </w:pPr>
      <w:r>
        <w:rPr>
          <w:rFonts w:ascii="Times New Roman" w:cs="Times New Roman" w:eastAsia="Times New Roman" w:hAnsi="Times New Roman"/>
          <w:sz w:val="18"/>
          <w:szCs w:val="18"/>
          <w:b w:val="1"/>
          <w:bCs w:val="1"/>
          <w:color w:val="auto"/>
        </w:rPr>
        <w:t>REGISTRATION RIGHTS AGREEMENT JOINDER</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undersigned is executing and delivering this Joinder pursuant to the Registration Rights Agreement dated as of</w:t>
      </w:r>
    </w:p>
    <w:p>
      <w:pPr>
        <w:spacing w:after="0" w:line="27"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18"/>
          <w:szCs w:val="18"/>
          <w:color w:val="auto"/>
        </w:rPr>
        <w:t>​ (as the same may hereafter be amended,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among Presto Automation Inc.,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the other persons named as parties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-172720</wp:posOffset>
            </wp:positionV>
            <wp:extent cx="9715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61" w:lineRule="exact"/>
        <w:rPr>
          <w:sz w:val="20"/>
          <w:szCs w:val="20"/>
          <w:color w:val="auto"/>
        </w:rPr>
      </w:pPr>
    </w:p>
    <w:p>
      <w:pPr>
        <w:jc w:val="both"/>
        <w:ind w:left="640" w:firstLine="431"/>
        <w:spacing w:after="0" w:line="266" w:lineRule="auto"/>
        <w:rPr>
          <w:sz w:val="20"/>
          <w:szCs w:val="20"/>
          <w:color w:val="auto"/>
        </w:rPr>
      </w:pPr>
      <w:r>
        <w:rPr>
          <w:rFonts w:ascii="Times New Roman" w:cs="Times New Roman" w:eastAsia="Times New Roman" w:hAnsi="Times New Roman"/>
          <w:sz w:val="18"/>
          <w:szCs w:val="18"/>
          <w:color w:val="auto"/>
        </w:rPr>
        <w:t>By executing and delivering this Joinder to Pubco,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w:t>
      </w:r>
    </w:p>
    <w:p>
      <w:pPr>
        <w:spacing w:after="0" w:line="189" w:lineRule="exact"/>
        <w:rPr>
          <w:sz w:val="20"/>
          <w:szCs w:val="20"/>
          <w:color w:val="auto"/>
        </w:rPr>
      </w:pPr>
    </w:p>
    <w:p>
      <w:pPr>
        <w:ind w:left="1080"/>
        <w:spacing w:after="0"/>
        <w:tabs>
          <w:tab w:leader="none" w:pos="7060" w:val="left"/>
          <w:tab w:leader="none" w:pos="8280" w:val="left"/>
        </w:tabs>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w:t>
      </w:r>
      <w:r>
        <w:rPr>
          <w:sz w:val="20"/>
          <w:szCs w:val="20"/>
          <w:color w:val="auto"/>
        </w:rPr>
        <w:tab/>
      </w:r>
      <w:r>
        <w:rPr>
          <w:rFonts w:ascii="Times New Roman" w:cs="Times New Roman" w:eastAsia="Times New Roman" w:hAnsi="Times New Roman"/>
          <w:sz w:val="18"/>
          <w:szCs w:val="18"/>
          <w:color w:val="auto"/>
        </w:rPr>
        <w:t>day of ​</w:t>
      </w:r>
      <w:r>
        <w:rPr>
          <w:sz w:val="20"/>
          <w:szCs w:val="20"/>
          <w:color w:val="auto"/>
        </w:rPr>
        <w:tab/>
      </w: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-7620</wp:posOffset>
            </wp:positionV>
            <wp:extent cx="1625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-7620</wp:posOffset>
            </wp:positionV>
            <wp:extent cx="454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INVESTOR: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-19050</wp:posOffset>
            </wp:positionV>
            <wp:extent cx="8566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8"/>
          <w:szCs w:val="18"/>
          <w:color w:val="auto"/>
        </w:rPr>
        <w:t>Its: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Address for Notices: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3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-7620</wp:posOffset>
            </wp:positionV>
            <wp:extent cx="8566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460"/>
      </w:cols>
      <w:pgMar w:left="1440" w:top="87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
      <w:numFmt w:val="bullet"/>
      <w:start w:val="1"/>
    </w:lvl>
  </w:abstractNum>
  <w:abstractNum w:abstractNumId="1">
    <w:nsid w:val="1A0DDE32"/>
    <w:multiLevelType w:val="hybridMultilevel"/>
    <w:lvl w:ilvl="0">
      <w:lvlJc w:val="left"/>
      <w:lvlText w:val="%1."/>
      <w:numFmt w:val="decimal"/>
      <w:start w:val="1"/>
    </w:lvl>
  </w:abstractNum>
  <w:abstractNum w:abstractNumId="2">
    <w:nsid w:val="65968C1C"/>
    <w:multiLevelType w:val="hybridMultilevel"/>
    <w:lvl w:ilvl="0">
      <w:lvlJc w:val="left"/>
      <w:lvlText w:val="%1"/>
      <w:numFmt w:val="decimal"/>
      <w:start w:val="1"/>
    </w:lvl>
    <w:lvl w:ilvl="1">
      <w:lvlJc w:val="left"/>
      <w:lvlText w:val="(%2)"/>
      <w:numFmt w:val="lowerLetter"/>
      <w:start w:val="1"/>
    </w:lvl>
  </w:abstractNum>
  <w:abstractNum w:abstractNumId="3">
    <w:nsid w:val="46263DEC"/>
    <w:multiLevelType w:val="hybridMultilevel"/>
    <w:lvl w:ilvl="0">
      <w:lvlJc w:val="left"/>
      <w:lvlText w:val="%1."/>
      <w:numFmt w:val="decimal"/>
      <w:start w:val="2"/>
    </w:lvl>
    <w:lvl w:ilvl="1">
      <w:lvlJc w:val="left"/>
      <w:lvlText w:val="%2"/>
      <w:numFmt w:val="lowerLetter"/>
      <w:start w:val="1"/>
    </w:lvl>
  </w:abstractNum>
  <w:abstractNum w:abstractNumId="4">
    <w:nsid w:val="260D8C4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
    <w:nsid w:val="73D4D3C4"/>
    <w:multiLevelType w:val="hybridMultilevel"/>
    <w:lvl w:ilvl="0">
      <w:lvlJc w:val="left"/>
      <w:lvlText w:val="%1"/>
      <w:numFmt w:val="decimal"/>
      <w:start w:val="1"/>
    </w:lvl>
    <w:lvl w:ilvl="1">
      <w:lvlJc w:val="left"/>
      <w:lvlText w:val="(%2)"/>
      <w:numFmt w:val="lowerLetter"/>
      <w:start w:val="3"/>
    </w:lvl>
  </w:abstractNum>
  <w:abstractNum w:abstractNumId="6">
    <w:nsid w:val="746F2E30"/>
    <w:multiLevelType w:val="hybridMultilevel"/>
    <w:lvl w:ilvl="0">
      <w:lvlJc w:val="left"/>
      <w:lvlText w:val="%1."/>
      <w:numFmt w:val="decimal"/>
      <w:start w:val="8"/>
    </w:lvl>
    <w:lvl w:ilvl="1">
      <w:lvlJc w:val="left"/>
      <w:lvlText w:val="(%2)"/>
      <w:numFmt w:val="lowerLetter"/>
      <w:start w:val="1"/>
    </w:lvl>
  </w:abstractNum>
  <w:abstractNum w:abstractNumId="7">
    <w:nsid w:val="6FDE8AF6"/>
    <w:multiLevelType w:val="hybridMultilevel"/>
    <w:lvl w:ilvl="0">
      <w:lvlJc w:val="left"/>
      <w:lvlText w:val="%1"/>
      <w:numFmt w:val="decimal"/>
      <w:start w:val="1"/>
    </w:lvl>
    <w:lvl w:ilvl="1">
      <w:lvlJc w:val="left"/>
      <w:lvlText w:val="(%2)"/>
      <w:numFmt w:val="lowerLetter"/>
      <w:start w:val="2"/>
    </w:lvl>
  </w:abstractNum>
  <w:abstractNum w:abstractNumId="8">
    <w:nsid w:val="3FC32E20"/>
    <w:multiLevelType w:val="hybridMultilevel"/>
    <w:lvl w:ilvl="0">
      <w:lvlJc w:val="left"/>
      <w:lvlText w:val="%1."/>
      <w:numFmt w:val="decimal"/>
      <w:start w:val="10"/>
    </w:lvl>
    <w:lvl w:ilvl="1">
      <w:lvlJc w:val="left"/>
      <w:lvlText w:val="%2"/>
      <w:numFmt w:val="lowerLetter"/>
      <w:start w:val="1"/>
    </w:lvl>
  </w:abstractNum>
  <w:abstractNum w:abstractNumId="9">
    <w:nsid w:val="49C0E823"/>
    <w:multiLevelType w:val="hybridMultilevel"/>
    <w:lvl w:ilvl="0">
      <w:lvlJc w:val="left"/>
      <w:lvlText w:val="%1."/>
      <w:numFmt w:val="decimal"/>
      <w:start w:val="12"/>
    </w:lvl>
  </w:abstractNum>
  <w:abstractNum w:abstractNumId="10">
    <w:nsid w:val="14D53685"/>
    <w:multiLevelType w:val="hybridMultilevel"/>
    <w:lvl w:ilvl="0">
      <w:lvlJc w:val="left"/>
      <w:lvlText w:val="%1."/>
      <w:numFmt w:val="decimal"/>
      <w:start w:val="16"/>
    </w:lvl>
  </w:abstractNum>
  <w:abstractNum w:abstractNumId="11">
    <w:nsid w:val="230F856C"/>
    <w:multiLevelType w:val="hybridMultilevel"/>
    <w:lvl w:ilvl="0">
      <w:lvlJc w:val="left"/>
      <w:lvlText w:val="(%1)"/>
      <w:numFmt w:val="lowerRoman"/>
      <w:start w:val="1"/>
    </w:lvl>
  </w:abstractNum>
  <w:abstractNum w:abstractNumId="12">
    <w:nsid w:val="6EAA85FB"/>
    <w:multiLevelType w:val="hybridMultilevel"/>
    <w:lvl w:ilvl="0">
      <w:lvlJc w:val="left"/>
      <w:lvlText w:val="(%1)"/>
      <w:numFmt w:val="lowerRoman"/>
      <w:start w:val="1"/>
    </w:lvl>
  </w:abstractNum>
  <w:abstractNum w:abstractNumId="13">
    <w:nsid w:val="3F06ECB2"/>
    <w:multiLevelType w:val="hybridMultilevel"/>
    <w:lvl w:ilvl="0">
      <w:lvlJc w:val="left"/>
      <w:lvlText w:val="(%1)"/>
      <w:numFmt w:val="lowerRoman"/>
      <w:start w:val="1"/>
    </w:lvl>
  </w:abstractNum>
  <w:abstractNum w:abstractNumId="14">
    <w:nsid w:val="3B594807"/>
    <w:multiLevelType w:val="hybridMultilevel"/>
    <w:lvl w:ilvl="0">
      <w:lvlJc w:val="left"/>
      <w:lvlText w:val="(%1)"/>
      <w:numFmt w:val="lowerLetter"/>
      <w:start w:val="3"/>
    </w:lvl>
  </w:abstractNum>
  <w:abstractNum w:abstractNumId="15">
    <w:nsid w:val="6CAA2304"/>
    <w:multiLevelType w:val="hybridMultilevel"/>
    <w:lvl w:ilvl="0">
      <w:lvlJc w:val="left"/>
      <w:lvlText w:val="(%1)"/>
      <w:numFmt w:val="lowerLetter"/>
      <w:start w:val="5"/>
    </w:lvl>
  </w:abstractNum>
  <w:abstractNum w:abstractNumId="16">
    <w:nsid w:val="3F7C2FF4"/>
    <w:multiLevelType w:val="hybridMultilevel"/>
    <w:lvl w:ilvl="0">
      <w:lvlJc w:val="left"/>
      <w:lvlText w:val="(%1)"/>
      <w:numFmt w:val="lowerRoman"/>
      <w:start w:val="1"/>
    </w:lvl>
  </w:abstractNum>
  <w:abstractNum w:abstractNumId="17">
    <w:nsid w:val="25413BEC"/>
    <w:multiLevelType w:val="hybridMultilevel"/>
    <w:lvl w:ilvl="0">
      <w:lvlJc w:val="left"/>
      <w:lvlText w:val="(%1)"/>
      <w:numFmt w:val="lowerRoman"/>
      <w:start w:val="10"/>
    </w:lvl>
  </w:abstractNum>
  <w:abstractNum w:abstractNumId="18">
    <w:nsid w:val="17180B0B"/>
    <w:multiLevelType w:val="hybridMultilevel"/>
    <w:lvl w:ilvl="0">
      <w:lvlJc w:val="left"/>
      <w:lvlText w:val="(%1)"/>
      <w:numFmt w:val="lowerRoman"/>
      <w:start w:val="2"/>
    </w:lvl>
  </w:abstractNum>
  <w:abstractNum w:abstractNumId="19">
    <w:nsid w:val="579328B9"/>
    <w:multiLevelType w:val="hybridMultilevel"/>
    <w:lvl w:ilvl="0">
      <w:lvlJc w:val="left"/>
      <w:lvlText w:val="(%1)"/>
      <w:numFmt w:val="lowerRoman"/>
      <w:start w:val="2"/>
    </w:lvl>
  </w:abstractNum>
  <w:abstractNum w:abstractNumId="20">
    <w:nsid w:val="5D205E20"/>
    <w:multiLevelType w:val="hybridMultilevel"/>
    <w:lvl w:ilvl="0">
      <w:lvlJc w:val="left"/>
      <w:lvlText w:val="(%1)"/>
      <w:numFmt w:val="lowerLetter"/>
      <w:start w:val="1"/>
    </w:lvl>
  </w:abstractNum>
  <w:abstractNum w:abstractNumId="21">
    <w:nsid w:val="11CCA8BA"/>
    <w:multiLevelType w:val="hybridMultilevel"/>
    <w:lvl w:ilvl="0">
      <w:lvlJc w:val="left"/>
      <w:lvlText w:val="(%1)"/>
      <w:numFmt w:val="lowerLetter"/>
      <w:start w:val="3"/>
    </w:lvl>
  </w:abstractNum>
  <w:abstractNum w:abstractNumId="22">
    <w:nsid w:val="4D32AB86"/>
    <w:multiLevelType w:val="hybridMultilevel"/>
    <w:lvl w:ilvl="0">
      <w:lvlJc w:val="left"/>
      <w:lvlText w:val="(%1)"/>
      <w:numFmt w:val="lowerLetter"/>
      <w:start w:val="12"/>
    </w:lvl>
  </w:abstractNum>
  <w:abstractNum w:abstractNumId="23">
    <w:nsid w:val="3F07ACC3"/>
    <w:multiLevelType w:val="hybridMultilevel"/>
    <w:lvl w:ilvl="0">
      <w:lvlJc w:val="left"/>
      <w:lvlText w:val="(%1)"/>
      <w:numFmt w:val="lowerLetter"/>
      <w:start w:val="1"/>
    </w:lvl>
  </w:abstractNum>
  <w:abstractNum w:abstractNumId="24">
    <w:nsid w:val="6B47F63E"/>
    <w:multiLevelType w:val="hybridMultilevel"/>
    <w:lvl w:ilvl="0">
      <w:lvlJc w:val="left"/>
      <w:lvlText w:val="%1"/>
      <w:numFmt w:val="lowerLetter"/>
      <w:start w:val="1"/>
    </w:lvl>
    <w:lvl w:ilvl="1">
      <w:lvlJc w:val="left"/>
      <w:lvlText w:val="(%2)"/>
      <w:numFmt w:val="lowerLetter"/>
      <w:start w:val="7"/>
    </w:lvl>
  </w:abstractNum>
  <w:abstractNum w:abstractNumId="25">
    <w:nsid w:val="5CB44A05"/>
    <w:multiLevelType w:val="hybridMultilevel"/>
    <w:lvl w:ilvl="0">
      <w:lvlJc w:val="left"/>
      <w:lvlText w:val="(%1)"/>
      <w:numFmt w:val="lowerLetter"/>
      <w:start w:val="35"/>
    </w:lvl>
    <w:lvl w:ilvl="1">
      <w:lvlJc w:val="left"/>
      <w:lvlText w:val="(%2)"/>
      <w:numFmt w:val="lowerLetter"/>
      <w:start w:val="8"/>
    </w:lvl>
  </w:abstractNum>
  <w:abstractNum w:abstractNumId="26">
    <w:nsid w:val="16CF80F1"/>
    <w:multiLevelType w:val="hybridMultilevel"/>
    <w:lvl w:ilvl="0">
      <w:lvlJc w:val="left"/>
      <w:lvlText w:val="(%1)"/>
      <w:numFmt w:val="lowerLetter"/>
      <w:start w:val="3"/>
    </w:lvl>
  </w:abstractNum>
  <w:abstractNum w:abstractNumId="27">
    <w:nsid w:val="1C695DEC"/>
    <w:multiLevelType w:val="hybridMultilevel"/>
    <w:lvl w:ilvl="0">
      <w:lvlJc w:val="left"/>
      <w:lvlText w:val="(%1)"/>
      <w:numFmt w:val="lowerLetter"/>
      <w:start w:val="2"/>
    </w:lvl>
  </w:abstractNum>
  <w:abstractNum w:abstractNumId="28">
    <w:nsid w:val="3FCFAED9"/>
    <w:multiLevelType w:val="hybridMultilevel"/>
    <w:lvl w:ilvl="0">
      <w:lvlJc w:val="left"/>
      <w:lvlText w:val="(%1)"/>
      <w:numFmt w:val="lowerRoman"/>
      <w:start w:val="1"/>
    </w:lvl>
  </w:abstractNum>
  <w:abstractNum w:abstractNumId="29">
    <w:nsid w:val="F856867"/>
    <w:multiLevelType w:val="hybridMultilevel"/>
    <w:lvl w:ilvl="0">
      <w:lvlJc w:val="left"/>
      <w:lvlText w:val="(%1)"/>
      <w:numFmt w:val="lowerLetter"/>
      <w:start w:val="1"/>
    </w:lvl>
  </w:abstractNum>
  <w:abstractNum w:abstractNumId="30">
    <w:nsid w:val="11B1CC33"/>
    <w:multiLevelType w:val="hybridMultilevel"/>
    <w:lvl w:ilvl="0">
      <w:lvlJc w:val="left"/>
      <w:lvlText w:val="(%1)"/>
      <w:numFmt w:val="lowerLetter"/>
      <w:start w:val="1"/>
    </w:lvl>
  </w:abstractNum>
  <w:abstractNum w:abstractNumId="31">
    <w:nsid w:val="2E22FBB7"/>
    <w:multiLevelType w:val="hybridMultilevel"/>
    <w:lvl w:ilvl="0">
      <w:lvlJc w:val="left"/>
      <w:lvlText w:val="(%1)"/>
      <w:numFmt w:val="lowerRoman"/>
      <w:start w:val="7"/>
    </w:lvl>
    <w:lvl w:ilvl="1">
      <w:lvlJc w:val="left"/>
      <w:lvlText w:val="(%2)"/>
      <w:numFmt w:val="lowerLetter"/>
      <w:start w:val="3"/>
    </w:lvl>
  </w:abstractNum>
  <w:abstractNum w:abstractNumId="32">
    <w:nsid w:val="29934699"/>
    <w:multiLevelType w:val="hybridMultilevel"/>
    <w:lvl w:ilvl="0">
      <w:lvlJc w:val="left"/>
      <w:lvlText w:val="(%1)"/>
      <w:numFmt w:val="lowerRoman"/>
      <w:start w:val="4"/>
    </w:lvl>
    <w:lvl w:ilvl="1">
      <w:lvlJc w:val="left"/>
      <w:lvlText w:val="(%2)"/>
      <w:numFmt w:val="lowerLetter"/>
      <w:start w:val="4"/>
    </w:lvl>
  </w:abstractNum>
  <w:abstractNum w:abstractNumId="33">
    <w:nsid w:val="77485850"/>
    <w:multiLevelType w:val="hybridMultilevel"/>
    <w:lvl w:ilvl="0">
      <w:lvlJc w:val="left"/>
      <w:lvlText w:val="(%1)"/>
      <w:numFmt w:val="lowerLetter"/>
      <w:start w:val="6"/>
    </w:lvl>
  </w:abstractNum>
  <w:abstractNum w:abstractNumId="34">
    <w:nsid w:val="744939A3"/>
    <w:multiLevelType w:val="hybridMultilevel"/>
    <w:lvl w:ilvl="0">
      <w:lvlJc w:val="left"/>
      <w:lvlText w:val="(%1)"/>
      <w:numFmt w:val="lowerLetter"/>
      <w:start w:val="1"/>
    </w:lvl>
  </w:abstractNum>
  <w:abstractNum w:abstractNumId="35">
    <w:nsid w:val="4FA0D2E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79"/>
    </w:lvl>
    <w:lvl w:ilvl="3">
      <w:lvlJc w:val="left"/>
      <w:lvlText w:val="(%4)"/>
      <w:numFmt w:val="lowerRoman"/>
      <w:start w:val="1"/>
    </w:lvl>
  </w:abstractNum>
  <w:abstractNum w:abstractNumId="36">
    <w:nsid w:val="6B1D2C14"/>
    <w:multiLevelType w:val="hybridMultilevel"/>
    <w:lvl w:ilvl="0">
      <w:lvlJc w:val="left"/>
      <w:lvlText w:val="(%1)"/>
      <w:numFmt w:val="decimal"/>
      <w:start w:val="18"/>
    </w:lvl>
    <w:lvl w:ilvl="1">
      <w:lvlJc w:val="left"/>
      <w:lvlText w:val="(%2)"/>
      <w:numFmt w:val="lowerLetter"/>
      <w:start w:val="5"/>
    </w:lvl>
    <w:lvl w:ilvl="2">
      <w:lvlJc w:val="left"/>
      <w:lvlText w:val="%3"/>
      <w:numFmt w:val="decimal"/>
      <w:start w:val="1"/>
    </w:lvl>
    <w:lvl w:ilvl="3">
      <w:lvlJc w:val="left"/>
      <w:lvlText w:val="%4"/>
      <w:numFmt w:val="lowerRoman"/>
      <w:start w:val="1"/>
    </w:lvl>
  </w:abstractNum>
  <w:abstractNum w:abstractNumId="37">
    <w:nsid w:val="68B867D3"/>
    <w:multiLevelType w:val="hybridMultilevel"/>
    <w:lvl w:ilvl="0">
      <w:lvlJc w:val="left"/>
      <w:lvlText w:val="(%1)"/>
      <w:numFmt w:val="upperLetter"/>
      <w:start w:val="2"/>
    </w:lvl>
  </w:abstractNum>
  <w:abstractNum w:abstractNumId="38">
    <w:nsid w:val="3F7F5DD9"/>
    <w:multiLevelType w:val="hybridMultilevel"/>
    <w:lvl w:ilvl="0">
      <w:lvlJc w:val="left"/>
      <w:lvlText w:val="(%1)"/>
      <w:numFmt w:val="upperLetter"/>
      <w:start w:val="4"/>
    </w:lvl>
  </w:abstractNum>
  <w:abstractNum w:abstractNumId="39">
    <w:nsid w:val="2AE05A34"/>
    <w:multiLevelType w:val="hybridMultilevel"/>
    <w:lvl w:ilvl="0">
      <w:lvlJc w:val="left"/>
      <w:lvlText w:val="(%1)"/>
      <w:numFmt w:val="lowerLetter"/>
      <w:start w:val="1"/>
    </w:lvl>
    <w:lvl w:ilvl="1">
      <w:lvlJc w:val="left"/>
      <w:lvlText w:val="(%2)"/>
      <w:numFmt w:val="lowerRoman"/>
      <w:start w:val="1"/>
    </w:lvl>
  </w:abstractNum>
  <w:abstractNum w:abstractNumId="40">
    <w:nsid w:val="32794FF7"/>
    <w:multiLevelType w:val="hybridMultilevel"/>
    <w:lvl w:ilvl="0">
      <w:lvlJc w:val="left"/>
      <w:lvlText w:val="%1"/>
      <w:numFmt w:val="lowerLetter"/>
      <w:start w:val="1"/>
    </w:lvl>
    <w:lvl w:ilvl="1">
      <w:lvlJc w:val="left"/>
      <w:lvlText w:val="(%2)"/>
      <w:numFmt w:val="lowerLetter"/>
      <w:start w:val="3"/>
    </w:lvl>
  </w:abstractNum>
  <w:abstractNum w:abstractNumId="41">
    <w:nsid w:val="5454945E"/>
    <w:multiLevelType w:val="hybridMultilevel"/>
    <w:lvl w:ilvl="0">
      <w:lvlJc w:val="left"/>
      <w:lvlText w:val="(%1)"/>
      <w:numFmt w:val="lowerLetter"/>
      <w:start w:val="9"/>
    </w:lvl>
    <w:lvl w:ilvl="1">
      <w:lvlJc w:val="left"/>
      <w:lvlText w:val="%2"/>
      <w:numFmt w:val="lowerLetter"/>
      <w:start w:val="1"/>
    </w:lvl>
  </w:abstractNum>
  <w:abstractNum w:abstractNumId="42">
    <w:nsid w:val="4DEFDFA0"/>
    <w:multiLevelType w:val="hybridMultilevel"/>
    <w:lvl w:ilvl="0">
      <w:lvlJc w:val="left"/>
      <w:lvlText w:val="(%1)"/>
      <w:numFmt w:val="lowerLetter"/>
      <w:start w:val="1"/>
    </w:lvl>
  </w:abstractNum>
  <w:abstractNum w:abstractNumId="43">
    <w:nsid w:val="2123D5F2"/>
    <w:multiLevelType w:val="hybridMultilevel"/>
    <w:lvl w:ilvl="0">
      <w:lvlJc w:val="left"/>
      <w:lvlText w:val="(%1)"/>
      <w:numFmt w:val="lowerLetter"/>
      <w:start w:val="3"/>
    </w:lvl>
  </w:abstractNum>
  <w:abstractNum w:abstractNumId="44">
    <w:nsid w:val="135B8110"/>
    <w:multiLevelType w:val="hybridMultilevel"/>
    <w:lvl w:ilvl="0">
      <w:lvlJc w:val="left"/>
      <w:lvlText w:val="(%1)"/>
      <w:numFmt w:val="lowerLetter"/>
      <w:start w:val="1"/>
    </w:lvl>
  </w:abstractNum>
  <w:abstractNum w:abstractNumId="45">
    <w:nsid w:val="94927A8"/>
    <w:multiLevelType w:val="hybridMultilevel"/>
    <w:lvl w:ilvl="0">
      <w:lvlJc w:val="left"/>
      <w:lvlText w:val="(%1)"/>
      <w:numFmt w:val="lowerLetter"/>
      <w:start w:val="3"/>
    </w:lvl>
  </w:abstractNum>
  <w:abstractNum w:abstractNumId="46">
    <w:nsid w:val="DCDF8F6"/>
    <w:multiLevelType w:val="hybridMultilevel"/>
    <w:lvl w:ilvl="0">
      <w:lvlJc w:val="left"/>
      <w:lvlText w:val="(%1)"/>
      <w:numFmt w:val="lowerLetter"/>
      <w:start w:val="1"/>
    </w:lvl>
  </w:abstractNum>
  <w:abstractNum w:abstractNumId="47">
    <w:nsid w:val="52D7B10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8">
    <w:nsid w:val="2E8A6394"/>
    <w:multiLevelType w:val="hybridMultilevel"/>
    <w:lvl w:ilvl="0">
      <w:lvlJc w:val="left"/>
      <w:lvlText w:val="(%1)"/>
      <w:numFmt w:val="decimal"/>
      <w:start w:val="10"/>
    </w:lvl>
    <w:lvl w:ilvl="1">
      <w:lvlJc w:val="left"/>
      <w:lvlText w:val="(%2)"/>
      <w:numFmt w:val="lowerLetter"/>
      <w:start w:val="6"/>
    </w:lvl>
    <w:lvl w:ilvl="2">
      <w:lvlJc w:val="left"/>
      <w:lvlText w:val="(%3)"/>
      <w:numFmt w:val="lowerLetter"/>
      <w:start w:val="9"/>
    </w:lvl>
  </w:abstractNum>
  <w:abstractNum w:abstractNumId="49">
    <w:nsid w:val="24E60401"/>
    <w:multiLevelType w:val="hybridMultilevel"/>
    <w:lvl w:ilvl="0">
      <w:lvlJc w:val="left"/>
      <w:lvlText w:val="(%1)"/>
      <w:numFmt w:val="lowerRoman"/>
      <w:start w:val="2"/>
    </w:lvl>
  </w:abstractNum>
  <w:abstractNum w:abstractNumId="50">
    <w:nsid w:val="2A6AD9BE"/>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51">
    <w:nsid w:val="BAAC1B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52">
    <w:nsid w:val="36B2ACBC"/>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61"/>
    </w:lvl>
  </w:abstractNum>
  <w:abstractNum w:abstractNumId="53">
    <w:nsid w:val="779D8544"/>
    <w:multiLevelType w:val="hybridMultilevel"/>
    <w:lvl w:ilvl="0">
      <w:lvlJc w:val="left"/>
      <w:lvlText w:val="(%1)"/>
      <w:numFmt w:val="lowerLetter"/>
      <w:start w:val="8"/>
    </w:lvl>
    <w:lvl w:ilvl="1">
      <w:lvlJc w:val="left"/>
      <w:lvlText w:val="%2"/>
      <w:numFmt w:val="upperLetter"/>
      <w:start w:val="1"/>
    </w:lvl>
    <w:lvl w:ilvl="2">
      <w:lvlJc w:val="left"/>
      <w:lvlText w:val="%3"/>
      <w:numFmt w:val="lowerLetter"/>
      <w:start w:val="1"/>
    </w:lvl>
  </w:abstractNum>
  <w:abstractNum w:abstractNumId="54">
    <w:nsid w:val="4AB26E78"/>
    <w:multiLevelType w:val="hybridMultilevel"/>
    <w:lvl w:ilvl="0">
      <w:lvlJc w:val="left"/>
      <w:lvlText w:val="(%1)"/>
      <w:numFmt w:val="lowerRoman"/>
      <w:start w:val="1"/>
    </w:lvl>
  </w:abstractNum>
  <w:abstractNum w:abstractNumId="55">
    <w:nsid w:val="21FAA2FA"/>
    <w:multiLevelType w:val="hybridMultilevel"/>
    <w:lvl w:ilvl="0">
      <w:lvlJc w:val="left"/>
      <w:lvlText w:val="(%1)"/>
      <w:numFmt w:val="lowerLetter"/>
      <w:start w:val="1"/>
    </w:lvl>
  </w:abstractNum>
  <w:abstractNum w:abstractNumId="56">
    <w:nsid w:val="5451CF49"/>
    <w:multiLevelType w:val="hybridMultilevel"/>
    <w:lvl w:ilvl="0">
      <w:lvlJc w:val="left"/>
      <w:lvlText w:val="(%1)"/>
      <w:numFmt w:val="lowerLetter"/>
      <w:start w:val="1"/>
    </w:lvl>
    <w:lvl w:ilvl="1">
      <w:lvlJc w:val="left"/>
      <w:lvlText w:val="(%2)"/>
      <w:numFmt w:val="lowerRoman"/>
      <w:start w:val="1"/>
    </w:lvl>
  </w:abstractNum>
  <w:abstractNum w:abstractNumId="57">
    <w:nsid w:val="6181EF69"/>
    <w:multiLevelType w:val="hybridMultilevel"/>
    <w:lvl w:ilvl="0">
      <w:lvlJc w:val="left"/>
      <w:lvlText w:val="(%1)"/>
      <w:numFmt w:val="lowerRoman"/>
      <w:start w:val="3"/>
    </w:lvl>
  </w:abstractNum>
  <w:abstractNum w:abstractNumId="58">
    <w:nsid w:val="3E6400E6"/>
    <w:multiLevelType w:val="hybridMultilevel"/>
    <w:lvl w:ilvl="0">
      <w:lvlJc w:val="left"/>
      <w:lvlText w:val="(%1)"/>
      <w:numFmt w:val="lowerLetter"/>
      <w:start w:val="2"/>
    </w:lvl>
  </w:abstractNum>
  <w:abstractNum w:abstractNumId="59">
    <w:nsid w:val="14217E23"/>
    <w:multiLevelType w:val="hybridMultilevel"/>
    <w:lvl w:ilvl="0">
      <w:lvlJc w:val="left"/>
      <w:lvlText w:val="(%1)"/>
      <w:numFmt w:val="lowerRoman"/>
      <w:start w:val="1"/>
    </w:lvl>
  </w:abstractNum>
  <w:abstractNum w:abstractNumId="60">
    <w:nsid w:val="710757D0"/>
    <w:multiLevelType w:val="hybridMultilevel"/>
    <w:lvl w:ilvl="0">
      <w:lvlJc w:val="left"/>
      <w:lvlText w:val="(%1)"/>
      <w:numFmt w:val="lowerRoman"/>
      <w:start w:val="3"/>
    </w:lvl>
  </w:abstractNum>
  <w:abstractNum w:abstractNumId="61">
    <w:nsid w:val="5015CD1A"/>
    <w:multiLevelType w:val="hybridMultilevel"/>
    <w:lvl w:ilvl="0">
      <w:lvlJc w:val="left"/>
      <w:lvlText w:val="%1"/>
      <w:numFmt w:val="lowerRoman"/>
      <w:start w:val="1"/>
    </w:lvl>
    <w:lvl w:ilvl="1">
      <w:lvlJc w:val="left"/>
      <w:lvlText w:val="(%2)"/>
      <w:numFmt w:val="lowerLetter"/>
      <w:start w:val="1"/>
    </w:lvl>
  </w:abstractNum>
  <w:abstractNum w:abstractNumId="62">
    <w:nsid w:val="424479DA"/>
    <w:multiLevelType w:val="hybridMultilevel"/>
    <w:lvl w:ilvl="0">
      <w:lvlJc w:val="left"/>
      <w:lvlText w:val="(%1)"/>
      <w:numFmt w:val="lowerRoman"/>
      <w:start w:val="1"/>
    </w:lvl>
    <w:lvl w:ilvl="1">
      <w:lvlJc w:val="left"/>
      <w:lvlText w:val="(%2)"/>
      <w:numFmt w:val="lowerLetter"/>
      <w:start w:val="2"/>
    </w:lvl>
  </w:abstractNum>
  <w:abstractNum w:abstractNumId="63">
    <w:nsid w:val="1A9A9E69"/>
    <w:multiLevelType w:val="hybridMultilevel"/>
    <w:lvl w:ilvl="0">
      <w:lvlJc w:val="left"/>
      <w:lvlText w:val="(%1)"/>
      <w:numFmt w:val="lowerLetter"/>
      <w:start w:val="1"/>
    </w:lvl>
  </w:abstractNum>
  <w:abstractNum w:abstractNumId="64">
    <w:nsid w:val="475E256A"/>
    <w:multiLevelType w:val="hybridMultilevel"/>
    <w:lvl w:ilvl="0">
      <w:lvlJc w:val="left"/>
      <w:lvlText w:val="(%1)"/>
      <w:numFmt w:val="lowerLetter"/>
      <w:start w:val="1"/>
    </w:lvl>
    <w:lvl w:ilvl="1">
      <w:lvlJc w:val="left"/>
      <w:lvlText w:val="(%2)"/>
      <w:numFmt w:val="lowerRoman"/>
      <w:start w:val="1"/>
    </w:lvl>
  </w:abstractNum>
  <w:abstractNum w:abstractNumId="65">
    <w:nsid w:val="368DB37E"/>
    <w:multiLevelType w:val="hybridMultilevel"/>
    <w:lvl w:ilvl="0">
      <w:lvlJc w:val="left"/>
      <w:lvlText w:val="(%1)"/>
      <w:numFmt w:val="lowerRoman"/>
      <w:start w:val="5"/>
    </w:lvl>
  </w:abstractNum>
  <w:abstractNum w:abstractNumId="66">
    <w:nsid w:val="6A3B714C"/>
    <w:multiLevelType w:val="hybridMultilevel"/>
    <w:lvl w:ilvl="0">
      <w:lvlJc w:val="left"/>
      <w:lvlText w:val="%1"/>
      <w:numFmt w:val="lowerLetter"/>
      <w:start w:val="1"/>
    </w:lvl>
    <w:lvl w:ilvl="1">
      <w:lvlJc w:val="left"/>
      <w:lvlText w:val="(%2)"/>
      <w:numFmt w:val="lowerRoman"/>
      <w:start w:val="6"/>
    </w:lvl>
  </w:abstractNum>
  <w:abstractNum w:abstractNumId="67">
    <w:nsid w:val="327B517E"/>
    <w:multiLevelType w:val="hybridMultilevel"/>
    <w:lvl w:ilvl="0">
      <w:lvlJc w:val="left"/>
      <w:lvlText w:val="(%1)"/>
      <w:numFmt w:val="lowerLetter"/>
      <w:start w:val="2"/>
    </w:lvl>
    <w:lvl w:ilvl="1">
      <w:lvlJc w:val="left"/>
      <w:lvlText w:val="%2"/>
      <w:numFmt w:val="lowerRoman"/>
      <w:start w:val="1"/>
    </w:lvl>
  </w:abstractNum>
  <w:abstractNum w:abstractNumId="68">
    <w:nsid w:val="1F461B51"/>
    <w:multiLevelType w:val="hybridMultilevel"/>
    <w:lvl w:ilvl="0">
      <w:lvlJc w:val="left"/>
      <w:lvlText w:val="%1"/>
      <w:numFmt w:val="lowerLetter"/>
      <w:start w:val="1"/>
    </w:lvl>
    <w:lvl w:ilvl="1">
      <w:lvlJc w:val="left"/>
      <w:lvlText w:val="(%2)"/>
      <w:numFmt w:val="lowerRoman"/>
      <w:start w:val="1"/>
    </w:lvl>
  </w:abstractNum>
  <w:abstractNum w:abstractNumId="69">
    <w:nsid w:val="29BACF25"/>
    <w:multiLevelType w:val="hybridMultilevel"/>
    <w:lvl w:ilvl="0">
      <w:lvlJc w:val="left"/>
      <w:lvlText w:val="(%1)"/>
      <w:numFmt w:val="lowerLetter"/>
      <w:start w:val="8"/>
    </w:lvl>
    <w:lvl w:ilvl="1">
      <w:lvlJc w:val="left"/>
      <w:lvlText w:val="%2"/>
      <w:numFmt w:val="lowerRoman"/>
      <w:start w:val="1"/>
    </w:lvl>
  </w:abstractNum>
  <w:abstractNum w:abstractNumId="70">
    <w:nsid w:val="5D5BABB3"/>
    <w:multiLevelType w:val="hybridMultilevel"/>
    <w:lvl w:ilvl="0">
      <w:lvlJc w:val="left"/>
      <w:lvlText w:val="(%1)"/>
      <w:numFmt w:val="lowerLetter"/>
      <w:start w:val="12"/>
    </w:lvl>
    <w:lvl w:ilvl="1">
      <w:lvlJc w:val="left"/>
      <w:lvlText w:val="(%2)"/>
      <w:numFmt w:val="lowerRoman"/>
      <w:start w:val="1"/>
    </w:lvl>
  </w:abstractNum>
  <w:abstractNum w:abstractNumId="71">
    <w:nsid w:val="51BF6B48"/>
    <w:multiLevelType w:val="hybridMultilevel"/>
    <w:lvl w:ilvl="0">
      <w:lvlJc w:val="left"/>
      <w:lvlText w:val="(%1)"/>
      <w:numFmt w:val="lowerLetter"/>
      <w:start w:val="20"/>
    </w:lvl>
  </w:abstractNum>
  <w:abstractNum w:abstractNumId="72">
    <w:nsid w:val="7E0F6384"/>
    <w:multiLevelType w:val="hybridMultilevel"/>
    <w:lvl w:ilvl="0">
      <w:lvlJc w:val="left"/>
      <w:lvlText w:val="(%1)"/>
      <w:numFmt w:val="lowerLetter"/>
      <w:start w:val="27"/>
    </w:lvl>
  </w:abstractNum>
  <w:abstractNum w:abstractNumId="73">
    <w:nsid w:val="2B4B8B53"/>
    <w:multiLevelType w:val="hybridMultilevel"/>
    <w:lvl w:ilvl="0">
      <w:lvlJc w:val="left"/>
      <w:lvlText w:val="(%1)"/>
      <w:numFmt w:val="lowerLetter"/>
      <w:start w:val="1"/>
    </w:lvl>
  </w:abstractNum>
  <w:abstractNum w:abstractNumId="74">
    <w:nsid w:val="72E3413A"/>
    <w:multiLevelType w:val="hybridMultilevel"/>
    <w:lvl w:ilvl="0">
      <w:lvlJc w:val="left"/>
      <w:lvlText w:val="(%1)"/>
      <w:numFmt w:val="lowerLetter"/>
      <w:start w:val="24"/>
    </w:lvl>
    <w:lvl w:ilvl="1">
      <w:lvlJc w:val="left"/>
      <w:lvlText w:val="(%2)"/>
      <w:numFmt w:val="lowerLetter"/>
      <w:start w:val="5"/>
    </w:lvl>
  </w:abstractNum>
  <w:abstractNum w:abstractNumId="75">
    <w:nsid w:val="116AE494"/>
    <w:multiLevelType w:val="hybridMultilevel"/>
    <w:lvl w:ilvl="0">
      <w:lvlJc w:val="left"/>
      <w:lvlText w:val="(%1)"/>
      <w:numFmt w:val="lowerLetter"/>
      <w:start w:val="1"/>
    </w:lvl>
  </w:abstractNum>
  <w:abstractNum w:abstractNumId="76">
    <w:nsid w:val="3494B2FB"/>
    <w:multiLevelType w:val="hybridMultilevel"/>
    <w:lvl w:ilvl="0">
      <w:lvlJc w:val="left"/>
      <w:lvlText w:val="%1"/>
      <w:numFmt w:val="upperLetter"/>
      <w:start w:val="68"/>
    </w:lvl>
    <w:lvl w:ilvl="1">
      <w:lvlJc w:val="left"/>
      <w:lvlText w:val="(%2)"/>
      <w:numFmt w:val="lowerLetter"/>
      <w:start w:val="5"/>
    </w:lvl>
  </w:abstractNum>
  <w:abstractNum w:abstractNumId="77">
    <w:nsid w:val="B13A31"/>
    <w:multiLevelType w:val="hybridMultilevel"/>
    <w:lvl w:ilvl="0">
      <w:lvlJc w:val="left"/>
      <w:lvlText w:val="%1"/>
      <w:numFmt w:val="lowerLetter"/>
      <w:start w:val="1"/>
    </w:lvl>
    <w:lvl w:ilvl="1">
      <w:lvlJc w:val="left"/>
      <w:lvlText w:val="(%2)"/>
      <w:numFmt w:val="lowerLetter"/>
      <w:start w:val="1"/>
    </w:lvl>
  </w:abstractNum>
  <w:abstractNum w:abstractNumId="78">
    <w:nsid w:val="64429599"/>
    <w:multiLevelType w:val="hybridMultilevel"/>
    <w:lvl w:ilvl="0">
      <w:lvlJc w:val="left"/>
      <w:lvlText w:val="(%1)"/>
      <w:numFmt w:val="lowerLetter"/>
      <w:start w:val="35"/>
    </w:lvl>
    <w:lvl w:ilvl="1">
      <w:lvlJc w:val="left"/>
      <w:lvlText w:val="(%2)"/>
      <w:numFmt w:val="lowerLetter"/>
      <w:start w:val="2"/>
    </w:lvl>
  </w:abstractNum>
  <w:abstractNum w:abstractNumId="79">
    <w:nsid w:val="631F1690"/>
    <w:multiLevelType w:val="hybridMultilevel"/>
    <w:lvl w:ilvl="0">
      <w:lvlJc w:val="left"/>
      <w:lvlText w:val="(%1)"/>
      <w:numFmt w:val="lowerLetter"/>
      <w:start w:val="3"/>
    </w:lvl>
  </w:abstractNum>
  <w:abstractNum w:abstractNumId="80">
    <w:nsid w:val="25973E32"/>
    <w:multiLevelType w:val="hybridMultilevel"/>
    <w:lvl w:ilvl="0">
      <w:lvlJc w:val="left"/>
      <w:lvlText w:val="(%1)"/>
      <w:numFmt w:val="lowerLetter"/>
      <w:start w:val="1"/>
    </w:lvl>
  </w:abstractNum>
  <w:abstractNum w:abstractNumId="81">
    <w:nsid w:val="EAD6F57"/>
    <w:multiLevelType w:val="hybridMultilevel"/>
    <w:lvl w:ilvl="0">
      <w:lvlJc w:val="left"/>
      <w:lvlText w:val="(%1)"/>
      <w:numFmt w:val="lowerLetter"/>
      <w:start w:val="5"/>
    </w:lvl>
  </w:abstractNum>
  <w:abstractNum w:abstractNumId="82">
    <w:nsid w:val="6EC9D844"/>
    <w:multiLevelType w:val="hybridMultilevel"/>
    <w:lvl w:ilvl="0">
      <w:lvlJc w:val="left"/>
      <w:lvlText w:val="%1"/>
      <w:numFmt w:val="lowerLetter"/>
      <w:start w:val="1"/>
    </w:lvl>
    <w:lvl w:ilvl="1">
      <w:lvlJc w:val="left"/>
      <w:lvlText w:val="(%2)"/>
      <w:numFmt w:val="lowerLetter"/>
      <w:start w:val="1"/>
    </w:lvl>
  </w:abstractNum>
  <w:abstractNum w:abstractNumId="83">
    <w:nsid w:val="5C49EAEE"/>
    <w:multiLevelType w:val="hybridMultilevel"/>
    <w:lvl w:ilvl="0">
      <w:lvlJc w:val="left"/>
      <w:lvlText w:val="(%1)"/>
      <w:numFmt w:val="lowerLetter"/>
      <w:start w:val="61"/>
    </w:lvl>
    <w:lvl w:ilvl="1">
      <w:lvlJc w:val="left"/>
      <w:lvlText w:val="(%2)"/>
      <w:numFmt w:val="lowerLetter"/>
      <w:start w:val="3"/>
    </w:lvl>
  </w:abstractNum>
  <w:abstractNum w:abstractNumId="84">
    <w:nsid w:val="64AF49B"/>
    <w:multiLevelType w:val="hybridMultilevel"/>
    <w:lvl w:ilvl="0">
      <w:lvlJc w:val="left"/>
      <w:lvlText w:val="%1"/>
      <w:numFmt w:val="lowerLetter"/>
      <w:start w:val="1"/>
    </w:lvl>
    <w:lvl w:ilvl="1">
      <w:lvlJc w:val="left"/>
      <w:lvlText w:val="(%2)"/>
      <w:numFmt w:val="lowerLetter"/>
      <w:start w:val="4"/>
    </w:lvl>
  </w:abstractNum>
  <w:abstractNum w:abstractNumId="85">
    <w:nsid w:val="397C46BC"/>
    <w:multiLevelType w:val="hybridMultilevel"/>
    <w:lvl w:ilvl="0">
      <w:lvlJc w:val="left"/>
      <w:lvlText w:val="(%1)"/>
      <w:numFmt w:val="lowerLetter"/>
      <w:start w:val="61"/>
    </w:lvl>
    <w:lvl w:ilvl="1">
      <w:lvlJc w:val="left"/>
      <w:lvlText w:val="(%2)"/>
      <w:numFmt w:val="lowerLetter"/>
      <w:start w:val="9"/>
    </w:lvl>
  </w:abstractNum>
  <w:abstractNum w:abstractNumId="86">
    <w:nsid w:val="7E448DE9"/>
    <w:multiLevelType w:val="hybridMultilevel"/>
    <w:lvl w:ilvl="0">
      <w:lvlJc w:val="left"/>
      <w:lvlText w:val="(%1)"/>
      <w:numFmt w:val="lowerLetter"/>
      <w:start w:val="1"/>
    </w:lvl>
    <w:lvl w:ilvl="1">
      <w:lvlJc w:val="left"/>
      <w:lvlText w:val="(%2)"/>
      <w:numFmt w:val="lowerRoman"/>
      <w:start w:val="1"/>
    </w:lvl>
  </w:abstractNum>
  <w:abstractNum w:abstractNumId="87">
    <w:nsid w:val="5A9CC3E5"/>
    <w:multiLevelType w:val="hybridMultilevel"/>
    <w:lvl w:ilvl="0">
      <w:lvlJc w:val="left"/>
      <w:lvlText w:val="(%1)"/>
      <w:numFmt w:val="lowerRoman"/>
      <w:start w:val="3"/>
    </w:lvl>
  </w:abstractNum>
  <w:abstractNum w:abstractNumId="88">
    <w:nsid w:val="1AFE3625"/>
    <w:multiLevelType w:val="hybridMultilevel"/>
    <w:lvl w:ilvl="0">
      <w:lvlJc w:val="left"/>
      <w:lvlText w:val="(%1)"/>
      <w:numFmt w:val="lowerLetter"/>
      <w:start w:val="1"/>
    </w:lvl>
  </w:abstractNum>
  <w:abstractNum w:abstractNumId="89">
    <w:nsid w:val="3CA88ECF"/>
    <w:multiLevelType w:val="hybridMultilevel"/>
    <w:lvl w:ilvl="0">
      <w:lvlJc w:val="left"/>
      <w:lvlText w:val="(%1)"/>
      <w:numFmt w:val="lowerLetter"/>
      <w:start w:val="2"/>
    </w:lvl>
    <w:lvl w:ilvl="1">
      <w:lvlJc w:val="left"/>
      <w:lvlText w:val="(%2)"/>
      <w:numFmt w:val="lowerRoman"/>
      <w:start w:val="1"/>
    </w:lvl>
  </w:abstractNum>
  <w:abstractNum w:abstractNumId="90">
    <w:nsid w:val="6EBE4208"/>
    <w:multiLevelType w:val="hybridMultilevel"/>
    <w:lvl w:ilvl="0">
      <w:lvlJc w:val="left"/>
      <w:lvlText w:val="(%1)"/>
      <w:numFmt w:val="lowerRoman"/>
      <w:start w:val="1"/>
    </w:lvl>
  </w:abstractNum>
  <w:abstractNum w:abstractNumId="91">
    <w:nsid w:val="C058DF5"/>
    <w:multiLevelType w:val="hybridMultilevel"/>
    <w:lvl w:ilvl="0">
      <w:lvlJc w:val="left"/>
      <w:lvlText w:val="(%1)"/>
      <w:numFmt w:val="lowerLetter"/>
      <w:start w:val="35"/>
    </w:lvl>
  </w:abstractNum>
  <w:abstractNum w:abstractNumId="92">
    <w:nsid w:val="CBE5BE9"/>
    <w:multiLevelType w:val="hybridMultilevel"/>
    <w:lvl w:ilvl="0">
      <w:lvlJc w:val="left"/>
      <w:lvlText w:val="(%1)"/>
      <w:numFmt w:val="lowerLetter"/>
      <w:start w:val="2"/>
    </w:lvl>
  </w:abstractNum>
  <w:abstractNum w:abstractNumId="93">
    <w:nsid w:val="3102BBE2"/>
    <w:multiLevelType w:val="hybridMultilevel"/>
    <w:lvl w:ilvl="0">
      <w:lvlJc w:val="left"/>
      <w:lvlText w:val="(%1)"/>
      <w:numFmt w:val="lowerRoman"/>
      <w:start w:val="1"/>
    </w:lvl>
  </w:abstractNum>
  <w:abstractNum w:abstractNumId="94">
    <w:nsid w:val="26A02C5E"/>
    <w:multiLevelType w:val="hybridMultilevel"/>
    <w:lvl w:ilvl="0">
      <w:lvlJc w:val="left"/>
      <w:lvlText w:val="(%1)"/>
      <w:numFmt w:val="lowerLetter"/>
      <w:start w:val="1"/>
    </w:lvl>
  </w:abstractNum>
  <w:abstractNum w:abstractNumId="95">
    <w:nsid w:val="541C8153"/>
    <w:multiLevelType w:val="hybridMultilevel"/>
    <w:lvl w:ilvl="0">
      <w:lvlJc w:val="left"/>
      <w:lvlText w:val="(%1)"/>
      <w:numFmt w:val="lowerLetter"/>
      <w:start w:val="2"/>
    </w:lvl>
  </w:abstractNum>
  <w:abstractNum w:abstractNumId="96">
    <w:nsid w:val="67906F60"/>
    <w:multiLevelType w:val="hybridMultilevel"/>
    <w:lvl w:ilvl="0">
      <w:lvlJc w:val="left"/>
      <w:lvlText w:val="(%1)"/>
      <w:numFmt w:val="upperLetter"/>
      <w:start w:val="1"/>
    </w:lvl>
  </w:abstractNum>
  <w:abstractNum w:abstractNumId="97">
    <w:nsid w:val="10DB9DAA"/>
    <w:multiLevelType w:val="hybridMultilevel"/>
    <w:lvl w:ilvl="0">
      <w:lvlJc w:val="left"/>
      <w:lvlText w:val="(%1)"/>
      <w:numFmt w:val="upperLetter"/>
      <w:start w:val="3"/>
    </w:lvl>
  </w:abstractNum>
  <w:abstractNum w:abstractNumId="98">
    <w:nsid w:val="697D2D2"/>
    <w:multiLevelType w:val="hybridMultilevel"/>
    <w:lvl w:ilvl="0">
      <w:lvlJc w:val="left"/>
      <w:lvlText w:val="(%1)"/>
      <w:numFmt w:val="lowerLetter"/>
      <w:start w:val="1"/>
    </w:lvl>
  </w:abstractNum>
  <w:abstractNum w:abstractNumId="99">
    <w:nsid w:val="6D68AB2"/>
    <w:multiLevelType w:val="hybridMultilevel"/>
    <w:lvl w:ilvl="0">
      <w:lvlJc w:val="left"/>
      <w:lvlText w:val="(%1)"/>
      <w:numFmt w:val="lowerLetter"/>
      <w:start w:val="1"/>
    </w:lvl>
  </w:abstractNum>
  <w:abstractNum w:abstractNumId="100">
    <w:nsid w:val="3A966CD0"/>
    <w:multiLevelType w:val="hybridMultilevel"/>
    <w:lvl w:ilvl="0">
      <w:lvlJc w:val="left"/>
      <w:lvlText w:val="(%1)"/>
      <w:numFmt w:val="lowerLetter"/>
      <w:start w:val="2"/>
    </w:lvl>
  </w:abstractNum>
  <w:abstractNum w:abstractNumId="101">
    <w:nsid w:val="63F37E85"/>
    <w:multiLevelType w:val="hybridMultilevel"/>
    <w:lvl w:ilvl="0">
      <w:lvlJc w:val="left"/>
      <w:lvlText w:val="(%1)"/>
      <w:numFmt w:val="lowerLetter"/>
      <w:start w:val="1"/>
    </w:lvl>
  </w:abstractNum>
  <w:abstractNum w:abstractNumId="102">
    <w:nsid w:val="5895F5FA"/>
    <w:multiLevelType w:val="hybridMultilevel"/>
    <w:lvl w:ilvl="0">
      <w:lvlJc w:val="left"/>
      <w:lvlText w:val="(%1)"/>
      <w:numFmt w:val="lowerLetter"/>
      <w:start w:val="10"/>
    </w:lvl>
  </w:abstractNum>
  <w:abstractNum w:abstractNumId="103">
    <w:nsid w:val="38A5D054"/>
    <w:multiLevelType w:val="hybridMultilevel"/>
    <w:lvl w:ilvl="0">
      <w:lvlJc w:val="left"/>
      <w:lvlText w:val="(%1)"/>
      <w:numFmt w:val="lowerLetter"/>
      <w:start w:val="11"/>
    </w:lvl>
  </w:abstractNum>
  <w:abstractNum w:abstractNumId="104">
    <w:nsid w:val="F3F09D8"/>
    <w:multiLevelType w:val="hybridMultilevel"/>
    <w:lvl w:ilvl="0">
      <w:lvlJc w:val="left"/>
      <w:lvlText w:val="(%1)"/>
      <w:numFmt w:val="lowerLetter"/>
      <w:start w:val="1"/>
    </w:lvl>
  </w:abstractNum>
  <w:abstractNum w:abstractNumId="105">
    <w:nsid w:val="4B793735"/>
    <w:multiLevelType w:val="hybridMultilevel"/>
    <w:lvl w:ilvl="0">
      <w:lvlJc w:val="left"/>
      <w:lvlText w:val="(%1)"/>
      <w:numFmt w:val="lowerLetter"/>
      <w:start w:val="3"/>
    </w:lvl>
    <w:lvl w:ilvl="1">
      <w:lvlJc w:val="left"/>
      <w:lvlText w:val="(%2)"/>
      <w:numFmt w:val="lowerLetter"/>
      <w:start w:val="5"/>
    </w:lvl>
  </w:abstractNum>
  <w:abstractNum w:abstractNumId="106">
    <w:nsid w:val="4A10B4E8"/>
    <w:multiLevelType w:val="hybridMultilevel"/>
    <w:lvl w:ilvl="0">
      <w:lvlJc w:val="left"/>
      <w:lvlText w:val="(%1)"/>
      <w:numFmt w:val="lowerLetter"/>
      <w:start w:val="6"/>
    </w:lvl>
  </w:abstractNum>
  <w:abstractNum w:abstractNumId="107">
    <w:nsid w:val="43D3BCD4"/>
    <w:multiLevelType w:val="hybridMultilevel"/>
    <w:lvl w:ilvl="0">
      <w:lvlJc w:val="left"/>
      <w:lvlText w:val="(%1)"/>
      <w:numFmt w:val="lowerLetter"/>
      <w:start w:val="1"/>
    </w:lvl>
    <w:lvl w:ilvl="1">
      <w:lvlJc w:val="left"/>
      <w:lvlText w:val="(%2)"/>
      <w:numFmt w:val="lowerRoman"/>
      <w:start w:val="1"/>
    </w:lvl>
  </w:abstractNum>
  <w:abstractNum w:abstractNumId="108">
    <w:nsid w:val="4C2A7166"/>
    <w:multiLevelType w:val="hybridMultilevel"/>
    <w:lvl w:ilvl="0">
      <w:lvlJc w:val="left"/>
      <w:lvlText w:val="(%1)"/>
      <w:numFmt w:val="lowerRoman"/>
      <w:start w:val="4"/>
    </w:lvl>
  </w:abstractNum>
  <w:abstractNum w:abstractNumId="109">
    <w:nsid w:val="2E534A82"/>
    <w:multiLevelType w:val="hybridMultilevel"/>
    <w:lvl w:ilvl="0">
      <w:lvlJc w:val="left"/>
      <w:lvlText w:val="(%1)"/>
      <w:numFmt w:val="lowerLetter"/>
      <w:start w:val="1"/>
    </w:lvl>
  </w:abstractNum>
  <w:abstractNum w:abstractNumId="110">
    <w:nsid w:val="26F2D364"/>
    <w:multiLevelType w:val="hybridMultilevel"/>
    <w:lvl w:ilvl="0">
      <w:lvlJc w:val="left"/>
      <w:lvlText w:val="(%1)"/>
      <w:numFmt w:val="lowerLetter"/>
      <w:start w:val="1"/>
    </w:lvl>
  </w:abstractNum>
  <w:abstractNum w:abstractNumId="111">
    <w:nsid w:val="71C1AF98"/>
    <w:multiLevelType w:val="hybridMultilevel"/>
    <w:lvl w:ilvl="0">
      <w:lvlJc w:val="left"/>
      <w:lvlText w:val="(%1)"/>
      <w:numFmt w:val="lowerLetter"/>
      <w:start w:val="61"/>
    </w:lvl>
  </w:abstractNum>
  <w:abstractNum w:abstractNumId="112">
    <w:nsid w:val="3D00B9D9"/>
    <w:multiLevelType w:val="hybridMultilevel"/>
    <w:lvl w:ilvl="0">
      <w:lvlJc w:val="left"/>
      <w:lvlText w:val="(%1)"/>
      <w:numFmt w:val="lowerLetter"/>
      <w:start w:val="1"/>
    </w:lvl>
  </w:abstractNum>
  <w:abstractNum w:abstractNumId="113">
    <w:nsid w:val="15BCABA8"/>
    <w:multiLevelType w:val="hybridMultilevel"/>
    <w:lvl w:ilvl="0">
      <w:lvlJc w:val="left"/>
      <w:lvlText w:val="(%1)"/>
      <w:numFmt w:val="lowerLetter"/>
      <w:start w:val="2"/>
    </w:lvl>
  </w:abstractNum>
  <w:abstractNum w:abstractNumId="114">
    <w:nsid w:val="4E0B9A87"/>
    <w:multiLevelType w:val="hybridMultilevel"/>
    <w:lvl w:ilvl="0">
      <w:lvlJc w:val="left"/>
      <w:lvlText w:val="(%1)"/>
      <w:numFmt w:val="lowerLetter"/>
      <w:start w:val="1"/>
    </w:lvl>
  </w:abstractNum>
  <w:abstractNum w:abstractNumId="115">
    <w:nsid w:val="434BAE75"/>
    <w:multiLevelType w:val="hybridMultilevel"/>
    <w:lvl w:ilvl="0">
      <w:lvlJc w:val="left"/>
      <w:lvlText w:val="(%1)"/>
      <w:numFmt w:val="lowerLetter"/>
      <w:start w:val="2"/>
    </w:lvl>
    <w:lvl w:ilvl="1">
      <w:lvlJc w:val="left"/>
      <w:lvlText w:val="(%2)"/>
      <w:numFmt w:val="lowerLetter"/>
      <w:start w:val="5"/>
    </w:lvl>
  </w:abstractNum>
  <w:abstractNum w:abstractNumId="116">
    <w:nsid w:val="4F38F265"/>
    <w:multiLevelType w:val="hybridMultilevel"/>
    <w:lvl w:ilvl="0">
      <w:lvlJc w:val="left"/>
      <w:lvlText w:val="(%1)"/>
      <w:numFmt w:val="lowerLetter"/>
      <w:start w:val="8"/>
    </w:lvl>
  </w:abstractNum>
  <w:abstractNum w:abstractNumId="117">
    <w:nsid w:val="4C502870"/>
    <w:multiLevelType w:val="hybridMultilevel"/>
    <w:lvl w:ilvl="0">
      <w:lvlJc w:val="left"/>
      <w:lvlText w:val="(%1)"/>
      <w:numFmt w:val="lowerLetter"/>
      <w:start w:val="17"/>
    </w:lvl>
  </w:abstractNum>
  <w:abstractNum w:abstractNumId="118">
    <w:nsid w:val="1DE8725A"/>
    <w:multiLevelType w:val="hybridMultilevel"/>
    <w:lvl w:ilvl="0">
      <w:lvlJc w:val="left"/>
      <w:lvlText w:val="%1"/>
      <w:numFmt w:val="upperLetter"/>
      <w:start w:val="1"/>
    </w:lvl>
    <w:lvl w:ilvl="1">
      <w:lvlJc w:val="left"/>
      <w:lvlText w:val="(%2)"/>
      <w:numFmt w:val="lowerLetter"/>
      <w:start w:val="1"/>
    </w:lvl>
  </w:abstractNum>
  <w:abstractNum w:abstractNumId="119">
    <w:nsid w:val="6A37288A"/>
    <w:multiLevelType w:val="hybridMultilevel"/>
    <w:lvl w:ilvl="0">
      <w:lvlJc w:val="left"/>
      <w:lvlText w:val="(%1)"/>
      <w:numFmt w:val="upperLetter"/>
      <w:start w:val="5"/>
    </w:lvl>
    <w:lvl w:ilvl="1">
      <w:lvlJc w:val="left"/>
      <w:lvlText w:val="%2"/>
      <w:numFmt w:val="lowerLetter"/>
      <w:start w:val="1"/>
    </w:lvl>
  </w:abstractNum>
  <w:abstractNum w:abstractNumId="120">
    <w:nsid w:val="8F8B73F"/>
    <w:multiLevelType w:val="hybridMultilevel"/>
    <w:lvl w:ilvl="0">
      <w:lvlJc w:val="left"/>
      <w:lvlText w:val="(%1)"/>
      <w:numFmt w:val="upperLetter"/>
      <w:start w:val="1"/>
    </w:lvl>
  </w:abstractNum>
  <w:abstractNum w:abstractNumId="121">
    <w:nsid w:val="CA6B462"/>
    <w:multiLevelType w:val="hybridMultilevel"/>
    <w:lvl w:ilvl="0">
      <w:lvlJc w:val="left"/>
      <w:lvlText w:val="(%1)"/>
      <w:numFmt w:val="lowerLetter"/>
      <w:start w:val="1"/>
    </w:lvl>
  </w:abstractNum>
  <w:abstractNum w:abstractNumId="122">
    <w:nsid w:val="763CB680"/>
    <w:multiLevelType w:val="hybridMultilevel"/>
    <w:lvl w:ilvl="0">
      <w:lvlJc w:val="left"/>
      <w:lvlText w:val="(%1)"/>
      <w:numFmt w:val="lowerLetter"/>
      <w:start w:val="4"/>
    </w:lvl>
  </w:abstractNum>
  <w:abstractNum w:abstractNumId="123">
    <w:nsid w:val="15B71329"/>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124">
    <w:nsid w:val="3DA970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25">
    <w:nsid w:val="1CDCE2DE"/>
    <w:multiLevelType w:val="hybridMultilevel"/>
    <w:lvl w:ilvl="0">
      <w:lvlJc w:val="left"/>
      <w:lvlText w:val="(%1)"/>
      <w:numFmt w:val="lowerRoman"/>
      <w:start w:val="6"/>
    </w:lvl>
  </w:abstractNum>
  <w:abstractNum w:abstractNumId="126">
    <w:nsid w:val="69D3947C"/>
    <w:multiLevelType w:val="hybridMultilevel"/>
    <w:lvl w:ilvl="0">
      <w:lvlJc w:val="left"/>
      <w:lvlText w:val="(%1)"/>
      <w:numFmt w:val="lowerLetter"/>
      <w:start w:val="2"/>
    </w:lvl>
  </w:abstractNum>
  <w:abstractNum w:abstractNumId="127">
    <w:nsid w:val="2539DFA5"/>
    <w:multiLevelType w:val="hybridMultilevel"/>
    <w:lvl w:ilvl="0">
      <w:lvlJc w:val="left"/>
      <w:lvlText w:val="(%1)"/>
      <w:numFmt w:val="lowerLetter"/>
      <w:start w:val="1"/>
    </w:lvl>
  </w:abstractNum>
  <w:abstractNum w:abstractNumId="128">
    <w:nsid w:val="2DB88089"/>
    <w:multiLevelType w:val="hybridMultilevel"/>
    <w:lvl w:ilvl="0">
      <w:lvlJc w:val="left"/>
      <w:lvlText w:val="(%1)"/>
      <w:numFmt w:val="lowerLetter"/>
      <w:start w:val="2"/>
    </w:lvl>
  </w:abstractNum>
  <w:abstractNum w:abstractNumId="129">
    <w:nsid w:val="706B674E"/>
    <w:multiLevelType w:val="hybridMultilevel"/>
    <w:lvl w:ilvl="0">
      <w:lvlJc w:val="left"/>
      <w:lvlText w:val="(%1)"/>
      <w:numFmt w:val="lowerLetter"/>
      <w:start w:val="1"/>
    </w:lvl>
    <w:lvl w:ilvl="1">
      <w:lvlJc w:val="left"/>
      <w:lvlText w:val="(%2)"/>
      <w:numFmt w:val="lowerRoman"/>
      <w:start w:val="1"/>
    </w:lvl>
  </w:abstractNum>
  <w:abstractNum w:abstractNumId="130">
    <w:nsid w:val="2C106A57"/>
    <w:multiLevelType w:val="hybridMultilevel"/>
    <w:lvl w:ilvl="0">
      <w:lvlJc w:val="left"/>
      <w:lvlText w:val="(%1)"/>
      <w:numFmt w:val="lowerLetter"/>
      <w:start w:val="3"/>
    </w:lvl>
  </w:abstractNum>
  <w:abstractNum w:abstractNumId="131">
    <w:nsid w:val="684EED59"/>
    <w:multiLevelType w:val="hybridMultilevel"/>
    <w:lvl w:ilvl="0">
      <w:lvlJc w:val="left"/>
      <w:lvlText w:val="(%1)"/>
      <w:numFmt w:val="lowerLetter"/>
      <w:start w:val="2"/>
    </w:lvl>
  </w:abstractNum>
  <w:abstractNum w:abstractNumId="132">
    <w:nsid w:val="545EE5D3"/>
    <w:multiLevelType w:val="hybridMultilevel"/>
    <w:lvl w:ilvl="0">
      <w:lvlJc w:val="left"/>
      <w:lvlText w:val="(%1)"/>
      <w:numFmt w:val="lowerLetter"/>
      <w:start w:val="3"/>
    </w:lvl>
  </w:abstractNum>
  <w:abstractNum w:abstractNumId="133">
    <w:nsid w:val="4A66051"/>
    <w:multiLevelType w:val="hybridMultilevel"/>
    <w:lvl w:ilvl="0">
      <w:lvlJc w:val="left"/>
      <w:lvlText w:val="(%1)"/>
      <w:numFmt w:val="lowerLetter"/>
      <w:start w:val="1"/>
    </w:lvl>
  </w:abstractNum>
  <w:abstractNum w:abstractNumId="134">
    <w:nsid w:val="20F4BDAD"/>
    <w:multiLevelType w:val="hybridMultilevel"/>
    <w:lvl w:ilvl="0">
      <w:lvlJc w:val="left"/>
      <w:lvlText w:val="(%1)"/>
      <w:numFmt w:val="lowerLetter"/>
      <w:start w:val="2"/>
    </w:lvl>
  </w:abstractNum>
  <w:abstractNum w:abstractNumId="135">
    <w:nsid w:val="639DEFAC"/>
    <w:multiLevelType w:val="hybridMultilevel"/>
    <w:lvl w:ilvl="0">
      <w:lvlJc w:val="left"/>
      <w:lvlText w:val="(%1)"/>
      <w:numFmt w:val="lowerLetter"/>
      <w:start w:val="1"/>
    </w:lvl>
  </w:abstractNum>
  <w:abstractNum w:abstractNumId="136">
    <w:nsid w:val="501F9786"/>
    <w:multiLevelType w:val="hybridMultilevel"/>
    <w:lvl w:ilvl="0">
      <w:lvlJc w:val="left"/>
      <w:lvlText w:val="(%1)"/>
      <w:numFmt w:val="lowerLetter"/>
      <w:start w:val="1"/>
    </w:lvl>
  </w:abstractNum>
  <w:abstractNum w:abstractNumId="137">
    <w:nsid w:val="6B057295"/>
    <w:multiLevelType w:val="hybridMultilevel"/>
    <w:lvl w:ilvl="0">
      <w:lvlJc w:val="left"/>
      <w:lvlText w:val="(%1)"/>
      <w:numFmt w:val="lowerLetter"/>
      <w:start w:val="2"/>
    </w:lvl>
  </w:abstractNum>
  <w:abstractNum w:abstractNumId="138">
    <w:nsid w:val="2771AC80"/>
    <w:multiLevelType w:val="hybridMultilevel"/>
    <w:lvl w:ilvl="0">
      <w:lvlJc w:val="left"/>
      <w:lvlText w:val="(%1)"/>
      <w:numFmt w:val="lowerLetter"/>
      <w:start w:val="9"/>
    </w:lvl>
  </w:abstractNum>
  <w:abstractNum w:abstractNumId="139">
    <w:nsid w:val="1C4A08EC"/>
    <w:multiLevelType w:val="hybridMultilevel"/>
    <w:lvl w:ilvl="0">
      <w:lvlJc w:val="left"/>
      <w:lvlText w:val="(%1)"/>
      <w:numFmt w:val="lowerLetter"/>
      <w:start w:val="7"/>
    </w:lvl>
  </w:abstractNum>
  <w:abstractNum w:abstractNumId="140">
    <w:nsid w:val="1958BD17"/>
    <w:multiLevelType w:val="hybridMultilevel"/>
    <w:lvl w:ilvl="0">
      <w:lvlJc w:val="left"/>
      <w:lvlText w:val="(%1)"/>
      <w:numFmt w:val="lowerLetter"/>
      <w:start w:val="3"/>
    </w:lvl>
  </w:abstractNum>
  <w:abstractNum w:abstractNumId="141">
    <w:nsid w:val="4E647FE4"/>
    <w:multiLevelType w:val="hybridMultilevel"/>
    <w:lvl w:ilvl="0">
      <w:lvlJc w:val="left"/>
      <w:lvlText w:val="(%1)"/>
      <w:numFmt w:val="lowerLetter"/>
      <w:start w:val="1"/>
    </w:lvl>
    <w:lvl w:ilvl="1">
      <w:lvlJc w:val="left"/>
      <w:lvlText w:val="(%2)"/>
      <w:numFmt w:val="lowerLetter"/>
      <w:start w:val="9"/>
    </w:lvl>
  </w:abstractNum>
  <w:abstractNum w:abstractNumId="142">
    <w:nsid w:val="E0BB885"/>
    <w:multiLevelType w:val="hybridMultilevel"/>
    <w:lvl w:ilvl="0">
      <w:lvlJc w:val="left"/>
      <w:lvlText w:val="(%1)"/>
      <w:numFmt w:val="lowerRoman"/>
      <w:start w:val="2"/>
    </w:lvl>
  </w:abstractNum>
  <w:abstractNum w:abstractNumId="143">
    <w:nsid w:val="565976F1"/>
    <w:multiLevelType w:val="hybridMultilevel"/>
    <w:lvl w:ilvl="0">
      <w:lvlJc w:val="left"/>
      <w:lvlText w:val="(%1)"/>
      <w:numFmt w:val="lowerLetter"/>
      <w:start w:val="3"/>
    </w:lvl>
  </w:abstractNum>
  <w:abstractNum w:abstractNumId="144">
    <w:nsid w:val="64212B8C"/>
    <w:multiLevelType w:val="hybridMultilevel"/>
    <w:lvl w:ilvl="0">
      <w:lvlJc w:val="left"/>
      <w:lvlText w:val="%1"/>
      <w:numFmt w:val="lowerRoman"/>
      <w:start w:val="1"/>
    </w:lvl>
    <w:lvl w:ilvl="1">
      <w:lvlJc w:val="left"/>
      <w:lvlText w:val="(%2)"/>
      <w:numFmt w:val="lowerRoman"/>
      <w:start w:val="2"/>
    </w:lvl>
  </w:abstractNum>
  <w:abstractNum w:abstractNumId="145">
    <w:nsid w:val="5C17530C"/>
    <w:multiLevelType w:val="hybridMultilevel"/>
    <w:lvl w:ilvl="0">
      <w:lvlJc w:val="left"/>
      <w:lvlText w:val="(%1)"/>
      <w:numFmt w:val="lowerRoman"/>
      <w:start w:val="10"/>
    </w:lvl>
    <w:lvl w:ilvl="1">
      <w:lvlJc w:val="left"/>
      <w:lvlText w:val="%2"/>
      <w:numFmt w:val="lowerRoman"/>
      <w:start w:val="1"/>
    </w:lvl>
  </w:abstractNum>
  <w:abstractNum w:abstractNumId="146">
    <w:nsid w:val="19A52566"/>
    <w:multiLevelType w:val="hybridMultilevel"/>
    <w:lvl w:ilvl="0">
      <w:lvlJc w:val="left"/>
      <w:lvlText w:val="(%1)"/>
      <w:numFmt w:val="lowerLetter"/>
      <w:start w:val="5"/>
    </w:lvl>
  </w:abstractNum>
  <w:abstractNum w:abstractNumId="147">
    <w:nsid w:val="335A1DF1"/>
    <w:multiLevelType w:val="hybridMultilevel"/>
    <w:lvl w:ilvl="0">
      <w:lvlJc w:val="left"/>
      <w:lvlText w:val="%1."/>
      <w:numFmt w:val="decimal"/>
      <w:start w:val="1"/>
    </w:lvl>
    <w:lvl w:ilvl="1">
      <w:lvlJc w:val="left"/>
      <w:lvlText w:val="(%2)"/>
      <w:numFmt w:val="lowerLetter"/>
      <w:start w:val="1"/>
    </w:lvl>
  </w:abstractNum>
  <w:abstractNum w:abstractNumId="148">
    <w:nsid w:val="28677B7C"/>
    <w:multiLevelType w:val="hybridMultilevel"/>
    <w:lvl w:ilvl="0">
      <w:lvlJc w:val="left"/>
      <w:lvlText w:val="(%1)"/>
      <w:numFmt w:val="lowerLetter"/>
      <w:start w:val="2"/>
    </w:lvl>
  </w:abstractNum>
  <w:abstractNum w:abstractNumId="149">
    <w:nsid w:val="378D97C0"/>
    <w:multiLevelType w:val="hybridMultilevel"/>
    <w:lvl w:ilvl="0">
      <w:lvlJc w:val="left"/>
      <w:lvlText w:val="%1"/>
      <w:numFmt w:val="upperLetter"/>
      <w:start w:val="1"/>
    </w:lvl>
    <w:lvl w:ilvl="1">
      <w:lvlJc w:val="left"/>
      <w:lvlText w:val="(%2)"/>
      <w:numFmt w:val="lowerLetter"/>
      <w:start w:val="3"/>
    </w:lvl>
  </w:abstractNum>
  <w:abstractNum w:abstractNumId="150">
    <w:nsid w:val="1D91467C"/>
    <w:multiLevelType w:val="hybridMultilevel"/>
    <w:lvl w:ilvl="0">
      <w:lvlJc w:val="left"/>
      <w:lvlText w:val="(%1)"/>
      <w:numFmt w:val="upperLetter"/>
      <w:start w:val="2"/>
    </w:lvl>
    <w:lvl w:ilvl="1">
      <w:lvlJc w:val="left"/>
      <w:lvlText w:val="(%2)"/>
      <w:numFmt w:val="lowerLetter"/>
      <w:start w:val="4"/>
    </w:lvl>
  </w:abstractNum>
  <w:abstractNum w:abstractNumId="151">
    <w:nsid w:val="316032BB"/>
    <w:multiLevelType w:val="hybridMultilevel"/>
    <w:lvl w:ilvl="0">
      <w:lvlJc w:val="left"/>
      <w:lvlText w:val="(%1)"/>
      <w:numFmt w:val="lowerLetter"/>
      <w:start w:val="5"/>
    </w:lvl>
  </w:abstractNum>
  <w:abstractNum w:abstractNumId="152">
    <w:nsid w:val="44344C22"/>
    <w:multiLevelType w:val="hybridMultilevel"/>
    <w:lvl w:ilvl="0">
      <w:lvlJc w:val="left"/>
      <w:lvlText w:val="(%1)"/>
      <w:numFmt w:val="lowerLetter"/>
      <w:start w:val="7"/>
    </w:lvl>
  </w:abstractNum>
  <w:abstractNum w:abstractNumId="153">
    <w:nsid w:val="13CDFCFC"/>
    <w:multiLevelType w:val="hybridMultilevel"/>
    <w:lvl w:ilvl="0">
      <w:lvlJc w:val="left"/>
      <w:lvlText w:val="%1."/>
      <w:numFmt w:val="decimal"/>
      <w:start w:val="2"/>
    </w:lvl>
  </w:abstractNum>
  <w:abstractNum w:abstractNumId="154">
    <w:nsid w:val="471745E4"/>
    <w:multiLevelType w:val="hybridMultilevel"/>
    <w:lvl w:ilvl="0">
      <w:lvlJc w:val="left"/>
      <w:lvlText w:val="%1"/>
      <w:numFmt w:val="decimal"/>
      <w:start w:val="1"/>
    </w:lvl>
    <w:lvl w:ilvl="1">
      <w:lvlJc w:val="left"/>
      <w:lvlText w:val="(%2)"/>
      <w:numFmt w:val="lowerLetter"/>
      <w:start w:val="1"/>
    </w:lvl>
  </w:abstractNum>
  <w:abstractNum w:abstractNumId="155">
    <w:nsid w:val="1DDBC66"/>
    <w:multiLevelType w:val="hybridMultilevel"/>
    <w:lvl w:ilvl="0">
      <w:lvlJc w:val="left"/>
      <w:lvlText w:val="%1."/>
      <w:numFmt w:val="decimal"/>
      <w:start w:val="3"/>
    </w:lvl>
    <w:lvl w:ilvl="1">
      <w:lvlJc w:val="left"/>
      <w:lvlText w:val="%2"/>
      <w:numFmt w:val="lowerLetter"/>
      <w:start w:val="1"/>
    </w:lvl>
  </w:abstractNum>
  <w:abstractNum w:abstractNumId="156">
    <w:nsid w:val="30AADFD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57">
    <w:nsid w:val="30EADA61"/>
    <w:multiLevelType w:val="hybridMultilevel"/>
    <w:lvl w:ilvl="0">
      <w:lvlJc w:val="left"/>
      <w:lvlText w:val="(%1)"/>
      <w:numFmt w:val="lowerRoman"/>
      <w:start w:val="2"/>
    </w:lvl>
  </w:abstractNum>
  <w:abstractNum w:abstractNumId="158">
    <w:nsid w:val="27179C0B"/>
    <w:multiLevelType w:val="hybridMultilevel"/>
    <w:lvl w:ilvl="0">
      <w:lvlJc w:val="left"/>
      <w:lvlText w:val="%1"/>
      <w:numFmt w:val="decimal"/>
      <w:start w:val="1"/>
    </w:lvl>
    <w:lvl w:ilvl="1">
      <w:lvlJc w:val="left"/>
      <w:lvlText w:val="(%2)"/>
      <w:numFmt w:val="lowerLetter"/>
      <w:start w:val="3"/>
    </w:lvl>
  </w:abstractNum>
  <w:abstractNum w:abstractNumId="159">
    <w:nsid w:val="5E636063"/>
    <w:multiLevelType w:val="hybridMultilevel"/>
    <w:lvl w:ilvl="0">
      <w:lvlJc w:val="left"/>
      <w:lvlText w:val="%1."/>
      <w:numFmt w:val="decimal"/>
      <w:start w:val="5"/>
    </w:lvl>
    <w:lvl w:ilvl="1">
      <w:lvlJc w:val="left"/>
      <w:lvlText w:val="%2"/>
      <w:numFmt w:val="lowerLetter"/>
      <w:start w:val="1"/>
    </w:lvl>
  </w:abstractNum>
  <w:abstractNum w:abstractNumId="160">
    <w:nsid w:val="215641AF"/>
    <w:multiLevelType w:val="hybridMultilevel"/>
    <w:lvl w:ilvl="0">
      <w:lvlJc w:val="left"/>
      <w:lvlText w:val="%1."/>
      <w:numFmt w:val="decimal"/>
      <w:start w:val="7"/>
    </w:lvl>
    <w:lvl w:ilvl="1">
      <w:lvlJc w:val="left"/>
      <w:lvlText w:val="(%2)"/>
      <w:numFmt w:val="lowerLetter"/>
      <w:start w:val="1"/>
    </w:lvl>
  </w:abstractNum>
  <w:abstractNum w:abstractNumId="161">
    <w:nsid w:val="53280662"/>
    <w:multiLevelType w:val="hybridMultilevel"/>
    <w:lvl w:ilvl="0">
      <w:lvlJc w:val="left"/>
      <w:lvlText w:val="%1"/>
      <w:numFmt w:val="lowerRoman"/>
      <w:start w:val="1"/>
    </w:lvl>
    <w:lvl w:ilvl="1">
      <w:lvlJc w:val="left"/>
      <w:lvlText w:val="%2."/>
      <w:numFmt w:val="decimal"/>
      <w:start w:val="9"/>
    </w:lvl>
  </w:abstractNum>
  <w:abstractNum w:abstractNumId="162">
    <w:nsid w:val="46B24DBC"/>
    <w:multiLevelType w:val="hybridMultilevel"/>
    <w:lvl w:ilvl="0">
      <w:lvlJc w:val="left"/>
      <w:lvlText w:val="(%1)"/>
      <w:numFmt w:val="lowerRoman"/>
      <w:start w:val="1"/>
    </w:lvl>
    <w:lvl w:ilvl="1">
      <w:lvlJc w:val="left"/>
      <w:lvlText w:val="%2."/>
      <w:numFmt w:val="decimal"/>
      <w:start w:val="10"/>
    </w:lvl>
  </w:abstractNum>
  <w:abstractNum w:abstractNumId="163">
    <w:nsid w:val="75B52783"/>
    <w:multiLevelType w:val="hybridMultilevel"/>
    <w:lvl w:ilvl="0">
      <w:lvlJc w:val="left"/>
      <w:lvlText w:val="%1."/>
      <w:numFmt w:val="decimal"/>
      <w:start w:val="12"/>
    </w:lvl>
  </w:abstractNum>
  <w:abstractNum w:abstractNumId="164">
    <w:nsid w:val="57CE66B4"/>
    <w:multiLevelType w:val="hybridMultilevel"/>
    <w:lvl w:ilvl="0">
      <w:lvlJc w:val="left"/>
      <w:lvlText w:val="%1."/>
      <w:numFmt w:val="decimal"/>
      <w:start w:val="13"/>
    </w:lvl>
    <w:lvl w:ilvl="1">
      <w:lvlJc w:val="left"/>
      <w:lvlText w:val="(%2)"/>
      <w:numFmt w:val="lowerLetter"/>
      <w:start w:val="1"/>
    </w:lvl>
  </w:abstractNum>
  <w:abstractNum w:abstractNumId="165">
    <w:nsid w:val="67A70B69"/>
    <w:multiLevelType w:val="hybridMultilevel"/>
    <w:lvl w:ilvl="0">
      <w:lvlJc w:val="left"/>
      <w:lvlText w:val="(%1)"/>
      <w:numFmt w:val="lowerLetter"/>
      <w:start w:val="2"/>
    </w:lvl>
  </w:abstractNum>
  <w:abstractNum w:abstractNumId="166">
    <w:nsid w:val="5953172F"/>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67">
    <w:nsid w:val="27EDFE3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68">
    <w:nsid w:val="52AC7DF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5"/>
    </w:lvl>
  </w:abstractNum>
  <w:abstractNum w:abstractNumId="169">
    <w:nsid w:val="C4C3AF"/>
    <w:multiLevelType w:val="hybridMultilevel"/>
    <w:lvl w:ilvl="0">
      <w:lvlJc w:val="left"/>
      <w:lvlText w:val="%1"/>
      <w:numFmt w:val="lowerLetter"/>
      <w:start w:val="1"/>
    </w:lvl>
    <w:lvl w:ilvl="1">
      <w:lvlJc w:val="left"/>
      <w:lvlText w:val="(%2)"/>
      <w:numFmt w:val="lowerLetter"/>
      <w:start w:val="6"/>
    </w:lvl>
  </w:abstractNum>
  <w:abstractNum w:abstractNumId="170">
    <w:nsid w:val="44380727"/>
    <w:multiLevelType w:val="hybridMultilevel"/>
    <w:lvl w:ilvl="0">
      <w:lvlJc w:val="left"/>
      <w:lvlText w:val="(%1)"/>
      <w:numFmt w:val="lowerLetter"/>
      <w:start w:val="35"/>
    </w:lvl>
    <w:lvl w:ilvl="1">
      <w:lvlJc w:val="left"/>
      <w:lvlText w:val="(%2)"/>
      <w:numFmt w:val="lowerLetter"/>
      <w:start w:val="8"/>
    </w:lvl>
  </w:abstractNum>
  <w:abstractNum w:abstractNumId="171">
    <w:nsid w:val="6C053B16"/>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172">
    <w:nsid w:val="4F29439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173">
    <w:nsid w:val="5243BFAC"/>
    <w:multiLevelType w:val="hybridMultilevel"/>
    <w:lvl w:ilvl="0">
      <w:lvlJc w:val="left"/>
      <w:lvlText w:val="(%1)"/>
      <w:numFmt w:val="upperLetter"/>
      <w:start w:val="1"/>
    </w:lvl>
    <w:lvl w:ilvl="1">
      <w:lvlJc w:val="left"/>
      <w:lvlText w:val="(%2)"/>
      <w:numFmt w:val="lowerLetter"/>
      <w:start w:val="5"/>
    </w:lvl>
  </w:abstractNum>
  <w:abstractNum w:abstractNumId="174">
    <w:nsid w:val="425EB207"/>
    <w:multiLevelType w:val="hybridMultilevel"/>
    <w:lvl w:ilvl="0">
      <w:lvlJc w:val="left"/>
      <w:lvlText w:val="%1"/>
      <w:numFmt w:val="lowerRoman"/>
      <w:start w:val="1"/>
    </w:lvl>
    <w:lvl w:ilvl="1">
      <w:lvlJc w:val="left"/>
      <w:lvlText w:val="(%2)"/>
      <w:numFmt w:val="lowerLetter"/>
      <w:start w:val="11"/>
    </w:lvl>
  </w:abstractNum>
  <w:abstractNum w:abstractNumId="175">
    <w:nsid w:val="334A6F1F"/>
    <w:multiLevelType w:val="hybridMultilevel"/>
    <w:lvl w:ilvl="0">
      <w:lvlJc w:val="left"/>
      <w:lvlText w:val="(%1)"/>
      <w:numFmt w:val="lowerRoman"/>
      <w:start w:val="4"/>
    </w:lvl>
    <w:lvl w:ilvl="1">
      <w:lvlJc w:val="left"/>
      <w:lvlText w:val="(%2)"/>
      <w:numFmt w:val="lowerLetter"/>
      <w:start w:val="13"/>
    </w:lvl>
  </w:abstractNum>
  <w:abstractNum w:abstractNumId="176">
    <w:nsid w:val="2E5B12B8"/>
    <w:multiLevelType w:val="hybridMultilevel"/>
    <w:lvl w:ilvl="0">
      <w:lvlJc w:val="left"/>
      <w:lvlText w:val="(%1)"/>
      <w:numFmt w:val="lowerLetter"/>
      <w:start w:val="14"/>
    </w:lvl>
  </w:abstractNum>
  <w:abstractNum w:abstractNumId="177">
    <w:nsid w:val="5C03D76D"/>
    <w:multiLevelType w:val="hybridMultilevel"/>
    <w:lvl w:ilvl="0">
      <w:lvlJc w:val="left"/>
      <w:lvlText w:val="%1."/>
      <w:numFmt w:val="decimal"/>
      <w:start w:val="2"/>
    </w:lvl>
  </w:abstractNum>
  <w:abstractNum w:abstractNumId="178">
    <w:nsid w:val="66A48D11"/>
    <w:multiLevelType w:val="hybridMultilevel"/>
    <w:lvl w:ilvl="0">
      <w:lvlJc w:val="left"/>
      <w:lvlText w:val="%1."/>
      <w:numFmt w:val="decimal"/>
      <w:start w:val="1"/>
    </w:lvl>
    <w:lvl w:ilvl="1">
      <w:lvlJc w:val="left"/>
      <w:lvlText w:val="(%2)"/>
      <w:numFmt w:val="lowerLetter"/>
      <w:start w:val="1"/>
    </w:lvl>
  </w:abstractNum>
  <w:abstractNum w:abstractNumId="179">
    <w:nsid w:val="56C28E34"/>
    <w:multiLevelType w:val="hybridMultilevel"/>
    <w:lvl w:ilvl="0">
      <w:lvlJc w:val="left"/>
      <w:lvlText w:val="(%1)"/>
      <w:numFmt w:val="lowerLetter"/>
      <w:start w:val="2"/>
    </w:lvl>
  </w:abstractNum>
  <w:abstractNum w:abstractNumId="180">
    <w:nsid w:val="13916F2D"/>
    <w:multiLevelType w:val="hybridMultilevel"/>
    <w:lvl w:ilvl="0">
      <w:lvlJc w:val="left"/>
      <w:lvlText w:val="(%1)"/>
      <w:numFmt w:val="lowerLetter"/>
      <w:start w:val="3"/>
    </w:lvl>
  </w:abstractNum>
  <w:abstractNum w:abstractNumId="181">
    <w:nsid w:val="435D38D"/>
    <w:multiLevelType w:val="hybridMultilevel"/>
    <w:lvl w:ilvl="0">
      <w:lvlJc w:val="left"/>
      <w:lvlText w:val="(%1)"/>
      <w:numFmt w:val="lowerLetter"/>
      <w:start w:val="5"/>
    </w:lvl>
  </w:abstractNum>
  <w:abstractNum w:abstractNumId="182">
    <w:nsid w:val="822C0EF"/>
    <w:multiLevelType w:val="hybridMultilevel"/>
    <w:lvl w:ilvl="0">
      <w:lvlJc w:val="left"/>
      <w:lvlText w:val="(%1)"/>
      <w:numFmt w:val="lowerLetter"/>
      <w:start w:val="7"/>
    </w:lvl>
  </w:abstractNum>
  <w:abstractNum w:abstractNumId="183">
    <w:nsid w:val="57C5BB4F"/>
    <w:multiLevelType w:val="hybridMultilevel"/>
    <w:lvl w:ilvl="0">
      <w:lvlJc w:val="left"/>
      <w:lvlText w:val="%1."/>
      <w:numFmt w:val="decimal"/>
      <w:start w:val="2"/>
    </w:lvl>
  </w:abstractNum>
  <w:abstractNum w:abstractNumId="184">
    <w:nsid w:val="1803D089"/>
    <w:multiLevelType w:val="hybridMultilevel"/>
    <w:lvl w:ilvl="0">
      <w:lvlJc w:val="left"/>
      <w:lvlText w:val="%1"/>
      <w:numFmt w:val="decimal"/>
      <w:start w:val="1"/>
    </w:lvl>
    <w:lvl w:ilvl="1">
      <w:lvlJc w:val="left"/>
      <w:lvlText w:val="(%2)"/>
      <w:numFmt w:val="lowerLetter"/>
      <w:start w:val="1"/>
    </w:lvl>
  </w:abstractNum>
  <w:abstractNum w:abstractNumId="185">
    <w:nsid w:val="4F3A06D4"/>
    <w:multiLevelType w:val="hybridMultilevel"/>
    <w:lvl w:ilvl="0">
      <w:lvlJc w:val="left"/>
      <w:lvlText w:val="%1."/>
      <w:numFmt w:val="decimal"/>
      <w:start w:val="3"/>
    </w:lvl>
    <w:lvl w:ilvl="1">
      <w:lvlJc w:val="left"/>
      <w:lvlText w:val="%2"/>
      <w:numFmt w:val="lowerLetter"/>
      <w:start w:val="1"/>
    </w:lvl>
  </w:abstractNum>
  <w:abstractNum w:abstractNumId="186">
    <w:nsid w:val="59A377B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87">
    <w:nsid w:val="48AEB063"/>
    <w:multiLevelType w:val="hybridMultilevel"/>
    <w:lvl w:ilvl="0">
      <w:lvlJc w:val="left"/>
      <w:lvlText w:val="(%1)"/>
      <w:numFmt w:val="lowerRoman"/>
      <w:start w:val="2"/>
    </w:lvl>
  </w:abstractNum>
  <w:abstractNum w:abstractNumId="188">
    <w:nsid w:val="24E135"/>
    <w:multiLevelType w:val="hybridMultilevel"/>
    <w:lvl w:ilvl="0">
      <w:lvlJc w:val="left"/>
      <w:lvlText w:val="%1"/>
      <w:numFmt w:val="decimal"/>
      <w:start w:val="1"/>
    </w:lvl>
    <w:lvl w:ilvl="1">
      <w:lvlJc w:val="left"/>
      <w:lvlText w:val="(%2)"/>
      <w:numFmt w:val="lowerLetter"/>
      <w:start w:val="3"/>
    </w:lvl>
  </w:abstractNum>
  <w:abstractNum w:abstractNumId="189">
    <w:nsid w:val="BB13C1"/>
    <w:multiLevelType w:val="hybridMultilevel"/>
    <w:lvl w:ilvl="0">
      <w:lvlJc w:val="left"/>
      <w:lvlText w:val="%1."/>
      <w:numFmt w:val="decimal"/>
      <w:start w:val="5"/>
    </w:lvl>
    <w:lvl w:ilvl="1">
      <w:lvlJc w:val="left"/>
      <w:lvlText w:val="%2"/>
      <w:numFmt w:val="lowerLetter"/>
      <w:start w:val="1"/>
    </w:lvl>
  </w:abstractNum>
  <w:abstractNum w:abstractNumId="190">
    <w:nsid w:val="271210C7"/>
    <w:multiLevelType w:val="hybridMultilevel"/>
    <w:lvl w:ilvl="0">
      <w:lvlJc w:val="left"/>
      <w:lvlText w:val="%1."/>
      <w:numFmt w:val="decimal"/>
      <w:start w:val="7"/>
    </w:lvl>
    <w:lvl w:ilvl="1">
      <w:lvlJc w:val="left"/>
      <w:lvlText w:val="(%2)"/>
      <w:numFmt w:val="lowerLetter"/>
      <w:start w:val="1"/>
    </w:lvl>
  </w:abstractNum>
  <w:abstractNum w:abstractNumId="191">
    <w:nsid w:val="217B22E4"/>
    <w:multiLevelType w:val="hybridMultilevel"/>
    <w:lvl w:ilvl="0">
      <w:lvlJc w:val="left"/>
      <w:lvlText w:val="%1"/>
      <w:numFmt w:val="lowerRoman"/>
      <w:start w:val="1"/>
    </w:lvl>
    <w:lvl w:ilvl="1">
      <w:lvlJc w:val="left"/>
      <w:lvlText w:val="%2."/>
      <w:numFmt w:val="decimal"/>
      <w:start w:val="9"/>
    </w:lvl>
  </w:abstractNum>
  <w:abstractNum w:abstractNumId="192">
    <w:nsid w:val="53E31A24"/>
    <w:multiLevelType w:val="hybridMultilevel"/>
    <w:lvl w:ilvl="0">
      <w:lvlJc w:val="left"/>
      <w:lvlText w:val="(%1)"/>
      <w:numFmt w:val="lowerRoman"/>
      <w:start w:val="1"/>
    </w:lvl>
    <w:lvl w:ilvl="1">
      <w:lvlJc w:val="left"/>
      <w:lvlText w:val="%2."/>
      <w:numFmt w:val="decimal"/>
      <w:start w:val="10"/>
    </w:lvl>
  </w:abstractNum>
  <w:abstractNum w:abstractNumId="193">
    <w:nsid w:val="6DC45E83"/>
    <w:multiLevelType w:val="hybridMultilevel"/>
    <w:lvl w:ilvl="0">
      <w:lvlJc w:val="left"/>
      <w:lvlText w:val="%1."/>
      <w:numFmt w:val="decimal"/>
      <w:start w:val="12"/>
    </w:lvl>
  </w:abstractNum>
  <w:abstractNum w:abstractNumId="194">
    <w:nsid w:val="17304A67"/>
    <w:multiLevelType w:val="hybridMultilevel"/>
    <w:lvl w:ilvl="0">
      <w:lvlJc w:val="left"/>
      <w:lvlText w:val="%1."/>
      <w:numFmt w:val="decimal"/>
      <w:start w:val="13"/>
    </w:lvl>
    <w:lvl w:ilvl="1">
      <w:lvlJc w:val="left"/>
      <w:lvlText w:val="(%2)"/>
      <w:numFmt w:val="lowerLetter"/>
      <w:start w:val="1"/>
    </w:lvl>
  </w:abstractNum>
  <w:abstractNum w:abstractNumId="195">
    <w:nsid w:val="2BB180D8"/>
    <w:multiLevelType w:val="hybridMultilevel"/>
    <w:lvl w:ilvl="0">
      <w:lvlJc w:val="left"/>
      <w:lvlText w:val="(%1)"/>
      <w:numFmt w:val="lowerLetter"/>
      <w:start w:val="2"/>
    </w:lvl>
  </w:abstractNum>
  <w:abstractNum w:abstractNumId="196">
    <w:nsid w:val="556B69ED"/>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97">
    <w:nsid w:val="7083619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98">
    <w:nsid w:val="539F7F1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5"/>
    </w:lvl>
  </w:abstractNum>
  <w:abstractNum w:abstractNumId="199">
    <w:nsid w:val="2817E7EC"/>
    <w:multiLevelType w:val="hybridMultilevel"/>
    <w:lvl w:ilvl="0">
      <w:lvlJc w:val="left"/>
      <w:lvlText w:val="%1"/>
      <w:numFmt w:val="lowerLetter"/>
      <w:start w:val="1"/>
    </w:lvl>
    <w:lvl w:ilvl="1">
      <w:lvlJc w:val="left"/>
      <w:lvlText w:val="(%2)"/>
      <w:numFmt w:val="lowerLetter"/>
      <w:start w:val="6"/>
    </w:lvl>
  </w:abstractNum>
  <w:abstractNum w:abstractNumId="200">
    <w:nsid w:val="71482545"/>
    <w:multiLevelType w:val="hybridMultilevel"/>
    <w:lvl w:ilvl="0">
      <w:lvlJc w:val="left"/>
      <w:lvlText w:val="(%1)"/>
      <w:numFmt w:val="lowerLetter"/>
      <w:start w:val="35"/>
    </w:lvl>
    <w:lvl w:ilvl="1">
      <w:lvlJc w:val="left"/>
      <w:lvlText w:val="(%2)"/>
      <w:numFmt w:val="lowerLetter"/>
      <w:start w:val="8"/>
    </w:lvl>
  </w:abstractNum>
  <w:abstractNum w:abstractNumId="201">
    <w:nsid w:val="17D78639"/>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02">
    <w:nsid w:val="141D230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203">
    <w:nsid w:val="407168D8"/>
    <w:multiLevelType w:val="hybridMultilevel"/>
    <w:lvl w:ilvl="0">
      <w:lvlJc w:val="left"/>
      <w:lvlText w:val="(%1)"/>
      <w:numFmt w:val="upperLetter"/>
      <w:start w:val="1"/>
    </w:lvl>
    <w:lvl w:ilvl="1">
      <w:lvlJc w:val="left"/>
      <w:lvlText w:val="(%2)"/>
      <w:numFmt w:val="lowerLetter"/>
      <w:start w:val="5"/>
    </w:lvl>
  </w:abstractNum>
  <w:abstractNum w:abstractNumId="204">
    <w:nsid w:val="6A1B45E5"/>
    <w:multiLevelType w:val="hybridMultilevel"/>
    <w:lvl w:ilvl="0">
      <w:lvlJc w:val="left"/>
      <w:lvlText w:val="%1"/>
      <w:numFmt w:val="lowerRoman"/>
      <w:start w:val="1"/>
    </w:lvl>
    <w:lvl w:ilvl="1">
      <w:lvlJc w:val="left"/>
      <w:lvlText w:val="(%2)"/>
      <w:numFmt w:val="lowerLetter"/>
      <w:start w:val="11"/>
    </w:lvl>
  </w:abstractNum>
  <w:abstractNum w:abstractNumId="205">
    <w:nsid w:val="567BD50A"/>
    <w:multiLevelType w:val="hybridMultilevel"/>
    <w:lvl w:ilvl="0">
      <w:lvlJc w:val="left"/>
      <w:lvlText w:val="(%1)"/>
      <w:numFmt w:val="lowerRoman"/>
      <w:start w:val="4"/>
    </w:lvl>
    <w:lvl w:ilvl="1">
      <w:lvlJc w:val="left"/>
      <w:lvlText w:val="(%2)"/>
      <w:numFmt w:val="lowerLetter"/>
      <w:start w:val="13"/>
    </w:lvl>
  </w:abstractNum>
  <w:abstractNum w:abstractNumId="206">
    <w:nsid w:val="73BBD7F8"/>
    <w:multiLevelType w:val="hybridMultilevel"/>
    <w:lvl w:ilvl="0">
      <w:lvlJc w:val="left"/>
      <w:lvlText w:val="(%1)"/>
      <w:numFmt w:val="lowerLetter"/>
      <w:start w:val="14"/>
    </w:lvl>
  </w:abstractNum>
  <w:abstractNum w:abstractNumId="207">
    <w:nsid w:val="1876589D"/>
    <w:multiLevelType w:val="hybridMultilevel"/>
    <w:lvl w:ilvl="0">
      <w:lvlJc w:val="left"/>
      <w:lvlText w:val="%1."/>
      <w:numFmt w:val="decimal"/>
      <w:start w:val="2"/>
    </w:lvl>
  </w:abstractNum>
  <w:abstractNum w:abstractNumId="208">
    <w:nsid w:val="327FAC77"/>
    <w:multiLevelType w:val="hybridMultilevel"/>
    <w:lvl w:ilvl="0">
      <w:lvlJc w:val="left"/>
      <w:lvlText w:val="%1."/>
      <w:numFmt w:val="decimal"/>
      <w:start w:val="1"/>
    </w:lvl>
    <w:lvl w:ilvl="1">
      <w:lvlJc w:val="left"/>
      <w:lvlText w:val="(%2)"/>
      <w:numFmt w:val="lowerLetter"/>
      <w:start w:val="1"/>
    </w:lvl>
  </w:abstractNum>
  <w:abstractNum w:abstractNumId="209">
    <w:nsid w:val="5A606509"/>
    <w:multiLevelType w:val="hybridMultilevel"/>
    <w:lvl w:ilvl="0">
      <w:lvlJc w:val="left"/>
      <w:lvlText w:val="(%1)"/>
      <w:numFmt w:val="upperLetter"/>
      <w:start w:val="25"/>
    </w:lvl>
  </w:abstractNum>
  <w:abstractNum w:abstractNumId="210">
    <w:nsid w:val="6F38E6D1"/>
    <w:multiLevelType w:val="hybridMultilevel"/>
    <w:lvl w:ilvl="0">
      <w:lvlJc w:val="left"/>
      <w:lvlText w:val="(%1)"/>
      <w:numFmt w:val="lowerLetter"/>
      <w:start w:val="2"/>
    </w:lvl>
  </w:abstractNum>
  <w:abstractNum w:abstractNumId="211">
    <w:nsid w:val="46111BA5"/>
    <w:multiLevelType w:val="hybridMultilevel"/>
    <w:lvl w:ilvl="0">
      <w:lvlJc w:val="left"/>
      <w:lvlText w:val="%1"/>
      <w:numFmt w:val="upperLetter"/>
      <w:start w:val="1"/>
    </w:lvl>
    <w:lvl w:ilvl="1">
      <w:lvlJc w:val="left"/>
      <w:lvlText w:val="(%2)"/>
      <w:numFmt w:val="lowerLetter"/>
      <w:start w:val="3"/>
    </w:lvl>
  </w:abstractNum>
  <w:abstractNum w:abstractNumId="212">
    <w:nsid w:val="5E963896"/>
    <w:multiLevelType w:val="hybridMultilevel"/>
    <w:lvl w:ilvl="0">
      <w:lvlJc w:val="left"/>
      <w:lvlText w:val="(%1)"/>
      <w:numFmt w:val="upperLetter"/>
      <w:start w:val="2"/>
    </w:lvl>
    <w:lvl w:ilvl="1">
      <w:lvlJc w:val="left"/>
      <w:lvlText w:val="(%2)"/>
      <w:numFmt w:val="lowerLetter"/>
      <w:start w:val="4"/>
    </w:lvl>
  </w:abstractNum>
  <w:abstractNum w:abstractNumId="213">
    <w:nsid w:val="775BA7C1"/>
    <w:multiLevelType w:val="hybridMultilevel"/>
    <w:lvl w:ilvl="0">
      <w:lvlJc w:val="left"/>
      <w:lvlText w:val="(%1)"/>
      <w:numFmt w:val="lowerLetter"/>
      <w:start w:val="5"/>
    </w:lvl>
  </w:abstractNum>
  <w:abstractNum w:abstractNumId="214">
    <w:nsid w:val="1DD6D6F4"/>
    <w:multiLevelType w:val="hybridMultilevel"/>
    <w:lvl w:ilvl="0">
      <w:lvlJc w:val="left"/>
      <w:lvlText w:val="(%1)"/>
      <w:numFmt w:val="lowerLetter"/>
      <w:start w:val="7"/>
    </w:lvl>
  </w:abstractNum>
  <w:abstractNum w:abstractNumId="215">
    <w:nsid w:val="769A091F"/>
    <w:multiLevelType w:val="hybridMultilevel"/>
    <w:lvl w:ilvl="0">
      <w:lvlJc w:val="left"/>
      <w:lvlText w:val="%1."/>
      <w:numFmt w:val="decimal"/>
      <w:start w:val="2"/>
    </w:lvl>
    <w:lvl w:ilvl="1">
      <w:lvlJc w:val="left"/>
      <w:lvlText w:val="(%2)"/>
      <w:numFmt w:val="lowerLetter"/>
      <w:start w:val="1"/>
    </w:lvl>
  </w:abstractNum>
  <w:abstractNum w:abstractNumId="216">
    <w:nsid w:val="4695AE9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17">
    <w:nsid w:val="777A4EAA"/>
    <w:multiLevelType w:val="hybridMultilevel"/>
    <w:lvl w:ilvl="0">
      <w:lvlJc w:val="left"/>
      <w:lvlText w:val="(%1)"/>
      <w:numFmt w:val="lowerRoman"/>
      <w:start w:val="2"/>
    </w:lvl>
  </w:abstractNum>
  <w:abstractNum w:abstractNumId="218">
    <w:nsid w:val="3F48B982"/>
    <w:multiLevelType w:val="hybridMultilevel"/>
    <w:lvl w:ilvl="0">
      <w:lvlJc w:val="left"/>
      <w:lvlText w:val="%1"/>
      <w:numFmt w:val="decimal"/>
      <w:start w:val="1"/>
    </w:lvl>
    <w:lvl w:ilvl="1">
      <w:lvlJc w:val="left"/>
      <w:lvlText w:val="(%2)"/>
      <w:numFmt w:val="lowerLetter"/>
      <w:start w:val="3"/>
    </w:lvl>
  </w:abstractNum>
  <w:abstractNum w:abstractNumId="219">
    <w:nsid w:val="46BA8FCA"/>
    <w:multiLevelType w:val="hybridMultilevel"/>
    <w:lvl w:ilvl="0">
      <w:lvlJc w:val="left"/>
      <w:lvlText w:val="%1."/>
      <w:numFmt w:val="decimal"/>
      <w:start w:val="5"/>
    </w:lvl>
    <w:lvl w:ilvl="1">
      <w:lvlJc w:val="left"/>
      <w:lvlText w:val="%2"/>
      <w:numFmt w:val="lowerLetter"/>
      <w:start w:val="1"/>
    </w:lvl>
  </w:abstractNum>
  <w:abstractNum w:abstractNumId="220">
    <w:nsid w:val="7835626C"/>
    <w:multiLevelType w:val="hybridMultilevel"/>
    <w:lvl w:ilvl="0">
      <w:lvlJc w:val="left"/>
      <w:lvlText w:val="%1."/>
      <w:numFmt w:val="decimal"/>
      <w:start w:val="7"/>
    </w:lvl>
    <w:lvl w:ilvl="1">
      <w:lvlJc w:val="left"/>
      <w:lvlText w:val="(%2)"/>
      <w:numFmt w:val="lowerLetter"/>
      <w:start w:val="1"/>
    </w:lvl>
  </w:abstractNum>
  <w:abstractNum w:abstractNumId="221">
    <w:nsid w:val="665ACA49"/>
    <w:multiLevelType w:val="hybridMultilevel"/>
    <w:lvl w:ilvl="0">
      <w:lvlJc w:val="left"/>
      <w:lvlText w:val="%1."/>
      <w:numFmt w:val="decimal"/>
      <w:start w:val="9"/>
    </w:lvl>
  </w:abstractNum>
  <w:abstractNum w:abstractNumId="222">
    <w:nsid w:val="6835B2AE"/>
    <w:multiLevelType w:val="hybridMultilevel"/>
    <w:lvl w:ilvl="0">
      <w:lvlJc w:val="left"/>
      <w:lvlText w:val="%1."/>
      <w:numFmt w:val="decimal"/>
      <w:start w:val="13"/>
    </w:lvl>
    <w:lvl w:ilvl="1">
      <w:lvlJc w:val="left"/>
      <w:lvlText w:val="(%2)"/>
      <w:numFmt w:val="lowerLetter"/>
      <w:start w:val="1"/>
    </w:lvl>
  </w:abstractNum>
  <w:abstractNum w:abstractNumId="223">
    <w:nsid w:val="4C187C90"/>
    <w:multiLevelType w:val="hybridMultilevel"/>
    <w:lvl w:ilvl="0">
      <w:lvlJc w:val="left"/>
      <w:lvlText w:val="(%1)"/>
      <w:numFmt w:val="lowerLetter"/>
      <w:start w:val="2"/>
    </w:lvl>
  </w:abstractNum>
  <w:abstractNum w:abstractNumId="224">
    <w:nsid w:val="541F28CD"/>
    <w:multiLevelType w:val="hybridMultilevel"/>
    <w:lvl w:ilvl="0">
      <w:lvlJc w:val="left"/>
      <w:lvlText w:val="%1."/>
      <w:numFmt w:val="decimal"/>
      <w:start w:val="18"/>
    </w:lvl>
    <w:lvl w:ilvl="1">
      <w:lvlJc w:val="left"/>
      <w:lvlText w:val="(%2)"/>
      <w:numFmt w:val="lowerLetter"/>
      <w:start w:val="1"/>
    </w:lvl>
  </w:abstractNum>
  <w:abstractNum w:abstractNumId="225">
    <w:nsid w:val="7F65FD16"/>
    <w:multiLevelType w:val="hybridMultilevel"/>
    <w:lvl w:ilvl="0">
      <w:lvlJc w:val="left"/>
      <w:lvlText w:val="%1"/>
      <w:numFmt w:val="lowerLetter"/>
      <w:start w:val="1"/>
    </w:lvl>
    <w:lvl w:ilvl="1">
      <w:lvlJc w:val="left"/>
      <w:lvlText w:val="(%2)"/>
      <w:numFmt w:val="lowerLetter"/>
      <w:start w:val="6"/>
    </w:lvl>
  </w:abstractNum>
  <w:abstractNum w:abstractNumId="226">
    <w:nsid w:val="77C9FD68"/>
    <w:multiLevelType w:val="hybridMultilevel"/>
    <w:lvl w:ilvl="0">
      <w:lvlJc w:val="left"/>
      <w:lvlText w:val="(%1)"/>
      <w:numFmt w:val="lowerLetter"/>
      <w:start w:val="35"/>
    </w:lvl>
    <w:lvl w:ilvl="1">
      <w:lvlJc w:val="left"/>
      <w:lvlText w:val="(%2)"/>
      <w:numFmt w:val="lowerLetter"/>
      <w:start w:val="8"/>
    </w:lvl>
  </w:abstractNum>
  <w:abstractNum w:abstractNumId="227">
    <w:nsid w:val="298A92BA"/>
    <w:multiLevelType w:val="hybridMultilevel"/>
    <w:lvl w:ilvl="0">
      <w:lvlJc w:val="left"/>
      <w:lvlText w:val="%1."/>
      <w:numFmt w:val="decimal"/>
      <w:start w:val="19"/>
    </w:lvl>
    <w:lvl w:ilvl="1">
      <w:lvlJc w:val="left"/>
      <w:lvlText w:val="(%2)"/>
      <w:numFmt w:val="lowerLetter"/>
      <w:start w:val="1"/>
    </w:lvl>
  </w:abstractNum>
  <w:abstractNum w:abstractNumId="228">
    <w:nsid w:val="6FE95EAC"/>
    <w:multiLevelType w:val="hybridMultilevel"/>
    <w:lvl w:ilvl="0">
      <w:lvlJc w:val="left"/>
      <w:lvlText w:val="(%1)"/>
      <w:numFmt w:val="upperLetter"/>
      <w:start w:val="1"/>
    </w:lvl>
    <w:lvl w:ilvl="1">
      <w:lvlJc w:val="left"/>
      <w:lvlText w:val="(%2)"/>
      <w:numFmt w:val="lowerLetter"/>
      <w:start w:val="5"/>
    </w:lvl>
  </w:abstractNum>
  <w:abstractNum w:abstractNumId="229">
    <w:nsid w:val="4B697C7A"/>
    <w:multiLevelType w:val="hybridMultilevel"/>
    <w:lvl w:ilvl="0">
      <w:lvlJc w:val="left"/>
      <w:lvlText w:val="(%1)"/>
      <w:numFmt w:val="lowerLetter"/>
      <w:start w:val="11"/>
    </w:lvl>
  </w:abstractNum>
  <w:abstractNum w:abstractNumId="230">
    <w:nsid w:val="51A27AA6"/>
    <w:multiLevelType w:val="hybridMultilevel"/>
    <w:lvl w:ilvl="0">
      <w:lvlJc w:val="left"/>
      <w:lvlText w:val="(%1)"/>
      <w:numFmt w:val="lowerLetter"/>
      <w:start w:val="14"/>
    </w:lvl>
  </w:abstractNum>
  <w:abstractNum w:abstractNumId="231">
    <w:nsid w:val="613183F2"/>
    <w:multiLevelType w:val="hybridMultilevel"/>
    <w:lvl w:ilvl="0">
      <w:lvlJc w:val="left"/>
      <w:lvlText w:val="%1."/>
      <w:numFmt w:val="decimal"/>
      <w:start w:val="2"/>
    </w:lvl>
  </w:abstractNum>
  <w:abstractNum w:abstractNumId="232">
    <w:nsid w:val="634102B4"/>
    <w:multiLevelType w:val="hybridMultilevel"/>
    <w:lvl w:ilvl="0">
      <w:lvlJc w:val="left"/>
      <w:lvlText w:val="%1."/>
      <w:numFmt w:val="decimal"/>
      <w:start w:val="1"/>
    </w:lvl>
    <w:lvl w:ilvl="1">
      <w:lvlJc w:val="left"/>
      <w:lvlText w:val="(%2)"/>
      <w:numFmt w:val="lowerLetter"/>
      <w:start w:val="1"/>
    </w:lvl>
  </w:abstractNum>
  <w:abstractNum w:abstractNumId="233">
    <w:nsid w:val="65BF9DA8"/>
    <w:multiLevelType w:val="hybridMultilevel"/>
    <w:lvl w:ilvl="0">
      <w:lvlJc w:val="left"/>
      <w:lvlText w:val="(%1)"/>
      <w:numFmt w:val="lowerLetter"/>
      <w:start w:val="2"/>
    </w:lvl>
  </w:abstractNum>
  <w:abstractNum w:abstractNumId="234">
    <w:nsid w:val="21A2ECCA"/>
    <w:multiLevelType w:val="hybridMultilevel"/>
    <w:lvl w:ilvl="0">
      <w:lvlJc w:val="left"/>
      <w:lvlText w:val="%1"/>
      <w:numFmt w:val="upperLetter"/>
      <w:start w:val="1"/>
    </w:lvl>
    <w:lvl w:ilvl="1">
      <w:lvlJc w:val="left"/>
      <w:lvlText w:val="(%2)"/>
      <w:numFmt w:val="lowerLetter"/>
      <w:start w:val="3"/>
    </w:lvl>
  </w:abstractNum>
  <w:abstractNum w:abstractNumId="235">
    <w:nsid w:val="4D5C4899"/>
    <w:multiLevelType w:val="hybridMultilevel"/>
    <w:lvl w:ilvl="0">
      <w:lvlJc w:val="left"/>
      <w:lvlText w:val="(%1)"/>
      <w:numFmt w:val="upperLetter"/>
      <w:start w:val="2"/>
    </w:lvl>
    <w:lvl w:ilvl="1">
      <w:lvlJc w:val="left"/>
      <w:lvlText w:val="(%2)"/>
      <w:numFmt w:val="lowerLetter"/>
      <w:start w:val="4"/>
    </w:lvl>
  </w:abstractNum>
  <w:abstractNum w:abstractNumId="236">
    <w:nsid w:val="3C3B72B2"/>
    <w:multiLevelType w:val="hybridMultilevel"/>
    <w:lvl w:ilvl="0">
      <w:lvlJc w:val="left"/>
      <w:lvlText w:val="(%1)"/>
      <w:numFmt w:val="lowerLetter"/>
      <w:start w:val="5"/>
    </w:lvl>
  </w:abstractNum>
  <w:abstractNum w:abstractNumId="237">
    <w:nsid w:val="155EC4C2"/>
    <w:multiLevelType w:val="hybridMultilevel"/>
    <w:lvl w:ilvl="0">
      <w:lvlJc w:val="left"/>
      <w:lvlText w:val="(%1)"/>
      <w:numFmt w:val="lowerLetter"/>
      <w:start w:val="7"/>
    </w:lvl>
  </w:abstractNum>
  <w:abstractNum w:abstractNumId="238">
    <w:nsid w:val="65D2A137"/>
    <w:multiLevelType w:val="hybridMultilevel"/>
    <w:lvl w:ilvl="0">
      <w:lvlJc w:val="left"/>
      <w:lvlText w:val="%1."/>
      <w:numFmt w:val="decimal"/>
      <w:start w:val="2"/>
    </w:lvl>
  </w:abstractNum>
  <w:abstractNum w:abstractNumId="239">
    <w:nsid w:val="6EBB1F2A"/>
    <w:multiLevelType w:val="hybridMultilevel"/>
    <w:lvl w:ilvl="0">
      <w:lvlJc w:val="left"/>
      <w:lvlText w:val="%1"/>
      <w:numFmt w:val="decimal"/>
      <w:start w:val="1"/>
    </w:lvl>
    <w:lvl w:ilvl="1">
      <w:lvlJc w:val="left"/>
      <w:lvlText w:val="(%2)"/>
      <w:numFmt w:val="lowerLetter"/>
      <w:start w:val="1"/>
    </w:lvl>
  </w:abstractNum>
  <w:abstractNum w:abstractNumId="240">
    <w:nsid w:val="6FBF29CB"/>
    <w:multiLevelType w:val="hybridMultilevel"/>
    <w:lvl w:ilvl="0">
      <w:lvlJc w:val="left"/>
      <w:lvlText w:val="%1."/>
      <w:numFmt w:val="decimal"/>
      <w:start w:val="3"/>
    </w:lvl>
    <w:lvl w:ilvl="1">
      <w:lvlJc w:val="left"/>
      <w:lvlText w:val="%2"/>
      <w:numFmt w:val="lowerLetter"/>
      <w:start w:val="1"/>
    </w:lvl>
  </w:abstractNum>
  <w:abstractNum w:abstractNumId="241">
    <w:nsid w:val="550B880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42">
    <w:nsid w:val="34CC3ACF"/>
    <w:multiLevelType w:val="hybridMultilevel"/>
    <w:lvl w:ilvl="0">
      <w:lvlJc w:val="left"/>
      <w:lvlText w:val="(%1)"/>
      <w:numFmt w:val="lowerRoman"/>
      <w:start w:val="2"/>
    </w:lvl>
  </w:abstractNum>
  <w:abstractNum w:abstractNumId="243">
    <w:nsid w:val="4E556261"/>
    <w:multiLevelType w:val="hybridMultilevel"/>
    <w:lvl w:ilvl="0">
      <w:lvlJc w:val="left"/>
      <w:lvlText w:val="%1"/>
      <w:numFmt w:val="decimal"/>
      <w:start w:val="1"/>
    </w:lvl>
    <w:lvl w:ilvl="1">
      <w:lvlJc w:val="left"/>
      <w:lvlText w:val="(%2)"/>
      <w:numFmt w:val="lowerLetter"/>
      <w:start w:val="3"/>
    </w:lvl>
  </w:abstractNum>
  <w:abstractNum w:abstractNumId="244">
    <w:nsid w:val="4C672FC9"/>
    <w:multiLevelType w:val="hybridMultilevel"/>
    <w:lvl w:ilvl="0">
      <w:lvlJc w:val="left"/>
      <w:lvlText w:val="%1."/>
      <w:numFmt w:val="decimal"/>
      <w:start w:val="5"/>
    </w:lvl>
    <w:lvl w:ilvl="1">
      <w:lvlJc w:val="left"/>
      <w:lvlText w:val="%2"/>
      <w:numFmt w:val="lowerLetter"/>
      <w:start w:val="1"/>
    </w:lvl>
  </w:abstractNum>
  <w:abstractNum w:abstractNumId="245">
    <w:nsid w:val="52A311C3"/>
    <w:multiLevelType w:val="hybridMultilevel"/>
    <w:lvl w:ilvl="0">
      <w:lvlJc w:val="left"/>
      <w:lvlText w:val="%1."/>
      <w:numFmt w:val="decimal"/>
      <w:start w:val="7"/>
    </w:lvl>
    <w:lvl w:ilvl="1">
      <w:lvlJc w:val="left"/>
      <w:lvlText w:val="(%2)"/>
      <w:numFmt w:val="lowerLetter"/>
      <w:start w:val="1"/>
    </w:lvl>
  </w:abstractNum>
  <w:abstractNum w:abstractNumId="246">
    <w:nsid w:val="44EF6B80"/>
    <w:multiLevelType w:val="hybridMultilevel"/>
    <w:lvl w:ilvl="0">
      <w:lvlJc w:val="left"/>
      <w:lvlText w:val="%1"/>
      <w:numFmt w:val="lowerRoman"/>
      <w:start w:val="1"/>
    </w:lvl>
    <w:lvl w:ilvl="1">
      <w:lvlJc w:val="left"/>
      <w:lvlText w:val="%2."/>
      <w:numFmt w:val="decimal"/>
      <w:start w:val="9"/>
    </w:lvl>
  </w:abstractNum>
  <w:abstractNum w:abstractNumId="247">
    <w:nsid w:val="12FCDE5E"/>
    <w:multiLevelType w:val="hybridMultilevel"/>
    <w:lvl w:ilvl="0">
      <w:lvlJc w:val="left"/>
      <w:lvlText w:val="(%1)"/>
      <w:numFmt w:val="lowerRoman"/>
      <w:start w:val="1"/>
    </w:lvl>
    <w:lvl w:ilvl="1">
      <w:lvlJc w:val="left"/>
      <w:lvlText w:val="%2."/>
      <w:numFmt w:val="decimal"/>
      <w:start w:val="10"/>
    </w:lvl>
  </w:abstractNum>
  <w:abstractNum w:abstractNumId="248">
    <w:nsid w:val="4A1D606E"/>
    <w:multiLevelType w:val="hybridMultilevel"/>
    <w:lvl w:ilvl="0">
      <w:lvlJc w:val="left"/>
      <w:lvlText w:val="%1."/>
      <w:numFmt w:val="decimal"/>
      <w:start w:val="12"/>
    </w:lvl>
  </w:abstractNum>
  <w:abstractNum w:abstractNumId="249">
    <w:nsid w:val="4382503"/>
    <w:multiLevelType w:val="hybridMultilevel"/>
    <w:lvl w:ilvl="0">
      <w:lvlJc w:val="left"/>
      <w:lvlText w:val="%1."/>
      <w:numFmt w:val="decimal"/>
      <w:start w:val="13"/>
    </w:lvl>
    <w:lvl w:ilvl="1">
      <w:lvlJc w:val="left"/>
      <w:lvlText w:val="(%2)"/>
      <w:numFmt w:val="lowerLetter"/>
      <w:start w:val="1"/>
    </w:lvl>
  </w:abstractNum>
  <w:abstractNum w:abstractNumId="250">
    <w:nsid w:val="59B76E28"/>
    <w:multiLevelType w:val="hybridMultilevel"/>
    <w:lvl w:ilvl="0">
      <w:lvlJc w:val="left"/>
      <w:lvlText w:val="(%1)"/>
      <w:numFmt w:val="lowerLetter"/>
      <w:start w:val="2"/>
    </w:lvl>
  </w:abstractNum>
  <w:abstractNum w:abstractNumId="251">
    <w:nsid w:val="4252C2DA"/>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52">
    <w:nsid w:val="6A92EF4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53">
    <w:nsid w:val="41ED20D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5"/>
    </w:lvl>
  </w:abstractNum>
  <w:abstractNum w:abstractNumId="254">
    <w:nsid w:val="E6B3F6A"/>
    <w:multiLevelType w:val="hybridMultilevel"/>
    <w:lvl w:ilvl="0">
      <w:lvlJc w:val="left"/>
      <w:lvlText w:val="%1"/>
      <w:numFmt w:val="lowerLetter"/>
      <w:start w:val="1"/>
    </w:lvl>
    <w:lvl w:ilvl="1">
      <w:lvlJc w:val="left"/>
      <w:lvlText w:val="(%2)"/>
      <w:numFmt w:val="lowerLetter"/>
      <w:start w:val="6"/>
    </w:lvl>
  </w:abstractNum>
  <w:abstractNum w:abstractNumId="255">
    <w:nsid w:val="3EB21819"/>
    <w:multiLevelType w:val="hybridMultilevel"/>
    <w:lvl w:ilvl="0">
      <w:lvlJc w:val="left"/>
      <w:lvlText w:val="(%1)"/>
      <w:numFmt w:val="lowerLetter"/>
      <w:start w:val="35"/>
    </w:lvl>
    <w:lvl w:ilvl="1">
      <w:lvlJc w:val="left"/>
      <w:lvlText w:val="(%2)"/>
      <w:numFmt w:val="lowerLetter"/>
      <w:start w:val="8"/>
    </w:lvl>
  </w:abstractNum>
  <w:abstractNum w:abstractNumId="256">
    <w:nsid w:val="41531DED"/>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57">
    <w:nsid w:val="6353CD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258">
    <w:nsid w:val="683CAAD3"/>
    <w:multiLevelType w:val="hybridMultilevel"/>
    <w:lvl w:ilvl="0">
      <w:lvlJc w:val="left"/>
      <w:lvlText w:val="(%1)"/>
      <w:numFmt w:val="upperLetter"/>
      <w:start w:val="1"/>
    </w:lvl>
    <w:lvl w:ilvl="1">
      <w:lvlJc w:val="left"/>
      <w:lvlText w:val="(%2)"/>
      <w:numFmt w:val="lowerLetter"/>
      <w:start w:val="5"/>
    </w:lvl>
  </w:abstractNum>
  <w:abstractNum w:abstractNumId="259">
    <w:nsid w:val="313C7C99"/>
    <w:multiLevelType w:val="hybridMultilevel"/>
    <w:lvl w:ilvl="0">
      <w:lvlJc w:val="left"/>
      <w:lvlText w:val="%1"/>
      <w:numFmt w:val="lowerRoman"/>
      <w:start w:val="1"/>
    </w:lvl>
    <w:lvl w:ilvl="1">
      <w:lvlJc w:val="left"/>
      <w:lvlText w:val="(%2)"/>
      <w:numFmt w:val="lowerLetter"/>
      <w:start w:val="11"/>
    </w:lvl>
  </w:abstractNum>
  <w:abstractNum w:abstractNumId="260">
    <w:nsid w:val="519EB94C"/>
    <w:multiLevelType w:val="hybridMultilevel"/>
    <w:lvl w:ilvl="0">
      <w:lvlJc w:val="left"/>
      <w:lvlText w:val="(%1)"/>
      <w:numFmt w:val="lowerRoman"/>
      <w:start w:val="4"/>
    </w:lvl>
    <w:lvl w:ilvl="1">
      <w:lvlJc w:val="left"/>
      <w:lvlText w:val="(%2)"/>
      <w:numFmt w:val="lowerLetter"/>
      <w:start w:val="13"/>
    </w:lvl>
  </w:abstractNum>
  <w:abstractNum w:abstractNumId="261">
    <w:nsid w:val="39DF2579"/>
    <w:multiLevelType w:val="hybridMultilevel"/>
    <w:lvl w:ilvl="0">
      <w:lvlJc w:val="left"/>
      <w:lvlText w:val="(%1)"/>
      <w:numFmt w:val="lowerLetter"/>
      <w:start w:val="14"/>
    </w:lvl>
  </w:abstractNum>
  <w:abstractNum w:abstractNumId="262">
    <w:nsid w:val="126E008B"/>
    <w:multiLevelType w:val="hybridMultilevel"/>
    <w:lvl w:ilvl="0">
      <w:lvlJc w:val="left"/>
      <w:lvlText w:val="%1."/>
      <w:numFmt w:val="decimal"/>
      <w:start w:val="2"/>
    </w:lvl>
  </w:abstractNum>
  <w:abstractNum w:abstractNumId="263">
    <w:nsid w:val="34DFBC00"/>
    <w:multiLevelType w:val="hybridMultilevel"/>
    <w:lvl w:ilvl="0">
      <w:lvlJc w:val="left"/>
      <w:lvlText w:val="%1."/>
      <w:numFmt w:val="decimal"/>
      <w:start w:val="1"/>
    </w:lvl>
    <w:lvl w:ilvl="1">
      <w:lvlJc w:val="left"/>
      <w:lvlText w:val="(%2)"/>
      <w:numFmt w:val="lowerLetter"/>
      <w:start w:val="1"/>
    </w:lvl>
  </w:abstractNum>
  <w:abstractNum w:abstractNumId="264">
    <w:nsid w:val="1F9EC322"/>
    <w:multiLevelType w:val="hybridMultilevel"/>
    <w:lvl w:ilvl="0">
      <w:lvlJc w:val="left"/>
      <w:lvlText w:val="%1"/>
      <w:numFmt w:val="decimal"/>
      <w:start w:val="415"/>
    </w:lvl>
    <w:lvl w:ilvl="1">
      <w:lvlJc w:val="left"/>
      <w:lvlText w:val="%2"/>
      <w:numFmt w:val="lowerLetter"/>
      <w:start w:val="1"/>
    </w:lvl>
  </w:abstractNum>
  <w:abstractNum w:abstractNumId="265">
    <w:nsid w:val="3410ED56"/>
    <w:multiLevelType w:val="hybridMultilevel"/>
    <w:lvl w:ilvl="0">
      <w:lvlJc w:val="left"/>
      <w:lvlText w:val="(%1)"/>
      <w:numFmt w:val="lowerLetter"/>
      <w:start w:val="2"/>
    </w:lvl>
  </w:abstractNum>
  <w:abstractNum w:abstractNumId="266">
    <w:nsid w:val="23C049A"/>
    <w:multiLevelType w:val="hybridMultilevel"/>
    <w:lvl w:ilvl="0">
      <w:lvlJc w:val="left"/>
      <w:lvlText w:val="%1."/>
      <w:numFmt w:val="decimal"/>
      <w:start w:val="2"/>
    </w:lvl>
    <w:lvl w:ilvl="1">
      <w:lvlJc w:val="left"/>
      <w:lvlText w:val="(%2)"/>
      <w:numFmt w:val="lowerLetter"/>
      <w:start w:val="1"/>
    </w:lvl>
  </w:abstractNum>
  <w:abstractNum w:abstractNumId="267">
    <w:nsid w:val="5BDA35D4"/>
    <w:multiLevelType w:val="hybridMultilevel"/>
    <w:lvl w:ilvl="0">
      <w:lvlJc w:val="left"/>
      <w:lvlText w:val="(%1)"/>
      <w:numFmt w:val="lowerLetter"/>
      <w:start w:val="4"/>
    </w:lvl>
  </w:abstractNum>
  <w:abstractNum w:abstractNumId="268">
    <w:nsid w:val="496FB218"/>
    <w:multiLevelType w:val="hybridMultilevel"/>
    <w:lvl w:ilvl="0">
      <w:lvlJc w:val="left"/>
      <w:lvlText w:val="(%1)"/>
      <w:numFmt w:val="lowerLetter"/>
      <w:start w:val="6"/>
    </w:lvl>
    <w:lvl w:ilvl="1">
      <w:lvlJc w:val="left"/>
      <w:lvlText w:val="(%2)"/>
      <w:numFmt w:val="lowerRoman"/>
      <w:start w:val="1"/>
    </w:lvl>
  </w:abstractNum>
  <w:abstractNum w:abstractNumId="269">
    <w:nsid w:val="680EA5D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270">
    <w:nsid w:val="4A9554FE"/>
    <w:multiLevelType w:val="hybridMultilevel"/>
    <w:lvl w:ilvl="0">
      <w:lvlJc w:val="left"/>
      <w:lvlText w:val="%1."/>
      <w:numFmt w:val="decimal"/>
      <w:start w:val="3"/>
    </w:lvl>
    <w:lvl w:ilvl="1">
      <w:lvlJc w:val="left"/>
      <w:lvlText w:val="(%2)"/>
      <w:numFmt w:val="lowerRoman"/>
      <w:start w:val="3"/>
    </w:lvl>
    <w:lvl w:ilvl="2">
      <w:lvlJc w:val="left"/>
      <w:lvlText w:val="(%3)"/>
      <w:numFmt w:val="lowerLetter"/>
      <w:start w:val="1"/>
    </w:lvl>
  </w:abstractNum>
  <w:abstractNum w:abstractNumId="271">
    <w:nsid w:val="392EDBE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272">
    <w:nsid w:val="3D1A2D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73">
    <w:nsid w:val="7F618FCD"/>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5"/>
    </w:lvl>
  </w:abstractNum>
  <w:abstractNum w:abstractNumId="274">
    <w:nsid w:val="7843E4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75">
    <w:nsid w:val="9815DA3"/>
    <w:multiLevelType w:val="hybridMultilevel"/>
    <w:lvl w:ilvl="0">
      <w:lvlJc w:val="left"/>
      <w:lvlText w:val="%1."/>
      <w:numFmt w:val="decimal"/>
      <w:start w:val="5"/>
    </w:lvl>
    <w:lvl w:ilvl="1">
      <w:lvlJc w:val="left"/>
      <w:lvlText w:val="(%2)"/>
      <w:numFmt w:val="lowerLetter"/>
      <w:start w:val="1"/>
    </w:lvl>
  </w:abstractNum>
  <w:abstractNum w:abstractNumId="276">
    <w:nsid w:val="5204A191"/>
    <w:multiLevelType w:val="hybridMultilevel"/>
    <w:lvl w:ilvl="0">
      <w:lvlJc w:val="left"/>
      <w:lvlText w:val="(%1)"/>
      <w:numFmt w:val="lowerLetter"/>
      <w:start w:val="8"/>
    </w:lvl>
  </w:abstractNum>
  <w:abstractNum w:abstractNumId="277">
    <w:nsid w:val="4C73A9C6"/>
    <w:multiLevelType w:val="hybridMultilevel"/>
    <w:lvl w:ilvl="0">
      <w:lvlJc w:val="left"/>
      <w:lvlText w:val="(%1)"/>
      <w:numFmt w:val="lowerLetter"/>
      <w:start w:val="16"/>
    </w:lvl>
  </w:abstractNum>
  <w:abstractNum w:abstractNumId="278">
    <w:nsid w:val="1C7E3C01"/>
    <w:multiLevelType w:val="hybridMultilevel"/>
    <w:lvl w:ilvl="0">
      <w:lvlJc w:val="left"/>
      <w:lvlText w:val="%1"/>
      <w:numFmt w:val="decimal"/>
      <w:start w:val="1"/>
    </w:lvl>
    <w:lvl w:ilvl="1">
      <w:lvlJc w:val="left"/>
      <w:lvlText w:val="(%2)"/>
      <w:numFmt w:val="lowerLetter"/>
      <w:start w:val="26"/>
    </w:lvl>
  </w:abstractNum>
  <w:abstractNum w:abstractNumId="279">
    <w:nsid w:val="1C2201FF"/>
    <w:multiLevelType w:val="hybridMultilevel"/>
    <w:lvl w:ilvl="0">
      <w:lvlJc w:val="left"/>
      <w:lvlText w:val="%1."/>
      <w:numFmt w:val="decimal"/>
      <w:start w:val="6"/>
    </w:lvl>
    <w:lvl w:ilvl="1">
      <w:lvlJc w:val="left"/>
      <w:lvlText w:val="%2"/>
      <w:numFmt w:val="lowerLetter"/>
      <w:start w:val="1"/>
    </w:lvl>
  </w:abstractNum>
  <w:abstractNum w:abstractNumId="280">
    <w:nsid w:val="50ABCEC9"/>
    <w:multiLevelType w:val="hybridMultilevel"/>
    <w:lvl w:ilvl="0">
      <w:lvlJc w:val="left"/>
      <w:lvlText w:val="%1"/>
      <w:numFmt w:val="decimal"/>
      <w:start w:val="144"/>
    </w:lvl>
    <w:lvl w:ilvl="1">
      <w:lvlJc w:val="left"/>
      <w:lvlText w:val="%2"/>
      <w:numFmt w:val="lowerLetter"/>
      <w:start w:val="1"/>
    </w:lvl>
  </w:abstractNum>
  <w:abstractNum w:abstractNumId="281">
    <w:nsid w:val="7635AA2A"/>
    <w:multiLevelType w:val="hybridMultilevel"/>
    <w:lvl w:ilvl="0">
      <w:lvlJc w:val="left"/>
      <w:lvlText w:val="%1."/>
      <w:numFmt w:val="decimal"/>
      <w:start w:val="7"/>
    </w:lvl>
    <w:lvl w:ilvl="1">
      <w:lvlJc w:val="left"/>
      <w:lvlText w:val="(%2)"/>
      <w:numFmt w:val="lowerLetter"/>
      <w:start w:val="1"/>
    </w:lvl>
  </w:abstractNum>
  <w:abstractNum w:abstractNumId="282">
    <w:nsid w:val="5E74C4D9"/>
    <w:multiLevelType w:val="hybridMultilevel"/>
    <w:lvl w:ilvl="0">
      <w:lvlJc w:val="left"/>
      <w:lvlText w:val="(%1)"/>
      <w:numFmt w:val="lowerLetter"/>
      <w:start w:val="2"/>
    </w:lvl>
  </w:abstractNum>
  <w:abstractNum w:abstractNumId="283">
    <w:nsid w:val="3B3EBE15"/>
    <w:multiLevelType w:val="hybridMultilevel"/>
    <w:lvl w:ilvl="0">
      <w:lvlJc w:val="left"/>
      <w:lvlText w:val="%1"/>
      <w:numFmt w:val="decimal"/>
      <w:start w:val="1"/>
    </w:lvl>
    <w:lvl w:ilvl="1">
      <w:lvlJc w:val="left"/>
      <w:lvlText w:val="(%2)"/>
      <w:numFmt w:val="lowerLetter"/>
      <w:start w:val="4"/>
    </w:lvl>
  </w:abstractNum>
  <w:abstractNum w:abstractNumId="284">
    <w:nsid w:val="3822CB01"/>
    <w:multiLevelType w:val="hybridMultilevel"/>
    <w:lvl w:ilvl="0">
      <w:lvlJc w:val="left"/>
      <w:lvlText w:val="%1."/>
      <w:numFmt w:val="decimal"/>
      <w:start w:val="9"/>
    </w:lvl>
    <w:lvl w:ilvl="1">
      <w:lvlJc w:val="left"/>
      <w:lvlText w:val="%2"/>
      <w:numFmt w:val="lowerLetter"/>
      <w:start w:val="1"/>
    </w:lvl>
  </w:abstractNum>
  <w:abstractNum w:abstractNumId="285">
    <w:nsid w:val="6CE00443"/>
    <w:multiLevelType w:val="hybridMultilevel"/>
    <w:lvl w:ilvl="0">
      <w:lvlJc w:val="left"/>
      <w:lvlText w:val="%1."/>
      <w:numFmt w:val="decimal"/>
      <w:start w:val="10"/>
    </w:lvl>
    <w:lvl w:ilvl="1">
      <w:lvlJc w:val="left"/>
      <w:lvlText w:val="(%2)"/>
      <w:numFmt w:val="lowerLetter"/>
      <w:start w:val="1"/>
    </w:lvl>
  </w:abstractNum>
  <w:abstractNum w:abstractNumId="286">
    <w:nsid w:val="79F0D62F"/>
    <w:multiLevelType w:val="hybridMultilevel"/>
    <w:lvl w:ilvl="0">
      <w:lvlJc w:val="left"/>
      <w:lvlText w:val="%1"/>
      <w:numFmt w:val="decimal"/>
      <w:start w:val="25"/>
    </w:lvl>
    <w:lvl w:ilvl="1">
      <w:lvlJc w:val="left"/>
      <w:lvlText w:val="(%2)"/>
      <w:numFmt w:val="lowerLetter"/>
      <w:start w:val="2"/>
    </w:lvl>
  </w:abstractNum>
  <w:abstractNum w:abstractNumId="287">
    <w:nsid w:val="7975E8EE"/>
    <w:multiLevelType w:val="hybridMultilevel"/>
    <w:lvl w:ilvl="0">
      <w:lvlJc w:val="left"/>
      <w:lvlText w:val="%1"/>
      <w:numFmt w:val="decimal"/>
      <w:start w:val="144"/>
    </w:lvl>
    <w:lvl w:ilvl="1">
      <w:lvlJc w:val="left"/>
      <w:lvlText w:val="%2"/>
      <w:numFmt w:val="lowerLetter"/>
      <w:start w:val="1"/>
    </w:lvl>
  </w:abstractNum>
  <w:abstractNum w:abstractNumId="288">
    <w:nsid w:val="73154115"/>
    <w:multiLevelType w:val="hybridMultilevel"/>
    <w:lvl w:ilvl="0">
      <w:lvlJc w:val="left"/>
      <w:lvlText w:val="%1."/>
      <w:numFmt w:val="decimal"/>
      <w:start w:val="11"/>
    </w:lvl>
    <w:lvl w:ilvl="1">
      <w:lvlJc w:val="left"/>
      <w:lvlText w:val="%2)"/>
      <w:numFmt w:val="decimal"/>
      <w:start w:val="143"/>
    </w:lvl>
    <w:lvl w:ilvl="2">
      <w:lvlJc w:val="left"/>
      <w:lvlText w:val="(%3)"/>
      <w:numFmt w:val="lowerLetter"/>
      <w:start w:val="1"/>
    </w:lvl>
  </w:abstractNum>
  <w:abstractNum w:abstractNumId="289">
    <w:nsid w:val="622D81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abstractNum>
  <w:abstractNum w:abstractNumId="290">
    <w:nsid w:val="2AB26587"/>
    <w:multiLevelType w:val="hybridMultilevel"/>
    <w:lvl w:ilvl="0">
      <w:lvlJc w:val="left"/>
      <w:lvlText w:val="%1"/>
      <w:numFmt w:val="lowerLetter"/>
      <w:start w:val="1"/>
    </w:lvl>
    <w:lvl w:ilvl="1">
      <w:lvlJc w:val="left"/>
      <w:lvlText w:val="(%2)"/>
      <w:numFmt w:val="lowerLetter"/>
      <w:start w:val="13"/>
    </w:lvl>
  </w:abstractNum>
  <w:abstractNum w:abstractNumId="291">
    <w:nsid w:val="44B3FA61"/>
    <w:multiLevelType w:val="hybridMultilevel"/>
    <w:lvl w:ilvl="0">
      <w:lvlJc w:val="left"/>
      <w:lvlText w:val="(%1)"/>
      <w:numFmt w:val="lowerLetter"/>
      <w:start w:val="9"/>
    </w:lvl>
    <w:lvl w:ilvl="1">
      <w:lvlJc w:val="left"/>
      <w:lvlText w:val="(%2)"/>
      <w:numFmt w:val="lowerLetter"/>
      <w:start w:val="18"/>
    </w:lvl>
  </w:abstractNum>
  <w:abstractNum w:abstractNumId="292">
    <w:nsid w:val="1C0CA67C"/>
    <w:multiLevelType w:val="hybridMultilevel"/>
    <w:lvl w:ilvl="0">
      <w:lvlJc w:val="left"/>
      <w:lvlText w:val="%1."/>
      <w:numFmt w:val="decimal"/>
      <w:start w:val="12"/>
    </w:lvl>
    <w:lvl w:ilvl="1">
      <w:lvlJc w:val="left"/>
      <w:lvlText w:val="(%2)"/>
      <w:numFmt w:val="lowerLetter"/>
      <w:start w:val="1"/>
    </w:lvl>
  </w:abstractNum>
  <w:abstractNum w:abstractNumId="293">
    <w:nsid w:val="3D206613"/>
    <w:multiLevelType w:val="hybridMultilevel"/>
    <w:lvl w:ilvl="0">
      <w:lvlJc w:val="left"/>
      <w:lvlText w:val="(%1)"/>
      <w:numFmt w:val="lowerLetter"/>
      <w:start w:val="2"/>
    </w:lvl>
  </w:abstractNum>
  <w:abstractNum w:abstractNumId="294">
    <w:nsid w:val="7993B662"/>
    <w:multiLevelType w:val="hybridMultilevel"/>
    <w:lvl w:ilvl="0">
      <w:lvlJc w:val="left"/>
      <w:lvlText w:val="(%1)"/>
      <w:numFmt w:val="lowerLetter"/>
      <w:start w:val="7"/>
    </w:lvl>
  </w:abstractNum>
  <w:abstractNum w:abstractNumId="295">
    <w:nsid w:val="3BAB699E"/>
    <w:multiLevelType w:val="hybridMultilevel"/>
    <w:lvl w:ilvl="0">
      <w:lvlJc w:val="left"/>
      <w:lvlText w:val="(%1)"/>
      <w:numFmt w:val="lowerLetter"/>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2023-04-06T17:41:43Z</dcterms:created>
  <dcterms:modified xsi:type="dcterms:W3CDTF">2023-04-06T17:41:43Z</dcterms:modified>
</cp:coreProperties>
</file>