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9250d1_8k.htm"/>
      <w:bookmarkStart w:id="1" w:name="kstm24925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A_edei--DocumentType_c2024032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March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bookmarkStart w:id="4" w:name="xdx_900_edei--EntityRegistrantName_c2024"/>
      <w:bookmarkEnd w:id="4"/>
      <w:r>
        <w:rPr>
          <w:rFonts w:ascii="Times New Roman;Times;Serif" w:hAnsi="Times New Roman;Times;Serif"/>
          <w:b/>
          <w:i w:val="false"/>
          <w:caps w:val="false"/>
          <w:smallCaps w:val="false"/>
          <w:sz w:val="28"/>
        </w:rPr>
        <w:t>Presto Automation Inc.</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720"/>
        <w:gridCol w:w="60"/>
        <w:gridCol w:w="2765"/>
        <w:gridCol w:w="60"/>
        <w:gridCol w:w="1880"/>
      </w:tblGrid>
      <w:tr>
        <w:trPr/>
        <w:tc>
          <w:tcPr>
            <w:tcW w:w="2720" w:type="dxa"/>
            <w:tcBorders>
              <w:bottom w:val="single" w:sz="12" w:space="0" w:color="000000"/>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283"/>
              <w:jc w:val="center"/>
              <w:rPr>
                <w:b/>
              </w:rPr>
            </w:pPr>
            <w:bookmarkStart w:id="6" w:name="xdx_90D_edei--EntityFileNumber_c20240321"/>
            <w:bookmarkEnd w:id="6"/>
            <w:r>
              <w:rPr>
                <w:b/>
              </w:rPr>
              <w:t>001-39830</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12" w:space="0" w:color="000000"/>
            </w:tcBorders>
            <w:vAlign w:val="center"/>
          </w:tcPr>
          <w:p>
            <w:pPr>
              <w:pStyle w:val="TableContents"/>
              <w:bidi w:val="0"/>
              <w:spacing w:before="0" w:after="283"/>
              <w:jc w:val="center"/>
              <w:rPr>
                <w:b/>
              </w:rPr>
            </w:pPr>
            <w:bookmarkStart w:id="7" w:name="xdx_909_edei--EntityTaxIdentificationNum"/>
            <w:bookmarkEnd w:id="7"/>
            <w:r>
              <w:rPr>
                <w:b/>
              </w:rPr>
              <w:t>84-2968594</w:t>
            </w:r>
          </w:p>
        </w:tc>
      </w:tr>
      <w:tr>
        <w:trPr/>
        <w:tc>
          <w:tcPr>
            <w:tcW w:w="2720" w:type="dxa"/>
            <w:tcBorders/>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0"/>
              <w:ind w:left="16" w:right="16"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985 Industrial Road</w:t>
            </w:r>
          </w:p>
          <w:p>
            <w:pPr>
              <w:pStyle w:val="TableContents"/>
              <w:bidi w:val="0"/>
              <w:spacing w:before="0" w:after="0"/>
              <w:ind w:left="16" w:right="16" w:hanging="0"/>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San Carlos, </w:t>
            </w:r>
            <w:bookmarkStart w:id="10" w:name="xdx_904_edei--EntityAddressStateOrProvin"/>
            <w:bookmarkEnd w:id="10"/>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1" w:name="xdx_90F_edei--EntityAddressPostalZipCode"/>
            <w:bookmarkEnd w:id="11"/>
            <w:r>
              <w:rPr>
                <w:b/>
                <w:sz w:val="20"/>
              </w:rPr>
              <w:t>94070</w:t>
            </w:r>
          </w:p>
        </w:tc>
      </w:tr>
      <w:tr>
        <w:trPr/>
        <w:tc>
          <w:tcPr>
            <w:tcW w:w="3290"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5225" w:type="dxa"/>
        <w:jc w:val="left"/>
        <w:tblInd w:w="0" w:type="dxa"/>
        <w:tblLayout w:type="fixed"/>
        <w:tblCellMar>
          <w:top w:w="0" w:type="dxa"/>
          <w:left w:w="0" w:type="dxa"/>
          <w:bottom w:w="28" w:type="dxa"/>
          <w:right w:w="0" w:type="dxa"/>
        </w:tblCellMar>
      </w:tblPr>
      <w:tblGrid>
        <w:gridCol w:w="5225"/>
      </w:tblGrid>
      <w:tr>
        <w:trPr/>
        <w:tc>
          <w:tcPr>
            <w:tcW w:w="5225" w:type="dxa"/>
            <w:tcBorders>
              <w:bottom w:val="single" w:sz="12" w:space="0" w:color="000000"/>
            </w:tcBorders>
            <w:vAlign w:val="center"/>
          </w:tcPr>
          <w:p>
            <w:pPr>
              <w:pStyle w:val="TableContents"/>
              <w:bidi w:val="0"/>
              <w:spacing w:before="0" w:after="283"/>
              <w:jc w:val="center"/>
              <w:rPr>
                <w:b/>
                <w:sz w:val="20"/>
              </w:rPr>
            </w:pPr>
            <w:r>
              <w:rPr>
                <w:b/>
                <w:sz w:val="20"/>
              </w:rPr>
              <w:t>(</w:t>
            </w:r>
            <w:bookmarkStart w:id="12" w:name="xdx_90C_edei--CityAreaCode_c20240321__20"/>
            <w:bookmarkEnd w:id="12"/>
            <w:r>
              <w:rPr>
                <w:b/>
                <w:sz w:val="20"/>
              </w:rPr>
              <w:t xml:space="preserve">650) </w:t>
            </w:r>
            <w:bookmarkStart w:id="13" w:name="xdx_90A_edei--LocalPhoneNumber_c20240321"/>
            <w:bookmarkEnd w:id="13"/>
            <w:r>
              <w:rPr>
                <w:b/>
                <w:sz w:val="20"/>
              </w:rPr>
              <w:t>817-9012</w:t>
            </w:r>
          </w:p>
        </w:tc>
      </w:tr>
      <w:tr>
        <w:trPr/>
        <w:tc>
          <w:tcPr>
            <w:tcW w:w="5225" w:type="dxa"/>
            <w:tcBorders/>
            <w:tcMar>
              <w:bottom w:w="0" w:type="dxa"/>
            </w:tcMar>
            <w:vAlign w:val="center"/>
          </w:tcPr>
          <w:p>
            <w:pPr>
              <w:pStyle w:val="TableContents"/>
              <w:bidi w:val="0"/>
              <w:spacing w:before="0" w:after="283"/>
              <w:jc w:val="center"/>
              <w:rPr>
                <w:b/>
                <w:sz w:val="20"/>
              </w:rPr>
            </w:pPr>
            <w:r>
              <w:rPr>
                <w:b/>
                <w:sz w:val="20"/>
              </w:rPr>
              <w:t>(Registrant’s telephone number, including area code)</w:t>
            </w:r>
          </w:p>
        </w:tc>
      </w:tr>
      <w:tr>
        <w:trPr/>
        <w:tc>
          <w:tcPr>
            <w:tcW w:w="5225" w:type="dxa"/>
            <w:tcBorders/>
            <w:tcMar>
              <w:bottom w:w="0" w:type="dxa"/>
            </w:tcMar>
            <w:vAlign w:val="center"/>
          </w:tcPr>
          <w:p>
            <w:pPr>
              <w:pStyle w:val="TableContents"/>
              <w:bidi w:val="0"/>
              <w:spacing w:before="0" w:after="283"/>
              <w:jc w:val="left"/>
              <w:rPr/>
            </w:pPr>
            <w:r>
              <w:rPr/>
              <w:t> </w:t>
            </w:r>
          </w:p>
        </w:tc>
      </w:tr>
      <w:tr>
        <w:trPr/>
        <w:tc>
          <w:tcPr>
            <w:tcW w:w="5225" w:type="dxa"/>
            <w:tcBorders>
              <w:bottom w:val="single" w:sz="12" w:space="0" w:color="000000"/>
            </w:tcBorders>
            <w:vAlign w:val="center"/>
          </w:tcPr>
          <w:p>
            <w:pPr>
              <w:pStyle w:val="TableContents"/>
              <w:bidi w:val="0"/>
              <w:spacing w:before="0" w:after="283"/>
              <w:jc w:val="center"/>
              <w:rPr>
                <w:b/>
                <w:sz w:val="20"/>
              </w:rPr>
            </w:pPr>
            <w:r>
              <w:rPr>
                <w:b/>
                <w:sz w:val="20"/>
              </w:rPr>
              <w:t>N/A</w:t>
            </w:r>
          </w:p>
        </w:tc>
      </w:tr>
      <w:tr>
        <w:trPr/>
        <w:tc>
          <w:tcPr>
            <w:tcW w:w="5225" w:type="dxa"/>
            <w:tcBorders/>
            <w:tcMar>
              <w:bottom w:w="0" w:type="dxa"/>
            </w:tcMar>
            <w:vAlign w:val="center"/>
          </w:tcPr>
          <w:p>
            <w:pPr>
              <w:pStyle w:val="TableContents"/>
              <w:bidi w:val="0"/>
              <w:spacing w:before="0" w:after="283"/>
              <w:jc w:val="center"/>
              <w:rPr>
                <w:b/>
                <w:sz w:val="20"/>
              </w:rPr>
            </w:pPr>
            <w:r>
              <w:rPr>
                <w:b/>
                <w:sz w:val="20"/>
              </w:rPr>
              <w:t>(Former name or former address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1_edei--SolicitingMaterial_c202403"/>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11"/>
        <w:gridCol w:w="60"/>
        <w:gridCol w:w="998"/>
        <w:gridCol w:w="60"/>
        <w:gridCol w:w="3076"/>
      </w:tblGrid>
      <w:tr>
        <w:trPr/>
        <w:tc>
          <w:tcPr>
            <w:tcW w:w="6011"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998"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076" w:type="dxa"/>
            <w:tcBorders>
              <w:bottom w:val="single" w:sz="8" w:space="0" w:color="000000"/>
            </w:tcBorders>
            <w:vAlign w:val="center"/>
          </w:tcPr>
          <w:p>
            <w:pPr>
              <w:pStyle w:val="TableContents"/>
              <w:bidi w:val="0"/>
              <w:spacing w:before="0" w:after="283"/>
              <w:jc w:val="center"/>
              <w:rPr>
                <w:b/>
              </w:rPr>
            </w:pPr>
            <w:r>
              <w:rPr>
                <w:b/>
              </w:rPr>
              <w:t xml:space="preserve">Name of each exchange on which </w:t>
              <w:br/>
              <w:t>registered</w:t>
            </w:r>
          </w:p>
        </w:tc>
      </w:tr>
      <w:tr>
        <w:trPr/>
        <w:tc>
          <w:tcPr>
            <w:tcW w:w="6011" w:type="dxa"/>
            <w:tcBorders/>
            <w:shd w:fill="CCEEFF" w:val="clear"/>
            <w:tcMar>
              <w:bottom w:w="0" w:type="dxa"/>
            </w:tcMar>
            <w:vAlign w:val="center"/>
          </w:tcPr>
          <w:p>
            <w:pPr>
              <w:pStyle w:val="TableContents"/>
              <w:bidi w:val="0"/>
              <w:spacing w:before="0" w:after="283"/>
              <w:jc w:val="center"/>
              <w:rPr/>
            </w:pPr>
            <w:bookmarkStart w:id="18" w:name="xdx_904_edei--Security12bTitle_c20240321"/>
            <w:bookmarkEnd w:id="18"/>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8" w:type="dxa"/>
            <w:tcBorders/>
            <w:shd w:fill="CCEEFF" w:val="clear"/>
            <w:tcMar>
              <w:bottom w:w="0" w:type="dxa"/>
            </w:tcMar>
            <w:vAlign w:val="center"/>
          </w:tcPr>
          <w:p>
            <w:pPr>
              <w:pStyle w:val="TableContents"/>
              <w:bidi w:val="0"/>
              <w:spacing w:before="0" w:after="283"/>
              <w:jc w:val="center"/>
              <w:rPr/>
            </w:pPr>
            <w:bookmarkStart w:id="19" w:name="xdx_903_edei--TradingSymbol_c20240321__2"/>
            <w:bookmarkEnd w:id="19"/>
            <w:r>
              <w:rPr/>
              <w:t>PRST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076" w:type="dxa"/>
            <w:tcBorders/>
            <w:shd w:fill="CCEEFF" w:val="clear"/>
            <w:tcMar>
              <w:bottom w:w="0" w:type="dxa"/>
            </w:tcMar>
            <w:vAlign w:val="center"/>
          </w:tcPr>
          <w:p>
            <w:pPr>
              <w:pStyle w:val="TableContents"/>
              <w:bidi w:val="0"/>
              <w:spacing w:before="0" w:after="283"/>
              <w:jc w:val="center"/>
              <w:rPr/>
            </w:pPr>
            <w:bookmarkStart w:id="20" w:name="xdx_900_edei--SecurityExchangeName_c2024"/>
            <w:bookmarkEnd w:id="20"/>
            <w:r>
              <w:rPr/>
              <w:t>The Nasdaq Stock Market LLC</w:t>
            </w:r>
          </w:p>
        </w:tc>
      </w:tr>
      <w:tr>
        <w:trPr/>
        <w:tc>
          <w:tcPr>
            <w:tcW w:w="6011" w:type="dxa"/>
            <w:tcBorders/>
            <w:shd w:fill="FFFFFF" w:val="clear"/>
            <w:tcMar>
              <w:bottom w:w="0" w:type="dxa"/>
            </w:tcMar>
            <w:vAlign w:val="center"/>
          </w:tcPr>
          <w:p>
            <w:pPr>
              <w:pStyle w:val="TableContents"/>
              <w:bidi w:val="0"/>
              <w:spacing w:before="0" w:after="283"/>
              <w:jc w:val="center"/>
              <w:rPr/>
            </w:pPr>
            <w:bookmarkStart w:id="21" w:name="xdx_90E_edei--Security12bTitle_c20240321"/>
            <w:bookmarkEnd w:id="21"/>
            <w:r>
              <w:rPr/>
              <w:t>Warrants, each whole warrant exercisable for one share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98" w:type="dxa"/>
            <w:tcBorders/>
            <w:shd w:fill="FFFFFF" w:val="clear"/>
            <w:tcMar>
              <w:bottom w:w="0" w:type="dxa"/>
            </w:tcMar>
            <w:vAlign w:val="center"/>
          </w:tcPr>
          <w:p>
            <w:pPr>
              <w:pStyle w:val="TableContents"/>
              <w:bidi w:val="0"/>
              <w:spacing w:before="0" w:after="283"/>
              <w:jc w:val="center"/>
              <w:rPr/>
            </w:pPr>
            <w:bookmarkStart w:id="22" w:name="xdx_906_edei--TradingSymbol_c20240321__2"/>
            <w:bookmarkEnd w:id="22"/>
            <w:r>
              <w:rPr/>
              <w:t>PRSTW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076" w:type="dxa"/>
            <w:tcBorders/>
            <w:shd w:fill="FFFFFF" w:val="clear"/>
            <w:tcMar>
              <w:bottom w:w="0" w:type="dxa"/>
            </w:tcMar>
            <w:vAlign w:val="center"/>
          </w:tcPr>
          <w:p>
            <w:pPr>
              <w:pStyle w:val="TableContents"/>
              <w:bidi w:val="0"/>
              <w:spacing w:before="0" w:after="283"/>
              <w:jc w:val="center"/>
              <w:rPr/>
            </w:pPr>
            <w:bookmarkStart w:id="23" w:name="xdx_909_edei--SecurityExchangeName_c2024"/>
            <w:bookmarkEnd w:id="23"/>
            <w:r>
              <w:rPr/>
              <w:t>The Nasdaq Stock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D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8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Secured Promissory Note and Related Agreements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2024, Presto Automation Inc. (“Presto” or the “Company”), together with Presto Automation, LLC, issued to Presto CA LLC (“Presto CA”) a secured promissory note in the principal amount of $4,000,000 (the “Note”), pursuant to which Presto CA agreed to make two loans totaling an aggregate of $4,000,000 to the Company. The first loan was made on March 21, 2024 in the amount of $2,000,000 (the “First Loan”) and the second loan will be made on March 30, 2024 in the amount of $2,000,000 (the “Second Loan” and, together with the First Loan, the “Loans”), subject to the conditions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Loan is subject to the following conditions: (1) each of the Seventh Amendment (as defined below), the Security Agreement (as defined below) and the Subordination Agreement (as defined below) remain in full force and effect and Presto is in full compliance with each of such agreements, (2) each of the representations and warranties made in the Note or in the Security Agreement by Presto are true and correct and (3) there shall not have occurred, or Presto CA shall not have become first aware, since the making of the First Loan, of any event or circumstance that has had, or could be reasonably expected to have, individually or in the aggregate, a Material Adverse Effect (as defined in the Credit Agreement (as defined below)), provided that the price per share of the Company’s common stock and its continued listing on the Nasdaq Stock Market will not constitute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Maturity Date</w:t>
      </w:r>
      <w:r>
        <w:rPr>
          <w:rFonts w:ascii="Times New Roman;Times;Serif" w:hAnsi="Times New Roman;Times;Serif"/>
          <w:b w:val="false"/>
          <w:i w:val="false"/>
          <w:caps w:val="false"/>
          <w:smallCaps w:val="false"/>
          <w:sz w:val="20"/>
          <w:shd w:fill="FFFFFF" w:val="clear"/>
        </w:rPr>
        <w:t>. The Loans shall be repaid no later than May 15, 2024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PIK Interest</w:t>
      </w:r>
      <w:r>
        <w:rPr>
          <w:rFonts w:ascii="Times New Roman;Times;Serif" w:hAnsi="Times New Roman;Times;Serif"/>
          <w:b w:val="false"/>
          <w:i w:val="false"/>
          <w:caps w:val="false"/>
          <w:smallCaps w:val="false"/>
          <w:sz w:val="20"/>
          <w:shd w:fill="FFFFFF" w:val="clear"/>
        </w:rPr>
        <w:t>. Interest on the Note accrues by increasing principal at a rate of 12.0% per annum. On the Maturity Date, Presto will pay the interest then due by adding such outstanding interest to the aggregate principal amount of the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Security Interest</w:t>
      </w:r>
      <w:r>
        <w:rPr>
          <w:rFonts w:ascii="Times New Roman;Times;Serif" w:hAnsi="Times New Roman;Times;Serif"/>
          <w:b w:val="false"/>
          <w:i w:val="false"/>
          <w:caps w:val="false"/>
          <w:smallCaps w:val="false"/>
          <w:sz w:val="20"/>
          <w:shd w:fill="FFFFFF" w:val="clear"/>
        </w:rPr>
        <w:t>. The Note is secured by a first priority lien on substantially all of the Company’s assets, pursuant to that certain security agreement, dated as of March 21, 2024, by and between the Company, Presto Automation LLC, a wholly owned subsidiary of the Company, and Presto CA (the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subject to a subordination agreement (the “Subordination Agreement”) among Metropolitan Partners Group Administration, LLC, the administrative, payment and collateral agent (the “Agent”) for Metropolitan Levered Partners Fund VII, LP (“Levered Partners Fund”), Metropolitan Partners Fund VII, LP (“Partners Fund”), Metropolitan Offshore Partners Fund VII, LP and CEOF Holdings LP (collectively, the “Lenders”), Presto CA, the Company and Presto Automation LLC. Pursuant to the Subordination Agreement, (1) the Agent and the Lenders agree to subordinate their liens on the collateral to the liens of Presto CA securing the Note, (2) Presto CA agrees that, prior to repayment of amounts payable to the Lenders, it will not take any enforcement action with respect to the Note without the consent of the Agent, (3) the Agent will retain the sole right to engage in enforcement actions and otherwise manage the collateral, and (4) the Agent and/or the Lenders, at any time, may purchase the outstanding Loans, at par, without regard to any prepayment penalty or premium.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also subject to (i) a participation agreement (the “Partners Fund Participation Agreement”) between Presto CA and Partners Fund and (ii) a participation agreement (the “Levered Partners Fund Participation Agreement” and together with the Partners Fund Participation Agreement, collectively, the “Participation Agreements”) between Presto CA and Levered Partners Fund. Pursuant to the Participation Agreements, Partners Fund and Levered Partners Fund, collectively, have purchased and accepted, and Presto CA has agreed to sell and grant to Partners Fund and Levered Partners Fund, collectively, an interest in 25% of the Loans outstanding under the Note such that they will own up to a maximum interest of $1.0 million in the Note.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Seventh Amendment to Credit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2024, the Company entered into a Seventh Amendment (the “Seventh Amendment”) to the Credit Agreement dated as of September 21, 2022 (as subsequently amended, the “Credit Agreement”) with the Agent for the Lenders. Under the Credit Agreement, the Lenders extended term loans with a current principal amount of $51.7 million (the “Term Loans”) pursuant to the terms and subject to the conditions of the Credit Agreement.</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Seventh Amendment, the Lenders agreed not to exercise remedies with respect to a number of events of default as follows: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2" w:type="dxa"/>
            <w:tcBorders/>
            <w:shd w:fill="FFFFFF" w:val="clear"/>
            <w:vAlign w:val="center"/>
          </w:tcPr>
          <w:p>
            <w:pPr>
              <w:pStyle w:val="TableContents"/>
              <w:bidi w:val="0"/>
              <w:spacing w:before="0" w:after="283"/>
              <w:jc w:val="both"/>
              <w:rPr/>
            </w:pPr>
            <w:r>
              <w:rPr/>
              <w:t>prior to April 15, 2024 to the extent $2.0 million is advanced to the Company pursuant to the Note on March 21, 2024;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2" w:type="dxa"/>
            <w:tcBorders/>
            <w:shd w:fill="FFFFFF" w:val="clear"/>
            <w:vAlign w:val="center"/>
          </w:tcPr>
          <w:p>
            <w:pPr>
              <w:pStyle w:val="TableContents"/>
              <w:bidi w:val="0"/>
              <w:spacing w:before="0" w:after="283"/>
              <w:jc w:val="both"/>
              <w:rPr/>
            </w:pPr>
            <w:r>
              <w:rPr/>
              <w:t>prior to May 15, 2024 to the extent an additional $2.0 million is advanced to the Company pursuant to the Note on March 30, 2024.</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date being referred to as a “Forbearance Termination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Seventh Amendment further provides that (1) the minimum unrestricted cash amount under the Credit Agreement will be zero from March 21, 2024 until the day prior to the Forbearance Termination Date and will become $10 million on the Forbearance Termination Date, and (2) an event of default by the Company under the Note will constitute an event of default under the Credit Agreement as well.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Securities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2024, in connection with the issuance of the Note, the Company entered into a second amendment (the “Second Amendment”) to Purchase Agreement dated October 10, 2023, between the Company and Presto CA (the “CA Purchase Agreement”). Pursuant to the CA Purchase Agreement, the Company had issued and sold to Presto CA 1,500,000 shares of the Company’s common stock at a purchase price of $2.00 per share for an aggregate purchase price of $3.0 million. The CA Purchase Agreement contained anti-dilution provisions relating to future issuances or deemed issuances of the Company’s common stock from October 16, 2023 through April 1, 2024 at a price per share below $2.00. The Second Amendment extended that period through September 30, 2024 and affirmed that the current trigger price for anti-dilution protection is an issuance below $0.25 per share following other recent offerings by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2024, in connection with the transactions described herein, Presto CA and the Lenders entered into a waiver and extension of registration rights (the “Extension”), pursuant to which the parties agreed to extend the deadline for the Company to register the Anti-Dilution Shares and the Forbearance Shares (each as defined in the Extension) until April 15,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of the Note, the Security Agreement, the Subordination Agreement, the Participation Agreement, the Seventh Amendment, the Second Amendment and the Extension do not purport to be complete and are subject to, and qualified in their entirety by, the full text of the applicable agreements filed as exhibits to this Current Report on Form 8-K and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and Restatement of Third and Fifth Amendment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March 4, 2024, in connection with the previously-disclosed offering of 8,533,000 shares of the Company’s common stock (the “March Common Stock Offering”) at an offering price of $0.25 per share, anti-dilution adjustments were triggered with respect to the Third Amendment Warrants (as defined below) and the Fifth Amendment Warrants (as defined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“Third Amendment Warrants” were originally issued on October 10, 2023 in connection with the Third Amendment to the Credit Agreement and, upon initial issuance, entitled the Lenders to purchase 3,000,000 shares of the Company’s common stock at a purchase price of $0.01 per share. The Third Amendment Warrants have been subject to adjustments previously disclosed and, as a result of the March Common Stock Offering, became exercisable for 24,000,000 shares of the Company’s common stock. The Third Amendment Warrants contained anti-dilution provisions relating to future issuances or deemed issuances of the Company’s common stock from October 16, 2023 through April 1, 2024. That period was extended through September 30, 2024.</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“Fifth Amendment Warrants” were originally issued on January 31, 2024 in connection with a fifth amendment to the Credit Agreement </w:t>
      </w:r>
      <w:r>
        <w:rPr>
          <w:rFonts w:ascii="Times New Roman;Times;Serif" w:hAnsi="Times New Roman;Times;Serif"/>
          <w:b w:val="false"/>
          <w:i w:val="false"/>
          <w:caps w:val="false"/>
          <w:smallCaps w:val="false"/>
          <w:sz w:val="20"/>
          <w:shd w:fill="FFFFFF" w:val="clear"/>
        </w:rPr>
        <w:t xml:space="preserve">and, upon initial issuance, entitled the Lenders to purchase </w:t>
      </w:r>
      <w:r>
        <w:rPr>
          <w:rFonts w:ascii="Times New Roman;Times;Serif" w:hAnsi="Times New Roman;Times;Serif"/>
          <w:b w:val="false"/>
          <w:i w:val="false"/>
          <w:caps w:val="false"/>
          <w:smallCaps w:val="false"/>
          <w:sz w:val="20"/>
        </w:rPr>
        <w:t xml:space="preserve">5,323,298 </w:t>
      </w:r>
      <w:r>
        <w:rPr>
          <w:rFonts w:ascii="Times New Roman;Times;Serif" w:hAnsi="Times New Roman;Times;Serif"/>
          <w:b w:val="false"/>
          <w:i w:val="false"/>
          <w:caps w:val="false"/>
          <w:smallCaps w:val="false"/>
          <w:sz w:val="20"/>
          <w:shd w:fill="FFFFFF" w:val="clear"/>
        </w:rPr>
        <w:t xml:space="preserve">shares of the Company’s common stock at a purchase price of $0.01 per share. The Fifth Amendment Warrants have been subject to adjustments previously disclosed and, as a result of the March Common Stock Offering, became exercisable for </w:t>
      </w:r>
      <w:r>
        <w:rPr>
          <w:rFonts w:ascii="Times New Roman;Times;Serif" w:hAnsi="Times New Roman;Times;Serif"/>
          <w:b w:val="false"/>
          <w:i w:val="false"/>
          <w:caps w:val="false"/>
          <w:smallCaps w:val="false"/>
          <w:sz w:val="20"/>
        </w:rPr>
        <w:t xml:space="preserve">8,517,278 </w:t>
      </w:r>
      <w:r>
        <w:rPr>
          <w:rFonts w:ascii="Times New Roman;Times;Serif" w:hAnsi="Times New Roman;Times;Serif"/>
          <w:b w:val="false"/>
          <w:i w:val="false"/>
          <w:caps w:val="false"/>
          <w:smallCaps w:val="false"/>
          <w:sz w:val="20"/>
          <w:shd w:fill="FFFFFF" w:val="clear"/>
        </w:rPr>
        <w:t>shares of the Company’s common stock. The Fifth Amendment Warrants contained anti-dilution provisions relating to future issuances or deemed issuances of the Company’s common stock from October 16, 2023 through April 1, 2024. That period was extended through September 30,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of the Third Amendment Warrants and the Fifth Amendment Warrants do not purport to be complete and are subject to, and qualified in their entirety by, the full text of the Third Amendment Warrants and the Fifth Amendment Warrants filed as exhibits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projects that the initial $2.0 million financed under the Note will be sufficient to fund its operations through April 15, 2024 and the additional $2.0 million will be sufficient to fund its operations through May 15,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and those additional risks and uncertainties discussed under the heading “Risk Factors” in the Form 10-K filed by the Company with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plans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1.htm">
              <w:r>
                <w:rPr>
                  <w:rStyle w:val="InternetLink"/>
                  <w:rFonts w:ascii="Times New Roman;Times;Serif" w:hAnsi="Times New Roman;Times;Serif"/>
                  <w:sz w:val="20"/>
                </w:rPr>
                <w:t>10.1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1.htm">
              <w:r>
                <w:rPr>
                  <w:rStyle w:val="InternetLink"/>
                  <w:rFonts w:ascii="Times New Roman;Times;Serif" w:hAnsi="Times New Roman;Times;Serif"/>
                  <w:sz w:val="20"/>
                </w:rPr>
                <w:t>Senior Secured Promissory Note, dated as of March 21, 2024, by and between Presto Automation, LLC, Presto Automation Inc. and Presto CA, LLC.</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2.htm">
              <w:r>
                <w:rPr>
                  <w:rStyle w:val="InternetLink"/>
                  <w:rFonts w:ascii="Times New Roman;Times;Serif" w:hAnsi="Times New Roman;Times;Serif"/>
                  <w:sz w:val="20"/>
                </w:rPr>
                <w:t>10.2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2.htm">
              <w:r>
                <w:rPr>
                  <w:rStyle w:val="InternetLink"/>
                  <w:rFonts w:ascii="Times New Roman;Times;Serif" w:hAnsi="Times New Roman;Times;Serif"/>
                  <w:sz w:val="20"/>
                </w:rPr>
                <w:t>Security Agreement, dated as of March 21, 2024, by and between Presto Automation, LLC, Presto Automation Inc. and Presto CA, LLC.</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3.htm">
              <w:r>
                <w:rPr>
                  <w:rStyle w:val="InternetLink"/>
                  <w:rFonts w:ascii="Times New Roman;Times;Serif" w:hAnsi="Times New Roman;Times;Serif"/>
                  <w:sz w:val="20"/>
                </w:rPr>
                <w:t>10.3</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3.htm">
              <w:r>
                <w:rPr>
                  <w:rStyle w:val="InternetLink"/>
                  <w:rFonts w:ascii="Times New Roman;Times;Serif" w:hAnsi="Times New Roman;Times;Serif"/>
                  <w:sz w:val="20"/>
                </w:rPr>
                <w:t>Subordination Agreement, dated as of March 21, 2024, by and between</w:t>
              </w:r>
            </w:hyperlink>
            <w:hyperlink w:anchor="tm249250d1_ex10-3.htm">
              <w:r>
                <w:rPr>
                  <w:rStyle w:val="InternetLink"/>
                </w:rPr>
                <w:t xml:space="preserve"> </w:t>
              </w:r>
            </w:hyperlink>
            <w:hyperlink w:anchor="tm249250d1_ex10-3.htm">
              <w:r>
                <w:rPr>
                  <w:rStyle w:val="InternetLink"/>
                  <w:sz w:val="20"/>
                </w:rPr>
                <w:t>Metropolitan Partners Group Administration, LLC, Presto CA LLC, Presto Automation Inc., and Presto Automation LLC.</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4.htm">
              <w:r>
                <w:rPr>
                  <w:rStyle w:val="InternetLink"/>
                  <w:rFonts w:ascii="Times New Roman;Times;Serif" w:hAnsi="Times New Roman;Times;Serif"/>
                  <w:sz w:val="20"/>
                </w:rPr>
                <w:t>10.4</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4.htm">
              <w:r>
                <w:rPr>
                  <w:rStyle w:val="InternetLink"/>
                  <w:rFonts w:ascii="Times New Roman;Times;Serif" w:hAnsi="Times New Roman;Times;Serif"/>
                  <w:sz w:val="20"/>
                </w:rPr>
                <w:t>Amendment No. 2 to Securities Purchase Agreement, dated as March 21, 2024, by and between Presto Automation Inc. and Presto CA, LLC.</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5.htm">
              <w:r>
                <w:rPr>
                  <w:rStyle w:val="InternetLink"/>
                  <w:rFonts w:ascii="Times New Roman;Times;Serif" w:hAnsi="Times New Roman;Times;Serif"/>
                  <w:sz w:val="20"/>
                </w:rPr>
                <w:t>10.5</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5.htm">
              <w:r>
                <w:rPr>
                  <w:rStyle w:val="InternetLink"/>
                  <w:rFonts w:ascii="Times New Roman;Times;Serif" w:hAnsi="Times New Roman;Times;Serif"/>
                  <w:sz w:val="20"/>
                </w:rPr>
                <w:t>Seventh Amendment to Credit Agreement, dated as of March 21, 2024, by and among Presto Automation LLC, Presto Automation Inc., the lenders party thereto and Metropolitan Partners Group Administration, LLC</w:t>
              </w:r>
            </w:hyperlink>
            <w:hyperlink w:anchor="tm249250d1_ex10-5.htm">
              <w:r>
                <w:rPr>
                  <w:rStyle w:val="InternetLink"/>
                  <w:sz w:val="20"/>
                  <w:u w:val="single"/>
                </w:rPr>
                <w:t>.</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6.htm">
              <w:r>
                <w:rPr>
                  <w:rStyle w:val="InternetLink"/>
                  <w:rFonts w:ascii="Times New Roman;Times;Serif" w:hAnsi="Times New Roman;Times;Serif"/>
                  <w:sz w:val="20"/>
                </w:rPr>
                <w:t>10.6</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6.htm">
              <w:r>
                <w:rPr>
                  <w:rStyle w:val="InternetLink"/>
                  <w:rFonts w:ascii="Times New Roman;Times;Serif" w:hAnsi="Times New Roman;Times;Serif"/>
                  <w:sz w:val="20"/>
                </w:rPr>
                <w:t>Amended and Restated Warrant to Purchase Common Stock, dated March 21, 2024, by and between Presto Automation Inc. and Metropolitan Levered Partners Fund VII, LP (originally issued on January 30, 2024).</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7.htm">
              <w:r>
                <w:rPr>
                  <w:rStyle w:val="InternetLink"/>
                  <w:rFonts w:ascii="Times New Roman;Times;Serif" w:hAnsi="Times New Roman;Times;Serif"/>
                  <w:sz w:val="20"/>
                </w:rPr>
                <w:t>10.7</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7.htm">
              <w:r>
                <w:rPr>
                  <w:rStyle w:val="InternetLink"/>
                  <w:rFonts w:ascii="Times New Roman;Times;Serif" w:hAnsi="Times New Roman;Times;Serif"/>
                  <w:sz w:val="20"/>
                </w:rPr>
                <w:t>Amended and Restated Warrant to Purchase Common Stock, dated March 21, 2024, by and between Presto Automation Inc. and Metropolitan Partners Fund VII, LP (originally issued on January 30, 2024).</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8.htm">
              <w:r>
                <w:rPr>
                  <w:rStyle w:val="InternetLink"/>
                  <w:rFonts w:ascii="Times New Roman;Times;Serif" w:hAnsi="Times New Roman;Times;Serif"/>
                  <w:sz w:val="20"/>
                </w:rPr>
                <w:t>10.8</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8.htm">
              <w:r>
                <w:rPr>
                  <w:rStyle w:val="InternetLink"/>
                  <w:rFonts w:ascii="Times New Roman;Times;Serif" w:hAnsi="Times New Roman;Times;Serif"/>
                  <w:sz w:val="20"/>
                </w:rPr>
                <w:t>Amended and Restated Warrant to Purchase Common Stock, dated March 21, 2024, by and between Presto Automation Inc. and Metropolitan Offshore Partners Fund VII, LP (originally issued on January 30, 2024).</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9.htm">
              <w:r>
                <w:rPr>
                  <w:rStyle w:val="InternetLink"/>
                  <w:rFonts w:ascii="Times New Roman;Times;Serif" w:hAnsi="Times New Roman;Times;Serif"/>
                  <w:sz w:val="20"/>
                </w:rPr>
                <w:t>10.9</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9.htm">
              <w:r>
                <w:rPr>
                  <w:rStyle w:val="InternetLink"/>
                  <w:rFonts w:ascii="Times New Roman;Times;Serif" w:hAnsi="Times New Roman;Times;Serif"/>
                  <w:sz w:val="20"/>
                </w:rPr>
                <w:t>Amended and Restated Warrant to Purchase Common Stock, dated March 21, 2024, by and between Presto Automation Inc. and CEOF Holdings, LP</w:t>
              </w:r>
            </w:hyperlink>
            <w:hyperlink w:anchor="tm249250d1_ex10-9.htm">
              <w:r>
                <w:rPr>
                  <w:rStyle w:val="InternetLink"/>
                  <w:sz w:val="20"/>
                </w:rPr>
                <w:t>(originally issued on January 30, 2024)</w:t>
              </w:r>
            </w:hyperlink>
            <w:hyperlink w:anchor="tm249250d1_ex10-9.htm">
              <w:r>
                <w:rPr>
                  <w:rStyle w:val="InternetLink"/>
                  <w:sz w:val="20"/>
                  <w:u w:val="single"/>
                </w:rPr>
                <w:t>.</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10.htm">
              <w:r>
                <w:rPr>
                  <w:rStyle w:val="InternetLink"/>
                  <w:rFonts w:ascii="Times New Roman;Times;Serif" w:hAnsi="Times New Roman;Times;Serif"/>
                  <w:sz w:val="20"/>
                </w:rPr>
                <w:t>10.10</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10.htm">
              <w:r>
                <w:rPr>
                  <w:rStyle w:val="InternetLink"/>
                  <w:rFonts w:ascii="Times New Roman;Times;Serif" w:hAnsi="Times New Roman;Times;Serif"/>
                  <w:sz w:val="20"/>
                </w:rPr>
                <w:t>Amended and Restated Warrant to Purchase Common Stock, dated March 21, 2024, by and between Presto Automation Inc. and Metropolitan Levered Partners Fund VII, LP (originally issued on October 16, 2023).</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11.htm">
              <w:r>
                <w:rPr>
                  <w:rStyle w:val="InternetLink"/>
                  <w:rFonts w:ascii="Times New Roman;Times;Serif" w:hAnsi="Times New Roman;Times;Serif"/>
                  <w:sz w:val="20"/>
                </w:rPr>
                <w:t>10.11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11.htm">
              <w:r>
                <w:rPr>
                  <w:rStyle w:val="InternetLink"/>
                  <w:rFonts w:ascii="Times New Roman;Times;Serif" w:hAnsi="Times New Roman;Times;Serif"/>
                  <w:sz w:val="20"/>
                </w:rPr>
                <w:t>Amended and Restated Warrant to Purchase Common Stock, dated March 21, 2024, by and between Presto Automation Inc. and Metropolitan Partners Fund VII, LP (originally issued on October 16, 2023).</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12.htm">
              <w:r>
                <w:rPr>
                  <w:rStyle w:val="InternetLink"/>
                  <w:rFonts w:ascii="Times New Roman;Times;Serif" w:hAnsi="Times New Roman;Times;Serif"/>
                  <w:sz w:val="20"/>
                </w:rPr>
                <w:t>10.12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12.htm">
              <w:r>
                <w:rPr>
                  <w:rStyle w:val="InternetLink"/>
                  <w:rFonts w:ascii="Times New Roman;Times;Serif" w:hAnsi="Times New Roman;Times;Serif"/>
                  <w:sz w:val="20"/>
                </w:rPr>
                <w:t>Amended and Restated Warrant to Purchase Common Stock, dated March 21, 2024, by and between Presto Automation Inc. and Metropolitan Offshore Partners Fund VII, LP (originally issued on October 16, 2023).</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13.htm">
              <w:r>
                <w:rPr>
                  <w:rStyle w:val="InternetLink"/>
                  <w:rFonts w:ascii="Times New Roman;Times;Serif" w:hAnsi="Times New Roman;Times;Serif"/>
                  <w:sz w:val="20"/>
                </w:rPr>
                <w:t>10.13</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13.htm">
              <w:r>
                <w:rPr>
                  <w:rStyle w:val="InternetLink"/>
                  <w:rFonts w:ascii="Times New Roman;Times;Serif" w:hAnsi="Times New Roman;Times;Serif"/>
                  <w:sz w:val="20"/>
                </w:rPr>
                <w:t>Amended and Restated Warrant to Purchase Common Stock, dated March 21, 2024, by and between Presto Automation Inc. and CEOF Holdings, LP</w:t>
              </w:r>
            </w:hyperlink>
            <w:hyperlink w:anchor="tm249250d1_ex10-13.htm">
              <w:r>
                <w:rPr>
                  <w:rStyle w:val="InternetLink"/>
                </w:rPr>
                <w:t xml:space="preserve"> </w:t>
              </w:r>
            </w:hyperlink>
            <w:hyperlink w:anchor="tm249250d1_ex10-13.htm">
              <w:r>
                <w:rPr>
                  <w:rStyle w:val="InternetLink"/>
                  <w:sz w:val="20"/>
                  <w:u w:val="single"/>
                </w:rPr>
                <w:t>(originally issued on October 16, 2023).</w:t>
              </w:r>
            </w:hyperlink>
          </w:p>
        </w:tc>
      </w:tr>
      <w:tr>
        <w:trPr/>
        <w:tc>
          <w:tcPr>
            <w:tcW w:w="665" w:type="dxa"/>
            <w:tcBorders/>
            <w:shd w:fill="FFFFFF" w:val="clear"/>
            <w:tcMar>
              <w:bottom w:w="0" w:type="dxa"/>
            </w:tcMar>
            <w:vAlign w:val="center"/>
          </w:tcPr>
          <w:p>
            <w:pPr>
              <w:pStyle w:val="TableContents"/>
              <w:bidi w:val="0"/>
              <w:spacing w:before="0" w:after="283"/>
              <w:jc w:val="left"/>
              <w:rPr/>
            </w:pPr>
            <w:hyperlink w:anchor="tm249250d1_ex10-14.htm">
              <w:r>
                <w:rPr>
                  <w:rStyle w:val="InternetLink"/>
                  <w:rFonts w:ascii="Times New Roman;Times;Serif" w:hAnsi="Times New Roman;Times;Serif"/>
                  <w:sz w:val="20"/>
                </w:rPr>
                <w:t>10.14</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w:anchor="tm249250d1_ex10-14.htm">
              <w:r>
                <w:rPr>
                  <w:rStyle w:val="InternetLink"/>
                  <w:rFonts w:ascii="Times New Roman;Times;Serif" w:hAnsi="Times New Roman;Times;Serif"/>
                  <w:sz w:val="20"/>
                </w:rPr>
                <w:t>Waiver and Extension of Registration Rights, dated as of March 21, 2024, by and among Presto Automation Inc., Presto CA LLC, CEOF Holdings LP and certain entities affiliated with Metropolitan Partners Group Administration, LLC.</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175" w:type="dxa"/>
        <w:jc w:val="left"/>
        <w:tblInd w:w="0" w:type="dxa"/>
        <w:tblLayout w:type="fixed"/>
        <w:tblCellMar>
          <w:top w:w="0" w:type="dxa"/>
          <w:left w:w="0" w:type="dxa"/>
          <w:bottom w:w="0" w:type="dxa"/>
          <w:right w:w="0" w:type="dxa"/>
        </w:tblCellMar>
      </w:tblPr>
      <w:tblGrid>
        <w:gridCol w:w="2120"/>
        <w:gridCol w:w="365"/>
        <w:gridCol w:w="710"/>
        <w:gridCol w:w="3980"/>
      </w:tblGrid>
      <w:tr>
        <w:trPr/>
        <w:tc>
          <w:tcPr>
            <w:tcW w:w="2120" w:type="dxa"/>
            <w:tcBorders/>
            <w:vAlign w:val="center"/>
          </w:tcPr>
          <w:p>
            <w:pPr>
              <w:pStyle w:val="TableContents"/>
              <w:bidi w:val="0"/>
              <w:spacing w:before="0" w:after="283"/>
              <w:jc w:val="left"/>
              <w:rPr/>
            </w:pPr>
            <w:r>
              <w:rPr/>
              <w:t> </w:t>
            </w:r>
          </w:p>
        </w:tc>
        <w:tc>
          <w:tcPr>
            <w:tcW w:w="5055" w:type="dxa"/>
            <w:gridSpan w:val="3"/>
            <w:tcBorders/>
            <w:vAlign w:val="center"/>
          </w:tcPr>
          <w:p>
            <w:pPr>
              <w:pStyle w:val="TableContents"/>
              <w:bidi w:val="0"/>
              <w:spacing w:before="0" w:after="283"/>
              <w:jc w:val="left"/>
              <w:rPr>
                <w:b/>
              </w:rPr>
            </w:pPr>
            <w:r>
              <w:rPr>
                <w:b/>
              </w:rPr>
              <w:t>PRESTO AUTOMATION, INC.</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Date: March 21, 2024</w:t>
            </w:r>
          </w:p>
        </w:tc>
        <w:tc>
          <w:tcPr>
            <w:tcW w:w="365" w:type="dxa"/>
            <w:tcBorders/>
            <w:vAlign w:val="center"/>
          </w:tcPr>
          <w:p>
            <w:pPr>
              <w:pStyle w:val="TableContents"/>
              <w:bidi w:val="0"/>
              <w:spacing w:before="0" w:after="283"/>
              <w:jc w:val="left"/>
              <w:rPr/>
            </w:pPr>
            <w:r>
              <w:rPr/>
              <w:t>By:</w:t>
            </w:r>
          </w:p>
        </w:tc>
        <w:tc>
          <w:tcPr>
            <w:tcW w:w="4690" w:type="dxa"/>
            <w:gridSpan w:val="2"/>
            <w:tcBorders>
              <w:bottom w:val="single" w:sz="8" w:space="0" w:color="000000"/>
            </w:tcBorders>
            <w:tcMar>
              <w:bottom w:w="28" w:type="dxa"/>
            </w:tcMar>
            <w:vAlign w:val="center"/>
          </w:tcPr>
          <w:p>
            <w:pPr>
              <w:pStyle w:val="TableContents"/>
              <w:bidi w:val="0"/>
              <w:spacing w:before="0" w:after="283"/>
              <w:jc w:val="left"/>
              <w:rPr/>
            </w:pPr>
            <w:r>
              <w:rPr/>
              <w:t>/s/  Susan Shinoff</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980" w:type="dxa"/>
            <w:tcBorders/>
            <w:vAlign w:val="center"/>
          </w:tcPr>
          <w:p>
            <w:pPr>
              <w:pStyle w:val="TableContents"/>
              <w:bidi w:val="0"/>
              <w:spacing w:before="0" w:after="283"/>
              <w:jc w:val="left"/>
              <w:rPr/>
            </w:pPr>
            <w:r>
              <w:rPr/>
              <w:t>Susan Shinoff</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980" w:type="dxa"/>
            <w:tcBorders/>
            <w:vAlign w:val="center"/>
          </w:tcPr>
          <w:p>
            <w:pPr>
              <w:pStyle w:val="TableContents"/>
              <w:bidi w:val="0"/>
              <w:spacing w:before="0" w:after="283"/>
              <w:jc w:val="left"/>
              <w:rPr/>
            </w:pPr>
            <w:r>
              <w:rPr/>
              <w:t>General Counsel and Corporate Secretary</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tm249250d1_ex10-1.htm"/>
      <w:bookmarkStart w:id="27" w:name="kstm249250d1_ex101"/>
      <w:bookmarkEnd w:id="26"/>
      <w:bookmarkEnd w:id="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SENIOR SECURED PROMISSORY NOTE</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
        <w:gridCol w:w="1580"/>
        <w:gridCol w:w="60"/>
        <w:gridCol w:w="60"/>
        <w:gridCol w:w="60"/>
        <w:gridCol w:w="165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$4,000,000.00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20"/>
              </w:rPr>
              <w:t>March 21,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the undersigned, </w:t>
      </w:r>
      <w:r>
        <w:rPr>
          <w:rFonts w:ascii="Times New Roman;Times;Serif" w:hAnsi="Times New Roman;Times;Serif"/>
          <w:b/>
          <w:i w:val="false"/>
          <w:caps w:val="false"/>
          <w:smallCaps w:val="false"/>
          <w:sz w:val="20"/>
        </w:rPr>
        <w:t>PRESTO AUTOMATION INC.</w:t>
      </w:r>
      <w:r>
        <w:rPr>
          <w:rFonts w:ascii="Times New Roman;Times;Serif" w:hAnsi="Times New Roman;Times;Serif"/>
          <w:b w:val="false"/>
          <w:i w:val="false"/>
          <w:caps w:val="false"/>
          <w:smallCaps w:val="false"/>
          <w:sz w:val="20"/>
        </w:rPr>
        <w:t xml:space="preserve">, a Delaware corporation and </w:t>
      </w:r>
      <w:r>
        <w:rPr>
          <w:rFonts w:ascii="Times New Roman;Times;Serif" w:hAnsi="Times New Roman;Times;Serif"/>
          <w:b/>
          <w:i w:val="false"/>
          <w:caps w:val="false"/>
          <w:smallCaps w:val="false"/>
          <w:sz w:val="20"/>
        </w:rPr>
        <w:t>PRESTO AUTOMATION LLC</w:t>
      </w:r>
      <w:r>
        <w:rPr>
          <w:rFonts w:ascii="Times New Roman;Times;Serif" w:hAnsi="Times New Roman;Times;Serif"/>
          <w:b w:val="false"/>
          <w:i w:val="false"/>
          <w:caps w:val="false"/>
          <w:smallCaps w:val="false"/>
          <w:sz w:val="20"/>
        </w:rPr>
        <w:t xml:space="preserve">, a Delaware limited liability company (collectively, “Maker”), promises to pay to the order of </w:t>
      </w:r>
      <w:r>
        <w:rPr>
          <w:rFonts w:ascii="Times New Roman;Times;Serif" w:hAnsi="Times New Roman;Times;Serif"/>
          <w:b/>
          <w:i w:val="false"/>
          <w:caps w:val="false"/>
          <w:smallCaps w:val="false"/>
          <w:sz w:val="20"/>
        </w:rPr>
        <w:t xml:space="preserve">PRESTO CA LLC, </w:t>
      </w:r>
      <w:r>
        <w:rPr>
          <w:rFonts w:ascii="Times New Roman;Times;Serif" w:hAnsi="Times New Roman;Times;Serif"/>
          <w:b w:val="false"/>
          <w:i w:val="false"/>
          <w:caps w:val="false"/>
          <w:smallCaps w:val="false"/>
          <w:sz w:val="20"/>
        </w:rPr>
        <w:t>a Delaware limited liability company (“Lender”), the principal sum of up to Four Million Dollars ($4,000,000.00), together with interest thereon,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tab/>
        <w:t>     </w:t>
      </w:r>
      <w:r>
        <w:rPr>
          <w:rFonts w:ascii="Times New Roman;Times;Serif" w:hAnsi="Times New Roman;Times;Serif"/>
          <w:b w:val="false"/>
          <w:i w:val="false"/>
          <w:caps w:val="false"/>
          <w:smallCaps w:val="false"/>
          <w:sz w:val="20"/>
          <w:u w:val="single"/>
        </w:rPr>
        <w:t>Loans; Conditions Precedent</w:t>
      </w:r>
      <w:r>
        <w:rPr>
          <w:rFonts w:ascii="Times New Roman;Times;Serif" w:hAnsi="Times New Roman;Times;Serif"/>
          <w:b w:val="false"/>
          <w:i w:val="false"/>
          <w:caps w:val="false"/>
          <w:smallCaps w:val="false"/>
          <w:sz w:val="20"/>
        </w:rPr>
        <w:t>.</w:t>
        <w:tab/>
        <w:t>     (a) On the terms and conditions set forth herein, the Lender agrees to make two loans (each a “Loan” and collectively the “Loans”) to Maker in accordance with the terms hereof. The first Loan hereunder (the “First Loan”) shall be in the amount of Two Million Dollars ($2,000,000.00) and shall be made by Lender to Maker on March 21, 2024, and the second Loan hereunder (the “Second Loan”) shall be in the amount of Two Million Dollars ($2,000,000) and shall be made by Lender to Maker on March 30, 2024. This Senior Secured Promissory Note (this “Note”) evidences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obligation of Lender to make the First Loan is subject to the fulfillment on or before the making of such First Loan of each of the following conditions, unless otherwise waived: (1) that certain Seventh Amendment to Credit Agreement and Acknowledgment, dated as of March 21, 2024 (the “Amendment”), by and among Presto Automation LLC, Presto Automation Inc. and Metropolitan Partners Group Administration LLC, as Agent, shall have been executed and delivered by each of the parties thereto in accordance with its terms and remain in full force and effect; (2) the Security Agreement (as defined below in Section 6) shall have been executed by Lender and Maker and remain in full force and effect; (3) the Intercreditor Agreement (as defined below in Section 7(a)) shall have been executed and delivered by Lender and Metropolitan Partners Group Administration LLC in accordance with its terms and remain in full force and effect); (4) each of the representations and warranties made herein or in the Security Agreement by the Maker shall be true and correct; and (5) there shall not have occurred, or the Lender shall not have become first aware, since the execution of this Note, of any event or circumstance that has had, or would be reasonably expected to have, individually or in the aggregate, a Material Adverse Effect, as defined in the Credit Agreement (as defined by and in effect on the effective date of the Amendment);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price per share of the common stock of Presto Automation Inc. (the “Common Stock”) and its continued listing on The Nasdaq Stock Market shall in no event constitute a Material Adverse Effect. The obligation of Lender to make the Second Loan is subject to the fulfillment on or before the making of such Second Loan of each of the following conditions, unless otherwise waived: (1) the Amendment shall remain in full force and effect and Maker shall be in full compliance therewith; (2) the Security Agreement shall remain in full force and effect and Maker shall be in full compliance therewith; (3) the Intercreditor Agreement shall remain in full force and effect and Maker shall be in full compliance therewith; (4) each of the representations and warranties made herein or in the Security Agreement by the Maker shall be true and correct; and (5) there shall not have occurred, or the Lender shall not have become first aware, since the making of the First Loan, of any event or circumstance that has had, or could be reasonably expected to have, individually or in the aggregate, a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price per share of the Common Stock and its continued listing on The Nasdaq Stock Market shall in no event constitute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The Loans shall be repaid no later than May 15, 2024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Computation of Interest; Payment of Interest</w:t>
      </w:r>
      <w:r>
        <w:rPr>
          <w:rFonts w:ascii="Times New Roman;Times;Serif" w:hAnsi="Times New Roman;Times;Serif"/>
          <w:b w:val="false"/>
          <w:i w:val="false"/>
          <w:caps w:val="false"/>
          <w:smallCaps w:val="false"/>
          <w:sz w:val="20"/>
        </w:rPr>
        <w:t>. Except as hereinafter provided, the outstanding principal balance of this Note shall bear interest from the date hereof until paid at an annual rate of twelve percent (12%). Interest shall be computed on the basis of the actual number of days elapsed. On the Maturity Date, the Maker shall pay the interest then due by adding such outstanding interest to the aggregate principal amount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Schedule of Payments</w:t>
      </w:r>
      <w:r>
        <w:rPr>
          <w:rFonts w:ascii="Times New Roman;Times;Serif" w:hAnsi="Times New Roman;Times;Serif"/>
          <w:b w:val="false"/>
          <w:i w:val="false"/>
          <w:caps w:val="false"/>
          <w:smallCaps w:val="false"/>
          <w:sz w:val="20"/>
        </w:rPr>
        <w:t>. All payments of principal and interest in respect of this Note shall be paid in kind, and not in cash (such amounts, the “PIK Amounts”). The PIK Amounts shall be compounded by capitalizing the amount of such PIK Amounts and adding the same to the principal balance of the applicable Loan on the last day of each month, after which such PIK Amounts shall accrue interest at the interest rate set forth in Section 3 and otherwise constitute principal under the applicable Loan for all purposes (including, without limitation, for purposes of calculating interest on the principal amount thereof). For avoidance of doubt, all accrued and unpaid PIK Amounts, together with all other amounts owed by Maker to Lender hereunder, shall be payable by Maker of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This Note may be prepaid without the written consent of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Security Interest</w:t>
      </w:r>
      <w:r>
        <w:rPr>
          <w:rFonts w:ascii="Times New Roman;Times;Serif" w:hAnsi="Times New Roman;Times;Serif"/>
          <w:b w:val="false"/>
          <w:i w:val="false"/>
          <w:caps w:val="false"/>
          <w:smallCaps w:val="false"/>
          <w:sz w:val="20"/>
        </w:rPr>
        <w:t>. This Note is secured by that certain Security Agreement, dated as of the date hereof, by and between Lender and Maker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The occurrence of any of the following events shall constitute an event of default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Maker shall fail to pay any principal or interest on this Note or the Subordinated Debt (as defined in that certain Subordination Agreement, dated as of the date hereof, (the “Intercreditor Agreement”), among the Maker, the Lender, Metropolitan Partners Group Administration, LLC and the Subordinated Creditors (as defined therein) party thereto) when due whether at maturity, by acceleration, by notice of prepayment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event of default shall occur under the Subordinated Debt Documents (as defined in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default or breach of any of Maker’s covenants or obligations under the Security Agreement that is not cured within thirty (30) days after written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representation or warranty in the Security Agreement shall be or become incorrect or misleading in any material respect, and same is not cured within thirty (30) days after written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event of default occurs under any other Loan Document (as defined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Subject to the terms of the Intercreditor Agreement, notwithstanding any provision hereof, upon the occurrence of an Event of Default (unless each such Event of Default has been cured or waived by Lender), Lender shall have the option to (a) by written notice to Maker, declare the entire unpaid principal balance and all accrued and unpaid interest thereon immediately due and payable; and (b) exercise any and all rights and remedies available to it under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Transfer of Note</w:t>
      </w:r>
      <w:r>
        <w:rPr>
          <w:rFonts w:ascii="Times New Roman;Times;Serif" w:hAnsi="Times New Roman;Times;Serif"/>
          <w:b w:val="false"/>
          <w:i w:val="false"/>
          <w:caps w:val="false"/>
          <w:smallCaps w:val="false"/>
          <w:sz w:val="20"/>
        </w:rPr>
        <w:t>. This Note and the right to payment hereunder may be offered, sold, transferred, gifted or otherwise conveyed by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After all principal and accrued interest at any time owed on this Note has been paid in full, this Note shall be surrendered to Maker for cancellation and shall not be reissued.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Lender from bringing suit or taking other legal action against the Maker in any other jurisdiction to collect on the Maker’s obligations to the Lender, to realize on any collateral or any other security for such obligations, or to enforce a judgment or other court ruling in favor of the Lender. MAKER HEREBY IRREVOCABLY WAIVES ANY RIGHT IT MAY HAVE TO, AND AGREES NOT TO REQUEST, A JURY TRIAL FOR THE ADJUDICATION OF ANY DISPUTE HEREUNDER OR IN CONNECTION WITH OR ARISING OUT OF THIS NOTE OR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there is any provision of this Note or the application thereof to any party or circumstance, which shall be prohibited by, or invalid under applicable law, such provision shall be ineffective to the minimal extent of such prohibition or invalidity without invalidating the remainder of such provision or the remaining provisions of this Note, or the application of such provisions to other parties or circumstances. If at any time the rate of interest provided for herein shall exceed the maximum permitted by law, the rate of interest provided for herein shall be deemed to be the maximum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consents or other communications required or permitted to be sent or given hereunder to Maker shall in every case be in writing and shall be deemed properly served if (a) delivered personally, (b) delivered by a recognized overnight courier service, or (c) sent by facsimile transmission for which automatic confirmation has been received to the parties at the addresses as set forth below or at such other addresses as may be furnished in writing. Such notices, demands and other communications shall be sent to the addresses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 Department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 Industrial Road, Suite 205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Carlos, CA 94070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accounting@presto.com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 Department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 Industrial Road, Suite 205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Carlos, CA 94070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accounting@presto.com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be deemed not to be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Hastings LLP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Park Avenue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10166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Colin Diamond and Alex Cota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colindiamond@paulhastings.com and alexcota@paulhastings.com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Lender:</w:t>
      </w:r>
    </w:p>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1970"/>
      </w:tblGrid>
      <w:tr>
        <w:trPr/>
        <w:tc>
          <w:tcPr>
            <w:tcW w:w="19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CA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N. Canal Street</w:t>
              <w:br/>
              <w:t>Chicago, IL 60606</w:t>
              <w:br/>
              <w:t>Attn: Legal Department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40" w:type="dxa"/>
        <w:jc w:val="left"/>
        <w:tblInd w:w="0" w:type="dxa"/>
        <w:tblLayout w:type="fixed"/>
        <w:tblCellMar>
          <w:top w:w="0" w:type="dxa"/>
          <w:left w:w="0" w:type="dxa"/>
          <w:bottom w:w="0" w:type="dxa"/>
          <w:right w:w="0" w:type="dxa"/>
        </w:tblCellMar>
      </w:tblPr>
      <w:tblGrid>
        <w:gridCol w:w="4640"/>
      </w:tblGrid>
      <w:tr>
        <w:trPr/>
        <w:tc>
          <w:tcPr>
            <w:tcW w:w="46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be deemed not to be notice):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Riley Safer Holmes &amp; Cancila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 W. Madison Street, Suite 2900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LaVon M. Johns, Esq.</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service of such notice shall be (w) the date such notice is personally delivered, (x) one Business Day after date of delivery to the overnight courier if sent by overnight courier or (y) the next succeeding Business Day after transmission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Headings and Pronouns; Terms</w:t>
      </w:r>
      <w:r>
        <w:rPr>
          <w:rFonts w:ascii="Times New Roman;Times;Serif" w:hAnsi="Times New Roman;Times;Serif"/>
          <w:b w:val="false"/>
          <w:i w:val="false"/>
          <w:caps w:val="false"/>
          <w:smallCaps w:val="false"/>
          <w:sz w:val="20"/>
        </w:rPr>
        <w:t>. The headings, titles and subtitles herein are inserted for convenience of reference only and are to be ignored in any construction of the provisions hereof. As used herein, all pronouns shall include the masculine, feminine, neuter, singular and plural thereof wherever the context and facts require such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Maker hereby waives presentment, demand and protest and notice of presentment, protest, default, non-payment, maturity, release, compromise, settlement, extension or renewal of this Note, and hereby ratifies and confirms whatever Lender may do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Intercreditor Agreement Controls</w:t>
      </w:r>
      <w:r>
        <w:rPr>
          <w:rFonts w:ascii="Times New Roman;Times;Serif" w:hAnsi="Times New Roman;Times;Serif"/>
          <w:b w:val="false"/>
          <w:i w:val="false"/>
          <w:caps w:val="false"/>
          <w:smallCaps w:val="false"/>
          <w:sz w:val="20"/>
        </w:rPr>
        <w:t>. Notwithstanding anything herein to the contrary, the terms of this Note are subject to the provisions of the Intercreditor Agreement. In the event of any conflict between the terms of the Intercreditor Agreement and this Note, the terms of the Intercreditor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[remainder of page intentionally left blank;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signature page follows]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Maker has executed and delivered this Note as of the day and year first above written.</w:t>
      </w:r>
    </w:p>
    <w:tbl>
      <w:tblPr>
        <w:tblW w:w="2584" w:type="dxa"/>
        <w:jc w:val="left"/>
        <w:tblInd w:w="0" w:type="dxa"/>
        <w:tblLayout w:type="fixed"/>
        <w:tblCellMar>
          <w:top w:w="0" w:type="dxa"/>
          <w:left w:w="0" w:type="dxa"/>
          <w:bottom w:w="0" w:type="dxa"/>
          <w:right w:w="0" w:type="dxa"/>
        </w:tblCellMar>
      </w:tblPr>
      <w:tblGrid>
        <w:gridCol w:w="75"/>
        <w:gridCol w:w="372"/>
        <w:gridCol w:w="2137"/>
      </w:tblGrid>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5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MAKER</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3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 </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Guillaume Lefevre </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Chief Executive Officer</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LLC</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3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Guillaume Lefevre </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8" w:name="tm249250d1_ex10-2.htm"/>
      <w:bookmarkStart w:id="29" w:name="kstm249250d1_ex102"/>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xml:space="preserve">”), dated as of March 21, 2024, is made by and between </w:t>
      </w:r>
      <w:r>
        <w:rPr>
          <w:rFonts w:ascii="Times New Roman;Times;Serif" w:hAnsi="Times New Roman;Times;Serif"/>
          <w:b/>
          <w:i w:val="false"/>
          <w:caps w:val="false"/>
          <w:smallCaps w:val="false"/>
          <w:sz w:val="20"/>
        </w:rPr>
        <w:t>PRESTO AUTOMATION INC.</w:t>
      </w:r>
      <w:r>
        <w:rPr>
          <w:rFonts w:ascii="Times New Roman;Times;Serif" w:hAnsi="Times New Roman;Times;Serif"/>
          <w:b w:val="false"/>
          <w:i w:val="false"/>
          <w:caps w:val="false"/>
          <w:smallCaps w:val="false"/>
          <w:sz w:val="20"/>
        </w:rPr>
        <w:t xml:space="preserve">, a Delaware corporation and </w:t>
      </w:r>
      <w:r>
        <w:rPr>
          <w:rFonts w:ascii="Times New Roman;Times;Serif" w:hAnsi="Times New Roman;Times;Serif"/>
          <w:b/>
          <w:i w:val="false"/>
          <w:caps/>
          <w:sz w:val="20"/>
        </w:rPr>
        <w:t>Presto Automation LLC,</w:t>
      </w:r>
      <w:r>
        <w:rPr>
          <w:rFonts w:ascii="Times New Roman;Times;Serif" w:hAnsi="Times New Roman;Times;Serif"/>
          <w:b w:val="false"/>
          <w:i w:val="false"/>
          <w:caps w:val="false"/>
          <w:smallCaps w:val="false"/>
          <w:sz w:val="20"/>
        </w:rPr>
        <w:t xml:space="preserve"> a Delaware limited liability company (together, the, “</w:t>
      </w:r>
      <w:r>
        <w:rPr>
          <w:rFonts w:ascii="Times New Roman;Times;Serif" w:hAnsi="Times New Roman;Times;Serif"/>
          <w:b/>
          <w:i w:val="false"/>
          <w:caps w:val="false"/>
          <w:smallCaps w:val="false"/>
          <w:sz w:val="20"/>
          <w:u w:val="single"/>
        </w:rPr>
        <w:t>Borrower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PRESTO CA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u w:val="single"/>
        </w:rPr>
        <w:t>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is made to that certain Senior Secured Promissory Note, dated as of the date hereof (as the same has been or may be amended, restated, replaced, renewed, supplemented, refinanced, extended or otherwise modified or restated from time to time, the “</w:t>
      </w:r>
      <w:r>
        <w:rPr>
          <w:rFonts w:ascii="Times New Roman;Times;Serif" w:hAnsi="Times New Roman;Times;Serif"/>
          <w:b/>
          <w:i w:val="false"/>
          <w:caps w:val="false"/>
          <w:smallCaps w:val="false"/>
          <w:sz w:val="20"/>
          <w:u w:val="single"/>
        </w:rPr>
        <w:t>Note</w:t>
      </w:r>
      <w:r>
        <w:rPr>
          <w:rFonts w:ascii="Times New Roman;Times;Serif" w:hAnsi="Times New Roman;Times;Serif"/>
          <w:b w:val="false"/>
          <w:i w:val="false"/>
          <w:caps w:val="false"/>
          <w:smallCaps w:val="false"/>
          <w:sz w:val="20"/>
        </w:rPr>
        <w:t>”), among the Borrower and certain of Borrower’s affiliates. Borrower desires to borrow funds and obtain other financial accommodations from Lender subject to the terms and conditions set forth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a condition to Lender's loaning funds or providing other financial accommodations to Borrower, Lender requires that Borrower enter into this Agreement in order to secure the obligations and performance of Borrower under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and agreements set forth herein, Borrower and Lender hereby agree as written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Section 1.</w:t>
      </w:r>
      <w:r>
        <w:rPr>
          <w:rFonts w:ascii="Times New Roman;Times;Serif" w:hAnsi="Times New Roman;Times;Serif"/>
          <w:b/>
          <w:i w:val="false"/>
          <w:caps w:val="false"/>
          <w:smallCaps w:val="false"/>
          <w:sz w:val="20"/>
        </w:rPr>
        <w:tab/>
        <w:t>     </w:t>
      </w:r>
      <w:r>
        <w:rPr>
          <w:rFonts w:ascii="Times New Roman;Times;Serif" w:hAnsi="Times New Roman;Times;Serif"/>
          <w:b/>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For the purposes of this Agreement, the following capitalized words and phrases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Lender shall mean (a) any entity which, directly or indirectly, controls or is controlled by or is under common control with Lender, and (b) any entity administered or managed by Lender, or an Affiliate or investment advisor thereof and which is engaged in making, purchasing, holding or otherwise investing in commercial loans. An entity shall be deemed to be “controlled by” another entity if such other entity possesses, directly or indirectly, power to direct or cause the direction of the management and policies of such entity whether by contract, ownership of voting securities, membership interests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shall mean the United States Bankruptcy Code, as now existing or hereafter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Blocked Person</w:t>
      </w:r>
      <w:r>
        <w:rPr>
          <w:rFonts w:ascii="Times New Roman;Times;Serif" w:hAnsi="Times New Roman;Times;Serif"/>
          <w:b w:val="false"/>
          <w:i w:val="false"/>
          <w:caps w:val="false"/>
          <w:smallCaps w:val="false"/>
          <w:sz w:val="20"/>
        </w:rPr>
        <w:t>” shall mean any Person that is (i) designated by the U.S. government on the list of the Specially Designated Nationals or Blocked Persons or with which a U.S. Person cannot deal with or otherwise engage in business transactions, (ii) the subject and/or target of any sanctions administered or enforced by the U.S. Department of the Treasury’s Office of Foreign Assets Control, the U.S. Department of State, the United Nations Security Council, the European Union, Her Majesty’s Treasury, or other relevant sanctions authority (collectively, “</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or (iii) located, organized or resident in a country or territory that is, or whose government is, the subject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a Saturday, Sunday or a legal holiday on which banks are authorized or required to be closed for the conduct of commercial banking business in Chicago, Illinois or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Lease</w:t>
      </w:r>
      <w:r>
        <w:rPr>
          <w:rFonts w:ascii="Times New Roman;Times;Serif" w:hAnsi="Times New Roman;Times;Serif"/>
          <w:b w:val="false"/>
          <w:i w:val="false"/>
          <w:caps w:val="false"/>
          <w:smallCaps w:val="false"/>
          <w:sz w:val="20"/>
        </w:rPr>
        <w:t>” shall mean, as to any Person, a lease of any interest in any kind of property or asset, whether real, personal or mixed, or tangible or intangible, by such Person, as lessee, that is, or should be, in accordance with Financial Accounting Standards Board Statement No. 13, as amended from time to time, or, if such statement is not then in effect, such statement of GAAP as may be applicable, recorded as a “capital lease” on the financial statements of such Person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Securities</w:t>
      </w:r>
      <w:r>
        <w:rPr>
          <w:rFonts w:ascii="Times New Roman;Times;Serif" w:hAnsi="Times New Roman;Times;Serif"/>
          <w:b w:val="false"/>
          <w:i w:val="false"/>
          <w:caps w:val="false"/>
          <w:smallCaps w:val="false"/>
          <w:sz w:val="20"/>
        </w:rPr>
        <w:t>” shall mean, with respect to any Person, all shares, interests, participations or other equivalents (however designated, whether voting or non-voting) of such Person's capital, whether now outstanding or issued or acquired, after the date hereof, including common shares, preferred shares, membership interests in a limited liability company, limited or general partnership interests in a partnership or any other equivalent of such ownership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Capitalized Lease Obligations</w:t>
      </w:r>
      <w:r>
        <w:rPr>
          <w:rFonts w:ascii="Times New Roman;Times;Serif" w:hAnsi="Times New Roman;Times;Serif"/>
          <w:b w:val="false"/>
          <w:i w:val="false"/>
          <w:caps w:val="false"/>
          <w:smallCaps w:val="false"/>
          <w:sz w:val="20"/>
        </w:rPr>
        <w:t>” shall mean, as to any Person, all rental obligations of such Person, as lessee under a Capital Lease which are or will be required to be capitalized on the books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shall have the meaning set forth in Section 2.1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Access Agreement</w:t>
      </w:r>
      <w:r>
        <w:rPr>
          <w:rFonts w:ascii="Times New Roman;Times;Serif" w:hAnsi="Times New Roman;Times;Serif"/>
          <w:b w:val="false"/>
          <w:i w:val="false"/>
          <w:caps w:val="false"/>
          <w:smallCaps w:val="false"/>
          <w:sz w:val="20"/>
        </w:rPr>
        <w:t>” shall mean an agreement in form and substance reasonably satisfactory to Lender pursuant to which a mortgagee or lessor of real property on which Collateral is stored or otherwise located, or a warehouseman, processor or other bailee of Inventory or other property owned by Borrower of any Subsidiary, acknowledges the Liens of Lender and waives any Liens held by such Person on such property, and, in the case of any such agreement with a mortgagee or lessor, permits Lender reasonable access to and use of such real property following the occurrence ·and during the continuance of an Event of Default to assemble, complete and sell any collateral stored or otherwise located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shall mean a per annum rate of interest equal to the Note Rate plus five percent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shall mean the Employee Retirement Income Security Act of 1974,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have the meaning set forth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Property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property to the extent that such a grant of a security interest is prohibited by any applicable law, requires a consent not obtained from any governmental authority pursuant to any applicable law or is prohibited by, or constitutes a breach or default under or results in the termination of or requires any consent not obtained under, any contract, license, agreement, instrument or other document evidencing or giving rise to such property or, in the case of any Investment Property or Instruments, any applicable shareholder or similar agreement, except to the extent that such applicable law or the term in such contract, license, agreement, instrument or other document or shareholder or similar agreement providing for such prohibition, breach, default or termination or requiring such consent is ineffective under applicable law (including, without limitation, Sections 9-406, 9- 407, 9-408 or 9-409 of the UCC (or any successor provision or provisions) of any relevant jurisdiction or any other applicable law or principles of equity); provided, that for purposes of the foregoing, it is understood and agreed that Borrower will use its reasonable efforts to obtain a consent if permissible by the applicable Requirement of Law or the applicable contract, license, agreement, instrument or other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assets that are subject to a Permitted Lien to the extent the agreements relating to such Permitted Lien do not permit such assets to be subject to the security interests created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Account, Instrument, Chattel Paper or other obligation or property of any kind due from, owed by, or belonging to, a Blocked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lease in which the lessee is a Blocked Person;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“intent to use” trademark applications for which a statement of use has not been filed (but only until such statement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 that Excluded Property shall not include any proceeds or products of any such property, asset, lease, license, contract or agreement, (ii) the foregoing shall cease to be treated as “Excluded Property” (and shall constitute Collateral) immediately and without further action by any party at such time as the applicable property no longer satisfies the conditions to be “Excluded Property,” and (iii) to the extent severable, such security interest shall attach immediately to any portion of any lease license, contract or agreement not subject to the prohibitions specified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shall mean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 provided, however, that interim financial statements or reports shall be deemed in compliance with GAAP despite the absence of footnotes and fiscal year-end adjustments as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Intercreditor Agreement</w:t>
      </w:r>
      <w:r>
        <w:rPr>
          <w:rFonts w:ascii="Times New Roman;Times;Serif" w:hAnsi="Times New Roman;Times;Serif"/>
          <w:b w:val="false"/>
          <w:i w:val="false"/>
          <w:caps w:val="false"/>
          <w:smallCaps w:val="false"/>
          <w:sz w:val="20"/>
        </w:rPr>
        <w:t>” means that certain Subordination Agreement, dated as of the Seventh Amendment Effective Date, among the Borrower, Agent, Presto CA LLC, and the Subordinated Creditors (as defined therein)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Credit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Letters of Credit</w:t>
      </w:r>
      <w:r>
        <w:rPr>
          <w:rFonts w:ascii="Times New Roman;Times;Serif" w:hAnsi="Times New Roman;Times;Serif"/>
          <w:b w:val="false"/>
          <w:i w:val="false"/>
          <w:caps w:val="false"/>
          <w:smallCaps w:val="false"/>
          <w:sz w:val="20"/>
        </w:rPr>
        <w:t>” shall mean, respectively, a letter of credit and all such letters of credit issued by Lender, in its sole discretion, for the account of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shall mean, with respect to any Person, any interest granted by such Person in any real or personal property, asset or other right owned or being purchased or acquired by such Person (including an interest in respect of a Capital Lease) which secures payment or performance of any obligation and shall include any mortgage, lien, encumbrance, title retention lien, charge or other security interest of any kind, whether arising by contract, as a matter of law, by judicial process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shall mean each of the agreements, documents, instruments and certificates from time to time executed and delivered by an Obligor or any of its Subsidiaries for the benefit of Lender in connection with the Obligations (including, without limitation, the Note), and all amendments, restatements, supplements and other modifications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Materially Adverse Effect</w:t>
      </w:r>
      <w:r>
        <w:rPr>
          <w:rFonts w:ascii="Times New Roman;Times;Serif" w:hAnsi="Times New Roman;Times;Serif"/>
          <w:b w:val="false"/>
          <w:i w:val="false"/>
          <w:caps w:val="false"/>
          <w:smallCaps w:val="false"/>
          <w:sz w:val="20"/>
        </w:rPr>
        <w:t>” shall mean (a) a material adverse change in, or a materially adverse effect upon, the assets, business, properties, prospects, condition (financial or otherwise) or results of operations of an Obligor taken as a whole, (b) a material impairment of the ability of an Obligor to perform any of the Obligations under any of the Loan Documents, or (c) a materially adverse effect on (i) any substantial portion of the Collateral, (ii) the legality, validity, binding effect or enforceability against an Obligor and its Subsidiaries of any of the Loan Documents, (iii) the perfection or priority of any Lien granted to Lender under .any Loan Document, or (iv) the rights or remedies of Lender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shall have the meaning set forth in the recitals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shall mean all loans, advances and other financial accommodations, all interest accrued thereon (including interest which would be payable as post petition in connection with any bankruptcy or similar proceeding, whether or not permitted as a claim thereunder), any fees due Lender under the Loan Documents, any expenses incurred by Lender under the Loan Documents and any and all other liabilities and obligations of an Obligor to Lender, including any reimbursement obligations of an Obligor in respect of Letters of Credit and surety bonds, all in each case howsoever created, arising or evidenced, whether direct or indirect, absolute or contingent, now or hereafter existing, or due or to become due, together with any and all renewals or extensions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shall mean Borrower, any Subsidiary, any guarantor, accommodation endorser, third party pledgor, or any other party liable with respect to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Identification Number</w:t>
      </w:r>
      <w:r>
        <w:rPr>
          <w:rFonts w:ascii="Times New Roman;Times;Serif" w:hAnsi="Times New Roman;Times;Serif"/>
          <w:b w:val="false"/>
          <w:i w:val="false"/>
          <w:caps w:val="false"/>
          <w:smallCaps w:val="false"/>
          <w:sz w:val="20"/>
        </w:rPr>
        <w:t>” means, with respect to Borrower, the organizational identification number assigned to Borrower by the applicable governmental unit or agency of the jurisdiction of organization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shall mean Liens for Taxes, assessments or other governmental charges not at the time delinquent or thereafter payable without penalty or being contested in good faith by appropriate proceedings and, in each case, for which it maintains adequate reserves in accordance with GAAP and in respect of which no Lien has been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shall mean any natural person, partnership, limited liability company, corporation, trust, joint venture, joint stock company, association, unincorporated organization, government or agency or political subdivision thereof, or other entity, whether acting in an individual, fiduciary or other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shall mean, respectively, with respect to any Person, each and all such corporations, partnerships, limited partnerships, limited liability companies, limited liability partnerships, joint ventures or other entities of which or in which such Person owns, directly or indirectly, such number of outstanding Capital Securities as have more than fifty percent (50.00%) of the ordinary voting power for the election of directors or other managers of such corporation, partnership, limited liability company or other entity. Unless the context otherwise requires, each reference to Subsidiaries herein shall be a reference to Subsidiaries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shall mean any and all present and future taxes, duties, levies, imposts, deductions, assessments, charges or withholdings, and any and all liabilities (including interest and penalties and other additions to taxes) with respect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shall mean the Uniform Commercial Code in effect in the state of New York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Other Terms Defined in UCC</w:t>
      </w:r>
      <w:r>
        <w:rPr>
          <w:rFonts w:ascii="Times New Roman;Times;Serif" w:hAnsi="Times New Roman;Times;Serif"/>
          <w:b w:val="false"/>
          <w:i w:val="false"/>
          <w:caps w:val="false"/>
          <w:smallCaps w:val="false"/>
          <w:sz w:val="20"/>
        </w:rPr>
        <w:t>. All other capitalized words and phrases used herein and not otherwise specifically defined herein shall have the respective meanings assigned to such terms in the UCC, to the extent the same are used or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Other Interpretive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meanings of defined terms are equally applicable to the singular and plural forms of the defined terms. Whenever the context so requires, the neuter gender includes the masculine and feminine, the single number includes the plural, and vice versa, and in particular the word “Borrower” shall be so construed.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and Schedule references are to this Agreement unless otherwise specified. The words “hereof”, “herein” and· “hereunder”: and words of similar import when used in this Agreement shall refer to this Agreement as a whole and not to any particular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“including” is not limiting, and means “including,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expressly provided herein, (i) references to agreements (including this Agreement and the other Loan Documents) and other contractual instruments shall be deemed to include all subsequent amendments, restatements, supplements and other modifications thereto, but only to the extent such amendments, restatements, supplements and other modifications are not prohibited by the terms of any Loan Document, and (ii) references to any statute or regulation shall be construed as including all statutory and regulatory provisions amending, replacing, supplementing or interpreting such statute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any of the provisions of the other Loan Documents are inconsistent with the terms of this Agreement, the provisions of this Agreement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Agreement and the other Loan Documents may use several different limitations, tests or measurements to regulate the same or similar matters. All such limitations, tests and measurements are cumulative and each shall be performed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Section 2.</w:t>
      </w:r>
      <w:r>
        <w:rPr>
          <w:rFonts w:ascii="Times New Roman;Times;Serif" w:hAnsi="Times New Roman;Times;Serif"/>
          <w:b/>
          <w:i w:val="false"/>
          <w:caps w:val="false"/>
          <w:smallCaps w:val="false"/>
          <w:sz w:val="20"/>
        </w:rPr>
        <w:tab/>
        <w:t>     </w:t>
      </w:r>
      <w:r>
        <w:rPr>
          <w:rFonts w:ascii="Times New Roman;Times;Serif" w:hAnsi="Times New Roman;Times;Serif"/>
          <w:b/>
          <w:i w:val="false"/>
          <w:caps w:val="false"/>
          <w:smallCaps w:val="false"/>
          <w:sz w:val="20"/>
          <w:u w:val="single"/>
        </w:rPr>
        <w:t>SECURITY FOR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Security for Obligations</w:t>
      </w:r>
      <w:r>
        <w:rPr>
          <w:rFonts w:ascii="Times New Roman;Times;Serif" w:hAnsi="Times New Roman;Times;Serif"/>
          <w:b w:val="false"/>
          <w:i w:val="false"/>
          <w:caps w:val="false"/>
          <w:smallCaps w:val="false"/>
          <w:sz w:val="20"/>
        </w:rPr>
        <w:t>. As security for the payment and performance of the Obligations, Borrower does hereby pledge, assign, transfer, deliver and grant to Lender, for its own benefit and as agent for its Affiliates, a continuing and unconditional first priority security interest in and to any and all property of Borrower, of any kind or description, tangible or intangible, wheresoever located and whether now existing or hereafter arising or acquired, including the following (all of which property, along with the products and proceeds therefrom, are individually and collectively referred to as the “</w:t>
      </w:r>
      <w:r>
        <w:rPr>
          <w:rFonts w:ascii="Times New Roman;Times;Serif" w:hAnsi="Times New Roman;Times;Serif"/>
          <w:b/>
          <w:i w:val="false"/>
          <w:caps w:val="false"/>
          <w:smallCaps w:val="false"/>
          <w:sz w:val="20"/>
          <w:u w:val="single"/>
        </w:rPr>
        <w:t>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property of, or for the account of, Borrower now or hereafter coming into the possession, control or custody of, or in transit to, Lender or any agent or bailee for Lender or any parent, affiliate or subsidiary of Lender or any participant with Lender in the .Obligations (whether for safekeeping, deposit, collection, custody, pledge, transmission or otherwise), including all earnings, dividends, interest, or other rights in connection therewith and the products and proceeds therefrom, including the proceeds of insurance thereon;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judgments which run to the benefit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additional property of Borrower, whether now existing or hereafter arising or acquired, and wherever now or hereafter located, together with all additions and accessions thereto, substitutions, betterments and replacements therefor, products and Proceeds therefrom, and all of Borrower's books and records and recorded data relating thereto (regardless of the medium of recording or storage), together with all of Borrower's right, title and interest in and to all computer software required to utilize, create, maintain and process any such records or data on electronic media, identified and set forth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Accounts and all Goods whose sale, lease or other disposition by Borrower has given rise to Accounts and have been returned to, or repossessed or stopped in transit by, Borrower, or rejected or refused by an Account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Inventory, including raw materials, work-in-process and finished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Goods (other than Inventory), including embedded software, Equipment, vehicles, furniture and Fixtures;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Software and computer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Securities, Investment Property, Financial Assets and Deposit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Chattel Paper, Electronic Chattel Paper, Instruments, Documents, Letter of Credit Rights, all proceeds of letters of credit, Health-Care Insurance Receivables, Supporting Obligations, notes secured by real estate, Commercial Tort Claims and General Intangibles, including Payment Intangibles;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Promissory Notes due and owing to Borrower, and the collateral therefore;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collateral, guarantees and all documents evidencing or securing the repayment of any of the foregoing;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All Proceeds (whether Cash Proceeds or Noncash Proceeds) of the foregoing property, including all insurance policies and proceeds of insurance payable by reason of loss or damage to the foregoing property, including unearned premiums, and of eminent domain or condemnation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notwithstanding the foregoing grant of a security interest, this Agreement shall not constitute a grant of a Lien upon or security interest in any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Possession and Transfer of Collateral</w:t>
      </w:r>
      <w:r>
        <w:rPr>
          <w:rFonts w:ascii="Times New Roman;Times;Serif" w:hAnsi="Times New Roman;Times;Serif"/>
          <w:b w:val="false"/>
          <w:i w:val="false"/>
          <w:caps w:val="false"/>
          <w:smallCaps w:val="false"/>
          <w:sz w:val="20"/>
        </w:rPr>
        <w:t>. Subject to the terms of the Intercreditor Agreement, until an Event of Default has occurred hereunder, Borrower shall be entitled to possession or use of the Collateral (other than Instruments or Documents, including Tangible Chattel Paper and Investment Property consisting of certificated securities) and other Collateral required to be delivered to Lender pursuant to this Section 2. The cancellation or surrender of any promissory note evidencing an Obligation, upon payment or otherwise, shall not affect the right of Lender to retain the Collateral for any other of the Obligations. Borrower shall not sell, assign (by operation of law or otherwise), license, lease or otherwise dispose of, or grant any option with respect to any of the Collateral, except that Borrower may sell Inventory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Financing Statements</w:t>
      </w:r>
      <w:r>
        <w:rPr>
          <w:rFonts w:ascii="Times New Roman;Times;Serif" w:hAnsi="Times New Roman;Times;Serif"/>
          <w:b w:val="false"/>
          <w:i w:val="false"/>
          <w:caps w:val="false"/>
          <w:smallCaps w:val="false"/>
          <w:sz w:val="20"/>
        </w:rPr>
        <w:t>. Borrower shall, at Lender's request, at any time and from time to time, execute and deliver to Lender such financing statements, amendments and other documents and do such acts as Lender deems necessary in order to establish and maintain valid, attached and perfected first priority security interests in the Collateral in favor of Lender, for its own benefit and as agent for its Affiliates, free and clear of all Liens and claims and rights of third parties whatsoever, except Permitted Liens. Borrower hereby irrevocably authorizes Lender at any time, and from time to time, to file in any jurisdiction any initial financing statements and amendments thereto without the signature of Borrower that (a) indicate the Collateral (i) is comprised of all assets of Borrower or words of similar effect, regardless of whether any particular asset comprising a part of the Collateral falls within the scope of Article 9 of the Uniform Commercial Code of the jurisdiction wherein such financing statement or amendment is filed, or (ii) as being of an equal or lesser scope or within greater detail as the grant of the security interest set forth herein, and (b) contain any other information required by Section 5 of Article 9 of the Uniform Commercial Code of the jurisdiction wherein such financing statement or amendment is filed regarding the sufficiency or filing office acceptance of any financing statement or amendment, including (i) whether Borrower is an organization, the type of organization and any Organizational Identification Number issued to Borrower, and (ii) in the case of a financing statement filed as a fixture filing or indicating Collateral as as-extracted collateral or timber to be cut, a sufficient description of the real property to which the Collateral relates. Borrower hereby agrees that a photogenic or other reproduction of this Agreement is sufficient for filing as a financing statement and Borrower authorizes Lender to file this Agreement as a financing statement in any jurisdiction. Borrower agrees to furnish any such information to Lender promptly upon request. Borrower further ratifies and affirms its authorization for any financing statements and/or amendments thereto, executed and filed by Lender in any jurisdiction prior to the date of this Agreement. In addition, Borrower shall make appropriate entries on its books and records disclosing the security interests of Lender, for its own benefit and as agent for its Affiliates, in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Preservation of Collateral</w:t>
      </w:r>
      <w:r>
        <w:rPr>
          <w:rFonts w:ascii="Times New Roman;Times;Serif" w:hAnsi="Times New Roman;Times;Serif"/>
          <w:b w:val="false"/>
          <w:i w:val="false"/>
          <w:caps w:val="false"/>
          <w:smallCaps w:val="false"/>
          <w:sz w:val="20"/>
        </w:rPr>
        <w:t>. Lender may, but is not required, to take such actions from time to time as Lender deems appropriate to maintain or protect the Collateral. Lender shall have exercised reasonable care in the custody and preservation of the Collateral if Lender takes such action as Borrower shall reasonably request in writing which is not inconsistent with Lender's status as a secured party, but the failure of Lender to comply with any such request shall not be deemed a failure to exercise reasonable care; provided, however, Lender's responsibility for the safekeeping of the Collateral shall (i) be deemed reasonable if such Collateral is accorded treatment substantially equal to that which Lender accords its own property, and (ii) not extend to matters beyond the control of Lender, including acts of God, war, insurrection, riot or governmental actions. In addition, any failure of Lender to preserve or protect any rights with respect to the Collateral against prior or third parties, or to do any act with respect to preservation of the Collateral, not so requested by Borrower, shall not be deemed a failure to exercise reasonable care in the custody or preservation of the Collateral. Borrower shall have the sole responsibility for taking such action as may be necessary, from time to time, to preserve all rights of Borrower and Lender in the Collateral against prior or third parties. Without limiting the generality of the foregoing, where Collateral consists in whole or in part of securities, Borrower represents to, and covenants with, Lender that Borrower has made arrangements for keeping informed of changes or potential changes affecting the securities (including rights to convert or subscribe, payment of dividends, reorganization or other exchanges, tender offers and voting rights), and Borrower agrees that Lender shall have no responsibility or liability for informing Borrower of any such or other changes or potential changes or for taking any action or omitting to take any action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Other Actions as to any and all Collateral</w:t>
      </w:r>
      <w:r>
        <w:rPr>
          <w:rFonts w:ascii="Times New Roman;Times;Serif" w:hAnsi="Times New Roman;Times;Serif"/>
          <w:b w:val="false"/>
          <w:i w:val="false"/>
          <w:caps w:val="false"/>
          <w:smallCaps w:val="false"/>
          <w:sz w:val="20"/>
        </w:rPr>
        <w:t>. Borrower further agrees to take any other action reasonably requested by Lender to ensure the attachment, perfection and first priority of, and the ability of Lender to enforce, the security interest of Lender, for its own benefit and as agent for its Affiliates, in any and all of the Collateral including (a) causing Lender's name to be noted as secured party on any certificate of title for a titled good if such notation is a condition to attachment, perfection or priority of, or ability of Lender to enforce, the security interest of Lender, for its own benefit and as agent for its Affiliates, in such Collateral, (b) complying with any provision of any statute, regulation or treaty of the United States as to any Collateral if compliance with such provision is a condition to attachment, perfection or priority of, or ability of Lender to enforce, the security interest of Lender, for its own benefit and as agent for its Affiliates, in such Collateral, (c) obtaining governmental and other third party consents and approvals, including any consent of any licensor, lessor or other Person obligated on Collateral, (d) obtaining waivers from mortgagees and landlords in form and substance satisfactory to Lender, and (e) taking all actions required by the UCC in effect from time to time or by other law, as applicable in any relevant UCC jurisdiction, or by other law as applicable in any foreign jurisdiction. Borrower further agrees to indemnify and hold Lender harmless against claims of any Persons not a party to this Agreement concerning disputes arising over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Collateral in the Possession of a Warehouseman or Bailee</w:t>
      </w:r>
      <w:r>
        <w:rPr>
          <w:rFonts w:ascii="Times New Roman;Times;Serif" w:hAnsi="Times New Roman;Times;Serif"/>
          <w:b w:val="false"/>
          <w:i w:val="false"/>
          <w:caps w:val="false"/>
          <w:smallCaps w:val="false"/>
          <w:sz w:val="20"/>
        </w:rPr>
        <w:t>. If any of the Collateral at any time is in the possession of a warehouseman or bailee, Borrower shall promptly notify Lender thereof, and shall promptly obtain a Collateral Access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Letter-of-Credit Rights</w:t>
      </w:r>
      <w:r>
        <w:rPr>
          <w:rFonts w:ascii="Times New Roman;Times;Serif" w:hAnsi="Times New Roman;Times;Serif"/>
          <w:b w:val="false"/>
          <w:i w:val="false"/>
          <w:caps w:val="false"/>
          <w:smallCaps w:val="false"/>
          <w:sz w:val="20"/>
        </w:rPr>
        <w:t>. If Borrower at any time is a beneficiary under a letter of credit now or hereafter issued in favor of Borrower, Borrower shall promptly notify Lender thereof and, at the request and option of Lender, Borrower shall, pursuant to an agreement in form and substance satisfactory to Lender, either (i) arrange for the issuer and any confirmer of such letter of credit to consent to an assignment to Lender, for its own benefit and as agent for its Affiliates, of the proceeds of any drawing under the letter of credit, or (ii) arrange for Lender, for its own benefit and as agent for its Affiliates, to become the transferee beneficiary of the letter of credit, with Lender agreeing, in each; case, that the proceeds of any drawing under the letter to credit are to be applied as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Commercial Tort Claims</w:t>
      </w:r>
      <w:r>
        <w:rPr>
          <w:rFonts w:ascii="Times New Roman;Times;Serif" w:hAnsi="Times New Roman;Times;Serif"/>
          <w:b w:val="false"/>
          <w:i w:val="false"/>
          <w:caps w:val="false"/>
          <w:smallCaps w:val="false"/>
          <w:sz w:val="20"/>
        </w:rPr>
        <w:t>. If Borrower shall at any time hold or acquire a Commercial Tort Claim, Borrower shall immediately notify Lender in writing signed by Borrower of the details thereof and grant to Lender, for its own benefit and as agent for its Affiliates, in such writing a security interest therein and in the proceeds thereof, all upon the terms of this Agreement, in each case in form and substance satisfactory to Lender, and shall execute any amendments hereto deemed reasonably necessary by Lender to perfect the security interest of Lender, for its own benefit and as agent for its Affiliates, in such Commercial Tort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Electronic Chattel Paper and Transferable Records</w:t>
      </w:r>
      <w:r>
        <w:rPr>
          <w:rFonts w:ascii="Times New Roman;Times;Serif" w:hAnsi="Times New Roman;Times;Serif"/>
          <w:b w:val="false"/>
          <w:i w:val="false"/>
          <w:caps w:val="false"/>
          <w:smallCaps w:val="false"/>
          <w:sz w:val="20"/>
        </w:rPr>
        <w:t>. If Borrower at any time holds or acquires an interest in any electronic chattel paper or any “transferable record”, as that term is defined in Section 201 of the federal Electronic Signatures in Global and National Commerce Act, or in Section 16 of the Uniform Electronic Transactions Act as in effect in any relevant jurisdiction, Borrower shall promptly notify Lender thereof and, at the request of Lender, shall take such action as Lender may reasonably request to vest in Lender control under Section 9-105 of the UCC of such electronic chattel paper or control under Section 201 of the federal Electronic Signatures in Global and National Commerce Act or, as the case may be, §16 of the Uniform Electronic Transactions Act, as so in effect in such jurisdiction, of such transferable record. Lender agrees with Borrower that Lender will arrange, pursuant to procedures satisfactory to Lender and so long as such procedures will not result in Lender's loss of control, for Borrower to make alterations to the electronic chattel paper or transferable record permitted under Section 9- 105 of the UCC or, as the case may be, Section 201 of the federal Electronic Signatures in Global and National Commerce Act or Section 16 of the Uniform Electronic Transactions Act for a party in control to make without loss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Section 3.</w:t>
      </w:r>
      <w:r>
        <w:rPr>
          <w:rFonts w:ascii="Times New Roman;Times;Serif" w:hAnsi="Times New Roman;Times;Serif"/>
          <w:b/>
          <w:i w:val="false"/>
          <w:caps w:val="false"/>
          <w:smallCaps w:val="false"/>
          <w:sz w:val="20"/>
        </w:rPr>
        <w:tab/>
        <w:t>     </w:t>
      </w:r>
      <w:r>
        <w:rPr>
          <w:rFonts w:ascii="Times New Roman;Times;Serif" w:hAnsi="Times New Roman;Times;Serif"/>
          <w:b/>
          <w:i w:val="false"/>
          <w:caps w:val="false"/>
          <w:smallCaps w:val="false"/>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makes the following representations and warranties to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Borrower Organization and Name</w:t>
      </w:r>
      <w:r>
        <w:rPr>
          <w:rFonts w:ascii="Times New Roman;Times;Serif" w:hAnsi="Times New Roman;Times;Serif"/>
          <w:b w:val="false"/>
          <w:i w:val="false"/>
          <w:caps w:val="false"/>
          <w:smallCaps w:val="false"/>
          <w:sz w:val="20"/>
        </w:rPr>
        <w:t>. Borrower is a corporation, duly organized, existing and in good standing under the laws of the State of Delaware with full and adequate power to carry on and conduct its business as presently conducted. Borrower is duly licensed or qualified in all foreign jurisdictions wherein the nature of its activities requires such qualification or licensing. The exact legal name of Borrower is as set forth in the first paragraph of this Agreement, and Borrower currently does not conduct, nor has it conducted, business under any other name or trade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Borrower has full right, power and authority to enter into this Agreement and to perform all of its duties and obligations under this Agreement. The execution and delivery of this Agreement and the other Loan Documents will not, nor will the observance or performance of any of the matters and things herein or therein set forth, violate or contravene any provision of law or of the articles/certificate of organization of Borrower. All necessary and appropriate action has been taken on the part of Borrower to authorize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Validity and Binding Nature</w:t>
      </w:r>
      <w:r>
        <w:rPr>
          <w:rFonts w:ascii="Times New Roman;Times;Serif" w:hAnsi="Times New Roman;Times;Serif"/>
          <w:b w:val="false"/>
          <w:i w:val="false"/>
          <w:caps w:val="false"/>
          <w:smallCaps w:val="false"/>
          <w:sz w:val="20"/>
        </w:rPr>
        <w:t>. This Agreement is the legal, valid and binding obligation of Borrower, enforceable against Borrower in accordance with its terms, subject to bankruptcy, insolvency and similar laws affecting the enforceability of creditors' rights generally and to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Consent; Absence of Breach</w:t>
      </w:r>
      <w:r>
        <w:rPr>
          <w:rFonts w:ascii="Times New Roman;Times;Serif" w:hAnsi="Times New Roman;Times;Serif"/>
          <w:b w:val="false"/>
          <w:i w:val="false"/>
          <w:caps w:val="false"/>
          <w:smallCaps w:val="false"/>
          <w:sz w:val="20"/>
        </w:rPr>
        <w:t>. The execution, delivery and performance of this Agreement and any other documents or instruments to be executed and delivered by Borrower in connection herewith, do not and will not (a) require any consent, approval, authorization, or· filings with, notice to or other act by or in respect of, any governmental authority or any other Person (other than any consent or approval which has been obtained and is in full force and effect); (b) conflict with (i) any provision of law or any applicable regulation, order, writ, injunction or decree of any court or governmental authority, (ii) the articles of incorporation of Borrower, or (iii) any material agreement, indenture, instrument or other document, or any judgment, order or decree, which is binding upon Borrower or any of its properties or assets, or (c) require, or result in, the creation or imposition of any Lien on any asset of Borrower, other than Liens in favor of Lender created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Ownership of Collateral; Liens</w:t>
      </w:r>
      <w:r>
        <w:rPr>
          <w:rFonts w:ascii="Times New Roman;Times;Serif" w:hAnsi="Times New Roman;Times;Serif"/>
          <w:b w:val="false"/>
          <w:i w:val="false"/>
          <w:caps w:val="false"/>
          <w:smallCaps w:val="false"/>
          <w:sz w:val="20"/>
        </w:rPr>
        <w:t>. Borrower is the sole owner of all of the Collateral, free and clear of all Liens, charges and claims (including infringement claims with respect to patents, trademarks, service marks, copyrights and the like),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Adverse Circumstances</w:t>
      </w:r>
      <w:r>
        <w:rPr>
          <w:rFonts w:ascii="Times New Roman;Times;Serif" w:hAnsi="Times New Roman;Times;Serif"/>
          <w:b w:val="false"/>
          <w:i w:val="false"/>
          <w:caps w:val="false"/>
          <w:smallCaps w:val="false"/>
          <w:sz w:val="20"/>
        </w:rPr>
        <w:t>. No condition, circumstance, event, agreement, document, instrument, restriction, litigation or proceeding (or threatened litigation or proceeding or basis therefor) exists which (a) would have a Materially Adverse Effect upon Borrower, or (b)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Security Interest</w:t>
      </w:r>
      <w:r>
        <w:rPr>
          <w:rFonts w:ascii="Times New Roman;Times;Serif" w:hAnsi="Times New Roman;Times;Serif"/>
          <w:b w:val="false"/>
          <w:i w:val="false"/>
          <w:caps w:val="false"/>
          <w:smallCaps w:val="false"/>
          <w:sz w:val="20"/>
        </w:rPr>
        <w:t>. This Agreement creates a valid security interest in favor of Lender in the Collateral and, when properly perfected by filing in the appropriate jurisdictions, or by possession or Control of such Collateral by Lender or delivery of such Collateral to Lender, shall constitute a valid, perfected, first-priority security interest in such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Place of Business</w:t>
      </w:r>
      <w:r>
        <w:rPr>
          <w:rFonts w:ascii="Times New Roman;Times;Serif" w:hAnsi="Times New Roman;Times;Serif"/>
          <w:b w:val="false"/>
          <w:i w:val="false"/>
          <w:caps w:val="false"/>
          <w:smallCaps w:val="false"/>
          <w:sz w:val="20"/>
        </w:rPr>
        <w:t>. The principal place of business and books and records of Borrower is set forth in Section 6.12, and, to the extent practical or not theretofore delivered to Lender, the Collateral is located at such principal place of business. Borrower shall promptly notify Lender of any change in such location. Borrower will not remove or permit the Collateral located thereon to be removed from such location without the prior written consent of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Complete Information</w:t>
      </w:r>
      <w:r>
        <w:rPr>
          <w:rFonts w:ascii="Times New Roman;Times;Serif" w:hAnsi="Times New Roman;Times;Serif"/>
          <w:b w:val="false"/>
          <w:i w:val="false"/>
          <w:caps w:val="false"/>
          <w:smallCaps w:val="false"/>
          <w:sz w:val="20"/>
        </w:rPr>
        <w:t>. This Agreement and all financial statements, schedules, certificates, confirmations, agreements, contracts, and other materials and information heretofore or contemporaneously herewith furnished in writing by Borrower to Lender for purposes of, or in connection with, this Agreement and the transactions contemplated hereby is, and all written information hereafter furnished by or on behalf of Borrower to Lender pursuant hereto or in connection herewith will be, true and accurate in every material respect on the date as of which such information is dated or certified, and none of such information is or will be incomplete by omitting to state any material fact necessary to make such information not misleading in light of the circumstances under which made (it being recognized by Lender that any projections and forecasts provided by Borrower are based on good faith estimates and assumptions believed by Borrower to be reasonable as of the date of the applicable projections or assumptions and that actual results during the period or periods covered by any such projections and forecasts may differ from projected or forecasted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Section 4.</w:t>
      </w:r>
      <w:r>
        <w:rPr>
          <w:rFonts w:ascii="Times New Roman;Times;Serif" w:hAnsi="Times New Roman;Times;Serif"/>
          <w:b/>
          <w:i w:val="false"/>
          <w:caps w:val="false"/>
          <w:smallCaps w:val="false"/>
          <w:sz w:val="20"/>
        </w:rPr>
        <w:tab/>
        <w:t>     </w:t>
      </w:r>
      <w:r>
        <w:rPr>
          <w:rFonts w:ascii="Times New Roman;Times;Serif" w:hAnsi="Times New Roman;Times;Serif"/>
          <w:b/>
          <w:i w:val="false"/>
          <w:caps w:val="false"/>
          <w:smallCaps w:val="false"/>
          <w:sz w:val="20"/>
          <w:u w:val="single"/>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Borrower Existence</w:t>
      </w:r>
      <w:r>
        <w:rPr>
          <w:rFonts w:ascii="Times New Roman;Times;Serif" w:hAnsi="Times New Roman;Times;Serif"/>
          <w:b w:val="false"/>
          <w:i w:val="false"/>
          <w:caps w:val="false"/>
          <w:smallCaps w:val="false"/>
          <w:sz w:val="20"/>
        </w:rPr>
        <w:t>. Borrower shall at all times preserve and maintain its (a) its existence and good standing in the jurisdiction of its organization, and (b) its qualification to do business and good standing in each jurisdiction where the nature of its business makes such qualification necessary (other than such jurisdictions in which the failure to be qualified or in good standing could not reasonably be expected to have a Materially Adverse Effect), and shall at all times continue as a going concern in the business which Borrower is presently conducting. If Borrower does not have an Organizational Identification Number and later obtains one, Borrower shall promptly notify Lender of such Organizational Identification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xml:space="preserve"> Borrower shall comply, and cause each Subsidiary to comply, in all respects, including the conduct of its business and operations and the use of the Collateral, with all applicable laws, rules, regulations, decrees, orders, judgments, licenses and permits, except where failure to comply could not reasonably be expected to have a Materially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Payment of Taxes and Liabilities</w:t>
      </w:r>
      <w:r>
        <w:rPr>
          <w:rFonts w:ascii="Times New Roman;Times;Serif" w:hAnsi="Times New Roman;Times;Serif"/>
          <w:b w:val="false"/>
          <w:i w:val="false"/>
          <w:caps w:val="false"/>
          <w:smallCaps w:val="false"/>
          <w:sz w:val="20"/>
        </w:rPr>
        <w:t>. Borrower shall pay, and cause each Subsidiary to pay, and discharge, prior to delinquency and before penalties accrue thereon, all property and other taxes, and all governmental charges or levies against it or any of the Collateral, as well as claims of any kind which, if unpaid, could become a Lien on any of its property; provided that the foregoing shall not require Borrower or any Subsidiary to pay any such tax or charge so long as it shall contest the validity thereof in good faith by appropriate proceedings and shall set aside on its books adequate reserves with respect thereto in accordance with GAAP and, in the case of a claim which could become a Lien on any of the Collateral, such contest proceedings stay the foreclosure of such Lien or the sale of any portion of the Collateral to satisfy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Maintain Property</w:t>
      </w:r>
      <w:r>
        <w:rPr>
          <w:rFonts w:ascii="Times New Roman;Times;Serif" w:hAnsi="Times New Roman;Times;Serif"/>
          <w:b w:val="false"/>
          <w:i w:val="false"/>
          <w:caps w:val="false"/>
          <w:smallCaps w:val="false"/>
          <w:sz w:val="20"/>
        </w:rPr>
        <w:t>. Borrower shall at all times maintain, preserve and keep the Collateral, in good repair, working order and condition, and shall from time to time make all needful and proper repairs, renewals, replacements, and additions thereto so that at all times the efficiency thereof shall be fully preserved and maintained. Borrower shall permit Lender to examine and inspect such Collateral, at all reasonable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Maintain Insurance</w:t>
      </w:r>
      <w:r>
        <w:rPr>
          <w:rFonts w:ascii="Times New Roman;Times;Serif" w:hAnsi="Times New Roman;Times;Serif"/>
          <w:b w:val="false"/>
          <w:i w:val="false"/>
          <w:caps w:val="false"/>
          <w:smallCaps w:val="false"/>
          <w:sz w:val="20"/>
        </w:rPr>
        <w:t>. Borrower shall at all times maintain, and cause each Subsidiary to maintain, insurance as required under the Loan Documents. In the event Borrower either fails to provide Lender with evidence of the insurance coverage required by this Section or at any time hereafter shall fail to obtain or maintain any of the policies of insurance required above, or to pay any premium in whole or in part relating thereto, then Lender, without waiving or releasing any obligation or default by Borrower hereunder, may at any time (but shall be under no obligation to so act), obtain and maintain such .policies of insurance and pay such premiums and take any other action with respect thereto, which Lender deems advisable. This insurance coverage (a) may, but need not, protect Borrower's interests in such property, including the Collateral, and (b) may not pay any claim made by; or against, Borrower in connection with such property, including the Collateral. Borrower may later cancel any such insurance purchased by Lender, but only after providing Lender with evidence that Borrower has obtained the insurance coverage required by this Section. If Lender purchases insurance for the Collateral, Borrower will be responsible for the costs of that insurance, including interest and any other charges that may be imposed with the placement of the insurance, until the effective date of the cancellation or expiration of the insurance. The costs of the insurance may be added to the principal amount of the Loans owing hereunder. The costs of the insurance may be more than the cost of the insurance Borrower may be able to obtain on its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Field Audits</w:t>
      </w:r>
      <w:r>
        <w:rPr>
          <w:rFonts w:ascii="Times New Roman;Times;Serif" w:hAnsi="Times New Roman;Times;Serif"/>
          <w:b w:val="false"/>
          <w:i w:val="false"/>
          <w:caps w:val="false"/>
          <w:smallCaps w:val="false"/>
          <w:sz w:val="20"/>
        </w:rPr>
        <w:t>. Borrower shall permit Lender to inspect the Collateral, to perform appraisals of thereof, and to inspect, audit, check and make copies of, and extracts from, the books, records, computer data, computer programs, journals, orders, receipts, correspondence and other data relating to the Collateral, not more than once per calendar year, except if an Event of Default has occurred, the results of which must be satisfactory to Lender in Lender's sole and absolute discretion. Provided that no Event of Default has occurred, all costs and expenses related to such inspections or audits shall be paid by Lender. If an Event of Default has occurred, all such inspections or audits by Lender shall be at Borrower's sole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Collateral Records</w:t>
      </w:r>
      <w:r>
        <w:rPr>
          <w:rFonts w:ascii="Times New Roman;Times;Serif" w:hAnsi="Times New Roman;Times;Serif"/>
          <w:b w:val="false"/>
          <w:i w:val="false"/>
          <w:caps w:val="false"/>
          <w:smallCaps w:val="false"/>
          <w:sz w:val="20"/>
        </w:rPr>
        <w:t>. Borrower shall keep full and accurate books and records relating to the Collateral and shall mark such books and records to indicate Lender's Lien in the Collateral including placing a legend, in form and content acceptable to Lender, on all Chattel Paper or Instruments owned or created by Borrower indicating that Lender has a Lien in such Chattel Paper or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Section 5.</w:t>
      </w:r>
      <w:r>
        <w:rPr>
          <w:rFonts w:ascii="Times New Roman;Times;Serif" w:hAnsi="Times New Roman;Times;Serif"/>
          <w:b/>
          <w:i w:val="false"/>
          <w:caps w:val="false"/>
          <w:smallCaps w:val="false"/>
          <w:sz w:val="20"/>
        </w:rPr>
        <w:tab/>
        <w:t>     </w:t>
      </w:r>
      <w:r>
        <w:rPr>
          <w:rFonts w:ascii="Times New Roman;Times;Serif" w:hAnsi="Times New Roman;Times;Serif"/>
          <w:b/>
          <w:i w:val="false"/>
          <w:caps w:val="false"/>
          <w:smallCaps w:val="false"/>
          <w:sz w:val="20"/>
          <w:u w:val="single"/>
        </w:rPr>
        <w:t>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and subject to the terms of the Intercreditor Agreement, Lender shall have all rights, powers and remedies set forth in this Agreement or the other Loan Documents or in any other written agreement or instrument relating to any of the Obligations or any security therefor, as a secured party under the UCC or as otherwise provided at law or in equity. Without limiting the generality of the foregoing, Lender may, at its option upon the occurrence of an Event of Default, but subject to the terms of the Intercreditor Agreement, declare its commitments to Borrower or Borrower to be terminated and all Obligations to be immediately due and payable, or, if provided in the Loan Documents, all commitments of Lender to Borrower or Borrower shall immediately terminate and all Obligations shall be automatically due and payable, all without demand, notice or further action of any kind required on the part of Lender. Borrower hereby waives any and all presentment, demand, notice of dishonor, protest, and all other notices and demands in connection with the enforcement of Lender's rights under the Loan Documents, and hereby consents to, and waives notice of release, with or without consideration, of any Collateral, notwithstanding anything contained herein or in the Loan Documents to the contrary. In addition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Possession and Assembly of Collateral</w:t>
      </w:r>
      <w:r>
        <w:rPr>
          <w:rFonts w:ascii="Times New Roman;Times;Serif" w:hAnsi="Times New Roman;Times;Serif"/>
          <w:b w:val="false"/>
          <w:i w:val="false"/>
          <w:caps w:val="false"/>
          <w:smallCaps w:val="false"/>
          <w:sz w:val="20"/>
        </w:rPr>
        <w:t>. Subject to the terms of the Intercreditor Agreement, Lender may, without notice, demand or legal process of any kind, take possession of any or all of the Collateral (in addition to Collateral of which Lender already has possession), wherever it may be found, and for that purpose may pursue the same wherever it may be found, and may at any time enter into any of Borrower's premises where any of the Collateral may be or is supposed to be, and search for, take possession of, remove, keep and store any of the Collateral until the same shall be sold or otherwise disposed of and Lender shall have the right to store and conduct a sale of the same in any of Borrower's premises without cost to Lender. Subject to the terms of the Intercreditor Agreement, at Lender's request, Borrower will, at Borrower's sole expense, assemble the Collateral and make it available to Lender at a place or places to be designated by Lender which is reasonably convenient to Lender and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Sale of Collateral</w:t>
      </w:r>
      <w:r>
        <w:rPr>
          <w:rFonts w:ascii="Times New Roman;Times;Serif" w:hAnsi="Times New Roman;Times;Serif"/>
          <w:b w:val="false"/>
          <w:i w:val="false"/>
          <w:caps w:val="false"/>
          <w:smallCaps w:val="false"/>
          <w:sz w:val="20"/>
        </w:rPr>
        <w:t>. Subject to the terms of the Intercreditor Agreement, Lender may sell any or all of the Collateral at public or private sale, upon such terms and conditions as Lender may deem proper, and Lender may purchase any or all of the Collateral at any such sale. Borrower acknowledges that Lender may be unable to effect a public sale of all or any portion of the Collateral because of certain legal and/or practical restrictions and provisions which may be applicable to the Collateral and, therefore, may be compelled to resort to one or more private sales to a restricted group of offerees and purchasers. Borrower consents to any such private sale so made even though at places and upon terms less favorable than if the Collateral were sold at public sale. Lender shall have no obligation to clean-up or otherwise prepare the Collateral for sale. Subject to the terms of the Intercreditor Agreement, Lender may apply the net proceeds, after deducting all costs, expenses, attorneys' and paralegals' fees incurred or paid at any time in the collection, protection and sale of the Collateral and the Obligations, to the payment of the Obligations, returning the excess proceeds, if any, to Borrower. Borrower and/or Borrower shall remain liable for any amount remaining unpaid after such application, with interest at the Default Rate. Any notification of intended disposition of the Collateral required by law shall be conclusively deemed reasonably and properly given if given by Lender at least ten (10) calendar days before the date of such disposition. Borrower hereby confirms, approves and ratifies all acts and deeds of Lender relating to the foregoing, and each part thereof, and expressly waives any and all claims of any nature, kind or description which it has or may hereafter have against Lender or its representatives, by reason of taking, selling or collecting any portion of the Collateral, so long as such acts and deeds do not violate the terms of the Intercreditor Agreement. Borrower consents to releases of the Collateral at any time (including prior to default) and to sales of the Collateral in groups, parcels or portions, or as an entirety, as Lender shall deem appropriate. Borrower expressly absolves Lender from any loss or decline in market value of any Collateral by reason of delay in the enforcement or assertion or nonenforcement of any rights or remedies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Standards for Exercising Remedies</w:t>
      </w:r>
      <w:r>
        <w:rPr>
          <w:rFonts w:ascii="Times New Roman;Times;Serif" w:hAnsi="Times New Roman;Times;Serif"/>
          <w:b w:val="false"/>
          <w:i w:val="false"/>
          <w:caps w:val="false"/>
          <w:smallCaps w:val="false"/>
          <w:sz w:val="20"/>
        </w:rPr>
        <w:t>. To the extent that applicable law imposes duties on Lender to exercise remedies in a commercially reasonable manner, Borrower acknowledges and agrees that it is not commercially unreasonable for Lender (a) to fail to incur expenses reasonably deemed significant by Lender to prepare Collateral for disposition or otherwise to complete raw material or work-in-process into finished goods or other finished products for disposition, (b) to fail to obtain third party consents for access to Collateral to be disposed of, or to obtain or, if not required by other law, to fail to obtain governmental or third party consents for the collection or disposition of Collateral to be collected or disposed of, (c) to fail to exercise collection remedies against Account Borrowers or other Persons obligated on Collateral or to remove liens or encumbrances on or any adverse claims against Collateral, (d) to exercise collection remedies against Account Borrowers and other Persons obligated on Collateral directly or through the use of collection agencies and other collection specialists, (e) to advertise dispositions of Collateral through publications or media of general circulation, whether or not the Collateral is of a specialized nature, (f) to contact other Persons, whether or not in the same business as Borrower, for expressions of interest in acquiring all or any portion of the Collateral, (g) to hire one or more professional auctioneers to assist in the disposition of Collateral, whether or not the collateral is of a specialized nature, (h) to dispose of Collateral utilizing internet sites that provide for the auction of assets of the types included in the Collateral or that have the reasonable capability of doing so, or that match buyers and sellers of assets, (i) to dispose of assets in wholesale rather than retail markets, (j) to disclaim disposition warranties, including any warranties of title, (k) to purchase insurance or credit enhancements to insure Lender against risks of loss, collection or disposition of Collateral or to provide to Lender a guaranteed return from the collection or disposition of Collateral, or (1) to the extent deemed appropriate by Lender, to obtain the services of other brokers, investment bankers consultants and other professionals to assist Lender in the collection or disposition of any of the Collateral. Borrower acknowledges that the purpose of this section is to provide non-exhaustive indications of what actions or omissions by Lender would not be commercially unreasonable in Lender's exercise of remedies against the Collateral and that other actions or omissions by Lender shall not be deemed commercially unreasonable solely on account of not being indicated in this section. Without limitation upon the foregoing, nothing contained in this section shall be construed to grant any rights to Borrower or to impose any duties on Lender that would not have been granted or imposed by this Agreement or by applicable law in t e absence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UCC and Offset Rights</w:t>
      </w:r>
      <w:r>
        <w:rPr>
          <w:rFonts w:ascii="Times New Roman;Times;Serif" w:hAnsi="Times New Roman;Times;Serif"/>
          <w:b w:val="false"/>
          <w:i w:val="false"/>
          <w:caps w:val="false"/>
          <w:smallCaps w:val="false"/>
          <w:sz w:val="20"/>
        </w:rPr>
        <w:t>. Subject to the terms of the Intercreditor Agreement, Lender may exercise, from time to time, any and all rights and remedies available to it under the UCC or under any other applicable law in addition to, and not in lieu of, any rights and remedies expressly granted in this Agreement or in any other agreements between any Obligor and Lender, and may, without demand or notice of any kind, appropriate and apply toward the payment of such of the Obligations, whether matured or unmatured, including costs of collection and attorneys' and paralegals' fees, and in such order of application as Lender may, from time to time, elect, any indebtedness of Lender to any Obligor, however created or arising, including balances, credits, deposits, accounts or moneys of such Obligor in the possession, control or custody of, or in transit to Lender. Borrower, on behalf of itself and each Obligor, hereby waives the benefit of any law that would otherwise restrict or limit Lender in the exercise of its right, which is hereby acknowledged, to appropriate at any time hereafter any such indebtedness owing from Lender to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Additional Remedies</w:t>
      </w:r>
      <w:r>
        <w:rPr>
          <w:rFonts w:ascii="Times New Roman;Times;Serif" w:hAnsi="Times New Roman;Times;Serif"/>
          <w:b w:val="false"/>
          <w:i w:val="false"/>
          <w:caps w:val="false"/>
          <w:smallCaps w:val="false"/>
          <w:sz w:val="20"/>
        </w:rPr>
        <w:t>. Subject to the terms of the Intercreditor Agreement, Lender shall have the right and power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instruct Borrower, at its own expense, to notify any parties obligated on any of the Collateral, including any Account Borrowers, to make payment directly to Lender of any amounts due or to become due thereunder, or Lender may directly notify such obligors of the security interest of Lender, and/or of the assignment to Lender of the Collateral and direct such obligors to make payment to Lender of any amounts due or to become due with respect thereto, and thereafter, collect any such amounts due on the Collateral directly from such Persons obligated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enforce collection of any of the Collateral, including any Accounts, by suit or otherwise, or make any compromise or settlement with respect to any of the Collateral, or surrender, release or exchange all or any part thereof, or compromise, extend or renew for any period (whether or not longer than the original period) any indebtedness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possession or control of any proceeds and products of any of the Collateral, including the proceeds of insurance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extend, renew or modify for one or more periods (whether or not longer than the original period) the Obligations or any obligation of any nature of any other obligor with respect to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grant releases, compromises or indulgences with respect to the Obligations, any extension or renewal of any of the Obligations, any security therefor, or to any other obligor with respect to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transfer the whole or any part of securities which may constitute Collateral into the name of Lender or Lender's nominee without disclosing, if Lender so desires, that such securities so transferred are subject to the security interest of Lender, and any corporation, association, or any of the managers or trustees of any trust issuing any of such securities, or any transfer agent, shall not be bound to inquire, in the event that Lender or such nominee makes any further transfer of such securities, or any portion thereof, as to whether Lender or such nominee has the right to make such further transfer, and shall not be liable for transferring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vote the Collateral;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at any time, and from time to time, accept additions to, releases, reductions, exchanges or substitution of the Collateral, without in any way altering, impairing, diminishing or affecting the provisions of this Agreement, the Loan Documents, or any of the other Obligations, or Lender's rights hereunder, under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hereby ratifies and confirms whatever Lender may do with respect to the Collateral and agrees that Lender shall not be liable for any error of judgment or mistakes of fact or law with respect to actions taken in connection with the Collateral, solely to the extent that such actions are taken in accordance with the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Attorney-in-Fact</w:t>
      </w:r>
      <w:r>
        <w:rPr>
          <w:rFonts w:ascii="Times New Roman;Times;Serif" w:hAnsi="Times New Roman;Times;Serif"/>
          <w:b w:val="false"/>
          <w:i w:val="false"/>
          <w:caps w:val="false"/>
          <w:smallCaps w:val="false"/>
          <w:sz w:val="20"/>
        </w:rPr>
        <w:t>. Subject to the terms of the Intercreditor Agreement, Borrower hereby irrevocably makes, constitutes and appoints Lender (and any officer of Lender or any Person designated by Lender for that purpose) as Borrower's true and lawful proxy and attorney-in-fact (and agent-in-fact) in Borrower's name, place and stead, with full power of substitution, to (i) take such actions as are permitted in this Agreement, (ii) execute such financing statements and other documents and to do such other acts as Lender may require to perfect and preserve Lender's security interest in, and to enforce such interests in the Collateral, and (iii) carry out any remedy provided for in this Agreement, including endorsing Borrower's name to checks, drafts, instruments and other items of payment, and proceeds of the Collateral, executing change of address forms with the postmaster of the United States Post Office serving the address of Borrower, changing the address of Borrower to that of Lender, opening all envelopes addressed to Borrower and applying any payments contained therein to the Obligations. Borrower hereby acknowledges that the constitution and appointment of such proxy and attorney-in-fact are coupled with an interest and are irrevocable. Borrower hereby ratifies and confirms all that such attorney-in-fact may do or cause to be done by virtue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No Marshaling</w:t>
      </w:r>
      <w:r>
        <w:rPr>
          <w:rFonts w:ascii="Times New Roman;Times;Serif" w:hAnsi="Times New Roman;Times;Serif"/>
          <w:b w:val="false"/>
          <w:i w:val="false"/>
          <w:caps w:val="false"/>
          <w:smallCaps w:val="false"/>
          <w:sz w:val="20"/>
        </w:rPr>
        <w:t>. Lender shall not be required to marshal any present or future collateral security (including this Agreement and the Collateral) for, or other assurances of payment of, the Obligations or any of them or to resort to such collateral security or other assurances of payment in any particular order. To the extent that it lawfully may, Borrower hereby agrees that it will not invoke any law relating to the marshaling of collateral which might cause delay in or impede the enforcement of Lender's rights under this Agreement or under any other instrument creating or evidencing any of the Obligations or under which any of the Obligations is outstanding or by which any of the Obligations is secured or payment thereof is otherwise assured, and, to the extent that it lawfully may, Borrower hereby irrevocably waives the benefits of all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Application of Proceeds</w:t>
      </w:r>
      <w:r>
        <w:rPr>
          <w:rFonts w:ascii="Times New Roman;Times;Serif" w:hAnsi="Times New Roman;Times;Serif"/>
          <w:b w:val="false"/>
          <w:i w:val="false"/>
          <w:caps w:val="false"/>
          <w:smallCaps w:val="false"/>
          <w:sz w:val="20"/>
        </w:rPr>
        <w:t>. Lender will within three (3) Business Days after receipt of cash or solvent credits from collection of items of payment, proceeds of Collateral or any other source, apply the whole or any part thereof against the Obligations secured hereby. Lender shall further have the exclusive right to determine how, when and what application of such payments and such credits shall be made on the Obligations, and such determination shall be conclusive upon the Obligors. Any proceeds of any disposition by Lender of all or any part of the Collateral may be first applied by Lender to the payment of expenses incurred by Lender in connection with the Collateral, including attorneys' fees and legal expenses as provided for in Section 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Event of Default shall be waived by Lender except in writing. No failure or delay on the part of Lender in exercising any right, power or remedy hereunder shall operate as a waiver of the exercise of the same or any other right at any other time; nor shall any single or partial exercise of any such right, power or remedy preclude any other or further exercise thereof or the exercise of any other right, power or remedy hereunder. There shall be no obligation on the part of Lender to exercise any remedy available to Lender in any order. The remedies provided for herein are cumulative and not exclusive of any remedies provided at law or in equity. Borrower agrees that in the event that Borrower fails to perform, observe or discharge any of its Obligations or liabilities under this Agreement or any other agreements with Lender, no remedy of law will provide adequate relief to Lender, and further agrees that Lender shall be entitled to temporary and permanent injunctive relief in any such case without the necessity of proving actual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Section 6.</w:t>
      </w:r>
      <w:r>
        <w:rPr>
          <w:rFonts w:ascii="Times New Roman;Times;Serif" w:hAnsi="Times New Roman;Times;Serif"/>
          <w:b/>
          <w:i w:val="false"/>
          <w:caps w:val="false"/>
          <w:smallCaps w:val="false"/>
          <w:sz w:val="20"/>
        </w:rPr>
        <w:tab/>
        <w:t>     </w:t>
      </w:r>
      <w:r>
        <w:rPr>
          <w:rFonts w:ascii="Times New Roman;Times;Serif" w:hAnsi="Times New Roman;Times;Serif"/>
          <w:b/>
          <w:i w:val="false"/>
          <w:caps w:val="false"/>
          <w:smallCaps w:val="false"/>
          <w:sz w:val="20"/>
          <w:u w:val="single"/>
        </w:rPr>
        <w:t>MISCELLANEOUS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the other Loan Documents (i) are valid, binding and enforceable against Borrower and Lender in accordance with their respective provisions and no conditions exist as to their legal effectiveness; (ii) constitute the entire agreement between the parties with respect to the subject matter hereof and thereof; and (iii) are the final expression of the intentions of Borrower and Lender. No promises, either expressed or implied, exist between Borrower and Lender, unless contained herein or therein. This Agreement, together with the other Loan Documents, supersedes all negotiations, representations, warranties, commitments, term sheets, discussions, negotiations, offers or contracts (of any kind or nature, whether oral or written) prior to or contemporaneous with the execution hereof with respect to any matter, directly or indirectly related to the terms of this Agreement and the other Loan Documents. This Agreement and the other Loan Documents are the result of negotiations among Lender, Borrower and the other parties thereto, and have been reviewed (or have had the opportunity to be reviewed) by counsel to all such parties, and are the products of all parties. Accordingly, this Agreement and the other Loan Documents shall not be construed more strictly against Lender merely because of Lender's involvement in their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delay on the part of Lender in the exercise of any right, power or remedy shall operate as a waiver thereof, nor shall any single or partial exercise by Lender of any right, power or remedy preclude other or further exercise thereof, or the exercise of any other right, power or remedy. No amendment, modification or waiver of, or consent with respect to, any provision of this Agreement or the other Loan Documents shall in any event be effective unless the same shall be in writing and acknowledged by Lender, and then any such amendment, modification, waiver or consent shall be effective only in the specific instance and for the specific purpose for which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WAIVER OF DEFENSES</w:t>
      </w:r>
      <w:r>
        <w:rPr>
          <w:rFonts w:ascii="Times New Roman;Times;Serif" w:hAnsi="Times New Roman;Times;Serif"/>
          <w:b w:val="false"/>
          <w:i w:val="false"/>
          <w:caps w:val="false"/>
          <w:smallCaps w:val="false"/>
          <w:sz w:val="20"/>
        </w:rPr>
        <w:t>. BORROWER, ON BEHALF OF ITSELF AND ANY GUARANTOR OF ANY OF THE OBLIGATIONS, WAIVES EVERY PRESENT AND FUTURE DEFENSE, CAUSE OF ACTION, COUNTERCLAIM OR SETOFF WHICH BORROWER MAY NOW HAVE OR HEREAFTER MAY HAVE TO ANY ACTION BY LENDER IN ENFORCING THIS AGREEMENT. PROVIDED LENDER ACTS IN GOOD FAITH, BORROWER RATIFIES AND CONFIRMS WHATEVER LENDER MAY DO PURSUANT TO THE TERMS OF THIS AGREEMENT. THIS PROVISION IS A MATERIAL INDUCEMENT FOR LENDER GRANTING ANY FINANCIAL ACCOMMODATION TO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FORUM SELECTION AND CONSENT TO JURISDICTION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Lender from bringing suit or taking other legal action against the Maker in any other jurisdiction to collect on the Maker’s obligations to the Lender, to realize on any collateral or any other security for such obligations, or to enforce a judgment or other court ruling in favor of the Lender. MAKER HEREBY IRREVOCABLY WAIVES ANY RIGHT IT MAY HAVE TO, AND AGREES NOT TO REQUEST, A JURY TRIAL FOR THE ADJUDICATION OF ANY DISPUTE HEREUNDER OR IN CONNECTION WITH OR ARISING</w:t>
      </w:r>
      <w:r>
        <w:rPr>
          <w:rFonts w:ascii="Times New Roman;Times;Serif" w:hAnsi="Times New Roman;Times;Serif"/>
          <w:b w:val="false"/>
          <w:i w:val="false"/>
          <w:caps w:val="false"/>
          <w:smallCaps w:val="false"/>
          <w:sz w:val="20"/>
        </w:rPr>
        <w:t xml:space="preserve"> OUT OF THIS NOTE OR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HERETO HEREBY AGREES TO WAIVE ITS RESPECTIVE RIGHTS TO A JURY TRIAL OF ANY CLAIM OR CAUSE OF ACTION BASED UPON OR ARISING HEREUNDER OR UNDER ANY OF THE OTHER CREDIT DOCUMENTS OR ANY DEALINGS BETWEEN THEM RELATING TO THE SUBJECT MATTER HEREOF.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6 AND EXECUTED BY EACH OF THE PARTIES HERETO), AND THIS WAIVER SHALL APPLY TO ANY SUBSEQUENT AMENDMENTS, RENEWALS, SUPPLEMENTS OR MODIFICATIONS HERETO OR ANY OF THE OTHER LOAN DOCUMENTS OR TO ANY OTHER DOCUMENTS OR AGREEMENTS RELATING HERETO. IN THE EVENT OF LITIGATION, THIS AGREEMENT MAY BE FILED AS A WRITTEN CONSENT TO A TRIAL BY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To the extent permitted under the Intercreditor Agreement, Lender may at any time assign Lender's rights in this Agreement, the other Loan Documents, the Obligations, or any part thereof and transfer Lender's rights in any or all of the Collateral, and Lender thereafter shall be relieved from all liability with respect to such Collateral. This Agreement shall be binding upon Lender and Borrower and their respective legal representatives and successors. All references herein to Borrower shall be deemed to include any permitted successors, whether immediate or remote. In the case of a joint venture or partnership, the term “Borrower” shall be deemed to include all joint venturers or partners thereof, who shall be jointly and severally liable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shall become effective upon execution by Borrower and Lender. If this Agreement is not dated or contains any blanks when executed by Borrower, Lender is hereby authorized, without notice to Borrower, to date this Agreement as of the date when it was executed by Borrower, and to complete any such blanks according to the terms upon which this Agreement is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RIGHTS AND OBLIGATIONS OF THE PARTIES HEREUNDER SHALL BE GOVERNED BY, AND SHALL BE CONSTRUED AND ENFORCED IN ACCORDANCE WITH, THE LAWS OF THE STATE OF NEW YORK WITHOUT REGARD TO CONFLICT OF LAWS PRINCIPLES (OTHER THAN SECTIONS 5-1401 AND 5-1402 OF THE NEW YORK GENERAL OBLIGATIONS LAW) THEREOF, EXCEPT TO THE EXTENT THAT THE VALIDITY OR PERFECTION OF THE SECURITY INTEREST OR THE REMEDIES HEREUNDER IN RESPECT OF ANY COLLATERAL ARE GOVERNED BY THE LAW OF A JURISDICTION OTHER THAN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Wherever possible, each provision of this Agreement shall be interpreted in such manner as to be effective and valid under applicable law, but if any provision of this Agreement shall be prohibited by, unenforceable or invalid under any jurisdiction, such provision shall as to such jurisdiction, be severable and be ineffective to the extent of such prohibition or invalidity, without invalidating the remaining provisions of this Agreement or affecting the validity or enforceability of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Time of Essence</w:t>
      </w:r>
      <w:r>
        <w:rPr>
          <w:rFonts w:ascii="Times New Roman;Times;Serif" w:hAnsi="Times New Roman;Times;Serif"/>
          <w:b w:val="false"/>
          <w:i w:val="false"/>
          <w:caps w:val="false"/>
          <w:smallCaps w:val="false"/>
          <w:sz w:val="20"/>
        </w:rPr>
        <w:t>. Time is of the essence in making payments of all amounts due Lender under this Agreement and in the performance and observance by Borrower of each covenant, agreement, provision and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Counterparts; Facsimile Signatures</w:t>
      </w:r>
      <w:r>
        <w:rPr>
          <w:rFonts w:ascii="Times New Roman;Times;Serif" w:hAnsi="Times New Roman;Times;Serif"/>
          <w:b w:val="false"/>
          <w:i w:val="false"/>
          <w:caps w:val="false"/>
          <w:smallCaps w:val="false"/>
          <w:sz w:val="20"/>
        </w:rPr>
        <w:t>. This Agreement may be executed in any number of counterparts and by the different parties hereto on separate counterparts and each such counterpart shall be deemed to be an original, but all such counterparts shall together constitute but one and the same Agreement. Receipt of an executed signature page to this Agreement by facsimile or other electronic transmission shall constitute effective delivery thereof. Electronic records of executed Loan Documents maintained by Lender shall be deemed to be originals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Except as otherwise provided herein, Borrower waives all notices and demands in connection with the enforcement of Lender's rights hereunder. All notices, requests, demands and other communications provided for hereunder shall be in writing and addressed as follows:</w:t>
      </w:r>
    </w:p>
    <w:p>
      <w:pPr>
        <w:pStyle w:val="TextBody"/>
        <w:bidi w:val="0"/>
        <w:spacing w:before="0" w:after="0"/>
        <w:ind w:left="0" w:right="0" w:hanging="0"/>
        <w:jc w:val="left"/>
        <w:rPr>
          <w:caps w:val="false"/>
          <w:smallCaps w:val="false"/>
        </w:rPr>
      </w:pPr>
      <w:r>
        <w:rPr>
          <w:caps w:val="false"/>
          <w:smallCaps w:val="false"/>
        </w:rPr>
        <w:t> </w:t>
      </w:r>
    </w:p>
    <w:tbl>
      <w:tblPr>
        <w:tblW w:w="4395" w:type="dxa"/>
        <w:jc w:val="left"/>
        <w:tblInd w:w="0" w:type="dxa"/>
        <w:tblLayout w:type="fixed"/>
        <w:tblCellMar>
          <w:top w:w="0" w:type="dxa"/>
          <w:left w:w="0" w:type="dxa"/>
          <w:bottom w:w="0" w:type="dxa"/>
          <w:right w:w="0" w:type="dxa"/>
        </w:tblCellMar>
      </w:tblPr>
      <w:tblGrid>
        <w:gridCol w:w="80"/>
        <w:gridCol w:w="1100"/>
        <w:gridCol w:w="3215"/>
      </w:tblGrid>
      <w:tr>
        <w:trPr/>
        <w:tc>
          <w:tcPr>
            <w:tcW w:w="8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Borrower:</w:t>
            </w:r>
          </w:p>
        </w:tc>
        <w:tc>
          <w:tcPr>
            <w:tcW w:w="3215" w:type="dxa"/>
            <w:tcBorders/>
            <w:vAlign w:val="center"/>
          </w:tcPr>
          <w:p>
            <w:pPr>
              <w:pStyle w:val="TableContents"/>
              <w:bidi w:val="0"/>
              <w:jc w:val="left"/>
              <w:rPr/>
            </w:pPr>
            <w:r>
              <w:rPr/>
              <w:t xml:space="preserve">Presto Automation Inc. </w:t>
              <w:br/>
              <w:t>ATTN: Legal Department</w:t>
              <w:br/>
              <w:t>985 Industrial Road, Suite 205</w:t>
              <w:br/>
              <w:t>San Carlos, CA 94070</w:t>
              <w:br/>
              <w:t>Email: acconting@presto.com</w:t>
            </w:r>
          </w:p>
          <w:p>
            <w:pPr>
              <w:pStyle w:val="TableContents"/>
              <w:bidi w:val="0"/>
              <w:jc w:val="left"/>
              <w:rPr/>
            </w:pPr>
            <w:r>
              <w:rPr/>
              <w:t> </w:t>
            </w:r>
          </w:p>
          <w:p>
            <w:pPr>
              <w:pStyle w:val="TableContents"/>
              <w:bidi w:val="0"/>
              <w:spacing w:before="0" w:after="283"/>
              <w:jc w:val="left"/>
              <w:rPr/>
            </w:pPr>
            <w:r>
              <w:rPr/>
              <w:t xml:space="preserve">Presto Automation LLC </w:t>
              <w:br/>
              <w:t xml:space="preserve">ATTN: Legal Department </w:t>
              <w:br/>
              <w:t xml:space="preserve">985 Industrial Road, Suite 205 </w:t>
              <w:br/>
              <w:t>San Carlos, CA 94070</w:t>
              <w:br/>
              <w:t>Email: accounting@presto.com    </w:t>
            </w:r>
          </w:p>
        </w:tc>
      </w:tr>
    </w:tbl>
    <w:p>
      <w:pPr>
        <w:pStyle w:val="TextBody"/>
        <w:bidi w:val="0"/>
        <w:spacing w:before="0" w:after="0"/>
        <w:ind w:left="0" w:right="0" w:hanging="0"/>
        <w:jc w:val="left"/>
        <w:rPr>
          <w:caps w:val="false"/>
          <w:smallCaps w:val="false"/>
        </w:rPr>
      </w:pPr>
      <w:r>
        <w:rPr>
          <w:caps w:val="false"/>
          <w:smallCaps w:val="false"/>
        </w:rPr>
        <w:t> </w:t>
      </w:r>
    </w:p>
    <w:tbl>
      <w:tblPr>
        <w:tblW w:w="8730" w:type="dxa"/>
        <w:jc w:val="left"/>
        <w:tblInd w:w="0" w:type="dxa"/>
        <w:tblLayout w:type="fixed"/>
        <w:tblCellMar>
          <w:top w:w="0" w:type="dxa"/>
          <w:left w:w="0" w:type="dxa"/>
          <w:bottom w:w="0" w:type="dxa"/>
          <w:right w:w="0" w:type="dxa"/>
        </w:tblCellMar>
      </w:tblPr>
      <w:tblGrid>
        <w:gridCol w:w="80"/>
        <w:gridCol w:w="4730"/>
        <w:gridCol w:w="3920"/>
      </w:tblGrid>
      <w:tr>
        <w:trPr/>
        <w:tc>
          <w:tcPr>
            <w:tcW w:w="8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 xml:space="preserve">with a copy to (which shall not constitute notice): </w:t>
            </w:r>
          </w:p>
        </w:tc>
        <w:tc>
          <w:tcPr>
            <w:tcW w:w="3920" w:type="dxa"/>
            <w:tcBorders/>
            <w:vAlign w:val="center"/>
          </w:tcPr>
          <w:p>
            <w:pPr>
              <w:pStyle w:val="TableContents"/>
              <w:bidi w:val="0"/>
              <w:spacing w:before="0" w:after="283"/>
              <w:jc w:val="left"/>
              <w:rPr/>
            </w:pPr>
            <w:r>
              <w:rPr/>
              <w:t xml:space="preserve">Paul Hastings LLP </w:t>
              <w:br/>
              <w:t xml:space="preserve">200 Park Avenue </w:t>
              <w:br/>
              <w:t xml:space="preserve">New York, NY 10166 </w:t>
              <w:br/>
              <w:t xml:space="preserve">Attn: Colin Diamond and Alex Cota </w:t>
              <w:br/>
              <w:t xml:space="preserve">Email: colindiamond@paulhastings.com </w:t>
              <w:br/>
              <w:t>            alexcota@paulhastings.com</w:t>
            </w:r>
          </w:p>
        </w:tc>
      </w:tr>
    </w:tbl>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80"/>
        <w:gridCol w:w="1535"/>
        <w:gridCol w:w="3395"/>
      </w:tblGrid>
      <w:tr>
        <w:trPr/>
        <w:tc>
          <w:tcPr>
            <w:tcW w:w="8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20"/>
              </w:rPr>
            </w:pPr>
            <w:r>
              <w:rPr>
                <w:sz w:val="20"/>
              </w:rPr>
              <w:t>To Lender:</w:t>
            </w:r>
          </w:p>
        </w:tc>
        <w:tc>
          <w:tcPr>
            <w:tcW w:w="3395" w:type="dxa"/>
            <w:tcBorders/>
            <w:vAlign w:val="center"/>
          </w:tcPr>
          <w:p>
            <w:pPr>
              <w:pStyle w:val="TableContents"/>
              <w:bidi w:val="0"/>
              <w:spacing w:before="0" w:after="283"/>
              <w:jc w:val="left"/>
              <w:rPr/>
            </w:pPr>
            <w:r>
              <w:rPr/>
              <w:t>Presto CA LLC</w:t>
              <w:br/>
              <w:t>222 N. Canal Street</w:t>
              <w:br/>
              <w:t>Chicago, IL 60606</w:t>
              <w:br/>
              <w:t>Attn: Legal Department</w:t>
            </w:r>
          </w:p>
        </w:tc>
      </w:tr>
      <w:tr>
        <w:trPr/>
        <w:tc>
          <w:tcPr>
            <w:tcW w:w="8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both"/>
              <w:rPr/>
            </w:pPr>
            <w:r>
              <w:rPr/>
              <w:t> </w:t>
            </w:r>
          </w:p>
        </w:tc>
        <w:tc>
          <w:tcPr>
            <w:tcW w:w="3395"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with a copy to:  </w:t>
            </w:r>
          </w:p>
        </w:tc>
        <w:tc>
          <w:tcPr>
            <w:tcW w:w="3395" w:type="dxa"/>
            <w:tcBorders/>
            <w:vAlign w:val="center"/>
          </w:tcPr>
          <w:p>
            <w:pPr>
              <w:pStyle w:val="TableContents"/>
              <w:bidi w:val="0"/>
              <w:spacing w:before="0" w:after="283"/>
              <w:jc w:val="left"/>
              <w:rPr/>
            </w:pPr>
            <w:r>
              <w:rPr/>
              <w:t>Riley Safer Holmes &amp; Cancila LLP</w:t>
              <w:br/>
              <w:t>70 W. Madison Street, Suite 2900</w:t>
              <w:br/>
              <w:t xml:space="preserve">Chicago, IL 60602 </w:t>
              <w:br/>
              <w:t>Attn: LaVon M. Johns, Esq.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as to each party, at such other address as shall be designated by such party in a written notice to each other party complying as to delivery with the terms of this subsection. All notices addressed as above shall be deemed to have been properly given only (i) if served in person, upon acceptance or refusal of delivery, or (ii) if sent by recognized overnight courier, on the first (1st) Business Day following the day such notice is delivered to such carrier for next Business Day delivery. No notice to or demand on Borrower in any case shall entitle Borrower to any other or further notice or demand in similar or other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Costs, Fees and Expenses</w:t>
      </w:r>
      <w:r>
        <w:rPr>
          <w:rFonts w:ascii="Times New Roman;Times;Serif" w:hAnsi="Times New Roman;Times;Serif"/>
          <w:b w:val="false"/>
          <w:i w:val="false"/>
          <w:caps w:val="false"/>
          <w:smallCaps w:val="false"/>
          <w:sz w:val="20"/>
        </w:rPr>
        <w:t>. Borrower shall pay or reimburse Lender for all reasonable costs, fees and expenses incurred by Lender or for which Lender becomes obligated in connection with the enforcement of this Agreement, including reasonable attorneys' fees and time charges of counsel to Lender, which shall also include attorneys' fees and time charges of attorneys who may be employees of Lender or any Affiliate of Lender, plus costs and expenses of such attorneys or of Lender; search fees, costs and expenses; and all taxes payable in connection with this Agreement. In furtherance of the foregoing, Borrower shall pay any and all stamp and other taxes, UCC search fees, filing fees and other costs and expenses in connection with the execution and delivery of this Agreement and the other Loan Documents to be delivered hereunder, and agrees to save and hold Lender harmless from and against any and all liabilities with respect to 'or resulting from any delay in paying or omission to pay such costs and expenses. That portion of the Obligations consisting of costs, expenses or advances to be reimbursed by Borrower to Lender pursuant to this Agreement or the other Loan Documents which are not paid on or prior to the date hereof shall be payable by Borrower to Lender on demand. If at any time or times hereafter Lender: (a) employs counsel for advice or other representation (i) with respect to this Agreement or the other Loan Documents, (ii) to represent Lender in any litigation, contest, dispute, suit or proceeding or to commence, defend, or intervene or to take any other action in or with respect to any litigation, contest, dispute, suit, or proceeding (whether instituted by Lender, Borrower, or any other Person) in any way or respect relating to this Agreement, or (iii) to enforce any rights of Lender against Borrower or any other Person under of this Agreement; (b) takes any action to protect, collect, sell, liquidate, or otherwise dispose of any of the Collateral; and/or (c) attempts to or enforces any of Lender's rights or remedies under this Agreement, the costs and expenses incurred by Lender in any manner or way with respect to the foregoing, shall be part of the Obligations, payable by Borrower to Lender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Intercreditor Agreement Controls</w:t>
      </w:r>
      <w:r>
        <w:rPr>
          <w:rFonts w:ascii="Times New Roman;Times;Serif" w:hAnsi="Times New Roman;Times;Serif"/>
          <w:b w:val="false"/>
          <w:i w:val="false"/>
          <w:caps w:val="false"/>
          <w:smallCaps w:val="false"/>
          <w:sz w:val="20"/>
        </w:rPr>
        <w:t>. Notwithstanding anything herein to the contrary, the terms of this Agreement are subject to the provisions of the Intercreditor Agreement. In the event of any conflict between the terms of the Intercreditor Agreement and this Agreement, the terms of the Intercreditor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br/>
        <w:t>Page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and Lender execute this Agreement as of the first date written above.</w:t>
      </w:r>
    </w:p>
    <w:p>
      <w:pPr>
        <w:pStyle w:val="TextBody"/>
        <w:bidi w:val="0"/>
        <w:spacing w:before="0" w:after="0"/>
        <w:ind w:left="0" w:right="0" w:hanging="0"/>
        <w:jc w:val="left"/>
        <w:rPr>
          <w:caps w:val="false"/>
          <w:smallCaps w:val="false"/>
        </w:rPr>
      </w:pPr>
      <w:r>
        <w:rPr>
          <w:caps w:val="false"/>
          <w:smallCaps w:val="false"/>
        </w:rPr>
        <w:t> </w:t>
      </w:r>
    </w:p>
    <w:tbl>
      <w:tblPr>
        <w:tblW w:w="6879" w:type="dxa"/>
        <w:jc w:val="left"/>
        <w:tblInd w:w="0" w:type="dxa"/>
        <w:tblLayout w:type="fixed"/>
        <w:tblCellMar>
          <w:top w:w="0" w:type="dxa"/>
          <w:left w:w="0" w:type="dxa"/>
          <w:bottom w:w="0" w:type="dxa"/>
          <w:right w:w="0" w:type="dxa"/>
        </w:tblCellMar>
      </w:tblPr>
      <w:tblGrid>
        <w:gridCol w:w="80"/>
        <w:gridCol w:w="1398"/>
        <w:gridCol w:w="5401"/>
      </w:tblGrid>
      <w:tr>
        <w:trPr/>
        <w:tc>
          <w:tcPr>
            <w:tcW w:w="80" w:type="dxa"/>
            <w:tcBorders/>
            <w:vAlign w:val="center"/>
          </w:tcPr>
          <w:p>
            <w:pPr>
              <w:pStyle w:val="TableContents"/>
              <w:bidi w:val="0"/>
              <w:spacing w:before="0" w:after="283"/>
              <w:jc w:val="left"/>
              <w:rPr/>
            </w:pPr>
            <w:r>
              <w:rPr/>
              <w:t> </w:t>
            </w:r>
          </w:p>
        </w:tc>
        <w:tc>
          <w:tcPr>
            <w:tcW w:w="6799" w:type="dxa"/>
            <w:gridSpan w:val="2"/>
            <w:tcBorders/>
            <w:vAlign w:val="center"/>
          </w:tcPr>
          <w:p>
            <w:pPr>
              <w:pStyle w:val="TableContents"/>
              <w:bidi w:val="0"/>
              <w:spacing w:before="0" w:after="283"/>
              <w:jc w:val="left"/>
              <w:rPr>
                <w:b/>
              </w:rPr>
            </w:pPr>
            <w:r>
              <w:rPr>
                <w:b/>
              </w:rPr>
              <w:t>BORROWER:</w:t>
            </w:r>
          </w:p>
        </w:tc>
      </w:tr>
      <w:tr>
        <w:trPr/>
        <w:tc>
          <w:tcPr>
            <w:tcW w:w="80" w:type="dxa"/>
            <w:tcBorders/>
            <w:vAlign w:val="center"/>
          </w:tcPr>
          <w:p>
            <w:pPr>
              <w:pStyle w:val="TableContents"/>
              <w:bidi w:val="0"/>
              <w:spacing w:before="0" w:after="283"/>
              <w:jc w:val="left"/>
              <w:rPr/>
            </w:pPr>
            <w:r>
              <w:rPr/>
              <w:t> </w:t>
            </w:r>
          </w:p>
        </w:tc>
        <w:tc>
          <w:tcPr>
            <w:tcW w:w="679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799" w:type="dxa"/>
            <w:gridSpan w:val="2"/>
            <w:tcBorders/>
            <w:vAlign w:val="center"/>
          </w:tcPr>
          <w:p>
            <w:pPr>
              <w:pStyle w:val="TableContents"/>
              <w:bidi w:val="0"/>
              <w:spacing w:before="0" w:after="283"/>
              <w:jc w:val="left"/>
              <w:rPr/>
            </w:pPr>
            <w:r>
              <w:rPr/>
              <w:t>PRESTO AUTOMATION INC., a Delaware corporation</w:t>
            </w:r>
          </w:p>
        </w:tc>
      </w:tr>
      <w:tr>
        <w:trPr/>
        <w:tc>
          <w:tcPr>
            <w:tcW w:w="80" w:type="dxa"/>
            <w:tcBorders/>
            <w:vAlign w:val="center"/>
          </w:tcPr>
          <w:p>
            <w:pPr>
              <w:pStyle w:val="TableContents"/>
              <w:bidi w:val="0"/>
              <w:spacing w:before="0" w:after="283"/>
              <w:jc w:val="left"/>
              <w:rPr/>
            </w:pPr>
            <w:r>
              <w:rPr/>
              <w:t> </w:t>
            </w:r>
          </w:p>
        </w:tc>
        <w:tc>
          <w:tcPr>
            <w:tcW w:w="679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By:</w:t>
            </w:r>
          </w:p>
        </w:tc>
        <w:tc>
          <w:tcPr>
            <w:tcW w:w="5401" w:type="dxa"/>
            <w:tcBorders>
              <w:bottom w:val="single" w:sz="8" w:space="0" w:color="000000"/>
            </w:tcBorders>
            <w:tcMar>
              <w:bottom w:w="28" w:type="dxa"/>
            </w:tcMar>
            <w:vAlign w:val="center"/>
          </w:tcPr>
          <w:p>
            <w:pPr>
              <w:pStyle w:val="TableContents"/>
              <w:bidi w:val="0"/>
              <w:spacing w:before="0" w:after="283"/>
              <w:jc w:val="left"/>
              <w:rPr/>
            </w:pPr>
            <w:r>
              <w:rPr/>
              <w:t>/s/ Guillaume Lefevre</w:t>
            </w:r>
          </w:p>
        </w:tc>
      </w:tr>
      <w:tr>
        <w:trPr/>
        <w:tc>
          <w:tcPr>
            <w:tcW w:w="80"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Name:</w:t>
            </w:r>
          </w:p>
        </w:tc>
        <w:tc>
          <w:tcPr>
            <w:tcW w:w="5401" w:type="dxa"/>
            <w:tcBorders/>
            <w:vAlign w:val="center"/>
          </w:tcPr>
          <w:p>
            <w:pPr>
              <w:pStyle w:val="TableContents"/>
              <w:bidi w:val="0"/>
              <w:spacing w:before="0" w:after="283"/>
              <w:jc w:val="left"/>
              <w:rPr/>
            </w:pPr>
            <w:r>
              <w:rPr/>
              <w:t>Guillaume Lefevre</w:t>
            </w:r>
          </w:p>
        </w:tc>
      </w:tr>
      <w:tr>
        <w:trPr/>
        <w:tc>
          <w:tcPr>
            <w:tcW w:w="80"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Its:</w:t>
            </w:r>
          </w:p>
        </w:tc>
        <w:tc>
          <w:tcPr>
            <w:tcW w:w="5401" w:type="dxa"/>
            <w:tcBorders/>
            <w:vAlign w:val="center"/>
          </w:tcPr>
          <w:p>
            <w:pPr>
              <w:pStyle w:val="TableContents"/>
              <w:bidi w:val="0"/>
              <w:spacing w:before="0" w:after="283"/>
              <w:jc w:val="left"/>
              <w:rPr/>
            </w:pPr>
            <w:r>
              <w:rPr/>
              <w:t>Chief Executive Officer  </w:t>
            </w:r>
          </w:p>
        </w:tc>
      </w:tr>
      <w:tr>
        <w:trPr/>
        <w:tc>
          <w:tcPr>
            <w:tcW w:w="80" w:type="dxa"/>
            <w:tcBorders/>
            <w:vAlign w:val="center"/>
          </w:tcPr>
          <w:p>
            <w:pPr>
              <w:pStyle w:val="TableContents"/>
              <w:bidi w:val="0"/>
              <w:spacing w:before="0" w:after="283"/>
              <w:jc w:val="left"/>
              <w:rPr/>
            </w:pPr>
            <w:r>
              <w:rPr/>
              <w:t> </w:t>
            </w:r>
          </w:p>
        </w:tc>
        <w:tc>
          <w:tcPr>
            <w:tcW w:w="679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799" w:type="dxa"/>
            <w:gridSpan w:val="2"/>
            <w:tcBorders/>
            <w:vAlign w:val="center"/>
          </w:tcPr>
          <w:p>
            <w:pPr>
              <w:pStyle w:val="TableContents"/>
              <w:bidi w:val="0"/>
              <w:spacing w:before="0" w:after="283"/>
              <w:jc w:val="left"/>
              <w:rPr>
                <w:b/>
              </w:rPr>
            </w:pPr>
            <w:r>
              <w:rPr>
                <w:b/>
              </w:rPr>
              <w:t>BORROWER:</w:t>
            </w:r>
          </w:p>
        </w:tc>
      </w:tr>
      <w:tr>
        <w:trPr/>
        <w:tc>
          <w:tcPr>
            <w:tcW w:w="80" w:type="dxa"/>
            <w:tcBorders/>
            <w:vAlign w:val="center"/>
          </w:tcPr>
          <w:p>
            <w:pPr>
              <w:pStyle w:val="TableContents"/>
              <w:bidi w:val="0"/>
              <w:spacing w:before="0" w:after="283"/>
              <w:jc w:val="left"/>
              <w:rPr/>
            </w:pPr>
            <w:r>
              <w:rPr/>
              <w:t> </w:t>
            </w:r>
          </w:p>
        </w:tc>
        <w:tc>
          <w:tcPr>
            <w:tcW w:w="679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799" w:type="dxa"/>
            <w:gridSpan w:val="2"/>
            <w:tcBorders/>
            <w:vAlign w:val="center"/>
          </w:tcPr>
          <w:p>
            <w:pPr>
              <w:pStyle w:val="TableContents"/>
              <w:bidi w:val="0"/>
              <w:spacing w:before="0" w:after="283"/>
              <w:jc w:val="left"/>
              <w:rPr/>
            </w:pPr>
            <w:r>
              <w:rPr/>
              <w:t>PRESTO AUTOMATION LLC, a Delaware limited liability company</w:t>
            </w:r>
          </w:p>
        </w:tc>
      </w:tr>
      <w:tr>
        <w:trPr/>
        <w:tc>
          <w:tcPr>
            <w:tcW w:w="80" w:type="dxa"/>
            <w:tcBorders/>
            <w:vAlign w:val="center"/>
          </w:tcPr>
          <w:p>
            <w:pPr>
              <w:pStyle w:val="TableContents"/>
              <w:bidi w:val="0"/>
              <w:spacing w:before="0" w:after="283"/>
              <w:jc w:val="left"/>
              <w:rPr/>
            </w:pPr>
            <w:r>
              <w:rPr/>
              <w:t> </w:t>
            </w:r>
          </w:p>
        </w:tc>
        <w:tc>
          <w:tcPr>
            <w:tcW w:w="679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By:</w:t>
            </w:r>
          </w:p>
        </w:tc>
        <w:tc>
          <w:tcPr>
            <w:tcW w:w="5401" w:type="dxa"/>
            <w:tcBorders>
              <w:bottom w:val="single" w:sz="8" w:space="0" w:color="000000"/>
            </w:tcBorders>
            <w:tcMar>
              <w:bottom w:w="28" w:type="dxa"/>
            </w:tcMar>
            <w:vAlign w:val="center"/>
          </w:tcPr>
          <w:p>
            <w:pPr>
              <w:pStyle w:val="TableContents"/>
              <w:bidi w:val="0"/>
              <w:spacing w:before="0" w:after="283"/>
              <w:jc w:val="left"/>
              <w:rPr/>
            </w:pPr>
            <w:r>
              <w:rPr/>
              <w:t>/s/ Guillaume Lefevre</w:t>
            </w:r>
          </w:p>
        </w:tc>
      </w:tr>
      <w:tr>
        <w:trPr/>
        <w:tc>
          <w:tcPr>
            <w:tcW w:w="80"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Name:</w:t>
            </w:r>
          </w:p>
        </w:tc>
        <w:tc>
          <w:tcPr>
            <w:tcW w:w="5401" w:type="dxa"/>
            <w:tcBorders/>
            <w:vAlign w:val="center"/>
          </w:tcPr>
          <w:p>
            <w:pPr>
              <w:pStyle w:val="TableContents"/>
              <w:bidi w:val="0"/>
              <w:spacing w:before="0" w:after="283"/>
              <w:jc w:val="left"/>
              <w:rPr/>
            </w:pPr>
            <w:r>
              <w:rPr/>
              <w:t>Guillaume Lefevre</w:t>
            </w:r>
          </w:p>
        </w:tc>
      </w:tr>
      <w:tr>
        <w:trPr/>
        <w:tc>
          <w:tcPr>
            <w:tcW w:w="80"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left"/>
              <w:rPr/>
            </w:pPr>
            <w:r>
              <w:rPr/>
              <w:t>Its:</w:t>
            </w:r>
          </w:p>
        </w:tc>
        <w:tc>
          <w:tcPr>
            <w:tcW w:w="5401" w:type="dxa"/>
            <w:tcBorders/>
            <w:vAlign w:val="center"/>
          </w:tcPr>
          <w:p>
            <w:pPr>
              <w:pStyle w:val="TableContents"/>
              <w:bidi w:val="0"/>
              <w:spacing w:before="0" w:after="283"/>
              <w:jc w:val="left"/>
              <w:rPr/>
            </w:pPr>
            <w:r>
              <w:rPr/>
              <w:t>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59" w:type="dxa"/>
        <w:jc w:val="left"/>
        <w:tblInd w:w="0" w:type="dxa"/>
        <w:tblLayout w:type="fixed"/>
        <w:tblCellMar>
          <w:top w:w="0" w:type="dxa"/>
          <w:left w:w="0" w:type="dxa"/>
          <w:bottom w:w="0" w:type="dxa"/>
          <w:right w:w="0" w:type="dxa"/>
        </w:tblCellMar>
      </w:tblPr>
      <w:tblGrid>
        <w:gridCol w:w="80"/>
        <w:gridCol w:w="1307"/>
        <w:gridCol w:w="4172"/>
      </w:tblGrid>
      <w:tr>
        <w:trPr/>
        <w:tc>
          <w:tcPr>
            <w:tcW w:w="80" w:type="dxa"/>
            <w:tcBorders/>
            <w:vAlign w:val="center"/>
          </w:tcPr>
          <w:p>
            <w:pPr>
              <w:pStyle w:val="TableContents"/>
              <w:bidi w:val="0"/>
              <w:spacing w:before="0" w:after="283"/>
              <w:jc w:val="left"/>
              <w:rPr/>
            </w:pPr>
            <w:r>
              <w:rPr/>
              <w:t> </w:t>
            </w:r>
          </w:p>
        </w:tc>
        <w:tc>
          <w:tcPr>
            <w:tcW w:w="5479" w:type="dxa"/>
            <w:gridSpan w:val="2"/>
            <w:tcBorders/>
            <w:vAlign w:val="center"/>
          </w:tcPr>
          <w:p>
            <w:pPr>
              <w:pStyle w:val="TableContents"/>
              <w:bidi w:val="0"/>
              <w:spacing w:before="0" w:after="283"/>
              <w:jc w:val="left"/>
              <w:rPr>
                <w:b/>
              </w:rPr>
            </w:pPr>
            <w:r>
              <w:rPr>
                <w:b/>
              </w:rPr>
              <w:t>LENDER:  </w:t>
            </w:r>
          </w:p>
        </w:tc>
      </w:tr>
      <w:tr>
        <w:trPr/>
        <w:tc>
          <w:tcPr>
            <w:tcW w:w="80" w:type="dxa"/>
            <w:tcBorders/>
            <w:vAlign w:val="center"/>
          </w:tcPr>
          <w:p>
            <w:pPr>
              <w:pStyle w:val="TableContents"/>
              <w:bidi w:val="0"/>
              <w:spacing w:before="0" w:after="283"/>
              <w:jc w:val="left"/>
              <w:rPr/>
            </w:pPr>
            <w:r>
              <w:rPr/>
              <w:t> </w:t>
            </w:r>
          </w:p>
        </w:tc>
        <w:tc>
          <w:tcPr>
            <w:tcW w:w="547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479" w:type="dxa"/>
            <w:gridSpan w:val="2"/>
            <w:tcBorders/>
            <w:vAlign w:val="center"/>
          </w:tcPr>
          <w:p>
            <w:pPr>
              <w:pStyle w:val="TableContents"/>
              <w:bidi w:val="0"/>
              <w:spacing w:before="0" w:after="283"/>
              <w:jc w:val="left"/>
              <w:rPr/>
            </w:pPr>
            <w:r>
              <w:rPr/>
              <w:t>PRESTO CA LLC, a Delaware limited liability company</w:t>
            </w:r>
          </w:p>
        </w:tc>
      </w:tr>
      <w:tr>
        <w:trPr/>
        <w:tc>
          <w:tcPr>
            <w:tcW w:w="80" w:type="dxa"/>
            <w:tcBorders/>
            <w:vAlign w:val="center"/>
          </w:tcPr>
          <w:p>
            <w:pPr>
              <w:pStyle w:val="TableContents"/>
              <w:bidi w:val="0"/>
              <w:spacing w:before="0" w:after="283"/>
              <w:jc w:val="left"/>
              <w:rPr/>
            </w:pPr>
            <w:r>
              <w:rPr/>
              <w:t> </w:t>
            </w:r>
          </w:p>
        </w:tc>
        <w:tc>
          <w:tcPr>
            <w:tcW w:w="547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pPr>
            <w:r>
              <w:rPr/>
              <w:t>By:</w:t>
            </w:r>
          </w:p>
        </w:tc>
        <w:tc>
          <w:tcPr>
            <w:tcW w:w="4172" w:type="dxa"/>
            <w:tcBorders>
              <w:bottom w:val="single" w:sz="8" w:space="0" w:color="000000"/>
            </w:tcBorders>
            <w:tcMar>
              <w:bottom w:w="28" w:type="dxa"/>
            </w:tcMar>
            <w:vAlign w:val="center"/>
          </w:tcPr>
          <w:p>
            <w:pPr>
              <w:pStyle w:val="TableContents"/>
              <w:bidi w:val="0"/>
              <w:spacing w:before="0" w:after="283"/>
              <w:jc w:val="left"/>
              <w:rPr/>
            </w:pPr>
            <w:r>
              <w:rPr/>
              <w:t>/s/ Joseph Q. McCoy</w:t>
            </w:r>
          </w:p>
        </w:tc>
      </w:tr>
      <w:tr>
        <w:trPr/>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pPr>
            <w:r>
              <w:rPr/>
              <w:t>Name:</w:t>
            </w:r>
          </w:p>
        </w:tc>
        <w:tc>
          <w:tcPr>
            <w:tcW w:w="4172" w:type="dxa"/>
            <w:tcBorders/>
            <w:vAlign w:val="center"/>
          </w:tcPr>
          <w:p>
            <w:pPr>
              <w:pStyle w:val="TableContents"/>
              <w:bidi w:val="0"/>
              <w:spacing w:before="0" w:after="283"/>
              <w:jc w:val="left"/>
              <w:rPr/>
            </w:pPr>
            <w:r>
              <w:rPr/>
              <w:t>Joseph Q. McCoy</w:t>
            </w:r>
          </w:p>
        </w:tc>
      </w:tr>
      <w:tr>
        <w:trPr/>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pPr>
            <w:r>
              <w:rPr/>
              <w:t>Its:</w:t>
            </w:r>
          </w:p>
        </w:tc>
        <w:tc>
          <w:tcPr>
            <w:tcW w:w="4172"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Agreement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30" w:name="tm249250d1_ex10-3.htm"/>
      <w:bookmarkStart w:id="31" w:name="kstm249250d1_ex103"/>
      <w:bookmarkEnd w:id="30"/>
      <w:bookmarkEnd w:id="31"/>
      <w:r>
        <w:rPr>
          <w:b/>
        </w:rPr>
        <w:t>Exhibit 10.3</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SUBORDINATION AGREEMENT (as amended, restated, supplemented or otherwise modified from time to time,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March 21, 2024, between Metropolitan Partners Group Administration, LLC, in its capacity as agent (in such capacity, the “</w:t>
      </w:r>
      <w:r>
        <w:rPr>
          <w:rFonts w:ascii="Times New Roman;Times;Serif" w:hAnsi="Times New Roman;Times;Serif"/>
          <w:b w:val="false"/>
          <w:i w:val="false"/>
          <w:caps w:val="false"/>
          <w:smallCaps w:val="false"/>
          <w:sz w:val="20"/>
          <w:u w:val="single"/>
        </w:rPr>
        <w:t>Subordinated Agent</w:t>
      </w:r>
      <w:r>
        <w:rPr>
          <w:rFonts w:ascii="Times New Roman;Times;Serif" w:hAnsi="Times New Roman;Times;Serif"/>
          <w:b w:val="false"/>
          <w:i w:val="false"/>
          <w:caps w:val="false"/>
          <w:smallCaps w:val="false"/>
          <w:sz w:val="20"/>
        </w:rPr>
        <w:t>”) for the Lenders (as defined in the Subordinated Debt Documents, and referred to herein as the “</w:t>
      </w:r>
      <w:r>
        <w:rPr>
          <w:rFonts w:ascii="Times New Roman;Times;Serif" w:hAnsi="Times New Roman;Times;Serif"/>
          <w:b w:val="false"/>
          <w:i w:val="false"/>
          <w:caps w:val="false"/>
          <w:smallCaps w:val="false"/>
          <w:sz w:val="20"/>
          <w:u w:val="single"/>
        </w:rPr>
        <w:t>Subordinated Creditors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Subordinated Creditor</w:t>
      </w:r>
      <w:r>
        <w:rPr>
          <w:rFonts w:ascii="Times New Roman;Times;Serif" w:hAnsi="Times New Roman;Times;Serif"/>
          <w:b w:val="false"/>
          <w:i w:val="false"/>
          <w:caps w:val="false"/>
          <w:smallCaps w:val="false"/>
          <w:sz w:val="20"/>
        </w:rPr>
        <w:t>”), Presto CA LLC (“</w:t>
      </w:r>
      <w:r>
        <w:rPr>
          <w:rFonts w:ascii="Times New Roman;Times;Serif" w:hAnsi="Times New Roman;Times;Serif"/>
          <w:b w:val="false"/>
          <w:i w:val="false"/>
          <w:caps w:val="false"/>
          <w:smallCaps w:val="false"/>
          <w:sz w:val="20"/>
          <w:u w:val="single"/>
        </w:rPr>
        <w:t>Senior Lender</w:t>
      </w:r>
      <w:r>
        <w:rPr>
          <w:rFonts w:ascii="Times New Roman;Times;Serif" w:hAnsi="Times New Roman;Times;Serif"/>
          <w:b w:val="false"/>
          <w:i w:val="false"/>
          <w:caps w:val="false"/>
          <w:smallCaps w:val="false"/>
          <w:sz w:val="20"/>
        </w:rPr>
        <w:t>”), Presto Automation Inc. (f/k/a Ventoux CCM Acquisition Corp.), a Delaware corporation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xml:space="preserve">”), and Presto Automation LLC (f/k/a </w:t>
      </w:r>
      <w:r>
        <w:rPr>
          <w:rFonts w:ascii="Times New Roman;Times;Serif" w:hAnsi="Times New Roman;Times;Serif"/>
          <w:b w:val="false"/>
          <w:i w:val="false"/>
          <w:caps/>
          <w:sz w:val="20"/>
        </w:rPr>
        <w:t xml:space="preserve">E </w:t>
      </w:r>
      <w:r>
        <w:rPr>
          <w:rFonts w:ascii="Times New Roman;Times;Serif" w:hAnsi="Times New Roman;Times;Serif"/>
          <w:b w:val="false"/>
          <w:i w:val="false"/>
          <w:caps w:val="false"/>
          <w:smallCaps w:val="false"/>
          <w:sz w:val="20"/>
        </w:rPr>
        <w:t>La Carte</w:t>
      </w:r>
      <w:r>
        <w:rPr>
          <w:rFonts w:ascii="Times New Roman;Times;Serif" w:hAnsi="Times New Roman;Times;Serif"/>
          <w:b w:val="false"/>
          <w:i w:val="false"/>
          <w:caps/>
          <w:sz w:val="20"/>
        </w:rPr>
        <w:t xml:space="preserve">, LLC, </w:t>
      </w:r>
      <w:r>
        <w:rPr>
          <w:rFonts w:ascii="Times New Roman;Times;Serif" w:hAnsi="Times New Roman;Times;Serif"/>
          <w:b w:val="false"/>
          <w:i w:val="false"/>
          <w:caps w:val="false"/>
          <w:smallCaps w:val="false"/>
          <w:sz w:val="20"/>
        </w:rPr>
        <w:t>f/k/a Ventoux Merger Sub II LLC), a Delaware limited liability company (“</w:t>
      </w:r>
      <w:r>
        <w:rPr>
          <w:rFonts w:ascii="Times New Roman;Times;Serif" w:hAnsi="Times New Roman;Times;Serif"/>
          <w:b w:val="false"/>
          <w:i w:val="false"/>
          <w:caps w:val="false"/>
          <w:smallCaps w:val="false"/>
          <w:sz w:val="20"/>
          <w:u w:val="single"/>
        </w:rPr>
        <w:t>Opco</w:t>
      </w:r>
      <w:r>
        <w:rPr>
          <w:rFonts w:ascii="Times New Roman;Times;Serif" w:hAnsi="Times New Roman;Times;Serif"/>
          <w:b w:val="false"/>
          <w:i w:val="false"/>
          <w:caps w:val="false"/>
          <w:smallCaps w:val="false"/>
          <w:sz w:val="20"/>
        </w:rPr>
        <w:t>,” and collectively with Holdings, regardless of whether one or more,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Agent and the Subordinated Creditors have provided certain financial accommodations to the Borrower from time to time pursuant to the Subordinated Debt Documents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Agent and the Subordinated Creditors have agreed to (a) permit the Senior Lender to provide the Senior Debt (as defined below), and certain financial accommodations to the Borrower from time to time pursuant to the Senior Debt Documents (as defined below; the Senior Debt Documents and the Subordinated Debt Documents are sometimes hereinafter collectively referred to the “Debt Documents” and individually as a “Debt Document”), and (b) subordinate the Subordinated Debt (as defined below; the Subordinated Debt and the Senior Debt are sometimes referred to as the “Debt”) to the Senior Debt on the condition that Borrower and Senior Lender enter into this Agreement in accordance with the terms hereof. Senior Lender acknowledges that it has received value in entering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for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 the following terms shall have the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any Person which owns directly or indirectly 10% or more of the equity interests having ordinary voting power for the election of directors or other members of the governing body of a Person or 10% or more of the partnership or other ownership interests of a Person (other than as a limited partner of such Person) shall be deemed an Affiliate of such Person, and (b) each partnership in which a Person is a general partner shall be deemed an Affiliate of such Person. For purposes hereof, each of the Senior Lender, the Subordinated Agent, each Subordinated Creditor and each affiliate thereof, in each case, shall be deemed not to be an Affiliate of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title 11 of the United States Code, as amended from time to time and any successor statute and all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means all of the existing or hereafter acquired assets and property, whether real, personal or mixed, of each Loan Party, Borrower and each other Obligor, together with any and all other assets and properties of any other Person that at any time secure all or any portion of the Senior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Debt</w:t>
      </w:r>
      <w:r>
        <w:rPr>
          <w:rFonts w:ascii="Times New Roman;Times;Serif" w:hAnsi="Times New Roman;Times;Serif"/>
          <w:b w:val="false"/>
          <w:i w:val="false"/>
          <w:caps w:val="false"/>
          <w:smallCaps w:val="false"/>
          <w:sz w:val="20"/>
        </w:rPr>
        <w:t>” means the Senior Debt and/or the Subordinated Debt,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Debt Documents</w:t>
      </w:r>
      <w:r>
        <w:rPr>
          <w:rFonts w:ascii="Times New Roman;Times;Serif" w:hAnsi="Times New Roman;Times;Serif"/>
          <w:b w:val="false"/>
          <w:i w:val="false"/>
          <w:caps w:val="false"/>
          <w:smallCaps w:val="false"/>
          <w:sz w:val="20"/>
        </w:rPr>
        <w:t>” means the Senior Debt Documents and/or the Subordinated Debt Documents,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means, with respect to any interest in property, the sale, lease, license or other disposition of such interest in such property outside the ordinary course of the Obligor’s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xml:space="preserve"> shall mean, with respect to any indebtedness, liability or other obligation, (a) any payment or distribution by any Person of cash, securities or other property, by set-off or otherwise, on account of such indebtedness, liability or other obligation (including without limitation any payment or distribution on account of any loan, “put option,” dividend or otherwise), or (b) any redemption, purchase or other acquisition of such indebtedness, liability or other obligation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Enforcement Action</w:t>
      </w:r>
      <w:r>
        <w:rPr>
          <w:rFonts w:ascii="Times New Roman;Times;Serif" w:hAnsi="Times New Roman;Times;Serif"/>
          <w:b w:val="false"/>
          <w:i w:val="false"/>
          <w:caps w:val="false"/>
          <w:smallCaps w:val="false"/>
          <w:sz w:val="20"/>
        </w:rPr>
        <w:t>” means to (a) take from or for the account of any Loan Party, any Borrower, any other Obligor or any guarantor of any Debt, by set-off or in any other manner, the whole or any part of any moneys which may now or hereafter be owing by any Borrower, any other Obligor or any such guarantor with respect to such Debt, (b) initiate or participate with others in any suit, action or proceeding against any Loan Party, Borrower, any other Obligor or any such guarantor to (i) to sue for or enforce payment of the whole or any part of any Debt, (ii) commence or join with other Persons to commence a Proceeding against any Loan Party, Borrower, any other Obligor or any such guarantor, or (iii) commence judicial enforcement of any of the rights and remedies under any Debt Documents or applicable law with respect to any Debt, (c) accelerate any Debt, (d) take any action to enforce any rights or remedies with respect any Debt, (e) exercise any put option or to cause any Loan Party, Borrower, any other Obligor or any such guarantor to honor any redemption or mandatory prepayment obligation under any Debt Document , (f) exercise, seek to exercise, join any Person in exercising, or institute, maintain or participate in any action or proceeding pursuing or otherwise in connection with any rights or remedies of a secured party or unsecured party under any Debt Documents or applicable law or take any action under the provisions of any state or federal law, including, without limitation, the UCC, or under any contract or agreement, to enforce, foreclose upon, take possession of or sell any property or assets of any Loan Party, any Company, any other Obligor or any such guarantor, including, without limitation (i) instituting or maintaining, or joining any Person in instituting or maintaining, any attachment, collection, execution, levy, or foreclosure action or proceeding against any Collateral, whether under any Debt Document or otherwise; (ii) exercising any right of set-off with respect to any Obligor or any Collateral; (iii) exercising any right or remedy under any deposit account control agreement or securities account control account agreement for any account constituting Collateral; and/or (iv) causing (or, after the occurrence and during the continuance of any event of default relating to any Debt, consenting to) any asset sale or other disposition of any Collateral (whether through a broker or investment banker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Insolvency Proceeding</w:t>
      </w:r>
      <w:r>
        <w:rPr>
          <w:rFonts w:ascii="Times New Roman;Times;Serif" w:hAnsi="Times New Roman;Times;Serif"/>
          <w:b w:val="false"/>
          <w:i w:val="false"/>
          <w:caps w:val="false"/>
          <w:smallCaps w:val="false"/>
          <w:sz w:val="20"/>
        </w:rPr>
        <w:t>” means any: (a) bankruptcy, receivership, insolvency, liquidation, reorganization, composition, assignment for the benefit of creditors, or similar proceeding relating to any Obligor or its properties; (b) proceeding for any liquidation, liquidating distribution, dissolution, or other winding-up of any Obligor or the appointment of any receiver, conservator, assignee, custodian, trustee or other officer with similar powers; or (c) marshaling of the assets or liabilities of any Obligor; in each case, whether voluntary or involuntary and regardless of whether instituted under federal, state, or other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 any interest in property securing an obligation owed to, or a claim by, a Person other than the owner of the property, whether such interest is based on the common law, statute, or contract, and including a security interest, charge, claim, or lien arising from a mortgage, deed of trust, encumbrance, pledge, hypothecation, assignment, deposit arrangement, agreement, security agreement, conditional sale or trust receipt or a lease, consignment or bailment for security purposes; (b) to the extent not included under clause (a), any reservation, exception, encroachment, easement, right-of-way, covenant, condition, restriction, lease or other title exception or encumbrance affecting property; and (c) any contingent or other agreement to provide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Loan Party</w:t>
      </w:r>
      <w:r>
        <w:rPr>
          <w:rFonts w:ascii="Times New Roman;Times;Serif" w:hAnsi="Times New Roman;Times;Serif"/>
          <w:b w:val="false"/>
          <w:i w:val="false"/>
          <w:caps w:val="false"/>
          <w:smallCaps w:val="false"/>
          <w:sz w:val="20"/>
        </w:rPr>
        <w:t>” is used herein as defined in the Senior Credit Agreement and includes, without limitation, each Borrower and the guarantors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Net Cash Proceeds</w:t>
      </w:r>
      <w:r>
        <w:rPr>
          <w:rFonts w:ascii="Times New Roman;Times;Serif" w:hAnsi="Times New Roman;Times;Serif"/>
          <w:b w:val="false"/>
          <w:i w:val="false"/>
          <w:caps w:val="false"/>
          <w:smallCaps w:val="false"/>
          <w:sz w:val="20"/>
        </w:rPr>
        <w:t>” means, with respect to any transaction or event, an amount equal to the cash proceeds received by any Loan Party (or any of its subsidiaries) from or in respect of such transaction or event (including cash proceeds of any non-cash proceeds of such transaction), less (a) any out of pocket expenses that are reasonably incurred by such Loan Party, a subsidiary of a Loan Party or the Subordinated Agent, (b) the amount of any reserve established in accordance with GAAP (provided that such reserved amounts shall be Net Cash Proceeds to the extent and at the time of any reversal (without the satisfaction of any applicable liabilities in a corresponding amount) of any such reserve, and (c) in the case of any Disposition, the amount of any indebtedness (other than the Subordinated Debt) secured by a Lien on the related asset and discharged with the proceeds of such Disposition and any taxes paid or reasonably estimated by the applicable Obligor to be payable by such Person in respect of such Disposition; provided, that, if the actual amount of taxes paid is less than the estimated amount, the difference shall immediately constitute Net Cash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means the Borrower, each other Loan Party, and any other Person now or hereafter becoming obligated in respect of, guarantying, or providing collateral security for the Senior Debt, the Subordinated Debt, or both, and each of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Paid in Full</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Payment in Full</w:t>
      </w:r>
      <w:r>
        <w:rPr>
          <w:rFonts w:ascii="Times New Roman;Times;Serif" w:hAnsi="Times New Roman;Times;Serif"/>
          <w:b w:val="false"/>
          <w:i w:val="false"/>
          <w:caps w:val="false"/>
          <w:smallCaps w:val="false"/>
          <w:sz w:val="20"/>
        </w:rPr>
        <w:t>” means, as of any date of determination with respect to any Debt, that (a) all of such Debt has been indefeasibly paid in full in cash, and (b) no Person has any further right to obtain any loans or other extensions of credit under Debt Documents relating to such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general or limited partnership, limited liability company, firm, trust, association, government, governmental agency or other entity, whether acting in an individual, fiduciary or other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collectively, Senior Lender, the Subordinated Agent and the Subordinated Creditors, and “</w:t>
      </w:r>
      <w:r>
        <w:rPr>
          <w:rFonts w:ascii="Times New Roman;Times;Serif" w:hAnsi="Times New Roman;Times;Serif"/>
          <w:b w:val="false"/>
          <w:i w:val="false"/>
          <w:caps w:val="false"/>
          <w:smallCaps w:val="false"/>
          <w:sz w:val="20"/>
          <w:u w:val="single"/>
        </w:rPr>
        <w:t>Secured Party</w:t>
      </w:r>
      <w:r>
        <w:rPr>
          <w:rFonts w:ascii="Times New Roman;Times;Serif" w:hAnsi="Times New Roman;Times;Serif"/>
          <w:b w:val="false"/>
          <w:i w:val="false"/>
          <w:caps w:val="false"/>
          <w:smallCaps w:val="false"/>
          <w:sz w:val="20"/>
        </w:rPr>
        <w:t>” means any of them,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Senior Note</w:t>
      </w:r>
      <w:r>
        <w:rPr>
          <w:rFonts w:ascii="Times New Roman;Times;Serif" w:hAnsi="Times New Roman;Times;Serif"/>
          <w:b w:val="false"/>
          <w:i w:val="false"/>
          <w:caps w:val="false"/>
          <w:smallCaps w:val="false"/>
          <w:sz w:val="20"/>
        </w:rPr>
        <w:t>” means that certain Senior Secured Promissory Note, dated as of March 15, 2024 (as the same has been or may be amended, restated, replaced, renewed, supplemented, refinanced, extended or otherwise modified or restated from time to time), among the Senior Lender, Borrower and certain of Borrower’s Affiliates.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Senior Debt</w:t>
      </w:r>
      <w:r>
        <w:rPr>
          <w:rFonts w:ascii="Times New Roman;Times;Serif" w:hAnsi="Times New Roman;Times;Serif"/>
          <w:b w:val="false"/>
          <w:i w:val="false"/>
          <w:caps w:val="false"/>
          <w:smallCaps w:val="false"/>
          <w:sz w:val="20"/>
        </w:rPr>
        <w:t>” means any and all of the obligations, liabilities and indebtedness of every nature of the Borrower and the other Obligors from time to time owed to Senior Lender under the Senior Debt Documents in an aggregate principal amount not to exceed $4,000,000, less the amount of any principal payments on the Senior Debt, together with all other obligations thereunder, including, without limitation, the principal amount of all debts, claims and indebtedness, accrued and unpaid interest and all fees, costs and expenses, whether primary, secondary, direct, contingent, fixed or otherwise, heretofore, now and from time to time hereafter owing, due or payable, whether before or after the filing of an Insolvency Proceeding (including under the Bankruptcy Code) together with any interest, fees, costs and expenses accruing thereon after the commencement of an Insolvency Proceeding, without regard to whether or not such interest, fees, costs and expenses are allowed or allowable.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Senior Debt Documents</w:t>
      </w:r>
      <w:r>
        <w:rPr>
          <w:rFonts w:ascii="Times New Roman;Times;Serif" w:hAnsi="Times New Roman;Times;Serif"/>
          <w:b w:val="false"/>
          <w:i w:val="false"/>
          <w:caps w:val="false"/>
          <w:smallCaps w:val="false"/>
          <w:sz w:val="20"/>
        </w:rPr>
        <w:t>” means the Senior Note and each other agreement, instrument or other document executed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Senior Credit Agreement Documents</w:t>
      </w:r>
      <w:r>
        <w:rPr>
          <w:rFonts w:ascii="Times New Roman;Times;Serif" w:hAnsi="Times New Roman;Times;Serif"/>
          <w:b w:val="false"/>
          <w:i w:val="false"/>
          <w:caps w:val="false"/>
          <w:smallCaps w:val="false"/>
          <w:sz w:val="20"/>
        </w:rPr>
        <w:t>” shall mean the Senior Note and all other agreements, documents and instruments executed from time to time in connection therewith, as the same may be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Subordinated Debt</w:t>
      </w:r>
      <w:r>
        <w:rPr>
          <w:rFonts w:ascii="Times New Roman;Times;Serif" w:hAnsi="Times New Roman;Times;Serif"/>
          <w:b w:val="false"/>
          <w:i w:val="false"/>
          <w:caps w:val="false"/>
          <w:smallCaps w:val="false"/>
          <w:sz w:val="20"/>
        </w:rPr>
        <w:t>” means any and all of the obligations, liabilities and indebtedness of every nature of the Borrower and the other Obligors from time to time owed to Subordinated Creditor under the Subordinated Debt Documents, together with all other obligations thereunder, including, without limitation, the principal amount of all debts, claims and indebtedness, accrued and unpaid interest and all fees, costs and expenses, whether primary, secondary, direct, contingent, fixed or otherwise, heretofore, now and from time to time hereafter owing, due or payable, whether before or after the filing of an Insolvency Proceeding (including under the Bankruptcy Code) together with any interest, fees, costs and expenses accruing thereon after the commencement of an Insolvency Proceeding, without regard to whether or not such interest, fees, costs and expenses are allowed or allowable. Subordinated Debt shall be considered to be outstanding whenever any loan commitment under the Subordinated Debt Documents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Subordinated Debt Documents</w:t>
      </w:r>
      <w:r>
        <w:rPr>
          <w:rFonts w:ascii="Times New Roman;Times;Serif" w:hAnsi="Times New Roman;Times;Serif"/>
          <w:b w:val="false"/>
          <w:i w:val="false"/>
          <w:caps w:val="false"/>
          <w:smallCaps w:val="false"/>
          <w:sz w:val="20"/>
        </w:rPr>
        <w:t>” means that certain Credit Agreement, dated as of September 21, 2022 (as amended, restated, modified or supplemented from time to time), among the Loan Parties, Metropolitan Partners Group Administration, LLC, as agent, and each agreement, instrument or other document executed in connection therewith, as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Subordinated Loans</w:t>
      </w:r>
      <w:r>
        <w:rPr>
          <w:rFonts w:ascii="Times New Roman;Times;Serif" w:hAnsi="Times New Roman;Times;Serif"/>
          <w:b w:val="false"/>
          <w:i w:val="false"/>
          <w:caps w:val="false"/>
          <w:smallCaps w:val="false"/>
          <w:sz w:val="20"/>
        </w:rPr>
        <w:t>” shall mean those certain Term Loans (as defined in the Subordinated Debt Documents) issued prior to the date hereof, whether or not evidenced by a promissory note or other debt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of any applicable jurisdiction, and if any such jurisdiction shall not have a Uniform Commercial Code in effect, the Uniform Commercial Code as in effect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Each of the Subordinated Agent and each Subordinated Creditor unconditionally subordinates to Senior Lender any and all Liens which the Subordinated Agent and/or such Subordinated Creditor may presently have or which it may hereafter acquire in any Collateral, regardless of the date, manner or order of grant, attachment or perfection of any such Lien and notwithstanding any provision of the UCC or any other applicable law, document governing any indebtedness between such Subordinated Creditor and any Obligor or any other circumstance whatsoever. Except as expressly provided for herein, no provision hereof shall be construed to prohibit the payment by a Borrower of principal, interest and other amounts owed in respect of the Subordinated Debt so long as the receipt thereof is not the direct or indirect result of any Enforcement Action, Collateral Disposition (as defined in Section 8) or Claim Distribution (as defined in Section 12).</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 Not to Contest</w:t>
      </w:r>
      <w:r>
        <w:rPr>
          <w:rFonts w:ascii="Times New Roman;Times;Serif" w:hAnsi="Times New Roman;Times;Serif"/>
          <w:b w:val="false"/>
          <w:i w:val="false"/>
          <w:caps w:val="false"/>
          <w:smallCaps w:val="false"/>
          <w:sz w:val="20"/>
        </w:rPr>
        <w:t xml:space="preserve">. Senior Lender shall not object to or contest, or support any other Person in contesting or objecting to, in any proceeding (including any Insolvency Proceeding), the validity, extent, perfection, priority, or enforceability of any Lien in the Collateral granted to the Subordinated Agent, on behalf of the Subordinated Creditors, or any claim by Subordinated Agent or any Subordinated Creditor in respect of the Subordinated Debt, including, without limitation, any claim for allowance in any Insolvency Proceeding of post-petition interest, fees or expenses. Notwithstanding any failure by any Secured Party to perfect any Lien in any of the Collateral or any avoidance, invalidation, or subordination by any third party or court of competent jurisdiction of any Lien in the Collateral in favor of any Secured Party or any Subordinated Debt, the priority and rights as between the Secured Parties with respect to the Collateral shall be as set forth in </w:t>
      </w:r>
      <w:r>
        <w:rPr>
          <w:rFonts w:ascii="Times New Roman;Times;Serif" w:hAnsi="Times New Roman;Times;Serif"/>
          <w:b w:val="false"/>
          <w:i w:val="false"/>
          <w:caps w:val="false"/>
          <w:smallCaps w:val="false"/>
          <w:sz w:val="20"/>
          <w:u w:val="single"/>
        </w:rPr>
        <w:t>Section 2 and Section12</w:t>
      </w:r>
      <w:r>
        <w:rPr>
          <w:rFonts w:ascii="Times New Roman;Times;Serif" w:hAnsi="Times New Roman;Times;Serif"/>
          <w:b w:val="false"/>
          <w:i w:val="false"/>
          <w:caps w:val="false"/>
          <w:smallCaps w:val="false"/>
          <w:sz w:val="20"/>
        </w:rPr>
        <w:t>. Each Secured Party is solely responsible for perfecting and maintaining the perfection of its Liens in its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Similar Liens</w:t>
      </w:r>
      <w:r>
        <w:rPr>
          <w:rFonts w:ascii="Times New Roman;Times;Serif" w:hAnsi="Times New Roman;Times;Serif"/>
          <w:b w:val="false"/>
          <w:i w:val="false"/>
          <w:caps w:val="false"/>
          <w:smallCaps w:val="false"/>
          <w:sz w:val="20"/>
        </w:rPr>
        <w:t>. The Secured Parties acknowledge and agree that it is their intention that the Liens securing the Senior Debt secure only Collateral in which the Subordinated Agent, on behalf of the Subordinated Creditors, has a Lien. In furtherance of the foregoing, the Senior Lender hereby agrees (a) to cooperate in good faith (and to direct its counsel to cooperate in good faith) in order to determine, upon any reasonable request by Subordinated Agent or any Subordinated Creditor, the specific assets included in the Collateral securing the Senior Debt, the steps taken to perfect the respective Liens thereon, and the identity of the respective parties obligated in connection therewith, and (b) that the Collateral subject to the Liens of the Senior Lender, shall at all times be subject to identical Liens in favor of the Subordinated Agent, in favor of the Subordinated Creditors. Senior Lender will not seek (whether by law, contract or otherwise), nor shall any Obligor grant to any Senior Lender, any Liens on Collateral not also subject to Liens in favor of the Subordinated Agent, on behalf of the Subordinated Creditors, nor shall Senior Lender seek any guaranty or other credit support from any Person other than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Marshaling</w:t>
      </w:r>
      <w:r>
        <w:rPr>
          <w:rFonts w:ascii="Times New Roman;Times;Serif" w:hAnsi="Times New Roman;Times;Serif"/>
          <w:b w:val="false"/>
          <w:i w:val="false"/>
          <w:caps w:val="false"/>
          <w:smallCaps w:val="false"/>
          <w:sz w:val="20"/>
        </w:rPr>
        <w:t>. Senior Lender hereby waives any rights it may have under applicable law to assert the doctrine of marshaling or to otherwise require Subordinated Agent or any Subordinated Creditor to marshal any property of any Obligor or of any other guarantor or other obligor of the Subordinated Debt for the benefit of Senior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Standstill</w:t>
      </w:r>
      <w:r>
        <w:rPr>
          <w:rFonts w:ascii="Times New Roman;Times;Serif" w:hAnsi="Times New Roman;Times;Serif"/>
          <w:b w:val="false"/>
          <w:i w:val="false"/>
          <w:caps w:val="false"/>
          <w:smallCaps w:val="false"/>
          <w:sz w:val="20"/>
        </w:rPr>
        <w:t xml:space="preserve">. Until all of the Subordinated Debt has been Paid in Full, Senior Lender shall not, without the prior written consent of the Subordinated Agent, take any Enforcement Action with respect to any or all of the Senior Debt or the Collateral. Until the Subordinated Debt is Paid in Full, the Subordinated Agent in its own name or in the same of the Senior Lender will have the exclusive right to (1) commence and maintain Enforcement Actions with respect to the Senior Debt and/or the Subordinated Debt (including the rights to set-off or “credit bid” their debt), (2) make determinations regarding the release or disposition of, or restrictions with respect to, the Collateral, and (3) otherwise enforce the rights and remedies of a secured creditor under the UCC, the Bankruptcy Code and other applicable law and the laws regarding bankruptcy, receivership, assignments for the beneficial creditors, dissolution, winding up or otherwise with respect to the rights of creditors of any applicable jurisdiction in such order and in such manner as the Subordinated Agent may determine in its sole discretion without consulting with or obtaining the consent of any Senior Lender and regardless of whether any such exercise is adverse to the interests of the Senior Lender, except as otherwise required pursuant to the UCC and applicable law, and subject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Notwithstanding the foregoing, Senior Lender may file proofs of claim against Borrower in any Insolvency Proceeding involving Borrower to the extent pertaining to the Senior Debt (subject to Section 11 below).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Incorrect Payments</w:t>
      </w:r>
      <w:r>
        <w:rPr>
          <w:rFonts w:ascii="Times New Roman;Times;Serif" w:hAnsi="Times New Roman;Times;Serif"/>
          <w:b w:val="false"/>
          <w:i w:val="false"/>
          <w:caps w:val="false"/>
          <w:smallCaps w:val="false"/>
          <w:sz w:val="20"/>
        </w:rPr>
        <w:t>. If at any time any Distribution on account of any or all of the Subordinated Debt not permitted to be made by any Obligor or any other Person or accepted by Subordinated Agent or any Subordinated Creditor under this Agreement is received by Subordinated Agent or any Subordinated Creditor, such Distribution shall be held in trust by Subordinated Agent or such Subordinated Creditor, as applicable, for the benefit of the Senior Lender, and shall be promptly delivered to the Senior Lender in the form received (together with endorsements of Subordinated Agent where necessary or otherwise required by the Senior Lender) for application (in accordance with the Senior Debt Documents) to the payment of the Senior Debt then remaining unpaid until all of the Senior Debt has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Sale of Collateral</w:t>
      </w:r>
      <w:r>
        <w:rPr>
          <w:rFonts w:ascii="Times New Roman;Times;Serif" w:hAnsi="Times New Roman;Times;Serif"/>
          <w:b w:val="false"/>
          <w:i w:val="false"/>
          <w:caps w:val="false"/>
          <w:smallCaps w:val="false"/>
          <w:sz w:val="20"/>
        </w:rPr>
        <w:t>. In the event that Subordinated Agent or any Obligor desires to make a Disposition (including in connection with any Insolvency Proceeding or any Enforcement Action by the Subordinated Agent) of any interest in any of the Collateral or in any other assets of such Obligor (including any Disposition of the equity interests of the Borrower or any other Obligor) (each a “</w:t>
      </w:r>
      <w:r>
        <w:rPr>
          <w:rFonts w:ascii="Times New Roman;Times;Serif" w:hAnsi="Times New Roman;Times;Serif"/>
          <w:b w:val="false"/>
          <w:i w:val="false"/>
          <w:caps w:val="false"/>
          <w:smallCaps w:val="false"/>
          <w:sz w:val="20"/>
          <w:u w:val="single"/>
        </w:rPr>
        <w:t>Collateral Disposition</w:t>
      </w:r>
      <w:r>
        <w:rPr>
          <w:rFonts w:ascii="Times New Roman;Times;Serif" w:hAnsi="Times New Roman;Times;Serif"/>
          <w:b w:val="false"/>
          <w:i w:val="false"/>
          <w:caps w:val="false"/>
          <w:smallCaps w:val="false"/>
          <w:sz w:val="20"/>
        </w:rPr>
        <w:t xml:space="preserve">”) and the Subordinated Agent consents to such Collateral Disposition, Senior Lender shall be deemed to have consented to such Collateral Disposition and such Collateral Disposition shall be free and clear of any Liens or interests of Senior Lender in such Collateral, the Borrower or such Obligor (including, in the case of a sale or other Disposition of the equity interests of Borrower or any Obligor, the release of Borrower or such Obligor, as applicable, whose equity interests are being sold or disposed of in such Disposition) or such other assets (and Senior Lender shall release the Borrower and each Obligor from, and terminate and discharge, any and all obligations, any guaranty, indebtedness, liabilities or other obligation owing to Senior Lender or any Senior Lender with respect to the Senior Debt if such Collateral Disposition involves the equity interests of the Borrower or any other Obligor), and any purchaser of any Collateral or such other asset may rely on this Agreement as evidence of Senior Lender’s consent to such Collateral Disposition and that such Collateral Disposition is free and clear of any Liens or interests of Senior Lender in such Collateral, such other asset or such Borrower or Obligor (in the case of a Disposition of the equity interests of Borrower or such Obligor), in each case regardless of whether the proceeds of such Collateral Disposition are sufficient to result in the Payment in Full of the Senior Debt. Senior Lender shall promptly execute and deliver to the Subordinated Agent such release documents as the Subordinated Agent may reasonably request to effectively release or confirm the release of Senior Lender’s Liens and take such further actions as the Subordinated Agent may reasonably require in order to release or terminate Senior Lender’s Liens on such Collateral (or release the Borrower or applicable Obligor in connection with a sale of the equity interests of the Borrower or any other Obligor). Senior Lender hereby irrevocably appoints the Subordinated Agent as its attorney-in-fact, with full power of substitution and with full authority in the place and stead of Senior Lender and in the name of Senior Lender or otherwise, to execute and deliver any document or instrument which Senior Lender may be required to deliver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This appointment is coupled with an interest and is irrevocable until all Subordinated Debt is Paid in Full or such time as this Agreement is terminated in accordance with its terms. In connection with any public or private sale under the UCC, 10 days’ notice shall be deemed to be commercially reasonable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Rights Relating to Actions with Respect to the Collateral</w:t>
      </w:r>
      <w:r>
        <w:rPr>
          <w:rFonts w:ascii="Times New Roman;Times;Serif" w:hAnsi="Times New Roman;Times;Serif"/>
          <w:b w:val="false"/>
          <w:i w:val="false"/>
          <w:caps w:val="false"/>
          <w:smallCaps w:val="false"/>
          <w:sz w:val="20"/>
        </w:rPr>
        <w:t>. Senior Lender hereby: (a) waives, to the extent permitted by applicable law, any rights which it may have to enjoin or otherwise obtain a judicial or administrative order preventing the Subordinated Agent or any Subordinated Creditor from taking, or refraining from taking, any action with respect to all or any part of the Collateral; (b) agrees that, except as otherwise set forth in Section 2 and Section 12 hereof, it has no right to direct or object to the manner in which the Subordinated Agent or any Subordinated Creditor applies the proceeds of any or all of the Collateral resulting from the exercise by the Subordinated Agent or any Subordinated Creditor, as applicable, of rights and remedies under the Subordinated Debt Documents to the Subordinated Debt; (c) agrees that it waives any right to object to any action or inaction by the Subordinated Agent or any Subordinated Creditor with respect to exercising its rights or remedies under the Subordinated Debt Documents or with respect to the Collateral (including in connection with any foreclosure or enforcement of Liens in respect of Collateral); (d) agrees that Subordinated Agent and the Subordinated Creditors have not assumed any obligation to act as the agent for Senior Lender with respect to the Collateral or otherwise; and (e) agrees that it shall not object to any proposed Disposition consented to, or the retention or acceptance of Collateral (so long as the Collateral or proceeds thereof are applied in accordance with Section 12), by the Subordinated Agent or any Subordinated Creditor in full or partial satisfaction of the Subordinated Creditors’ Subordinated Debt and agrees that any such Disposition, retention or acceptance by Subordinated Agent shall be free and clear of Senior Lender’s Liens.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Sale, Transfer or other Disposition of Subordinated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Senior Lender shall not sell, assign, pledge, Dispose of or otherwise transfer all or any portion of the Senior Debt or any Senior Debt Document: (i) without the prior written consent of the Subordinated Agent, which consent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sale, assignment, pledge, Disposition or other transfer of all or any portion of the Senior Debt or any Senior Debt Document by Senior Lender to any Loan Party, any director of any Loan Party, or any Loan Party’s or director’s respective Affiliates shall require the prior written consent of the Subordinated Agent, which consent shall be in the Subordinated Agent’s sole discretion, and (ii) unless, prior to the consummation of any such action, the transferee thereof shall execute and deliver to the Subordinated Agent an agreement in form and substance reasonably acceptable to the Subordinated Agent joining such transferee as a party to this Agreement as the Senior Lender or an agreement in form and substance reasonably acceptable to the Subordinated Agent substantially identical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failure of any transferee to execute or deliver an agreement substantially identical to this Agreement, the subordination effected hereby shall survive any sale, assignment, pledge, Disposition or other transfer of all or any portion of the Senior Debt, and the terms of this Agreement shall be binding upon Senior Lender’s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Liquidation, Dissolution or Bankruptcy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Senior Lender agrees to execute, verify, deliver and file any proofs of claim in respect of any or all of the Senior Debt requested by the Subordinated Agent or any Subordinated Creditor in connection with any Insolvency Proceeding and hereby irrevocably authorizes, empowers and appoints the Subordinated Agent as its agent and attorney-in-fact to (i) execute, verify, deliver and file such proofs of claim upon the failure of Senior Lender promptly to do so prior to 30 days before the expiration of the time to file any such proof of claim, (ii) vote such claim in any such Insolvency Proceeding upon the failure of Senior Lender to do so prior to 15 days before the expiration of the time to vote and such claim and (iii) amend, withdraw, revise, revoke or otherwise alter any vote by Senior Lender that violates or is otherwise inconsistent with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the Subordinated Agent and the Subordinated Creditors shall have no obligation to execute, verify, deliver, file and/or vote any such proof of claim. In the event that the Subordinated Agent votes, or amends, withdraws, revises, revokes or otherwise alters any vote by Senior Lender of, any claim in accordance with the authority granted hereby, Senior Lender shall not be entitled to change, withdraw or challenge any such vote. This authorization and appointment is irrevocable coupled with an interest. Senior Lender recognizes that, to the extent permitted by law, this authorization and appointment shall continue in full force and effect, notwithstanding any time limitations set forth in the operating agreement or organization documents of Senior Lender or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Senior Lender shall not assert, without the Subordinated Agent’s prior written consent, any claim, motion, objection or argument in connection with any Insolvency Proceeding. Senior Lender agrees that it will consent to, and not object to or oppose any use of cash collateral consented to by the Subordinated Agent or any financing provided by any Subordinated Creditor to any Obligor (or any financing provided by any other Person consented to by the Subordinated Creditors) (collectively, “</w:t>
      </w:r>
      <w:r>
        <w:rPr>
          <w:rFonts w:ascii="Times New Roman;Times;Serif" w:hAnsi="Times New Roman;Times;Serif"/>
          <w:b w:val="false"/>
          <w:i w:val="false"/>
          <w:caps w:val="false"/>
          <w:smallCaps w:val="false"/>
          <w:sz w:val="20"/>
          <w:u w:val="single"/>
        </w:rPr>
        <w:t>DIP Financing</w:t>
      </w:r>
      <w:r>
        <w:rPr>
          <w:rFonts w:ascii="Times New Roman;Times;Serif" w:hAnsi="Times New Roman;Times;Serif"/>
          <w:b w:val="false"/>
          <w:i w:val="false"/>
          <w:caps w:val="false"/>
          <w:smallCaps w:val="false"/>
          <w:sz w:val="20"/>
        </w:rPr>
        <w:t xml:space="preserve">”) on such terms and conditions as the Subordinated Agent may determine in its sole discretion. In connection therewith, the Obligor may grant to the Subordinated Agent, for the benefit of the Subordinated Creditors, or such other lender, as applicable, Liens upon all of the respective property of such Obligor which Liens (i) shall secure payment of all Subordinated Debt (whether such Subordinated Debt arose prior to the commencement of any Insolvency Proceeding or at any time thereafter) and all other financing provided or consented to by the Subordinated Agent or any Subordinated Creditor, as applicable, during such Insolvency Proceeding and (ii) shall be superior in priority to the Liens, if any, in favor of Senior Lender on the property of the Obligor. If, in connection with any cash collateral use or DIP Financing, any Liens on the Collateral held by the Subordinated Agent, on behalf of the Subordinated Creditors, are subject to a surcharge or are subordinated to an administrative priority claim, a professional fee "carve out," or fees owed to the United States Trustee or United States Bankruptcy Administrator, then Senior Lender’s Liens on the Collateral, if any, shall also be subordinated to such interest or claim. Without the prior written consent of the Subordinated Agent, Senior Lender agrees that it will not, and will not permit, any of its Affiliates to, (i) directly or indirectly provide to, or participate in, any debt financing in an Insolvency Proceeding relating to any Obligor or (ii) in an Insolvency Proceeding relating to any Obligor, accept any Lien on Collateral (or any assets which would be Collateral but for the operation of the Bankruptcy Code), which Lien would be senior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any Liens securing any DIP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Senior Lender agrees that it will consent to, and not object to or oppose, a sale or other Disposition (or related sale or Disposition procedures) of any property securing all or any part of any Subordinated Debt in any Insolvency Proceeding free and clear of Liens or other claims of Senior Lender (including under the Bankruptcy Code, including Sections 363, 365, 1123 and 1129 of the Bankruptcy Code), if the Subordinated Agent has consented to such sale or Disposition (or related sale or Disposition procedures). Senior Lender agrees not to assert any right it may have in any Insolvency Proceeding arising from any Borrower’s or other Person’s use, sale or other Disposition of Collateral (including any claims for adequate protection) and agrees that it will not seek (or support any other Person seeking) to have any stay, whether automatic or otherwise, lifted with respect to any Collateral without the prior written consent of Subordinated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Senior Lender agrees that it will not object to or oppose any adequate protection sought by the Subordinated Agent or any Subordinated Creditor or object to or oppose any motion by the Subordinated Agent or any Subordinated Creditor to lift the automatic stay or any other stay in any Insolvency Proceeding. Senior Lender waives any claim it may now or hereafter have arising out of the election by Subordinated Agent or any Subordinated Creditor, in any Insolvency Proceeding, of the application of Section 1111(b)(2) of the Bankruptcy Code, and/or any borrowing or grant of a security interest under Section 364 of the Bankruptcy Code by the Obligor, as debtor in possession.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Senior Lender further agrees that it shall not, without Subordinated Agent’s prior written consent, (i) commence or continue any Insolvency Proceeding with respect to any Obligor, (ii) propose or vote for any plan of reorganization or liquidation, arrangement or proposal or file any motion, pleading or material in support of any motion or plan of reorganization or liquidation, arrangement or proposal that would impair the rights of the Subordinated Agent or any Subordinated Creditor, is in conflict with any of the terms of this Agreement, or is opposed by the Subordinated Agent or any Subordinated Creditor, (iii) oppose any plan of reorganization or liquidation, arrangement or proposal proposed or otherwise supported by the Subordinated Agent or any Subordinated Creditor, (iv) seek any adequate protection of its interests in any Insolvency Proceeding or (v) join any creditors’ committee or other official committee in any Insolvency Proceeding. Senior Lender shall support, consent to and vote in favor of any plan of reorganization, plan of liquidation or any other scheme, arrangement or other allocation of assets in any Insolvency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Agreement is a “subordination agreement” within the meaning of Section 510(a) of the Bankruptcy Code and will continue in full force and effect during any Insolvency Proceeding, including after the filing of any petition by or against any Obligor under the Bankruptcy Code and all converted or succeeding cases in respect thereof. All references herein to any Obligors shall be deemed to apply to such Obligor as debtor-in-possession and to any trustee for such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Senior Lender agrees that it shall not assert any claim under Section 507(b) of the Bankruptcy Code in connection with any Insolvency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Application of Proceeds; Payment Over</w:t>
      </w:r>
      <w:r>
        <w:rPr>
          <w:rFonts w:ascii="Times New Roman;Times;Serif" w:hAnsi="Times New Roman;Times;Serif"/>
          <w:b w:val="false"/>
          <w:i w:val="false"/>
          <w:caps w:val="false"/>
          <w:smallCaps w:val="false"/>
          <w:sz w:val="20"/>
        </w:rPr>
        <w:t>. All Collateral, Net Cash Proceeds of Collateral received by any party in connection with any Enforcement Action or Collateral Dispositions, and/or any distributions received by any party hereto on account of any claim in any Insolvency Proceeding secured by a Lien on Collateral (“</w:t>
      </w:r>
      <w:r>
        <w:rPr>
          <w:rFonts w:ascii="Times New Roman;Times;Serif" w:hAnsi="Times New Roman;Times;Serif"/>
          <w:b w:val="false"/>
          <w:i w:val="false"/>
          <w:caps w:val="false"/>
          <w:smallCaps w:val="false"/>
          <w:sz w:val="20"/>
          <w:u w:val="single"/>
        </w:rPr>
        <w:t>Claim Distributions</w:t>
      </w:r>
      <w:r>
        <w:rPr>
          <w:rFonts w:ascii="Times New Roman;Times;Serif" w:hAnsi="Times New Roman;Times;Serif"/>
          <w:b w:val="false"/>
          <w:i w:val="false"/>
          <w:caps w:val="false"/>
          <w:smallCaps w:val="false"/>
          <w:sz w:val="20"/>
        </w:rPr>
        <w:t xml:space="preserve">”), shall first be paid to Senior Lender for application to the Senior Debt until the Senior Debt is Paid in Full;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connection with any Enforcement Action or any Collateral Disposition, the Subordinated Agent and the Subordinated Creditors shall be entitled to receive and retain reimbursement for all fees, costs, expenses and other charges (including, without limitation, fees, costs and expenses of counsel, financial advisors, investment bankers, and other agents or professionals engaged in connection with such Enforcement Action or such Collateral Disposition) relating to such Enforcement Action or Collateral Disposition before any distribution of Net Cash Proceeds relating to such Enforcement Action or Collateral Disposition is made to the Senior Lender out of the proceeds of such Enforcement Action or such Collateral Disposition. For so long as any portion of the Senior Debt remains unpaid or Senior Lender has any obligations to lend under any Senior Debt Document, if Subordinated Agent or any Subordinated Creditor receives any Collateral to which it is not otherwise entitled pursuant to the terms hereof, Net Cash Proceeds thereof or any cash distributions on account of any claims secured by Collateral (each, a “</w:t>
      </w:r>
      <w:r>
        <w:rPr>
          <w:rFonts w:ascii="Times New Roman;Times;Serif" w:hAnsi="Times New Roman;Times;Serif"/>
          <w:b w:val="false"/>
          <w:i w:val="false"/>
          <w:caps w:val="false"/>
          <w:smallCaps w:val="false"/>
          <w:sz w:val="20"/>
          <w:u w:val="single"/>
        </w:rPr>
        <w:t>Collateral Distribution</w:t>
      </w:r>
      <w:r>
        <w:rPr>
          <w:rFonts w:ascii="Times New Roman;Times;Serif" w:hAnsi="Times New Roman;Times;Serif"/>
          <w:b w:val="false"/>
          <w:i w:val="false"/>
          <w:caps w:val="false"/>
          <w:smallCaps w:val="false"/>
          <w:sz w:val="20"/>
        </w:rPr>
        <w:t>”), Subordinated Agent or such Subordinated Creditor shall hold such Collateral Distribution in trust and forthwith pay the same (up to the amount necessary to result in a Payment in Full of the Senior Debt) over to the Senior Lender in the same form as received and with any necessary endorsements as a court of competent jurisdiction may otherwise direct. After or to the extent that it would result in the Senior Debt being Paid in Full, if Senior Lender receives a Collateral Distribution in excess of the amount that would result in the Senior Debt being Paid in Full, Senior Lender shall hold that portion of such Collateral Distribution that exceeds the amount necessary to Pay in Full the Senior Debt in trust and forthwith pay the same to the Subordinated Agent, for distribution in accordance with the Subordinated Debt Documents, in the same form as received and with any necessary endorsements as a court of competent jurisdiction may otherwise direct.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Insurance Proceeds</w:t>
      </w:r>
      <w:r>
        <w:rPr>
          <w:rFonts w:ascii="Times New Roman;Times;Serif" w:hAnsi="Times New Roman;Times;Serif"/>
          <w:b w:val="false"/>
          <w:i w:val="false"/>
          <w:caps w:val="false"/>
          <w:smallCaps w:val="false"/>
          <w:sz w:val="20"/>
        </w:rPr>
        <w:t>. Until all of the Subordinated Debt has been Paid in Full, Subordinated Agent shall have the sole and exclusive right, as against Senior Lender, to adjust settlement of insurance claims in the event of any covered loss, theft or destruction of any Collateral. All proceeds of such insurance shall inure to Subordinated Agent, to the extent of the Subordinated Debt, and Senior Lender shall cooperate (if necessary) in a reasonable manner in effecting the payment of insurance proceeds to the holders of Subordinated Debt (or any representative thereof). In the event the requisite holders of Subordinated Debt (or any representative thereof), in their or its sole discretion or pursuant to agreement with any Obligor, permits any Obligor to utilize the proceeds of insurance, the consent of the holders of Subordinated Debt (or any representative thereof) shall be deemed to include the consent of Senior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Modifications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Subordinated Agent and the Subordinated Creditors may at any time and from time to time without the consent of or notice to the Senior Lender, without incurring liability to Senior Lender and without impairing or releasing the obligations of Senior Lender under this Agreement, change the manner or place of payment or extend the time of payment of or renew or alter any of the terms of all or any portion of the Subordinated Debt, or amend, restate, refinance, replace, supplement or otherwise modify all or any portion of the Subordinated Debt Documents in any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Senior Lender shall not, without the prior written consent of the Subordinated Agent, (a) amend, restate, refinance, replace, supplement or otherwise modify all or any portion of the Senior Debt Documents, (b) take any Liens in any assets of any Obligor or any other Person other than to the extent expressly permitted hereby, or (c) accept any guaranty or other credit support from any Person other than to the extent expressly permitted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Obligations Hereunder Not Affected</w:t>
      </w:r>
      <w:r>
        <w:rPr>
          <w:rFonts w:ascii="Times New Roman;Times;Serif" w:hAnsi="Times New Roman;Times;Serif"/>
          <w:b w:val="false"/>
          <w:i w:val="false"/>
          <w:caps w:val="false"/>
          <w:smallCaps w:val="false"/>
          <w:sz w:val="20"/>
        </w:rPr>
        <w:t>. All rights and interests of Senior Lender, Subordinated Agent and the Subordinated Creditors hereunder, and all agreements and obligations of Senior Lender and the Obligors hereunder, shall remain in full force and effect irrespective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lack of validity or enforceability of any document evidencing any of the Senior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change in the time, manner or place of payment of, or any other term of, all or any of the Subordinated Debt, or any other amendment or waiver of or any release or consent to departure from any of the Subordinated Debt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exchange, subordination, release or non-perfection of any collateral for all or any of the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failure of the Subordinated Agent or any Subordinated Creditor to assert any claim or to enforce any right or remedy against any other party under the provisions of this Agreement or any Subordinated Debt Document other than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reduction, limitation, impairment or termination of the Subordinated Debt for any reason, including any claim of waiver, release, surrender, alteration or compromise, and shall not be subject to (each Obligor and Senior Lender hereby waive any right to or claim of) any defense or setoff, counterclaim, recoupment or termination whatsoever by reason of invalidity, illegality, non-genuineness, irregularity, compromise, unenforceability of, or any other event or occurrence affecting, any Subordinated Debt;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circumstance which might otherwise constitute a defense available to, or a discharge of, any Obligor in respect of the Senior Debt or Subordinated Debt in respect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Lender acknowledges and agrees that the Subordinated Agent and the Subordinated Creditors may, in accordance with the terms of the Subordinated Debt Documents, without notice or demand and without limiting or impairing Senior Lender’s obligations under this Agreement, (i) amend, restate, supplement, refinance, replace or otherwise modify any or all of the Subordinated Debt Documents; (ii) take or hold security for the payment of any or all of the Subordinated Debt and exchange, enforce, foreclose upon, waive and release any such security; (iii) apply such security and direct the order or manner of sale thereof as the Subordinated Agent and the Subordinated Creditors, in their sole discretion, may determine; (iv) release and substitute one or more endorsers, warrantors, borrowers or other obligors; and (v) exercise or refrain from exercising any rights against any Obligor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Senior Lender hereby represents and warrants to the Subordinated Agent and the Subordinated Creditors that as of the date hereof (and covenants that at all times after the date hereof with respect to clauses (e) and (f) below): (a) Senior Lender is a partnership, limited liability company, corporation or bank, as applicable, duly formed and validly existing under the laws of its jurisdiction of formation or incorporation, (b) Senior Lender has the power and authority to enter into, execute, deliver and carry out the terms of this Agreement, all of which have been duly authorized by all proper and necessary action, (c) the execution of this Agreement by Senior Lender will not violate or conflict with the organizational documents of Senior Lender, any material agreement binding upon Senior Lender or any law, regulation or order or require any consent or approval which has not been obtained, (d) this Agreement is the legal, valid and binding obligation of Senior Lender, enforceable against Senior Lender in accordance with its terms, (e) Senior Lender is the sole owner, beneficially and of record, of all of the Senior Debt Documents and all of the Senior Debt, and (f) at no time on or after the date hereof does or shall Senior Lender have any Liens on any assets of any Borrower, any other Loan Party, any other Obligor or any other Person </w:t>
      </w:r>
      <w:r>
        <w:rPr>
          <w:rFonts w:ascii="Times New Roman;Times;Serif" w:hAnsi="Times New Roman;Times;Serif"/>
          <w:b w:val="false"/>
          <w:i w:val="false"/>
          <w:caps w:val="false"/>
          <w:smallCaps w:val="false"/>
          <w:sz w:val="20"/>
          <w:shd w:fill="FFFFFF" w:val="clear"/>
        </w:rPr>
        <w:t>except for the Liens in effect as of the date hereof or otherwise permitted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Subrogation; Recoveries</w:t>
      </w:r>
      <w:r>
        <w:rPr>
          <w:rFonts w:ascii="Times New Roman;Times;Serif" w:hAnsi="Times New Roman;Times;Serif"/>
          <w:b w:val="false"/>
          <w:i w:val="false"/>
          <w:caps w:val="false"/>
          <w:smallCaps w:val="false"/>
          <w:sz w:val="20"/>
        </w:rPr>
        <w:t>. If Subordinated Agent or any Subordinated Creditor pays or distributes cash, property, or other assets to Senior Lender under this Agreement, the Subordinated Agent or applicable Subordinated Creditor will be subrogated to the rights of the Senior Lender with respect to the value of the payment or distribution. If Senior Lender is required to disgorge any proceeds of Collateral, payment or other amount received by such Person (whether because such proceeds, payment or other amount is invalidated, declared to be fraudulent or preferential or otherwise) or turn over or otherwise pay any amount (a “</w:t>
      </w:r>
      <w:r>
        <w:rPr>
          <w:rFonts w:ascii="Times New Roman;Times;Serif" w:hAnsi="Times New Roman;Times;Serif"/>
          <w:b w:val="false"/>
          <w:i w:val="false"/>
          <w:caps w:val="false"/>
          <w:smallCaps w:val="false"/>
          <w:sz w:val="20"/>
          <w:u w:val="single"/>
        </w:rPr>
        <w:t>Recovery</w:t>
      </w:r>
      <w:r>
        <w:rPr>
          <w:rFonts w:ascii="Times New Roman;Times;Serif" w:hAnsi="Times New Roman;Times;Serif"/>
          <w:b w:val="false"/>
          <w:i w:val="false"/>
          <w:caps w:val="false"/>
          <w:smallCaps w:val="false"/>
          <w:sz w:val="20"/>
        </w:rPr>
        <w:t>”) to the estate or to any creditor or representative of an Obligor or any other Person, then the Senior Debt shall be reinstated (to the extent of such Recovery) as if such Senior Debt had never been paid. A distribution made pursuant to this Agreement to Senior Lender which otherwise would have been made to any Subordinated Creditor is not, as between the Obligors and such Subordinated Creditor, a payment by any Obligor to or on account of the Senior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Modification</w:t>
      </w:r>
      <w:r>
        <w:rPr>
          <w:rFonts w:ascii="Times New Roman;Times;Serif" w:hAnsi="Times New Roman;Times;Serif"/>
          <w:b w:val="false"/>
          <w:i w:val="false"/>
          <w:caps w:val="false"/>
          <w:smallCaps w:val="false"/>
          <w:sz w:val="20"/>
        </w:rPr>
        <w:t>. Any modification, amendment, restatement, supplement or waiver of any provision of this Agreement, or any consent to any departure by any party from the terms hereof, shall not be effective in any event unless the same is in writing and signed by Senior Lender and the Subordinated Creditors, and then such modification, waiver or consent shall be effective only in the specific instance and for the specific purpose given. Any notice to or demand on any party hereto in any event not specifically required hereunder shall not entitle the party receiving such notice or demand to any other or further notice or demand in the same, similar or other circumstances unless specifically required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Senior Lender will promptly execute and deliver such further instruments and agreements and do such further acts and things as may be reasonably requested in writing by the Subordinated Agent that may be necessary or desirable in order to effect fully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shall be binding upon, the respective successors, permitted assigns and heirs of Senior Lender, Subordinated Creditors, and the Borrower. Senior Lender shall not sell, assign, pledge, Dispose of or otherwise transfer all or any portion of the Senior Debt without the prior written consent of the Subordinated Agent, which consent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sale, assignment, pledge, Disposition or other transfer of the Senior Debt or any Senior Debt Document by Senior Lender to any Loan Party, any director of any Loan Party, or any Loan Party’s or director’s respective Affiliates shall require the prior written consent of the Subordinated Agent, which consent shall be in the Subordinated Agent’s sole discretion. The Subordinated Agent and the Subordinated Creditors may, from time to time, without notice to the Senior Lender, assign or transfer any or all of the Subordinated Debt or any interest therein to any Person and, notwithstanding any such assignment or transfer, or any subsequent assignment or transfer, the Subordinated Debt shall, subject to the terms hereof, be and remain Subordinated Debt for purposes of this Agreement, and shall be entitled to enforce the terms and provisions hereof to the same extent as if such assignee or transferee were initially a party hereto. Senior Lender agrees that any party that consummates a refinancing or replacement of all or any part of the Subordinated Debt under the Subordinated Debt Documents may rely on and enforce this Agreement. Senior Lender further agrees that it will, at the request of the Subordinated Creditors or any Borrower, enter into an agreement, in the form of this Agreement,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 xml:space="preserve">, with the party that consummates such refinancing;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failure of Senior Lender to execute such an agreement shall not affect such party's right to rely on and enforce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Relative Rights</w:t>
      </w:r>
      <w:r>
        <w:rPr>
          <w:rFonts w:ascii="Times New Roman;Times;Serif" w:hAnsi="Times New Roman;Times;Serif"/>
          <w:b w:val="false"/>
          <w:i w:val="false"/>
          <w:caps w:val="false"/>
          <w:smallCaps w:val="false"/>
          <w:sz w:val="20"/>
        </w:rPr>
        <w:t>. This Agreement shall define the relative rights of the Senior Lender and each Subordinated Creditor. Nothing in this Agreement shall (a) impair, as between the Obligors, Senior Lender, on the one hand, or as between Subordinated Agent, the Subordinated Creditors and the Obligors, the obligation of the Obligors with respect to the payment of the Senior Debt and the Subordinated Debt in accordance with their respective terms or (b) affect the relative rights of the Senior Lender, Subordinated Agent or Subordinated Creditors with respect to any other creditors of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Purchase Right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prejudice to the enforcement of the Subordinated Agent’s rights and remedies, the Senior Lender agrees that upon the decision of the Subordinated Agent in its sole discretion (or at the direction of the Subordinated Creditors  (the occurrence of such decision, a “</w:t>
      </w:r>
      <w:r>
        <w:rPr>
          <w:rFonts w:ascii="Times New Roman;Times;Serif" w:hAnsi="Times New Roman;Times;Serif"/>
          <w:b w:val="false"/>
          <w:i w:val="false"/>
          <w:caps w:val="false"/>
          <w:smallCaps w:val="false"/>
          <w:sz w:val="20"/>
          <w:u w:val="single"/>
        </w:rPr>
        <w:t>Purchase Option Event</w:t>
      </w:r>
      <w:r>
        <w:rPr>
          <w:rFonts w:ascii="Times New Roman;Times;Serif" w:hAnsi="Times New Roman;Times;Serif"/>
          <w:b w:val="false"/>
          <w:i w:val="false"/>
          <w:caps w:val="false"/>
          <w:smallCaps w:val="false"/>
          <w:sz w:val="20"/>
        </w:rPr>
        <w:t>”), then some or all of the Subordinated Creditors and/or the Subordinated Agent may purchase all but not less than all of the outstanding Senior Debt, at par, without regard to any prepayment penalty or premium and without warranty, representation or recourse, for the Purchase Price (defined below). The participating Subordinated Creditors shall irrevocably exercise such purchase right by delivery of written notice of their intent to purchase the Senior Debt to the Senior Lender (the “</w:t>
      </w:r>
      <w:r>
        <w:rPr>
          <w:rFonts w:ascii="Times New Roman;Times;Serif" w:hAnsi="Times New Roman;Times;Serif"/>
          <w:b w:val="false"/>
          <w:i w:val="false"/>
          <w:caps w:val="false"/>
          <w:smallCaps w:val="false"/>
          <w:sz w:val="20"/>
          <w:u w:val="single"/>
        </w:rPr>
        <w:t>Purchase Option Notice</w:t>
      </w:r>
      <w:r>
        <w:rPr>
          <w:rFonts w:ascii="Times New Roman;Times;Serif" w:hAnsi="Times New Roman;Times;Serif"/>
          <w:b w:val="false"/>
          <w:i w:val="false"/>
          <w:caps w:val="false"/>
          <w:smallCaps w:val="false"/>
          <w:sz w:val="20"/>
        </w:rPr>
        <w:t>”) at any time. The parties shall close such purchase and sale within 10 business days (or such shorter time as may be specified by the Subordinated Agent in such notice) after such delivery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date of such purchase and sale (the “</w:t>
      </w:r>
      <w:r>
        <w:rPr>
          <w:rFonts w:ascii="Times New Roman;Times;Serif" w:hAnsi="Times New Roman;Times;Serif"/>
          <w:b w:val="false"/>
          <w:i w:val="false"/>
          <w:caps w:val="false"/>
          <w:smallCaps w:val="false"/>
          <w:sz w:val="20"/>
          <w:u w:val="single"/>
        </w:rPr>
        <w:t>Purchase Date</w:t>
      </w:r>
      <w:r>
        <w:rPr>
          <w:rFonts w:ascii="Times New Roman;Times;Serif" w:hAnsi="Times New Roman;Times;Serif"/>
          <w:b w:val="false"/>
          <w:i w:val="false"/>
          <w:caps w:val="false"/>
          <w:smallCaps w:val="false"/>
          <w:sz w:val="20"/>
        </w:rPr>
        <w:t>”), the participating Subordinated Creditors shall (i) pay to Senior Lender as the purchase price therefor, the full amount of all the Senior Debt then outstanding and unpaid (without regard to any prepayment penalty or premium), and (ii) enter into a customary assignment and assumption agreement with respect to the purchased Senior Debt. The sum of the amounts set forth in clause (i) above is referred to herein as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and shall be remitted by wire transfer in federal funds to such bank account of Senior Lender as Senior Lender may designate in writing to the Subordinated Agent for such purpose. Interest shall be calculated to but exclude the business day on which such purchase and sale shall occur if the amounts so paid by the participating Subordinated Creditors to the bank account designated by Senior Lender are received in such bank account prior to 2:00 p.m., New York City time, and interest shall be calculated to and include such business day if the amounts so paid by the participating Subordinated Creditors to the bank account designated by Senior Lender are received in such bank account on or later than 2:00 p.m., New York City time.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purchase shall be expressly made without representation or warranty of any kind by Senior Lender as to the Senior Debt so purchased or otherwise and without recourse to Senior Lender, except that Senior Lender shall represent and warrant: (i) that the amount quoted by Senior Lender of the purchase price represents the amount shown as owing with respect to the claims transferred as reflected on its books and records, (ii) it owns, or has the right to transfer to the participating Subordinated Creditors, the rights being transferred, and (iii) such transfer will be free and clear of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the Purchase Date, (a) the Senior Lender shall retain its indemnification rights under the Senior Debt Documents for actions or other matters arising on or prior to the Purchase Date and (b) the claims of the Senior Lender for contingent indemnification obligations of the Loan Parties, if any, that survive the termination of the Senior Debt Documents will continue to be secured by the Liens on the Collateral. Notwithstanding anything to the contrary contained herein, to the extent the Senior Lender recovers the Senior Debt in full and there are remaining proceeds to be distributed in accordance with the terms hereof, the Subordinated Agent and Subordinated Creditors shall retain all rights to be paid such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If Senior Lender, in contravention of the terms of this Agreement, in any way takes, attempts to or threatens to take any action with respect to the Collateral (including any attempt to realize upon or enforce any remedy with respect to this Agreement), or fails to take any action required by this Agreement, this Agreement shall create an irrebuttable presumption and admission by Senior Lender that relief against Senior Lender by injunction, specific performance and/or other appropriate equitable relief is necessary to prevent irreparable harm to the Subordinated Agent and each Subordinated Creditor, it being understood and agreed by Senior Lender that (i) the Subordinated Agent’s and/or each Subordinated Creditor’s damages from Senior Lender’s actions may at that time be difficult to ascertain and may be irreparable, and (ii) Senior Lender waives any defense that it has against the Obligors, the Subordinated Agent or the Subordinated Creditors that such party cannot demonstrate damage and/or be made whole by the awarding of damages. The Subordinated Agent and the Subordinated Creditors may demand specific performance of this Agreement. Senior Lender hereby irrevocably waives any defense based on the adequacy of a remedy at law and any other defense which might be asserted to bar the remedy of specific performance in any action which may be brought by the Subordinated Agent or any Subordinated Creditor. No provision of this Agreement shall constitute or be deemed to constitute a waiver by the Subordinated Agent or any Subordinated Creditor of any right to seek damages from any Person in connection with any breach or alleged breach of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Unless otherwise specifically provided herein, any notice delivered under this Agreement shall be in writing addressed to the respective party as set forth below and may be personally served, telecopied, faxed, electronic transmission or sent by overnight courier service or certified or registered United States mail, and shall be deemed to have been given (a) if delivered in person, when delivered; (b) if delivered by telecopy, fax or electronic transmission, on the date of transmission if transmitted on a business day before 4:00 p.m. (New York time) or, if not, on the next succeeding business day; (c) if delivered by overnight courier, one business day after delivery to such courier properly addressed; or (d) if by United States mail, four business days after deposit in the United States mail, postage prepaid and properly addressed. Notices shall be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Subordinated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Metropolitan Partners Group Administration, LLC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 Third Avenue, 18th Floor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br/>
        <w:t>Attention: Paul Lisiak</w:t>
        <w:br/>
        <w:t>Telephone No.: (212) 561-1250</w:t>
        <w:br/>
        <w:t xml:space="preserve">E-Mail: </w:t>
      </w:r>
      <w:r>
        <w:rPr>
          <w:rFonts w:ascii="Times New Roman;Times;Serif" w:hAnsi="Times New Roman;Times;Serif"/>
          <w:b w:val="false"/>
          <w:i w:val="false"/>
          <w:caps w:val="false"/>
          <w:smallCaps w:val="false"/>
          <w:sz w:val="20"/>
          <w:u w:val="single"/>
        </w:rPr>
        <w:t>plisiak@metpg.com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be deemed to be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K&amp;L Gates LLP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S Tryon Street, Suite 1000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28202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Aaron S. Rothman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704-331-7446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aaron.rothman@klgates.com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Senior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CA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N. Canal Street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(such copy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Riley Safer Holmes &amp; Cancila L.L.P.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 W. Madison Street, Suite 2900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60602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LaVon M. Johns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 Department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 Industrial Road, Suite 205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Carlos, CA 94070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accounting@presto.com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(such copy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Hastings LLP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Park Avenue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10166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Colin Diamond and Alex Cota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colindiamond@paulhastings.com and alexcota@paulhastings.com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Conflict</w:t>
      </w:r>
      <w:r>
        <w:rPr>
          <w:rFonts w:ascii="Times New Roman;Times;Serif" w:hAnsi="Times New Roman;Times;Serif"/>
          <w:b w:val="false"/>
          <w:i w:val="false"/>
          <w:caps w:val="false"/>
          <w:smallCaps w:val="false"/>
          <w:sz w:val="20"/>
        </w:rPr>
        <w:t>. In the event of any conflict between any term, covenant or conditions of this Agreement any term, covenant or condition of any of the Subordinated Debt Documents or the Senior Debt Documents, the provisions of this Agreement shall control and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paragraph headings in this Agreement are for convenience only and shall not affect the interpretation of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Counterparts; Signatures</w:t>
      </w:r>
      <w:r>
        <w:rPr>
          <w:rFonts w:ascii="Times New Roman;Times;Serif" w:hAnsi="Times New Roman;Times;Serif"/>
          <w:b w:val="false"/>
          <w:i w:val="false"/>
          <w:caps w:val="false"/>
          <w:smallCaps w:val="false"/>
          <w:sz w:val="20"/>
        </w:rPr>
        <w:t>. This Agreement may be signed in any number of counterparts and may be executed by facsimile, e-mail delivery or electronic signature, each of which shall be an original, with the same effect as if the signatures hereto and thereto were upon the same instrument. Signatures by facsimile, e-mail delivery, electronic signature or other electronic communication to this Agreement shall bind the parties to the same extent as would a manually executed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deemed to be invalid, illegal or unenforceable by reason of the operation of any law or by reason of the interpretation placed thereon by any court or governmental authority, the validity, legality and enforceability of the remaining provisions of this Agreement shall not in any way be affected or impaired thereby, and the affected provision shall be modified to the minimum extent permitted by law so as most fully to achieve the intention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No amendment or waiver of any provision of this Agreement, and no consent to any departure by any Person from the terms hereof shall be effective unless signed by the Secured Party consenting to such amendment, waiver or departure.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In the event of any action to enforce the terms of this Agreement, the prevailing party shall be entitled to recover its costs and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Applicable Law; Consent to Jurisdiction; Waiver of Jury Trial; Service of Process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GOVERNED BY AND CONSTRUED IN ACCORDANCE WITH THE LAW OF THE STATE OF NEW YORK APPLICABLE TO CONTRACTS MADE AND TO BE PERFORMED THEREIN WITHOUT REGARD TO CONFLICT OF LAW PRINCIPLES (EXCEPT SECTIONS 5-1401 AND 5-1402 OF THE NEW YORK GENERAL OBLIGATIONS LAW). FURTHER, THE LAW OF THE STATE OF NEW YORK SHALL APPLY TO ALL DISPUTES OR CONTROVERSIES ARISING OUT OF OR CONNECTED TO OR WITH THIS AGREEMENT WITHOUT REGARD TO CONFLICT OF LAW PRINCIPLES (EXCEPT SECTIONS 5-1401 AND 5-1402 OF THE NEW YORK GENERAL OBLIGATIONS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LEGAL ACTION, SUIT OR PROCEEDING WITH RESPECT TO THIS AGREEMENT SHALL BE BROUGHT EXCLUSIVELY IN THE COURTS OF THE STATE OF NEW YORK IN THE COUNTY OF NEW YORK OR THE UNITED STATES DISTRICT COURT FOR THE SOUTHERN DISTRICT OF NEW YORK; PROVIDED THAT ANY SUIT SEEKING ENFORCEMENT AGAINST ANY SPECIFIC COLLATERAL OR OTHER SPECIFIC PROPERTY MAY BE BROUGHT, IN SUBORDINATED AGENT’S SOLE DISCRETION, IN THE COURTS OF ANY JURISDICTION WHERE SUCH SPECIFIC COLLATERAL OR OTHER PROPERTY MAY BE FOUND, AND EACH PARTY HERETO, FOR ITSELF AND IN RESPECT OF ITS PROPERTY, GENERALLY AND UNCONDITIONALLY CONSENTS TO THE JURISDICTION OF THE AFOREMENTIONED COURTS; AND PROVIDED FURTHER THAT IN CONNECTION WITH THE ENFORCEMENT OF ANY RIGHTS BY SUBORDINATED AGENT IN AN INSOLVENCY PROCEEDING, ANY SUCH ACTION MAY, AT THE ELECTION OF SUBORDINATED AGENT, BE BROUGHT IN THE APPLICABLE BANKRUPTCY COURT OR OTHER COURT EXERCISING JURISDICTION OVER SUCH INSOLVENCY PROCEEDING. EACH PARTY HERETO HEREBY EXPRESSLY AND IRREVOCABLY WAIVES, TO THE FULLEST EXTENT PERMITTED BY APPLICABLE LAW, ANY OBJECTION, INCLUDING, WITHOUT LIMITATION, ANY OBJECTION TO THE LAYING OF VENUE OR BASED ON THE GROUNDS OF </w:t>
      </w:r>
      <w:r>
        <w:rPr>
          <w:rFonts w:ascii="Times New Roman;Times;Serif" w:hAnsi="Times New Roman;Times;Serif"/>
          <w:b w:val="false"/>
          <w:i w:val="false"/>
          <w:caps w:val="false"/>
          <w:smallCaps w:val="false"/>
          <w:sz w:val="20"/>
          <w:u w:val="single"/>
        </w:rPr>
        <w:t>FORUM NON CONVENIENS</w:t>
      </w:r>
      <w:r>
        <w:rPr>
          <w:rFonts w:ascii="Times New Roman;Times;Serif" w:hAnsi="Times New Roman;Times;Serif"/>
          <w:b w:val="false"/>
          <w:i w:val="false"/>
          <w:caps w:val="false"/>
          <w:smallCaps w:val="false"/>
          <w:sz w:val="20"/>
        </w:rPr>
        <w:t>, OR BASED ON UPON 28 U.S.C. § 1404, WHICH IT MAY NOW OR HEREAFTER HAVE TO THE BRINGING AND ADJUDICATION OF ANY SUCH ACTION, SUIT OR PROCEEDING IN ANY OF THE AFOREMENTIONED COURTS AND AGREES TO THE GRANTING OF SUCH LEGAL OR EQUITABLE RELIEF AS IS DEEMED APPROPRIATE BY THE COURT. EACH PARTY HERETO EACH HEREBY WAIVES ANY RIGHT TO A TRIAL BY JURY IN ANY ACTION, PROCEEDING OR COUNTERCLAIM CONCERNING ANY RIGHTS UNDER THIS AGREEMENT OR UNDER ANY AMENDMENT, WAIVER, INSTRUMENT, DOCUMENT OR OTHER AGREEMENT DELIVERED OR WHICH IN THE FUTURE MAY BE DELIVERED IN CONNECTION HEREWITH, AND AGREES THAT ANY SUCH ACTION, PROCEEDING OR COUNTERCLAIM SHALL BE TRIED BEFORE A COURT AND NOT BEFORE A JURY. EACH SUBORDINATED CREDITOR HEREBY WAIVES PERSONAL SERVICE OF ANY AND ALL PROCESS UPON IT AND CONSENTS THAT ALL SUCH SERVICE OF PROCESS MAY BE MADE BY CERTIFIED MAIL (RETURN RECEIPT REQUESTED) DIRECTED TO ITS NOTICE ADDRESS (OR TO THE BORROWER'S NOTICE ADDRESS) SET FORTH IN SECTION 24 HEREOF AND SERVICE SO MADE SHALL BE DEEMED TO BE COMPLETED FIVE (5) DAYS AFTER THE SAME SHALL HAVE BEEN SO DEPOSITED IN THE MAIL, OR, AT THE SUBORDINATED AGENT’S OPTION, BY SERVICE UPON SENIOR LENDER IN ANY OTHER MANNER PROVIDED UNDER THE RULES OF ANY SUCH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Agreement Binding on Signatories</w:t>
      </w:r>
      <w:r>
        <w:rPr>
          <w:rFonts w:ascii="Times New Roman;Times;Serif" w:hAnsi="Times New Roman;Times;Serif"/>
          <w:b w:val="false"/>
          <w:i w:val="false"/>
          <w:caps w:val="false"/>
          <w:smallCaps w:val="false"/>
          <w:sz w:val="20"/>
        </w:rPr>
        <w:t>. Senior Lender acknowledges and agrees that this Agreement shall become binding on Senior Lender when executed by the Senior Lender, the Subordinated Agent and the Subordinated Creditors without regard to the execution of this Agreement by any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Subordination Agreement on the date set forth above.</w:t>
      </w:r>
    </w:p>
    <w:p>
      <w:pPr>
        <w:pStyle w:val="TextBody"/>
        <w:bidi w:val="0"/>
        <w:spacing w:before="0" w:after="0"/>
        <w:ind w:left="0" w:right="0" w:hanging="0"/>
        <w:jc w:val="left"/>
        <w:rPr>
          <w:caps w:val="false"/>
          <w:smallCaps w:val="false"/>
        </w:rPr>
      </w:pPr>
      <w:r>
        <w:rPr>
          <w:caps w:val="false"/>
          <w:smallCaps w:val="false"/>
        </w:rPr>
        <w:t> </w:t>
      </w:r>
    </w:p>
    <w:tbl>
      <w:tblPr>
        <w:tblW w:w="1760" w:type="dxa"/>
        <w:jc w:val="left"/>
        <w:tblInd w:w="0" w:type="dxa"/>
        <w:tblLayout w:type="fixed"/>
        <w:tblCellMar>
          <w:top w:w="0" w:type="dxa"/>
          <w:left w:w="0" w:type="dxa"/>
          <w:bottom w:w="0" w:type="dxa"/>
          <w:right w:w="0" w:type="dxa"/>
        </w:tblCellMar>
      </w:tblPr>
      <w:tblGrid>
        <w:gridCol w:w="75"/>
        <w:gridCol w:w="1685"/>
      </w:tblGrid>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LENDER:</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CA LLC</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320"/>
        <w:gridCol w:w="2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Q. McCoy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Q. McCoy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Subordination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5"/>
        <w:gridCol w:w="7685"/>
      </w:tblGrid>
      <w:tr>
        <w:trPr/>
        <w:tc>
          <w:tcPr>
            <w:tcW w:w="75"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subordinated agent:</w:t>
            </w:r>
          </w:p>
        </w:tc>
      </w:tr>
      <w:tr>
        <w:trPr/>
        <w:tc>
          <w:tcPr>
            <w:tcW w:w="75"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Metropolitan Partners Group Administration, LLC</w:t>
            </w:r>
            <w:r>
              <w:rPr>
                <w:rFonts w:ascii="Times New Roman;Times;Serif" w:hAnsi="Times New Roman;Times;Serif"/>
                <w:b w:val="false"/>
                <w:i w:val="false"/>
                <w:caps w:val="false"/>
                <w:smallCaps w:val="false"/>
                <w:sz w:val="20"/>
              </w:rPr>
              <w:t>, as Subordinated Agent</w:t>
            </w:r>
          </w:p>
        </w:tc>
      </w:tr>
    </w:tbl>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320"/>
        <w:gridCol w:w="1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K. Lisiak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K. Lisiak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Subordination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64" w:type="dxa"/>
        <w:jc w:val="left"/>
        <w:tblInd w:w="0" w:type="dxa"/>
        <w:tblLayout w:type="fixed"/>
        <w:tblCellMar>
          <w:top w:w="0" w:type="dxa"/>
          <w:left w:w="0" w:type="dxa"/>
          <w:bottom w:w="0" w:type="dxa"/>
          <w:right w:w="0" w:type="dxa"/>
        </w:tblCellMar>
      </w:tblPr>
      <w:tblGrid>
        <w:gridCol w:w="75"/>
        <w:gridCol w:w="933"/>
        <w:gridCol w:w="4156"/>
      </w:tblGrid>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CREDITORS:</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METROPOLITAN LEVERED PARTNERS FUND VII, LP</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MPF VII GP, LLC its General Partner</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K. Lisiak</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K. Lisiak</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METROPOLITAN PARTNERS FUND VII, LP</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MPF VII GP, LLC its General Partner</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K. Lisiak</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K. Lisiak</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METROPOLITAN OFFSHORE PARTNERS FUND VII, LP</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MPF VII GP, LLC its General Partner</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K. Lisiak</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K. Lisiak</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CEOF HOLDINGS LP</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CORBIN CAPITAL PARTNERS, L.P., its</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Manager:</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Friedman</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Daniel Friedman</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Subordination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60" w:type="dxa"/>
        <w:jc w:val="left"/>
        <w:tblInd w:w="0" w:type="dxa"/>
        <w:tblLayout w:type="fixed"/>
        <w:tblCellMar>
          <w:top w:w="0" w:type="dxa"/>
          <w:left w:w="0" w:type="dxa"/>
          <w:bottom w:w="0" w:type="dxa"/>
          <w:right w:w="0" w:type="dxa"/>
        </w:tblCellMar>
      </w:tblPr>
      <w:tblGrid>
        <w:gridCol w:w="75"/>
        <w:gridCol w:w="3485"/>
      </w:tblGrid>
      <w:tr>
        <w:trPr/>
        <w:tc>
          <w:tcPr>
            <w:tcW w:w="7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PARTIES:</w:t>
            </w:r>
          </w:p>
        </w:tc>
      </w:tr>
      <w:tr>
        <w:trPr/>
        <w:tc>
          <w:tcPr>
            <w:tcW w:w="7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LLC</w:t>
              <w:br/>
              <w:t>(F/K/A E LA CARTE, LLC)</w:t>
            </w:r>
          </w:p>
        </w:tc>
      </w:tr>
      <w:tr>
        <w:trPr/>
        <w:tc>
          <w:tcPr>
            <w:tcW w:w="7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(F/K/A VENTOUX MERGER SUB II LLC)</w:t>
            </w:r>
          </w:p>
        </w:tc>
      </w:tr>
    </w:tbl>
    <w:p>
      <w:pPr>
        <w:pStyle w:val="TextBody"/>
        <w:bidi w:val="0"/>
        <w:spacing w:before="0" w:after="0"/>
        <w:ind w:left="0" w:right="0" w:hanging="0"/>
        <w:jc w:val="left"/>
        <w:rPr>
          <w:caps w:val="false"/>
          <w:smallCaps w:val="false"/>
        </w:rPr>
      </w:pPr>
      <w:r>
        <w:rPr>
          <w:caps w:val="false"/>
          <w:smallCaps w:val="false"/>
        </w:rPr>
        <w:t> </w:t>
      </w:r>
    </w:p>
    <w:tbl>
      <w:tblPr>
        <w:tblW w:w="2524" w:type="dxa"/>
        <w:jc w:val="left"/>
        <w:tblInd w:w="0" w:type="dxa"/>
        <w:tblLayout w:type="fixed"/>
        <w:tblCellMar>
          <w:top w:w="0" w:type="dxa"/>
          <w:left w:w="0" w:type="dxa"/>
          <w:bottom w:w="0" w:type="dxa"/>
          <w:right w:w="0" w:type="dxa"/>
        </w:tblCellMar>
      </w:tblPr>
      <w:tblGrid>
        <w:gridCol w:w="75"/>
        <w:gridCol w:w="371"/>
        <w:gridCol w:w="2078"/>
      </w:tblGrid>
      <w:tr>
        <w:trPr/>
        <w:tc>
          <w:tcPr>
            <w:tcW w:w="7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Guillaume Lefevre</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(F/K/A VENTOUX CCM ACQUISITION CORP.)</w:t>
            </w:r>
          </w:p>
        </w:tc>
      </w:tr>
    </w:tbl>
    <w:p>
      <w:pPr>
        <w:pStyle w:val="TextBody"/>
        <w:bidi w:val="0"/>
        <w:spacing w:before="0" w:after="0"/>
        <w:ind w:left="0" w:right="0" w:hanging="0"/>
        <w:jc w:val="left"/>
        <w:rPr>
          <w:caps w:val="false"/>
          <w:smallCaps w:val="false"/>
        </w:rPr>
      </w:pPr>
      <w:r>
        <w:rPr>
          <w:caps w:val="false"/>
          <w:smallCaps w:val="false"/>
        </w:rPr>
        <w:t> </w:t>
      </w:r>
    </w:p>
    <w:tbl>
      <w:tblPr>
        <w:tblW w:w="2524" w:type="dxa"/>
        <w:jc w:val="left"/>
        <w:tblInd w:w="0" w:type="dxa"/>
        <w:tblLayout w:type="fixed"/>
        <w:tblCellMar>
          <w:top w:w="0" w:type="dxa"/>
          <w:left w:w="0" w:type="dxa"/>
          <w:bottom w:w="0" w:type="dxa"/>
          <w:right w:w="0" w:type="dxa"/>
        </w:tblCellMar>
      </w:tblPr>
      <w:tblGrid>
        <w:gridCol w:w="75"/>
        <w:gridCol w:w="371"/>
        <w:gridCol w:w="2078"/>
      </w:tblGrid>
      <w:tr>
        <w:trPr/>
        <w:tc>
          <w:tcPr>
            <w:tcW w:w="7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Guillaume Lefevre</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Subordination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bookmarkStart w:id="32" w:name="tm249250d1_ex10-4.htm"/>
      <w:bookmarkStart w:id="33" w:name="kstm249250d1_ex104"/>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Amendment No. 2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to Securities Purchase Agreement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dated as of March 21, 2024, is by and between Presto Automation Inc., a Delaware corporation (“</w:t>
      </w:r>
      <w:r>
        <w:rPr>
          <w:rFonts w:ascii="Times New Roman;Times;Serif" w:hAnsi="Times New Roman;Times;Serif"/>
          <w:b w:val="false"/>
          <w:i w:val="false"/>
          <w:caps w:val="false"/>
          <w:smallCaps w:val="false"/>
          <w:sz w:val="20"/>
          <w:u w:val="single"/>
        </w:rPr>
        <w:t>Presto</w:t>
      </w:r>
      <w:r>
        <w:rPr>
          <w:rFonts w:ascii="Times New Roman;Times;Serif" w:hAnsi="Times New Roman;Times;Serif"/>
          <w:b w:val="false"/>
          <w:i w:val="false"/>
          <w:caps w:val="false"/>
          <w:smallCaps w:val="false"/>
          <w:sz w:val="20"/>
        </w:rPr>
        <w:t>”), and Presto CA LLC, a Delaware limited liability company (“</w:t>
      </w:r>
      <w:r>
        <w:rPr>
          <w:rFonts w:ascii="Times New Roman;Times;Serif" w:hAnsi="Times New Roman;Times;Serif"/>
          <w:b w:val="false"/>
          <w:i w:val="false"/>
          <w:caps w:val="false"/>
          <w:smallCaps w:val="false"/>
          <w:sz w:val="20"/>
          <w:u w:val="single"/>
        </w:rPr>
        <w:t>CA</w:t>
      </w:r>
      <w:r>
        <w:rPr>
          <w:rFonts w:ascii="Times New Roman;Times;Serif" w:hAnsi="Times New Roman;Times;Serif"/>
          <w:b w:val="false"/>
          <w:i w:val="false"/>
          <w:caps w:val="false"/>
          <w:smallCaps w:val="false"/>
          <w:sz w:val="20"/>
        </w:rPr>
        <w:t>”), and amends that certain Securities Purchase Agreement, dated as of October 10, 2023, as amended by Amendment No. 1 thereto dated as of November 21, 2023 and the Waiver and Consent thereto dated as of January 30, 2024 (as amended, the “</w:t>
      </w:r>
      <w:r>
        <w:rPr>
          <w:rFonts w:ascii="Times New Roman;Times;Serif" w:hAnsi="Times New Roman;Times;Serif"/>
          <w:b w:val="false"/>
          <w:i w:val="false"/>
          <w:caps w:val="false"/>
          <w:smallCaps w:val="false"/>
          <w:sz w:val="20"/>
          <w:u w:val="single"/>
        </w:rPr>
        <w:t>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Section 4.11 of the Securities Purchase Agreement contains certain anti-dilution mechanisms (the “</w:t>
      </w:r>
      <w:r>
        <w:rPr>
          <w:rFonts w:ascii="Times New Roman;Times;Serif" w:hAnsi="Times New Roman;Times;Serif"/>
          <w:b w:val="false"/>
          <w:i w:val="false"/>
          <w:caps w:val="false"/>
          <w:smallCaps w:val="false"/>
          <w:sz w:val="20"/>
          <w:u w:val="single"/>
        </w:rPr>
        <w:t>Anti-Dilution Mechanisms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Anti-Dilution Mechanisms were triggered by the issuance of shares of Presto at a purchase price of $1.00 per share in a registered direct offering that closed on November 21, 2023 (the “</w:t>
      </w:r>
      <w:r>
        <w:rPr>
          <w:rFonts w:ascii="Times New Roman;Times;Serif" w:hAnsi="Times New Roman;Times;Serif"/>
          <w:b w:val="false"/>
          <w:i w:val="false"/>
          <w:caps w:val="false"/>
          <w:smallCaps w:val="false"/>
          <w:sz w:val="20"/>
          <w:u w:val="single"/>
        </w:rPr>
        <w:t>November 2023 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Presto and CA entered into Amendment No. 1 to Securities Purchase Agreement on November 21, 2023, pursuant to which, in connection with the November 2023 Offering, the anti-dilution trigger for future offerings was reduced from $2.00 to $1.00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Anti-Dilution Mechanisms were further triggered by the issuance of $9.0 million of subordinated convertible notes of Presto with a conversion price of $0.25 in a private placement that closed on February 2, 2024 (the “</w:t>
      </w:r>
      <w:r>
        <w:rPr>
          <w:rFonts w:ascii="Times New Roman;Times;Serif" w:hAnsi="Times New Roman;Times;Serif"/>
          <w:b w:val="false"/>
          <w:i w:val="false"/>
          <w:caps w:val="false"/>
          <w:smallCaps w:val="false"/>
          <w:sz w:val="20"/>
          <w:u w:val="single"/>
        </w:rPr>
        <w:t>January 2024 Notes 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Presto and CA entered into a Waiver and Consent on January 30, 2024, pursuant to which, in connection with the January 2024 Notes Offering, the anti-dilution trigger for future offerings was reduced from $1.00 to $0.40 per share and not the $0.25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Anti-Dilution Mechanisms were further triggered by the issuance of shares of Presto in connection with a registered direct offering at a purchase price of $0.25 per share that closed on March 4, 2024 (the “</w:t>
      </w:r>
      <w:r>
        <w:rPr>
          <w:rFonts w:ascii="Times New Roman;Times;Serif" w:hAnsi="Times New Roman;Times;Serif"/>
          <w:b w:val="false"/>
          <w:i w:val="false"/>
          <w:caps w:val="false"/>
          <w:smallCaps w:val="false"/>
          <w:sz w:val="20"/>
          <w:u w:val="single"/>
        </w:rPr>
        <w:t>March 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Presto is contemplating issuing a Senior Secured Promissory Note to CA (the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recognition of the issuance of such anti-dilution shares in connection with the March Offering and the issuance of the contemplated Note, the Parties desire to further amend Section 4.11 of the Securities Purchase Agreement to (i) reflect a $0.25 anti-dilution trigger for future offerings by Presto and (ii) extend the Anti-Dilution Period (as defined in the Securities Purchase Agreement) until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pursuant to Section 5.5 of the Securities Purchase Agreement, the Securities Purchase Agreement may be amended only by a written instrument duly executed by Presto and CA;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terms, conditions and covenants set forth below, and other good and valuable consideration, the receipt of which is hereby acknowledged, the parties, intending to be legally bound hereby, promise and agree as follows. </w:t>
      </w:r>
      <w:r>
        <w:rPr>
          <w:rFonts w:ascii="Times New Roman;Times;Serif" w:hAnsi="Times New Roman;Times;Serif"/>
          <w:b w:val="false"/>
          <w:i w:val="false"/>
          <w:caps w:val="false"/>
          <w:smallCaps w:val="false"/>
          <w:sz w:val="20"/>
          <w:shd w:fill="FFFFFF" w:val="clear"/>
        </w:rPr>
        <w:t>Capitalized terms used but not otherwise defined herein shall have the meanings given to such terms in the Securities Purchase Agreement, as amended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Amendments to Section 4.11 of the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hereby agree that for purposes of Section 4.11 of the Securities Purchase Agreement, all references to the “Per Share Purchase Price” shall be replaced with references to “$0.25.”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hereby agree that the reference to “April 1, 2024” in the definition of “Anti-Dilution Period” shall be replaced with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Valid Amendment</w:t>
      </w:r>
      <w:r>
        <w:rPr>
          <w:rFonts w:ascii="Times New Roman;Times;Serif" w:hAnsi="Times New Roman;Times;Serif"/>
          <w:b w:val="false"/>
          <w:i w:val="false"/>
          <w:caps w:val="false"/>
          <w:smallCaps w:val="false"/>
          <w:sz w:val="20"/>
        </w:rPr>
        <w:t>. This Amendment is made in accordance with Section 5.5 of the Securities Purchase Agreement and constitutes an integral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Confirmation, Ratification and Entire Agreements</w:t>
      </w:r>
      <w:r>
        <w:rPr>
          <w:rFonts w:ascii="Times New Roman;Times;Serif" w:hAnsi="Times New Roman;Times;Serif"/>
          <w:b w:val="false"/>
          <w:i w:val="false"/>
          <w:caps w:val="false"/>
          <w:smallCaps w:val="false"/>
          <w:sz w:val="20"/>
        </w:rPr>
        <w:t>. Except as expressly amended and modified herein, the Securities Purchase Agreement shall continue in full force and effect, and the parties hereby ratify and confirm the Securities Purchase Agreement as hereby amended. All references to the Securities Purchase Agreement in any document, instrument, agreement, or writing delivered pursuant to the Securities Purchase Agreement (as amended hereby) shall hereafter be deemed to refer to the Securities Purchase Agreement as amended hereby. The Securities Purchase Agreement (as amended hereby) and any other documents, instruments, and agreements among the parties as contemplated by or referenced in the Securities Purchase Agreement comprise the complete and exclusive agreement between the parties regarding the subject matter of this Amendment, and supersede all oral and written communications, negotiations, representations or agreements in relation to that subject matter made or entered into before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Sections 5.2 (Fees and Expenses), 5.4 (Notices), 5.5 (Amendments; Waivers), 5.7 (Successors and Assigns), 5.9 (Governing Law), 5.11 (Execution), 5.12 (Severability), and 5.19 (WAIVER OF JURY TRIAL) of the Securities Purchase Agreement are incorporated herein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Upon the effectiveness of this Amendment, each reference in the Securities Purchase Agreement to “this Agreement,” “hereunder,” “herein,” “hereof” or words of like import referring to the Securities Purchase Agreement shall mean and refer to the Securities Purchase Agreement as amended by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party hereto has caused this Agreement to be duly executed and delivered by its proper and duly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154" w:type="dxa"/>
        <w:jc w:val="left"/>
        <w:tblInd w:w="0" w:type="dxa"/>
        <w:tblLayout w:type="fixed"/>
        <w:tblCellMar>
          <w:top w:w="0" w:type="dxa"/>
          <w:left w:w="0" w:type="dxa"/>
          <w:bottom w:w="0" w:type="dxa"/>
          <w:right w:w="0" w:type="dxa"/>
        </w:tblCellMar>
      </w:tblPr>
      <w:tblGrid>
        <w:gridCol w:w="75"/>
        <w:gridCol w:w="466"/>
        <w:gridCol w:w="2613"/>
      </w:tblGrid>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Guillaume Lefevre</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Interim Chief Executive Officer</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CA LLC:</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McCoy</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McCoy</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 No. 2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4" w:name="tm249250d1_ex10-5.htm"/>
      <w:bookmarkStart w:id="35" w:name="kstm249250d1_ex105"/>
      <w:bookmarkEnd w:id="34"/>
      <w:bookmarkEnd w:id="3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SEVENTH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Seventh Amendment to Credit Agreement and Acknowledgement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dated as of March 21, 2024, is by and among </w:t>
      </w:r>
      <w:r>
        <w:rPr>
          <w:rFonts w:ascii="Times New Roman;Times;Serif" w:hAnsi="Times New Roman;Times;Serif"/>
          <w:b/>
          <w:i w:val="false"/>
          <w:caps w:val="false"/>
          <w:smallCaps w:val="false"/>
          <w:sz w:val="20"/>
        </w:rPr>
        <w:t>PRESTO AUTOMATION LLC</w:t>
      </w:r>
      <w:r>
        <w:rPr>
          <w:rFonts w:ascii="Times New Roman;Times;Serif" w:hAnsi="Times New Roman;Times;Serif"/>
          <w:b w:val="false"/>
          <w:i w:val="false"/>
          <w:caps w:val="false"/>
          <w:smallCaps w:val="false"/>
          <w:sz w:val="20"/>
        </w:rPr>
        <w:t xml:space="preserve"> (f/k/a </w:t>
      </w:r>
      <w:r>
        <w:rPr>
          <w:rFonts w:ascii="Times New Roman;Times;Serif" w:hAnsi="Times New Roman;Times;Serif"/>
          <w:b w:val="false"/>
          <w:i w:val="false"/>
          <w:caps/>
          <w:sz w:val="20"/>
        </w:rPr>
        <w:t xml:space="preserve">E </w:t>
      </w:r>
      <w:r>
        <w:rPr>
          <w:rFonts w:ascii="Times New Roman;Times;Serif" w:hAnsi="Times New Roman;Times;Serif"/>
          <w:b w:val="false"/>
          <w:i w:val="false"/>
          <w:caps w:val="false"/>
          <w:smallCaps w:val="false"/>
          <w:sz w:val="20"/>
        </w:rPr>
        <w:t>La Carte</w:t>
      </w:r>
      <w:r>
        <w:rPr>
          <w:rFonts w:ascii="Times New Roman;Times;Serif" w:hAnsi="Times New Roman;Times;Serif"/>
          <w:b w:val="false"/>
          <w:i w:val="false"/>
          <w:caps/>
          <w:sz w:val="20"/>
        </w:rPr>
        <w:t xml:space="preserve">, LLC, </w:t>
      </w:r>
      <w:r>
        <w:rPr>
          <w:rFonts w:ascii="Times New Roman;Times;Serif" w:hAnsi="Times New Roman;Times;Serif"/>
          <w:b w:val="false"/>
          <w:i w:val="false"/>
          <w:caps w:val="false"/>
          <w:smallCaps w:val="false"/>
          <w:sz w:val="20"/>
        </w:rPr>
        <w:t>f/k/a Ventoux Merger Sub II LLC) a Delaware limited liability company (“</w:t>
      </w:r>
      <w:r>
        <w:rPr>
          <w:rFonts w:ascii="Times New Roman;Times;Serif" w:hAnsi="Times New Roman;Times;Serif"/>
          <w:b w:val="false"/>
          <w:i w:val="false"/>
          <w:caps w:val="false"/>
          <w:smallCaps w:val="false"/>
          <w:sz w:val="20"/>
          <w:u w:val="single"/>
        </w:rPr>
        <w:t>Presto</w:t>
      </w:r>
      <w:r>
        <w:rPr>
          <w:rFonts w:ascii="Times New Roman;Times;Serif" w:hAnsi="Times New Roman;Times;Serif"/>
          <w:b w:val="false"/>
          <w:i w:val="false"/>
          <w:caps w:val="false"/>
          <w:smallCaps w:val="false"/>
          <w:sz w:val="20"/>
        </w:rPr>
        <w:t>”), each other Person party hereto as a “Borrower” from time to time (each such Person, together with Presto, individually and collectively,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PRESTO AUTOMATION INC.</w:t>
      </w:r>
      <w:r>
        <w:rPr>
          <w:rFonts w:ascii="Times New Roman;Times;Serif" w:hAnsi="Times New Roman;Times;Serif"/>
          <w:b w:val="false"/>
          <w:i w:val="false"/>
          <w:caps w:val="false"/>
          <w:smallCaps w:val="false"/>
          <w:sz w:val="20"/>
        </w:rPr>
        <w:t xml:space="preserve"> (f/k/a Ventoux CCM Acquisition Corp.), a Delaware corporation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together with each other Guarantor from time to time party hereto, each a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together with Borrower, each a “</w:t>
      </w:r>
      <w:r>
        <w:rPr>
          <w:rFonts w:ascii="Times New Roman;Times;Serif" w:hAnsi="Times New Roman;Times;Serif"/>
          <w:b w:val="false"/>
          <w:i w:val="false"/>
          <w:caps w:val="false"/>
          <w:smallCaps w:val="false"/>
          <w:sz w:val="20"/>
          <w:u w:val="single"/>
        </w:rPr>
        <w:t>Loan 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each of the financial institutions from time to time party hereto (individually each a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METROPOLITAN PARTNERS GROUP ADMINISTRATION, LLC</w:t>
      </w:r>
      <w:r>
        <w:rPr>
          <w:rFonts w:ascii="Times New Roman;Times;Serif" w:hAnsi="Times New Roman;Times;Serif"/>
          <w:b w:val="false"/>
          <w:i w:val="false"/>
          <w:caps w:val="false"/>
          <w:smallCaps w:val="false"/>
          <w:sz w:val="20"/>
        </w:rPr>
        <w:t>, a Delaware limited liability company, as administrative, payment and collateral agent for the Lenders (in such capacities,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Borrower, Parent, Agent, and the Lenders are party to that certain Credit Agreement dated as of September 21, 2022, as amended by that certain Waiver and First Amendment to Credit Agreement dated as of March 31, 2023, that certain Second Amendment to Credit Agreement, dated as of May 22, 2023, that certain Third Amendment to Credit Agreement, dated as of October 10, 2023, that certain Forbearance and Fourth Amendment to Credit Agreement, dated as of January 22, 2024, that certain Fifth Amendment to Credit Agreement and Acknowledgment, dated as of January 30, 2024 and that certain Forbearance and Sixth Amendment to Credit Agreement, dated as of March 1, 2024 (as amended, restated,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of the date hereof, the Forbearance Defaults (as set forth on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 have occurred and are continuing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notwithstanding the existence of the Forbearance Defaults, and without waiving with respect thereto, the Loan Parties have requested that Agent and Lenders amend certain provisions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Loan Parties have agreed to do so on the terms and conditions set forth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parties hereto desire to enter into this Amendment to, among other things</w:t>
      </w:r>
      <w:r>
        <w:rPr>
          <w:rFonts w:ascii="Times New Roman;Times;Serif" w:hAnsi="Times New Roman;Times;Serif"/>
          <w:b w:val="false"/>
          <w:i w:val="false"/>
          <w:caps w:val="false"/>
          <w:smallCaps w:val="false"/>
          <w:color w:val="231F1F"/>
          <w:sz w:val="20"/>
        </w:rPr>
        <w:t>, amend and restate certain provisions of the Credit Agreement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terms, conditions and covenants set forth below, and other good and valuable consideration, the receipt of which is hereby acknowledged, the parties, intending to be legally bound hereby, promise and agree as follows. </w:t>
      </w:r>
      <w:r>
        <w:rPr>
          <w:rFonts w:ascii="Times New Roman;Times;Serif" w:hAnsi="Times New Roman;Times;Serif"/>
          <w:b w:val="false"/>
          <w:i w:val="false"/>
          <w:caps w:val="false"/>
          <w:smallCaps w:val="false"/>
          <w:sz w:val="20"/>
          <w:shd w:fill="FFFFFF" w:val="clear"/>
        </w:rPr>
        <w:t>Capitalized terms used but not otherwise defined herein shall have the meanings given to such terms in the Credit Agreement as amended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Acknowledgment of Forbearance Defaults</w:t>
      </w:r>
      <w:r>
        <w:rPr>
          <w:rFonts w:ascii="Times New Roman;Times;Serif" w:hAnsi="Times New Roman;Times;Serif"/>
          <w:b w:val="false"/>
          <w:i w:val="false"/>
          <w:caps w:val="false"/>
          <w:smallCaps w:val="false"/>
          <w:sz w:val="20"/>
        </w:rPr>
        <w:t>. Each of the parties signatory hereto hereby acknowledges and agrees that (i) the Forbearance Defaults have occurred and are continuing, (ii) each of the Forbearance Defaults constitute an “Event of Default” under the Loan Documents, and (iii) as a result of such Events of Default, the Agent and the Lenders are and have been entitled to exercise their respective rights and remedies under the Loan Documents, applicable law, or otherwise. Each of the parties signatory hereto further represents and warrants that as of the date hereof, no other Events of Default under the Loan Documents exist. The Agent and the Lenders have not waived and do not intend to waive any Forbearance Default, or any other Default or Event of Default which may exist under any Loan Document, and nothing contained herein or the transactions contemplated hereby shall be deemed to constitute such a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Amendments to Loan Documents</w:t>
      </w:r>
      <w:r>
        <w:rPr>
          <w:rFonts w:ascii="Times New Roman;Times;Serif" w:hAnsi="Times New Roman;Times;Serif"/>
          <w:b w:val="false"/>
          <w:i w:val="false"/>
          <w:caps w:val="false"/>
          <w:smallCaps w:val="false"/>
          <w:sz w:val="20"/>
        </w:rPr>
        <w:t xml:space="preserve">. Upon satisfaction of the conditions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 and in reliance upon the Loan Parties’ representations and warranties set forth in the Credit Agreement and this Amendment, the Loan Parties, Agent and the Lenders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Clause (a) of the definition of “Forbearance Termination Date” shall be amended and restated by deleting the text thereof in its entirety and replacing it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to the extent $2,000,000 is advanced to the Loan Parties pursuant to the Cleveland Avenue Note on March 21, 2024, April 15, 2024 and (ii) to the extent an additional $2,000,000 (totaling $4,000,000 in the aggregate) is advanced to the Loan Parties pursuant to the Cleveland Avenue Note on March 30, 2024, May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definition of “Loan Documents” shall be amended and restated by deleting the text thereof in its entirety and replacing it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Loan Documents</w:t>
      </w:r>
      <w:r>
        <w:rPr>
          <w:rFonts w:ascii="Times New Roman;Times;Serif" w:hAnsi="Times New Roman;Times;Serif"/>
          <w:b w:val="false"/>
          <w:i w:val="false"/>
          <w:caps w:val="false"/>
          <w:smallCaps w:val="false"/>
          <w:sz w:val="20"/>
        </w:rPr>
        <w:t>”: this Agreement, the First Amendment, the Second Amendment, the Third Amendment, the Fourth Amendment, the Fifth Amendment, the Sixth Amendment, the Seventh Amendment, the Cleveland Avenue Intercreditor Agreement, the Security Documents, the Notes, the Warrant Subscription Agreement, the Warrants, the Founder Shares Transfer Agreement, the Registration Rights Agreements, each Perfection Certificate, each Compliance Certificate, the Fee Letter, each Notice of Borrowing, each Payment Notice and any other document or instrument evidencing, securing or otherwise governing the Obligations and any amendment, restatement, supplement or other modification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Clause (e) of the definition of “Permitted Indebtedness” shall be amended and restated by deleting the text thereof in its entirety and replacing it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Cleveland Avenue Indebtedness, so long as such Indebtedness (i) is subject to the provisions of the Intercreditor Agreement and (ii) does not permit payment of any interest in cash accruing on the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Clause (l) of the definition of “Permitted Liens” shall be amended and restated by deleting the text thereof in its entirety and replacing it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securing the Cleveland Avenue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definition of “Minimum Unrestricted Cash Amount” shall be amended and restated by deleting the text thereof in its entirety and replacing it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Minimum Unrestricted Cash Amount</w:t>
      </w:r>
      <w:r>
        <w:rPr>
          <w:rFonts w:ascii="Times New Roman;Times;Serif" w:hAnsi="Times New Roman;Times;Serif"/>
          <w:b w:val="false"/>
          <w:i w:val="false"/>
          <w:caps w:val="false"/>
          <w:smallCaps w:val="false"/>
          <w:sz w:val="20"/>
        </w:rPr>
        <w:t xml:space="preserve">” (a) prior to the Second Amendment Effective Date, as of any date of determination, an amount equal to: (i) the operating expenses of the Loan Parties and their Subsidiaries determined on a consolidated basis for the six (6) consecutive month period ending on such date of determination, as set forth in the financial statements most recently delivered pursuant to </w:t>
      </w:r>
      <w:r>
        <w:rPr>
          <w:rFonts w:ascii="Times New Roman;Times;Serif" w:hAnsi="Times New Roman;Times;Serif"/>
          <w:b w:val="false"/>
          <w:i w:val="false"/>
          <w:caps w:val="false"/>
          <w:smallCaps w:val="false"/>
          <w:sz w:val="20"/>
          <w:u w:val="single"/>
        </w:rPr>
        <w:t>Sections 5.1(c)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$1,100,000; (b) from and after the Second Amendment Effective Date and through and until (but excluding) the Fourth Amendment Effective Date, as of any date of determination, an amount equal to $10,000,000; (c) from and after the Fourth Amendment Effective Date through January 29, 2024, as of any date of determination, an amount equal to $0.00; (d) from January 30, 2024 through February 28, 2024, as of any date of determination, an amount equal to $1,000,000; (e) from and after February 29, 2024 and through and until (but excluding) the Seventh Amendment Effective Date, as of any date of determination, an amount equal to $2,500,000; (f) from and after the Seventh Amendment Effective Date and through and until (but excluding) the Forbearance Termination Date, as of any date of determination, an amount equal to $0.00; and (g) from and after the Forbearance Termination Date, as of any date of determination, an amount equal to $10,000,000.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following definitions shall be inserted in appropriate alphabetical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Cleveland Avenue Indebtedness</w:t>
      </w:r>
      <w:r>
        <w:rPr>
          <w:rFonts w:ascii="Times New Roman;Times;Serif" w:hAnsi="Times New Roman;Times;Serif"/>
          <w:b w:val="false"/>
          <w:i w:val="false"/>
          <w:caps w:val="false"/>
          <w:smallCaps w:val="false"/>
          <w:sz w:val="20"/>
        </w:rPr>
        <w:t>”: Indebtedness pursuant to the Cleveland Avenue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Cleveland Avenue Intercreditor Agreement</w:t>
      </w:r>
      <w:r>
        <w:rPr>
          <w:rFonts w:ascii="Times New Roman;Times;Serif" w:hAnsi="Times New Roman;Times;Serif"/>
          <w:b w:val="false"/>
          <w:i w:val="false"/>
          <w:caps w:val="false"/>
          <w:smallCaps w:val="false"/>
          <w:sz w:val="20"/>
        </w:rPr>
        <w:t>”: that certain Subordination Agreement, dated as of the Seventh Amendment Effective Date, among the Loan Parties, the Agent, Presto CA LLC and the Subordinated Creditors (as defined therein)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Cleveland Avenue Loan Documents</w:t>
      </w:r>
      <w:r>
        <w:rPr>
          <w:rFonts w:ascii="Times New Roman;Times;Serif" w:hAnsi="Times New Roman;Times;Serif"/>
          <w:b w:val="false"/>
          <w:i w:val="false"/>
          <w:caps w:val="false"/>
          <w:smallCaps w:val="false"/>
          <w:sz w:val="20"/>
        </w:rPr>
        <w:t>”: the Cleveland Avenue Note, the Cleveland Avenue Security Agreement, the Cleveland Avenue Intercreditor Agreement, and any other document or instrument evidencing, securing or otherwise governing the Cleveland Avenue Indebtedness and any amendment, restatement, supplement or other modification to any of the foregoing in accordance with the Cleveland Avenue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Cleveland Avenue Note</w:t>
      </w:r>
      <w:r>
        <w:rPr>
          <w:rFonts w:ascii="Times New Roman;Times;Serif" w:hAnsi="Times New Roman;Times;Serif"/>
          <w:b w:val="false"/>
          <w:i w:val="false"/>
          <w:caps w:val="false"/>
          <w:smallCaps w:val="false"/>
          <w:sz w:val="20"/>
        </w:rPr>
        <w:t>” means that certain Senior Secured Promissory Note, dated as of the Seventh Amendment Effective Date, made by the Loan Parties in favor of Presto CA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Cleveland Avenue Security Agreement</w:t>
      </w:r>
      <w:r>
        <w:rPr>
          <w:rFonts w:ascii="Times New Roman;Times;Serif" w:hAnsi="Times New Roman;Times;Serif"/>
          <w:b w:val="false"/>
          <w:i w:val="false"/>
          <w:caps w:val="false"/>
          <w:smallCaps w:val="false"/>
          <w:sz w:val="20"/>
        </w:rPr>
        <w:t>”: that certain Security Agreement, dated as of the Seventh Amendment Effective Date, among the Loan Parties and Presto CA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Seventh Amendment</w:t>
      </w:r>
      <w:r>
        <w:rPr>
          <w:rFonts w:ascii="Times New Roman;Times;Serif" w:hAnsi="Times New Roman;Times;Serif"/>
          <w:b w:val="false"/>
          <w:i w:val="false"/>
          <w:caps w:val="false"/>
          <w:smallCaps w:val="false"/>
          <w:sz w:val="20"/>
        </w:rPr>
        <w:t>”: that certain Seventh Amendment to Credit Agreement, dated as of the Seventh Amendment Effective Date among the Agent, the Lenders and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Seventh Amendment Effective Date</w:t>
      </w:r>
      <w:r>
        <w:rPr>
          <w:rFonts w:ascii="Times New Roman;Times;Serif" w:hAnsi="Times New Roman;Times;Serif"/>
          <w:b w:val="false"/>
          <w:i w:val="false"/>
          <w:caps w:val="false"/>
          <w:smallCaps w:val="false"/>
          <w:sz w:val="20"/>
        </w:rPr>
        <w:t>”: March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7.1(f) of the Credit Agreement shall be amended and restated by deleting the text thereof in its entirety and replacing it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the occurrence of any default or breach by Borrower or any Loan Party under the Cleveland Avenue Indebtedness, the Nirvana Debt or any Subordinated Indebtedness, or any of the instruments or other documents executed in connection therewith (including, without limitation, any Cleveland Avenue Loan Document) and, in each case, such default or breach continues for more than any applicable grace period and permits the holder of any such indebtedness to accelerate the maturity thereof or cause a redemption thereof (whether or not the payment at maturity or upon such redemption is then permitted), (ii) the occurrence of any default or breach of any subordination agreements in respect of, or subordination provisions contained in, any Subordinated Indebtedness, (iii) any Person challenges any subordination agreement in respect of, or subordination provisions contained in, any Subordinated Indebtedness, or (iv) the January 2024 Parent Notes or the March 1 Bridge Note (as defined in the Sixth Amendment) fail to constitute Parent Subordinated Indebtedness at any time;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Section 7.1 of the Credit Agreement shall be amended by adding a new clause (s) which shall state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 the occurrence of any default or breach of the Cleveland Avenue Intercreditor Agreement, (ii) the Cleveland Avenue Intercreditor Agreement is invalidated or no longer effective for any reason or (iii) any party thereto challenges any provision, or the validity or effectiveness,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Section 8.2(a) of the Credit Agreement shall be amended and restated by deleting the text thereof in its entirety and replacing it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notices, requests and demands to or upon the respective parties hereto to be effective shall be in writing (including by electronic mail), and, unless otherwise expressly provided herein, shall be deemed to have been duly given or made when delivered, or three (3) Business Days after being deposited in the mail, postage prepaid, or one (1) Business Day after being deposited with an overnight courier, or, in the case of electronic mail notice, pursuant to clause (c) below, provided that each notice or communication delivered by mail must also be accompanied by delivery via electronic mail in accordance with clause (c) below, in each case addressed as follows or to such other address as may be hereafter notified by the respective parties hereto:</w:t>
      </w:r>
    </w:p>
    <w:p>
      <w:pPr>
        <w:pStyle w:val="TextBody"/>
        <w:bidi w:val="0"/>
        <w:spacing w:before="0" w:after="0"/>
        <w:ind w:left="0" w:right="0" w:hanging="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23"/>
        <w:gridCol w:w="83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20"/>
              </w:rPr>
            </w:pPr>
            <w:r>
              <w:rPr>
                <w:sz w:val="20"/>
              </w:rPr>
              <w:t>Borrower:</w:t>
            </w:r>
          </w:p>
        </w:tc>
        <w:tc>
          <w:tcPr>
            <w:tcW w:w="1955" w:type="dxa"/>
            <w:tcBorders/>
            <w:vAlign w:val="center"/>
          </w:tcPr>
          <w:p>
            <w:pPr>
              <w:pStyle w:val="TableContents"/>
              <w:bidi w:val="0"/>
              <w:spacing w:before="0" w:after="283"/>
              <w:jc w:val="both"/>
              <w:rPr>
                <w:sz w:val="20"/>
              </w:rPr>
            </w:pPr>
            <w:r>
              <w:rPr>
                <w:sz w:val="20"/>
              </w:rPr>
              <w:t>Presto Automation LLC</w:t>
            </w:r>
          </w:p>
        </w:tc>
      </w:tr>
    </w:tbl>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ATTN: Legal Department</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365 Industrial Road, Suite 205</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San Carlos, CA 94070</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Email: accounting@presto.com</w:t>
      </w:r>
    </w:p>
    <w:p>
      <w:pPr>
        <w:pStyle w:val="TextBody"/>
        <w:bidi w:val="0"/>
        <w:spacing w:before="0" w:after="0"/>
        <w:ind w:left="0" w:right="0" w:hanging="0"/>
        <w:jc w:val="left"/>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23"/>
        <w:gridCol w:w="590"/>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20"/>
              </w:rPr>
            </w:pPr>
            <w:r>
              <w:rPr>
                <w:sz w:val="20"/>
              </w:rPr>
              <w:t>Parent:</w:t>
            </w:r>
          </w:p>
        </w:tc>
        <w:tc>
          <w:tcPr>
            <w:tcW w:w="1880" w:type="dxa"/>
            <w:tcBorders/>
            <w:vAlign w:val="center"/>
          </w:tcPr>
          <w:p>
            <w:pPr>
              <w:pStyle w:val="TableContents"/>
              <w:bidi w:val="0"/>
              <w:spacing w:before="0" w:after="283"/>
              <w:jc w:val="both"/>
              <w:rPr>
                <w:sz w:val="20"/>
              </w:rPr>
            </w:pPr>
            <w:r>
              <w:rPr>
                <w:sz w:val="20"/>
              </w:rPr>
              <w:t>Presto Automation Inc.</w:t>
            </w:r>
          </w:p>
        </w:tc>
      </w:tr>
    </w:tbl>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ATTN: Legal Department</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365 Industrial Road, Suite 205</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San Carlos, CA 94070</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Email: accounting@presto.com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each case 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Paul Hastings LLP</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200 Park Avenue</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New York, NY 10166</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Attn: Colin Diamond and Alex Cota</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Email: colindiamond@paulhastings.com and</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alexcota@paulhastings.com</w:t>
      </w:r>
    </w:p>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575"/>
        <w:gridCol w:w="4790"/>
      </w:tblGrid>
      <w:tr>
        <w:trPr/>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20"/>
              </w:rPr>
            </w:pPr>
            <w:r>
              <w:rPr>
                <w:sz w:val="20"/>
              </w:rPr>
              <w:t>Agent:</w:t>
            </w:r>
          </w:p>
        </w:tc>
        <w:tc>
          <w:tcPr>
            <w:tcW w:w="4790" w:type="dxa"/>
            <w:tcBorders/>
            <w:vAlign w:val="center"/>
          </w:tcPr>
          <w:p>
            <w:pPr>
              <w:pStyle w:val="TableContents"/>
              <w:bidi w:val="0"/>
              <w:spacing w:before="0" w:after="283"/>
              <w:jc w:val="left"/>
              <w:rPr/>
            </w:pPr>
            <w:r>
              <w:rPr/>
              <w:t>Metropolitan Partners Group Administration, LLC</w:t>
            </w:r>
          </w:p>
        </w:tc>
      </w:tr>
    </w:tbl>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850 Third Avenue, 18th Floor</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New York, NY 10022</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Paul Lisiak</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Telephone No.: (212) 561-1250</w:t>
      </w:r>
    </w:p>
    <w:p>
      <w:pPr>
        <w:pStyle w:val="TextBody"/>
        <w:bidi w:val="0"/>
        <w:spacing w:before="0" w:after="0"/>
        <w:ind w:left="216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E-Mail: </w:t>
      </w:r>
      <w:r>
        <w:rPr>
          <w:rFonts w:ascii="Times New Roman;Times;Serif" w:hAnsi="Times New Roman;Times;Serif"/>
          <w:b w:val="false"/>
          <w:i w:val="false"/>
          <w:caps w:val="false"/>
          <w:smallCaps w:val="false"/>
          <w:sz w:val="20"/>
          <w:u w:val="single"/>
          <w:shd w:fill="FFFFFF" w:val="clear"/>
        </w:rPr>
        <w:t>plisiak@metpg.com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K&amp;L Gates LLP</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599 Lexington Avenue</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New York, NY 10022</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Aaron S. Rothman</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Telephone No.: 704-331-7446</w:t>
      </w:r>
    </w:p>
    <w:p>
      <w:pPr>
        <w:pStyle w:val="TextBody"/>
        <w:bidi w:val="0"/>
        <w:spacing w:before="0" w:after="0"/>
        <w:ind w:left="288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E-Mail: aaron.rothman@klgates.com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provided that any notice, request or demand to or upon Agent shall not be effective until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Direction to the Agent</w:t>
      </w:r>
      <w:r>
        <w:rPr>
          <w:rFonts w:ascii="Times New Roman;Times;Serif" w:hAnsi="Times New Roman;Times;Serif"/>
          <w:b w:val="false"/>
          <w:i w:val="false"/>
          <w:caps w:val="false"/>
          <w:smallCaps w:val="false"/>
          <w:sz w:val="20"/>
        </w:rPr>
        <w:t>. Each of the Lenders signatory hereto (constituting all of the outstanding Lenders as of the date hereof) hereby directs the Agent to execute and deliver the Cleveland Avenue Intercreditor Agreement, and authorizes the Agent to take action as agent on its behalf and to exercise such powers and discretion under the Cleveland Avenue Intercreditor Agreement as are delegated to the Agent by the terms thereof, together with such powers and discretion as are reasonably incidental thereto. The Loan Parties and Lenders agree that the indemnifications provided in Sections 8.5 and 9.9 of the Credit Agreement apply to the foregoing instruction and the execution of the Cleveland Avenue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color w:val="231F1F"/>
          <w:sz w:val="20"/>
          <w:u w:val="single"/>
        </w:rPr>
        <w:t>Incorporation</w:t>
      </w:r>
      <w:r>
        <w:rPr>
          <w:rFonts w:ascii="Times New Roman;Times;Serif" w:hAnsi="Times New Roman;Times;Serif"/>
          <w:b w:val="false"/>
          <w:i w:val="false"/>
          <w:caps w:val="false"/>
          <w:smallCaps w:val="false"/>
          <w:color w:val="231F1F"/>
          <w:sz w:val="20"/>
        </w:rPr>
        <w:t>. This Amendment shall be a Loan Document (within the meaning of such term under the Credit Agreement), and shall inure to the benefit of and be enforceable by the Agent and its successors and assigns. This Amendment and its attachments are hereby incorporated into the applicable Loan Document and made a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Confirmation and Reaffirmation</w:t>
      </w:r>
      <w:r>
        <w:rPr>
          <w:rFonts w:ascii="Times New Roman;Times;Serif" w:hAnsi="Times New Roman;Times;Serif"/>
          <w:b w:val="false"/>
          <w:i w:val="false"/>
          <w:caps w:val="false"/>
          <w:smallCaps w:val="false"/>
          <w:sz w:val="20"/>
        </w:rPr>
        <w:t>. The Loan Parties confirm that the Credit Agreement and each Loan Document is, and shall continue to be, in full force and effect. The Loan Parties further confirm and represents that the Collateral (within the meaning of such term under the Credit Agreement as amended hereby) remains free and clear of all Liens other than those in favor of Agent or as otherwise permitted in the Loan Documents. Nothing contained herein is intended to in any way impair or limit the validity, priority or extent of Agent’s security interest in and Liens upon the Collateral of any Loan Party. After giving effect to the amendments set forth herein, as of March 15, 2024, the outstanding principal balance of the Term Loan would be $52,751,090.55 and the accrued and unpaid interest thereon will be $175,836.97.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Ratification</w:t>
      </w:r>
      <w:r>
        <w:rPr>
          <w:rFonts w:ascii="Times New Roman;Times;Serif" w:hAnsi="Times New Roman;Times;Serif"/>
          <w:b w:val="false"/>
          <w:i w:val="false"/>
          <w:caps w:val="false"/>
          <w:smallCaps w:val="false"/>
          <w:sz w:val="20"/>
        </w:rPr>
        <w:t>. The terms and provisions set forth in this Amendment shall modify and supersede all inconsistent terms and provisions of the Credit Agreement, and shall not be deemed to be a consent to the modification or waiver of any other term or condition of the Credit Agreement or any other Loan Document. Except as expressly modified and superseded by this Amendment, the terms and provisions of the Credit Agreement and the other Loan Documents are ratified and confirmed and shall continue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This Amendment will become effective on the first date (the “</w:t>
      </w:r>
      <w:r>
        <w:rPr>
          <w:rFonts w:ascii="Times New Roman;Times;Serif" w:hAnsi="Times New Roman;Times;Serif"/>
          <w:b w:val="false"/>
          <w:i w:val="false"/>
          <w:caps w:val="false"/>
          <w:smallCaps w:val="false"/>
          <w:sz w:val="20"/>
          <w:u w:val="single"/>
        </w:rPr>
        <w:t>Seventh Amendment Effective Date</w:t>
      </w:r>
      <w:r>
        <w:rPr>
          <w:rFonts w:ascii="Times New Roman;Times;Serif" w:hAnsi="Times New Roman;Times;Serif"/>
          <w:b w:val="false"/>
          <w:i w:val="false"/>
          <w:caps w:val="false"/>
          <w:smallCaps w:val="false"/>
          <w:sz w:val="20"/>
        </w:rPr>
        <w:t>”) that each of the following conditions precedent have been either satisfied or waived by the Agent in writing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Agent and the Lenders shall have received each of the following, each of which shall be in form and substance satisfactory to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Amendment, executed and delivered by Agent, each Lender and each Loan Party,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evidence that the Loan Parties have received at least $2,000,000 of gross cash proceeds from the Cleveland Avene Indebtedness and (B) all documentation effectuating the Cleveland Avenue Indebtedness;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amended and restated Third Amendment Conversion Warrants and Fifth Amendment Warrants reflecting (A) an amount of Warrant Shares inclusive of increases from all Dilutive Issuances to date and (B) an extension of the end date of the “Anti-Dilution Period” in Section 2(b) thereof from April 1, 2024 to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The Loan Parties shall have paid in cash all fees due as set forth in the Fee Letter to Agent and the reasonable expenses of the Agent and the Lenders, including, without limitation, the fees, costs and expenses of K&amp;L Gates LLP, as counsel to the Agent and the Lenders, by wire transfer of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representations and warranties made by each Loan Party in or pursuant to this Amendment are true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Default</w:t>
      </w:r>
      <w:r>
        <w:rPr>
          <w:rFonts w:ascii="Times New Roman;Times;Serif" w:hAnsi="Times New Roman;Times;Serif"/>
          <w:b w:val="false"/>
          <w:i w:val="false"/>
          <w:caps w:val="false"/>
          <w:smallCaps w:val="false"/>
          <w:sz w:val="20"/>
        </w:rPr>
        <w:t>. Immediately after giving effect to this Amendment, no Default or Event of Default (other than the Forbearance Defaults, which remain outstanding) shall have occurred and be continuing as of or on such date that has not been waived by the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There shall not have occurred since the Closing Date, any event or circumstance that has had or could be reasonably expected to have, individually or in the aggregate, a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Additional Documents</w:t>
      </w:r>
      <w:r>
        <w:rPr>
          <w:rFonts w:ascii="Times New Roman;Times;Serif" w:hAnsi="Times New Roman;Times;Serif"/>
          <w:b w:val="false"/>
          <w:i w:val="false"/>
          <w:caps w:val="false"/>
          <w:smallCaps w:val="false"/>
          <w:sz w:val="20"/>
        </w:rPr>
        <w:t>. The Lenders shall have received such documentation as Agent or any Lender shall reasonably request, all in form and substance satisfactory to the Agent and the Lenders;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Loan Party hereby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representations and warranties made by or on behalf of such Loan Party to the Agent and Lenders in any of the Loan Documents was true and correct when made, and is true and correct in all material respects on and as of the date hereof (except for (x) representations and warranties which are already subject to materiality, which shall be true and correct in all respects, and those referring to an earlier date, which shall be true and correct in all material respects as of such date; provided, that any reference to the Third Amendment Effective Date, Fourth Amendment Effective Date, Fifth Amendment Effective Date or Sixth Amendment Effective Date in Sections 3.6, 3.7, 3.19 or 3.20 of the Credit Agreement shall be deemed to refer to the Seventh Amendment Effective Date, and (y) any representations and warranties that no Default or Event of Default exists, solely with respect to the Forbearance Defaults), with the same full force and effect as if each of such representations and warranties had been made by such Loan Party on the date hereof and in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the transactions contemplated by this </w:t>
      </w:r>
      <w:r>
        <w:rPr>
          <w:rFonts w:ascii="Times New Roman;Times;Serif" w:hAnsi="Times New Roman;Times;Serif"/>
          <w:b w:val="false"/>
          <w:i w:val="false"/>
          <w:caps w:val="false"/>
          <w:smallCaps w:val="false"/>
          <w:color w:val="231F1F"/>
          <w:sz w:val="20"/>
        </w:rPr>
        <w:t>Amendment</w:t>
      </w:r>
      <w:r>
        <w:rPr>
          <w:rFonts w:ascii="Times New Roman;Times;Serif" w:hAnsi="Times New Roman;Times;Serif"/>
          <w:b w:val="false"/>
          <w:i w:val="false"/>
          <w:caps w:val="false"/>
          <w:smallCaps w:val="false"/>
          <w:sz w:val="20"/>
        </w:rPr>
        <w:t xml:space="preserve"> are within such party’s organizational powers and have been duly authorized by all necessary organizational actions and, if required, actions by equity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consummation of this Amendment does not and will not (i) require any consent or approval of, registration or filing with, or any other action by any Governmental Authority except such as have been obtained or made and are in full force and effect and except for filings necessary to perfect Liens created pursuant to the Loan Documents, (ii) violate any requirements of law applicable to any such party or any of its Subsidiaries except for such violations that would not reasonably be expected to result in a Material Adverse Effect, or (iii) violate the Operating Documents of any such party or any of their respective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Amendment has been duly executed and delivered by such party and is a legally valid and binding obligation of the parties party hereto, each enforceable against each of such parties, as applicable, in accordance with their respective terms, except as may be limited by bankruptcy, insolvency, reorganization, moratorium or other laws affecting, creditors’ rights generally and the effects of general principles of equity;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Default or Event of Default has occurred or is continuing (other than the Forbearance Defaults, which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Loan Parties agree to pay all reasonable costs and expenses in connection with the preparation, execution and delivery of this Amendment, including the fees and expenses of Agent’s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consideration of the agreements of the Agent and Lenders contained herein, and for other good and valuable consideration, the receipt and sufficiency of which are hereby acknowledged, each Loan Party, on behalf of itself and its past, present and future Subsidiaries, successors, assigns, managers, members, officers, directors, agents, employees, professionals and other representatives (solely in their capacity as such and not in any other capacity) (the “</w:t>
      </w:r>
      <w:r>
        <w:rPr>
          <w:rFonts w:ascii="Times New Roman;Times;Serif" w:hAnsi="Times New Roman;Times;Serif"/>
          <w:b w:val="false"/>
          <w:i w:val="false"/>
          <w:caps w:val="false"/>
          <w:smallCaps w:val="false"/>
          <w:sz w:val="20"/>
          <w:u w:val="single"/>
        </w:rPr>
        <w:t>Releasing 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Releasing Party</w:t>
      </w:r>
      <w:r>
        <w:rPr>
          <w:rFonts w:ascii="Times New Roman;Times;Serif" w:hAnsi="Times New Roman;Times;Serif"/>
          <w:b w:val="false"/>
          <w:i w:val="false"/>
          <w:caps w:val="false"/>
          <w:smallCaps w:val="false"/>
          <w:sz w:val="20"/>
        </w:rPr>
        <w:t>”), hereby absolutely, unconditionally, and irrevocably releases, remises, and forever discharges the Agent and each Lender and each of their respective past, present and future stockholders, members, partners, managers, principals, affiliates, subsidiaries, divisions, predecessors, directors, officers, attorneys, employees, professionals, agents, and other representatives, and their respective successors and assigns (the “</w:t>
      </w:r>
      <w:r>
        <w:rPr>
          <w:rFonts w:ascii="Times New Roman;Times;Serif" w:hAnsi="Times New Roman;Times;Serif"/>
          <w:b w:val="false"/>
          <w:i w:val="false"/>
          <w:caps w:val="false"/>
          <w:smallCaps w:val="false"/>
          <w:sz w:val="20"/>
          <w:u w:val="single"/>
        </w:rPr>
        <w:t>Released 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Released Party</w:t>
      </w:r>
      <w:r>
        <w:rPr>
          <w:rFonts w:ascii="Times New Roman;Times;Serif" w:hAnsi="Times New Roman;Times;Serif"/>
          <w:b w:val="false"/>
          <w:i w:val="false"/>
          <w:caps w:val="false"/>
          <w:smallCaps w:val="false"/>
          <w:sz w:val="20"/>
        </w:rPr>
        <w:t>”) of and from all demands, actions, causes of action, suits, covenants, contracts, controversies, agreements, promises, sums of money, accounts, bills, reckonings, damages, and any and all other claims, counterclaims, defenses, rights of set off, demands, and liabilities whatsoever (each, individually, a “</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and collectively,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of every kind and nature, known or unknown, at law or in equity,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Released Parties, whether held in a personal or representative capacity, which any such Releasing Party may now or hereafter own, hold, have, or claim to have against any Released Party for, upon, or by reason of any circumstance, action, cause, omission, event or thing whatsoever which arises at any time on or prior to the date hereof, including, without limitation, for or on account of, or in relation to, or in any way in connection with this Amendment, the Loan Documents, or transactions contemplated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Releasing Party understands, acknowledges, confirms, and agrees that the release set forth above may be pleaded as a full and complete defense and may be used as a basis for an injunction against any action, suit, or other proceeding which may be instituted, prosecuted, or attempted in breach of the provisions of such release. Each of the parties acknowledges and agrees that the foregoing release is a material inducement to the Agent’s and the Lenders’ execution of this Amendment and, but for the foregoing release, the Agent and the Lenders would not be willing to enter into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Releasing Party agrees that no fact, event, circumstance, evidence, or transaction which could now be asserted or which may hereafter be discovered shall affect, in any manner, the final, absolute, and unconditional nature of the release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Releasing Party covenants and agrees never to institute or cause to be instituted or continue prosecution of, or to support, cooperate with or induce any other Person in connection with, any suit or other form of action or proceeding of any kind or nature whatsoever against any Released Party by reason of or in connection with any of the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Releasing Party covenants and agrees that in any suit or other form of action or proceeding brought in violation of this Section 12, (a) the Released Parties shall be entitled to payment of all fees, costs and expenses (including fees, costs and expenses of attorneys) incurred in connection with such suit or other form of action or proceeding from the applicable Releasing Party, and (b) the Releasing Parties shall indemnify and hold harmless the Released Parties with respect thereto to the fullest extent provided to the Indemnitees under Section 8.5 of the Credit Agreement, which the signatories hereto each acknowledge and agree to be bound for purposes of this Amendment, as if fully set forth herein. Any such payments made pursuant to this Section 12(e) shall be made at the time such indemnified amounts are incurred, and in any event within ten (10) Business Days of written demand therefor. No obligations hereunder may be assigned without the prior written consent of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Reviewed by Attorneys</w:t>
      </w:r>
      <w:r>
        <w:rPr>
          <w:rFonts w:ascii="Times New Roman;Times;Serif" w:hAnsi="Times New Roman;Times;Serif"/>
          <w:b w:val="false"/>
          <w:i w:val="false"/>
          <w:caps w:val="false"/>
          <w:smallCaps w:val="false"/>
          <w:sz w:val="20"/>
        </w:rPr>
        <w:t>. Each Loan Party represents and warrants to the Agent and each Lender that such party (i) understands fully the terms of this Amendment and the consequences of the execution and delivery of this Amendment, (ii) has been afforded the opportunity to discuss this Amendment with, and have this Amendment reviewed by, such attorneys and other persons as such party may wish, and (iii) has entered into this Amendment and executed and delivered all documents in connection here with of its own free will and accord and without threat, duress, or coercion of any kind by any person. Each Loan Party acknowledges and agrees that neither this Amendment nor the other documents executed pursuant hereto shall be construed more favorably in favor of one party than another based upon which party drafted the same, it being acknowledged that all the parties hereto contributed substantially to the negotiation and preparation of this Amendment and the other documents executed pursuant hereto or in connection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Except as expressly provided herein, nothing contained herein shall be construed as a waiver by any Lender or the Agent of any covenant or provision of the Loan Documents. Nothing contained herein shall constitute a waiver or forbearance of any Default or Event of Default now existing or hereafter occurring (other than the Agent’s and the Lenders’ Agreement to forbear with respect to the Forbearance Defaults, solely to the extent expressly set forth in the Sixth Amendment), or any of the Agent’s or any Lender’s rights or remedies in connection therewith. Failure of Agent or any Lender at any time or times hereafter to require strict performance by any party of any provision of the Loan Documents shall not waive, affect or diminish any right of Agent or any Lender with respect to any Default or Event of Default or to hereafter demand strict compliance with the Loan Documents. Agent and Lenders hereby reserve all rights granted under the Credit Agreement, the other Loan Documents, this Amendment and any other contract or instrument between any Person, on the one hand, and Agent or any Lender,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No Novation, etc.</w:t>
      </w:r>
      <w:r>
        <w:rPr>
          <w:rFonts w:ascii="Times New Roman;Times;Serif" w:hAnsi="Times New Roman;Times;Serif"/>
          <w:b w:val="false"/>
          <w:i w:val="false"/>
          <w:caps w:val="false"/>
          <w:smallCaps w:val="false"/>
          <w:sz w:val="20"/>
        </w:rPr>
        <w:t xml:space="preserve"> This Amendment is not intended to be, nor shall it be construed to create, a novation or accord and satisfaction, and the Credit Agreement, as amended hereby, shall remain in full force and effect. Notwithstanding any prior mutual temporary disregard of any of the terms of the Credit Agreement, the parties agree that the terms of the Credit Agreement shall be strictly adhered to on and after the date hereof, except as expressly modified by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color w:val="231F1F"/>
          <w:sz w:val="20"/>
          <w:u w:val="single"/>
        </w:rPr>
        <w:t>Counterparts, Email and .pdf</w:t>
      </w:r>
      <w:r>
        <w:rPr>
          <w:rFonts w:ascii="Times New Roman;Times;Serif" w:hAnsi="Times New Roman;Times;Serif"/>
          <w:b w:val="false"/>
          <w:i w:val="false"/>
          <w:caps w:val="false"/>
          <w:smallCaps w:val="false"/>
          <w:color w:val="231F1F"/>
          <w:sz w:val="20"/>
        </w:rPr>
        <w:t xml:space="preserve">. Each of the parties hereto agree that at any time and from time to time, upon the written request of the Agent, it will execute and deliver such further documents and do such further acts as the Agent may reasonably request in accordance with the terms and conditions of the Loan Documents in order to effect the purposes of this Amendment. </w:t>
      </w:r>
      <w:r>
        <w:rPr>
          <w:rFonts w:ascii="Times New Roman;Times;Serif" w:hAnsi="Times New Roman;Times;Serif"/>
          <w:b w:val="false"/>
          <w:i w:val="false"/>
          <w:caps w:val="false"/>
          <w:smallCaps w:val="false"/>
          <w:sz w:val="20"/>
        </w:rPr>
        <w:t>This Amendment (a) may be executed in two or more counterparts, each of which shall constitute an original but all of which when taken together shall constitute one contract and (b) may, upon execution, be delivered by facsimile, electronic mail (including pdf) or as any electronic signature complying with the U.S. federal ESIGN Act of 2000 or the New York Electronic Signature and Records Act or any other similar state laws based on the Uniform Electronic Transactions Act or other transmission method and any counterpart so delivered shall be deemed to have been duly and validly delivered and electronic signatures or the keeping of records in electronic form shall be valid and effective for all purposes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Relationship of Parties; No Third Party Beneficiaries</w:t>
      </w:r>
      <w:r>
        <w:rPr>
          <w:rFonts w:ascii="Times New Roman;Times;Serif" w:hAnsi="Times New Roman;Times;Serif"/>
          <w:b w:val="false"/>
          <w:i w:val="false"/>
          <w:caps w:val="false"/>
          <w:smallCaps w:val="false"/>
          <w:sz w:val="20"/>
        </w:rPr>
        <w:t>. Nothing in this Amendment shall be construed to alter the existing debtor-creditor relationship between any Loan Party and any Lender. This Amendment is not intended, nor shall it be construed, to create a partnership or joint venture relationship between or among any of the parties hereto. No Person other than a party hereto is intended to be a beneficiary hereof and no Person other than a party hereto shall be authorized to rely upon or enforce the contents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Amendment will be binding upon and inure to the benefit of the parties 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color w:val="231F1F"/>
          <w:sz w:val="20"/>
          <w:u w:val="single"/>
        </w:rPr>
        <w:t>Governing Law</w:t>
      </w:r>
      <w:r>
        <w:rPr>
          <w:rFonts w:ascii="Times New Roman;Times;Serif" w:hAnsi="Times New Roman;Times;Serif"/>
          <w:b w:val="false"/>
          <w:i w:val="false"/>
          <w:caps w:val="false"/>
          <w:smallCaps w:val="false"/>
          <w:color w:val="231F1F"/>
          <w:sz w:val="20"/>
        </w:rPr>
        <w:t xml:space="preserve">. This Amendment shall be governed by and construed and enforced in accordance with the laws of the State of New York. The terms of Section 8.12 of the Credit Agreement are incorporated herein by reference, </w:t>
      </w:r>
      <w:r>
        <w:rPr>
          <w:rFonts w:ascii="Times New Roman;Times;Serif" w:hAnsi="Times New Roman;Times;Serif"/>
          <w:b w:val="false"/>
          <w:i/>
          <w:caps w:val="false"/>
          <w:smallCaps w:val="false"/>
          <w:color w:val="231F1F"/>
          <w:sz w:val="20"/>
        </w:rPr>
        <w:t>mutatis mutandis</w:t>
      </w:r>
      <w:r>
        <w:rPr>
          <w:rFonts w:ascii="Times New Roman;Times;Serif" w:hAnsi="Times New Roman;Times;Serif"/>
          <w:b w:val="false"/>
          <w:i w:val="false"/>
          <w:caps w:val="false"/>
          <w:smallCaps w:val="false"/>
          <w:color w:val="231F1F"/>
          <w:sz w:val="20"/>
        </w:rPr>
        <w:t>, and the parties hereto agree to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party hereto has caused this Amendment to be duly executed and delivered by its proper and duly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039" w:type="dxa"/>
        <w:jc w:val="left"/>
        <w:tblInd w:w="0" w:type="dxa"/>
        <w:tblLayout w:type="fixed"/>
        <w:tblCellMar>
          <w:top w:w="0" w:type="dxa"/>
          <w:left w:w="0" w:type="dxa"/>
          <w:bottom w:w="0" w:type="dxa"/>
          <w:right w:w="0" w:type="dxa"/>
        </w:tblCellMar>
      </w:tblPr>
      <w:tblGrid>
        <w:gridCol w:w="75"/>
        <w:gridCol w:w="599"/>
        <w:gridCol w:w="3365"/>
      </w:tblGrid>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LLC</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(F/K/A E LA CARTE, LLC</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(F/K/A VENTOUX MERGER SUB II LLC)</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Guillaume Lefevre</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(F/K/A VENTOUX CCM ACQUISITION CORP.)</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Guillaume Lefevre</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Seventh Amendment to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494" w:type="dxa"/>
        <w:jc w:val="left"/>
        <w:tblInd w:w="0" w:type="dxa"/>
        <w:tblLayout w:type="fixed"/>
        <w:tblCellMar>
          <w:top w:w="0" w:type="dxa"/>
          <w:left w:w="0" w:type="dxa"/>
          <w:bottom w:w="0" w:type="dxa"/>
          <w:right w:w="0" w:type="dxa"/>
        </w:tblCellMar>
      </w:tblPr>
      <w:tblGrid>
        <w:gridCol w:w="75"/>
        <w:gridCol w:w="999"/>
        <w:gridCol w:w="4420"/>
      </w:tblGrid>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AGENT:</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METROPOLITAN PARTNERS GROUP ADMINISTRATION, LLC</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K. Lisiak</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K. Lisiak</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Seventh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34" w:type="dxa"/>
        <w:jc w:val="left"/>
        <w:tblInd w:w="0" w:type="dxa"/>
        <w:tblLayout w:type="fixed"/>
        <w:tblCellMar>
          <w:top w:w="0" w:type="dxa"/>
          <w:left w:w="0" w:type="dxa"/>
          <w:bottom w:w="0" w:type="dxa"/>
          <w:right w:w="0" w:type="dxa"/>
        </w:tblCellMar>
      </w:tblPr>
      <w:tblGrid>
        <w:gridCol w:w="75"/>
        <w:gridCol w:w="782"/>
        <w:gridCol w:w="3977"/>
      </w:tblGrid>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LENDERS:</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METROPOLITAN LEVERED PARTNERS FUND VII, LP</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MPF VII GP, LLC its General Partner</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K. Lisiak</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K. Lisiak</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METROPOLITAN PARTNERS FUND VII, LP</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MPF VII GP, LLC its General Partner</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K. Lisiak</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K. Lisiak</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METROPOLITAN OFFSHORE PARTNERS FUND VII, LP</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MPF VII GP, LLC its General Partner</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K. Lisiak</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K. Lisiak</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CEOF HOLDINGS LP</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CORBIN CAPITAL PARTNERS, L.P., its</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Manager:</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Friedman</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Daniel Friedman</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Seventh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Forbearance Defaults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 Event of Default pursuant to Section 7.1(a) of the Credit Agreement as a result of the Borrowers’ failure to timely make payment on January 2, 2024, of the Monitoring Fee for the period ended December 31, 2023, as defined in the Third Amended and Restated Fee Letter, as and when due pursuant to Section 2.3 of the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 Event of Default pursuant to Section 7.1(c)(i) of the Credit Agreement as a result of the Loan Parties’ failure to provide, on or prior to December 31, 2023, either (i) newly-executed MSAs for all existing customers, implementing an upgrade to the Next Generation Technology (ii) a Touch Business Plan that has been approved by the Agent, to wind-down the Touch Business as required pursuant to Section 5.20 of the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 Event of Default pursuant to Section 7.1(p) of the Credit Agreement as a result of the Loan Parties’ failure to appoint a new Chief Executive Officer that is a chief restructuring officer or person with significant restructuring, turnaround and insolvency experience reasonably acceptable to the Agent on or prior to February 16, 2024 following Xavier Casanova’s resignation.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 Event of Default pursuant to Section 7.1(c) of the Credit Agreement as a result of the Loan Parties’ failure to deliver certain financial reports to the Agent pursuant to Section 5.1(i) of the Credit Agreement for the periods from the Fourth Amendment Effective Date until the Fifth Amendment Effective Date, resulting in an immediate Event of Default under the Fourth Amendment.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Events of Default pursuant to Section 7.1(c) of the Credit Agreement as a result of the Loan Parties’ failure to maintain Unrestricted Cash, measured as of the close of business on each of March 1, 2024 and March 8, 2024, at or above the Minimum Unrestricted Cash Amount as required pursuant to Section 6.17(a) of the Credit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6" w:name="tm249250d1_ex10-6.htm"/>
      <w:bookmarkStart w:id="37" w:name="kstm249250d1_ex106"/>
      <w:bookmarkEnd w:id="36"/>
      <w:bookmarkEnd w:id="37"/>
      <w:r>
        <w:rPr/>
        <w:t> </w:t>
      </w:r>
      <w:r>
        <w:br w:type="page"/>
      </w:r>
    </w:p>
    <w:p>
      <w:pPr>
        <w:pStyle w:val="TextBody"/>
        <w:bidi w:val="0"/>
        <w:jc w:val="right"/>
        <w:rPr>
          <w:b/>
        </w:rPr>
      </w:pPr>
      <w:r>
        <w:rPr>
          <w:b/>
        </w:rPr>
        <w:t>Exhibit 10.6</w:t>
      </w:r>
    </w:p>
    <w:p>
      <w:pPr>
        <w:pStyle w:val="TextBody"/>
        <w:bidi w:val="0"/>
        <w:spacing w:before="0" w:after="0"/>
        <w:ind w:left="0" w:right="0" w:hanging="0"/>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2,731,621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January 30, 2024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March 21, 2024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Levered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2,731,621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Times;Serif" w:hAnsi="Times New Roman;Times;Serif"/>
          <w:b/>
          <w:i w:val="false"/>
          <w:caps w:val="false"/>
          <w:smallCaps w:val="false"/>
          <w:sz w:val="20"/>
        </w:rPr>
        <w:t>Forbearance Agreement</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Forbearance Agreement or the Credit Agreement (as defined in the Forbearance Agreement). This Warrant amends, restates and supersedes in its entirety that certain Warrant for 1,707,263 shares of Common Stock issued by the Company to the Holder on January 30, 2024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144"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216"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38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3672"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pStyle w:val="TextBody"/>
        <w:bidi w:val="0"/>
        <w:spacing w:before="0" w:after="0"/>
        <w:ind w:left="144" w:right="216"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216" w:firstLine="2232"/>
        <w:jc w:val="both"/>
        <w:rPr>
          <w:caps w:val="false"/>
          <w:smallCaps w:val="false"/>
        </w:rPr>
      </w:pPr>
      <w:r>
        <w:rPr>
          <w:caps w:val="false"/>
          <w:smallCaps w:val="false"/>
        </w:rPr>
        <w:t> </w:t>
      </w:r>
    </w:p>
    <w:p>
      <w:pPr>
        <w:pStyle w:val="TextBody"/>
        <w:bidi w:val="0"/>
        <w:spacing w:before="0" w:after="0"/>
        <w:ind w:left="144" w:right="216" w:firstLine="22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144" w:right="216" w:firstLine="223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Times;Serif" w:hAnsi="Times New Roman;Times;Serif"/>
          <w:b/>
          <w:i w:val="false"/>
          <w:caps w:val="false"/>
          <w:smallCaps w:val="false"/>
          <w:sz w:val="20"/>
        </w:rPr>
        <w:t>Forbearance Warrants</w:t>
      </w:r>
      <w:r>
        <w:rPr>
          <w:rFonts w:ascii="Times New Roman;Times;Serif" w:hAnsi="Times New Roman;Times;Serif"/>
          <w:b w:val="false"/>
          <w:i w:val="false"/>
          <w:caps w:val="false"/>
          <w:smallCaps w:val="false"/>
          <w:sz w:val="20"/>
        </w:rPr>
        <w:t>”), together with the total number of shares of Common Stock issuable upon conversion of the Company’s Subordinated Convertible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sold by the Company on the date hereof to certain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 xml:space="preserve">ADJUSTMENT OF EXERCISE PRICE AND NUMBER OF WARRANT SHARES. </w:t>
      </w:r>
      <w:r>
        <w:rPr>
          <w:rFonts w:ascii="Times New Roman;Times;Serif" w:hAnsi="Times New Roman;Times;Serif"/>
          <w:b w:val="false"/>
          <w:i w:val="false"/>
          <w:caps w:val="false"/>
          <w:smallCaps w:val="false"/>
          <w:sz w:val="20"/>
        </w:rPr>
        <w:t>The Exercise Price and the number of Warrant Shares issuable upon exercise of this Warrant are subject to adjustments from time to time as set forth in this Section 2.</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September 30,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$0.25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$0.40 per share and the amendment and restatement is as of a result of a Dilutive Issuance with a $0.25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216" w:right="144" w:firstLine="25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216" w:right="144" w:firstLine="2592"/>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216" w:right="144"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144" w:right="144" w:firstLine="2952"/>
        <w:jc w:val="both"/>
        <w:rPr>
          <w:caps w:val="false"/>
          <w:smallCaps w:val="false"/>
        </w:rPr>
      </w:pPr>
      <w:r>
        <w:rPr>
          <w:caps w:val="false"/>
          <w:smallCaps w:val="false"/>
        </w:rPr>
        <w:t> </w:t>
      </w:r>
    </w:p>
    <w:p>
      <w:pPr>
        <w:pStyle w:val="TextBody"/>
        <w:bidi w:val="0"/>
        <w:spacing w:before="0" w:after="0"/>
        <w:ind w:left="0" w:right="0" w:firstLine="34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144" w:right="144" w:firstLine="295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216" w:right="144" w:firstLine="1368"/>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216" w:right="144" w:firstLine="136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216" w:right="144" w:firstLine="136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216" w:right="0" w:firstLine="136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216" w:right="144"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216" w:right="0" w:firstLine="144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216" w:right="144" w:firstLine="2160"/>
        <w:jc w:val="left"/>
        <w:rPr>
          <w:caps w:val="false"/>
          <w:smallCaps w:val="false"/>
        </w:rPr>
      </w:pPr>
      <w:r>
        <w:rPr>
          <w:caps w:val="false"/>
          <w:smallCaps w:val="false"/>
        </w:rPr>
        <w:t> </w:t>
      </w:r>
    </w:p>
    <w:p>
      <w:pPr>
        <w:pStyle w:val="TextBody"/>
        <w:bidi w:val="0"/>
        <w:spacing w:before="0" w:after="0"/>
        <w:ind w:left="216"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216" w:right="144" w:firstLine="216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216" w:right="144" w:firstLine="136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216" w:right="0" w:firstLine="216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216"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216"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144" w:right="216"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Purchase Common Stock to be duly executed as of the Issuance Date set out above.</w:t>
      </w:r>
    </w:p>
    <w:p>
      <w:pPr>
        <w:pStyle w:val="TextBody"/>
        <w:bidi w:val="0"/>
        <w:spacing w:before="0" w:after="0"/>
        <w:ind w:left="144" w:right="144" w:firstLine="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650"/>
        <w:gridCol w:w="3035"/>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/s/ Guillaume Lefevre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035" w:type="dxa"/>
            <w:tcBorders/>
            <w:vAlign w:val="center"/>
          </w:tcPr>
          <w:p>
            <w:pPr>
              <w:pStyle w:val="TableContents"/>
              <w:bidi w:val="0"/>
              <w:spacing w:before="0" w:after="283"/>
              <w:jc w:val="left"/>
              <w:rPr/>
            </w:pPr>
            <w:r>
              <w:rPr/>
              <w:t>Guillaume Lefevre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035" w:type="dxa"/>
            <w:tcBorders/>
            <w:vAlign w:val="center"/>
          </w:tcPr>
          <w:p>
            <w:pPr>
              <w:pStyle w:val="TableContents"/>
              <w:bidi w:val="0"/>
              <w:spacing w:before="0" w:after="283"/>
              <w:jc w:val="left"/>
              <w:rPr/>
            </w:pPr>
            <w:r>
              <w:rPr/>
              <w:t>Interim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08" w:right="108"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381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purchase________________</w:t>
        <w:tab/>
        <w:t>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144" w:right="0" w:firstLine="792"/>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to_________________</w:t>
        <w:tab/>
        <w:t>Warrant Shares;</w:t>
      </w:r>
    </w:p>
    <w:p>
      <w:pPr>
        <w:pStyle w:val="TextBody"/>
        <w:bidi w:val="0"/>
        <w:spacing w:before="0" w:after="0"/>
        <w:ind w:left="3168" w:right="0" w:hanging="0"/>
        <w:jc w:val="left"/>
        <w:rPr>
          <w:caps w:val="false"/>
          <w:smallCaps w:val="false"/>
        </w:rPr>
      </w:pPr>
      <w:r>
        <w:rPr>
          <w:caps w:val="false"/>
          <w:smallCaps w:val="false"/>
        </w:rPr>
        <w:t> </w:t>
      </w:r>
    </w:p>
    <w:p>
      <w:pPr>
        <w:pStyle w:val="TextBody"/>
        <w:bidi w:val="0"/>
        <w:spacing w:before="0" w:after="0"/>
        <w:ind w:left="316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to______________</w:t>
        <w:tab/>
        <w:t>Warrant Shares.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w:t>
        <w:tab/>
        <w:t>to the Company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holder_________________</w:t>
        <w:tab/>
        <w:t>Warrant Shares in accordance with the terms of the Warrant.</w:t>
      </w:r>
    </w:p>
    <w:p>
      <w:pPr>
        <w:pStyle w:val="TextBody"/>
        <w:bidi w:val="0"/>
        <w:spacing w:before="0" w:after="0"/>
        <w:ind w:left="144" w:right="144" w:firstLine="792"/>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380"/>
        <w:gridCol w:w="1730"/>
        <w:gridCol w:w="75"/>
      </w:tblGrid>
      <w:tr>
        <w:trPr/>
        <w:tc>
          <w:tcPr>
            <w:tcW w:w="3380" w:type="dxa"/>
            <w:tcBorders/>
            <w:vAlign w:val="center"/>
          </w:tcPr>
          <w:p>
            <w:pPr>
              <w:pStyle w:val="TableContents"/>
              <w:bidi w:val="0"/>
              <w:spacing w:before="0" w:after="283"/>
              <w:jc w:val="left"/>
              <w:rPr/>
            </w:pPr>
            <w:r>
              <w:rPr/>
              <w:t>____________ Electronic Delivery</w:t>
            </w:r>
          </w:p>
        </w:tc>
        <w:tc>
          <w:tcPr>
            <w:tcW w:w="1730" w:type="dxa"/>
            <w:tcBorders/>
            <w:vAlign w:val="center"/>
          </w:tcPr>
          <w:p>
            <w:pPr>
              <w:pStyle w:val="TableContents"/>
              <w:bidi w:val="0"/>
              <w:spacing w:before="0" w:after="283"/>
              <w:jc w:val="both"/>
              <w:rPr/>
            </w:pPr>
            <w:r>
              <w:rPr/>
              <w:t>DTC Participant:</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DTC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Name: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____________ Physical Delivery</w:t>
            </w:r>
          </w:p>
        </w:tc>
        <w:tc>
          <w:tcPr>
            <w:tcW w:w="1730" w:type="dxa"/>
            <w:tcBorders/>
            <w:vAlign w:val="center"/>
          </w:tcPr>
          <w:p>
            <w:pPr>
              <w:pStyle w:val="TableContents"/>
              <w:bidi w:val="0"/>
              <w:spacing w:before="0" w:after="283"/>
              <w:jc w:val="both"/>
              <w:rPr/>
            </w:pPr>
            <w:r>
              <w:rPr/>
              <w:t>Address: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Date:____________ ____, ______</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Name of Registered Holder</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dated_________________</w:t>
        <w:tab/>
        <w:t>from the Company and acknowledged and agreed to by [TRANSFER AGENT].</w:t>
      </w:r>
    </w:p>
    <w:p>
      <w:pPr>
        <w:pStyle w:val="TextBody"/>
        <w:bidi w:val="0"/>
        <w:spacing w:before="0" w:after="0"/>
        <w:ind w:left="144" w:right="144"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2138"/>
        <w:gridCol w:w="1226"/>
      </w:tblGrid>
      <w:tr>
        <w:trPr/>
        <w:tc>
          <w:tcPr>
            <w:tcW w:w="75" w:type="dxa"/>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both"/>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8" w:type="dxa"/>
            <w:tcBorders/>
            <w:vAlign w:val="center"/>
          </w:tcPr>
          <w:p>
            <w:pPr>
              <w:pStyle w:val="TableContents"/>
              <w:bidi w:val="0"/>
              <w:spacing w:before="0" w:after="283"/>
              <w:jc w:val="both"/>
              <w:rPr/>
            </w:pPr>
            <w:r>
              <w:rPr/>
              <w:t>By:</w:t>
            </w:r>
          </w:p>
        </w:tc>
        <w:tc>
          <w:tcPr>
            <w:tcW w:w="122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Title:</w:t>
            </w:r>
          </w:p>
        </w:tc>
      </w:tr>
    </w:tbl>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144" w:hanging="0"/>
        <w:jc w:val="both"/>
        <w:rPr>
          <w:caps w:val="false"/>
          <w:smallCaps w:val="false"/>
        </w:rPr>
      </w:pPr>
      <w:r>
        <w:rPr>
          <w:caps w:val="false"/>
          <w:smallCaps w:val="false"/>
        </w:rPr>
        <w:t> </w:t>
      </w:r>
    </w:p>
    <w:tbl>
      <w:tblPr>
        <w:tblW w:w="1505" w:type="dxa"/>
        <w:jc w:val="left"/>
        <w:tblInd w:w="0" w:type="dxa"/>
        <w:tblLayout w:type="fixed"/>
        <w:tblCellMar>
          <w:top w:w="0" w:type="dxa"/>
          <w:left w:w="0" w:type="dxa"/>
          <w:bottom w:w="28" w:type="dxa"/>
          <w:right w:w="0" w:type="dxa"/>
        </w:tblCellMar>
      </w:tblPr>
      <w:tblGrid>
        <w:gridCol w:w="75"/>
        <w:gridCol w:w="1430"/>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r>
              <w:rPr>
                <w:rFonts w:ascii="Times New Roman;Times;Serif" w:hAnsi="Times New Roman;Times;Serif"/>
                <w:sz w:val="20"/>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 ______</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283"/>
        <w:jc w:val="left"/>
        <w:rPr/>
      </w:pPr>
      <w:r>
        <w:rPr/>
        <w:t> </w:t>
      </w:r>
    </w:p>
    <w:tbl>
      <w:tblPr>
        <w:tblW w:w="2075" w:type="dxa"/>
        <w:jc w:val="left"/>
        <w:tblInd w:w="0" w:type="dxa"/>
        <w:tblLayout w:type="fixed"/>
        <w:tblCellMar>
          <w:top w:w="0" w:type="dxa"/>
          <w:left w:w="0" w:type="dxa"/>
          <w:bottom w:w="0" w:type="dxa"/>
          <w:right w:w="0" w:type="dxa"/>
        </w:tblCellMar>
      </w:tblPr>
      <w:tblGrid>
        <w:gridCol w:w="75"/>
        <w:gridCol w:w="1865"/>
        <w:gridCol w:w="60"/>
        <w:gridCol w:w="75"/>
      </w:tblGrid>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Signature:</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Address:</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38" w:name="tm249250d1_ex10-7.htm"/>
      <w:bookmarkStart w:id="39" w:name="kstm249250d1_ex107"/>
      <w:bookmarkEnd w:id="38"/>
      <w:bookmarkEnd w:id="39"/>
      <w:r>
        <w:rPr/>
        <w:t> </w:t>
      </w:r>
      <w:r>
        <w:br w:type="page"/>
      </w:r>
    </w:p>
    <w:p>
      <w:pPr>
        <w:pStyle w:val="TextBody"/>
        <w:bidi w:val="0"/>
        <w:jc w:val="right"/>
        <w:rPr>
          <w:b/>
        </w:rPr>
      </w:pPr>
      <w:r>
        <w:rPr>
          <w:b/>
        </w:rPr>
        <w:t>Exhibit 10.7</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3,801,205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January 30, 2024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March 21, 2024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3,801,205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Times;Serif" w:hAnsi="Times New Roman;Times;Serif"/>
          <w:b/>
          <w:i w:val="false"/>
          <w:caps w:val="false"/>
          <w:smallCaps w:val="false"/>
          <w:sz w:val="20"/>
        </w:rPr>
        <w:t>Forbearance Agreement</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Forbearance Agreement or the Credit Agreement (as defined in the Forbearance Agreement). This Warrant amends, restates and supersedes in its entirety that certain Warrant for 2,375,753 shares of Common Stock issued by the Company to the Holder on January 30, 2024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216" w:right="0" w:firstLine="216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2736"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Times;Serif" w:hAnsi="Times New Roman;Times;Serif"/>
          <w:b/>
          <w:i w:val="false"/>
          <w:caps w:val="false"/>
          <w:smallCaps w:val="false"/>
          <w:sz w:val="20"/>
        </w:rPr>
        <w:t>Forbearance Warrants</w:t>
      </w:r>
      <w:r>
        <w:rPr>
          <w:rFonts w:ascii="Times New Roman;Times;Serif" w:hAnsi="Times New Roman;Times;Serif"/>
          <w:b w:val="false"/>
          <w:i w:val="false"/>
          <w:caps w:val="false"/>
          <w:smallCaps w:val="false"/>
          <w:sz w:val="20"/>
        </w:rPr>
        <w:t>”), together with the total number of shares of Common Stock issuable upon conversion of the Company’s Subordinated Convertible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sold by the Company on the date hereof to certain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September 30,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$0.25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$0.40 per share and the amendment and restatement is as of a result of a Dilutive Issuance with a $0.25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0" w:right="0" w:firstLine="2664"/>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xml:space="preserve">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2016"/>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0" w:right="0"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3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0" w:right="0" w:firstLine="136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2304"/>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 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Purchase Common Stock to be duly executed as of the Issuance Date set out above.</w:t>
      </w:r>
    </w:p>
    <w:p>
      <w:pPr>
        <w:pStyle w:val="TextBody"/>
        <w:bidi w:val="0"/>
        <w:spacing w:before="0" w:after="0"/>
        <w:ind w:left="4464"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650"/>
        <w:gridCol w:w="3035"/>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By:</w:t>
            </w:r>
          </w:p>
        </w:tc>
        <w:tc>
          <w:tcPr>
            <w:tcW w:w="3035" w:type="dxa"/>
            <w:tcBorders>
              <w:bottom w:val="single" w:sz="8" w:space="0" w:color="000000"/>
            </w:tcBorders>
            <w:tcMar>
              <w:bottom w:w="28" w:type="dxa"/>
            </w:tcMar>
            <w:vAlign w:val="center"/>
          </w:tcPr>
          <w:p>
            <w:pPr>
              <w:pStyle w:val="TableContents"/>
              <w:bidi w:val="0"/>
              <w:spacing w:before="0" w:after="283"/>
              <w:jc w:val="both"/>
              <w:rPr/>
            </w:pPr>
            <w:r>
              <w:rPr/>
              <w:t>/s/ Guillaume Lefevre</w:t>
            </w:r>
          </w:p>
        </w:tc>
      </w:tr>
      <w:tr>
        <w:trPr/>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3035" w:type="dxa"/>
            <w:tcBorders/>
            <w:vAlign w:val="center"/>
          </w:tcPr>
          <w:p>
            <w:pPr>
              <w:pStyle w:val="TableContents"/>
              <w:bidi w:val="0"/>
              <w:spacing w:before="0" w:after="283"/>
              <w:jc w:val="both"/>
              <w:rPr/>
            </w:pPr>
            <w:r>
              <w:rPr/>
              <w:t>Guillaume Lefevre</w:t>
            </w:r>
          </w:p>
        </w:tc>
      </w:tr>
      <w:tr>
        <w:trPr/>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3035" w:type="dxa"/>
            <w:tcBorders/>
            <w:vAlign w:val="center"/>
          </w:tcPr>
          <w:p>
            <w:pPr>
              <w:pStyle w:val="TableContents"/>
              <w:bidi w:val="0"/>
              <w:spacing w:before="0" w:after="283"/>
              <w:jc w:val="both"/>
              <w:rPr/>
            </w:pPr>
            <w:r>
              <w:rPr/>
              <w:t>Interim Chief Executive Officer</w:t>
            </w:r>
          </w:p>
        </w:tc>
      </w:tr>
    </w:tbl>
    <w:p>
      <w:pPr>
        <w:pStyle w:val="TextBody"/>
        <w:bidi w:val="0"/>
        <w:spacing w:before="0" w:after="0"/>
        <w:ind w:left="4464"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________________ 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0" w:right="0" w:firstLine="792"/>
        <w:jc w:val="left"/>
        <w:rPr>
          <w:caps w:val="false"/>
          <w:smallCaps w:val="false"/>
        </w:rPr>
      </w:pPr>
      <w:r>
        <w:rPr>
          <w:caps w:val="false"/>
          <w:smallCaps w:val="false"/>
        </w:rPr>
        <w:t> </w:t>
      </w:r>
    </w:p>
    <w:p>
      <w:pPr>
        <w:pStyle w:val="TextBody"/>
        <w:bidi w:val="0"/>
        <w:spacing w:before="0" w:after="0"/>
        <w:ind w:left="0"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 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 _________________ Warrant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5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and/or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 ______________ Warrant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$__________________ to the Company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 _____________ Warrant Shares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tbl>
      <w:tblPr>
        <w:tblW w:w="3715" w:type="dxa"/>
        <w:jc w:val="left"/>
        <w:tblInd w:w="0" w:type="dxa"/>
        <w:tblLayout w:type="fixed"/>
        <w:tblCellMar>
          <w:top w:w="0" w:type="dxa"/>
          <w:left w:w="0" w:type="dxa"/>
          <w:bottom w:w="28" w:type="dxa"/>
          <w:right w:w="0" w:type="dxa"/>
        </w:tblCellMar>
      </w:tblPr>
      <w:tblGrid>
        <w:gridCol w:w="75"/>
        <w:gridCol w:w="1925"/>
        <w:gridCol w:w="1640"/>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r>
              <w:rPr/>
              <w:t>Electronic Delivery</w:t>
            </w:r>
          </w:p>
        </w:tc>
        <w:tc>
          <w:tcPr>
            <w:tcW w:w="1640" w:type="dxa"/>
            <w:tcBorders/>
            <w:tcMar>
              <w:bottom w:w="0" w:type="dxa"/>
            </w:tcMar>
            <w:vAlign w:val="center"/>
          </w:tcPr>
          <w:p>
            <w:pPr>
              <w:pStyle w:val="TableContents"/>
              <w:bidi w:val="0"/>
              <w:spacing w:before="0" w:after="283"/>
              <w:jc w:val="left"/>
              <w:rPr/>
            </w:pPr>
            <w:r>
              <w:rPr/>
              <w:t>DTC Participant:</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DTC Number:</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 Name</w:t>
            </w:r>
            <w:r>
              <w:rPr>
                <w:rFonts w:ascii="Times New Roman;Times;Serif" w:hAnsi="Times New Roman;Times;Serif"/>
                <w:sz w:val="20"/>
                <w:u w:val="single"/>
              </w:rPr>
              <w:t>:</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 Number:</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Physical Delivery</w:t>
            </w:r>
          </w:p>
        </w:tc>
        <w:tc>
          <w:tcPr>
            <w:tcW w:w="1640" w:type="dxa"/>
            <w:tcBorders/>
            <w:tcMar>
              <w:bottom w:w="0" w:type="dxa"/>
            </w:tcMar>
            <w:vAlign w:val="center"/>
          </w:tcPr>
          <w:p>
            <w:pPr>
              <w:pStyle w:val="TableContents"/>
              <w:bidi w:val="0"/>
              <w:spacing w:before="0" w:after="283"/>
              <w:jc w:val="left"/>
              <w:rPr/>
            </w:pPr>
            <w:r>
              <w:rPr/>
              <w:t>Address:</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 __, ______</w:t>
      </w:r>
    </w:p>
    <w:p>
      <w:pPr>
        <w:pStyle w:val="TextBody"/>
        <w:bidi w:val="0"/>
        <w:spacing w:before="0" w:after="0"/>
        <w:ind w:left="144" w:right="0" w:hanging="0"/>
        <w:jc w:val="left"/>
        <w:rPr>
          <w:caps w:val="false"/>
          <w:smallCaps w:val="false"/>
        </w:rPr>
      </w:pPr>
      <w:r>
        <w:rPr>
          <w:caps w:val="false"/>
          <w:smallCaps w:val="false"/>
        </w:rPr>
        <w:t> </w:t>
      </w:r>
    </w:p>
    <w:tbl>
      <w:tblPr>
        <w:tblW w:w="2720" w:type="dxa"/>
        <w:jc w:val="left"/>
        <w:tblInd w:w="0" w:type="dxa"/>
        <w:tblLayout w:type="fixed"/>
        <w:tblCellMar>
          <w:top w:w="0" w:type="dxa"/>
          <w:left w:w="0" w:type="dxa"/>
          <w:bottom w:w="28" w:type="dxa"/>
          <w:right w:w="0" w:type="dxa"/>
        </w:tblCellMar>
      </w:tblPr>
      <w:tblGrid>
        <w:gridCol w:w="2645"/>
        <w:gridCol w:w="75"/>
      </w:tblGrid>
      <w:tr>
        <w:trPr/>
        <w:tc>
          <w:tcPr>
            <w:tcW w:w="2645" w:type="dxa"/>
            <w:tcBorders>
              <w:bottom w:val="single" w:sz="8" w:space="0" w:color="000000"/>
            </w:tcBorders>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2645" w:type="dxa"/>
            <w:tcBorders/>
            <w:tcMar>
              <w:bottom w:w="0" w:type="dxa"/>
            </w:tcMar>
            <w:vAlign w:val="center"/>
          </w:tcPr>
          <w:p>
            <w:pPr>
              <w:pStyle w:val="TableContents"/>
              <w:bidi w:val="0"/>
              <w:spacing w:before="0" w:after="283"/>
              <w:jc w:val="both"/>
              <w:rPr/>
            </w:pPr>
            <w:r>
              <w:rPr/>
              <w:t>Name of Registered Holder</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380"/>
        <w:gridCol w:w="710"/>
        <w:gridCol w:w="75"/>
      </w:tblGrid>
      <w:tr>
        <w:trPr/>
        <w:tc>
          <w:tcPr>
            <w:tcW w:w="380" w:type="dxa"/>
            <w:tcBorders/>
            <w:vAlign w:val="center"/>
          </w:tcPr>
          <w:p>
            <w:pPr>
              <w:pStyle w:val="TableContents"/>
              <w:bidi w:val="0"/>
              <w:spacing w:before="0" w:after="283"/>
              <w:jc w:val="left"/>
              <w:rPr/>
            </w:pPr>
            <w:r>
              <w:rPr/>
              <w:t>By:</w:t>
            </w:r>
          </w:p>
        </w:tc>
        <w:tc>
          <w:tcPr>
            <w:tcW w:w="7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both"/>
              <w:rPr/>
            </w:pPr>
            <w:r>
              <w:rPr/>
              <w:t xml:space="preserve">Name: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both"/>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50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pStyle w:val="TextBody"/>
        <w:bidi w:val="0"/>
        <w:spacing w:before="0" w:after="0"/>
        <w:ind w:left="3024" w:right="0" w:hanging="0"/>
        <w:jc w:val="left"/>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1480"/>
        <w:gridCol w:w="11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27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0" w:hanging="0"/>
        <w:jc w:val="both"/>
        <w:rPr>
          <w:caps w:val="false"/>
          <w:smallCaps w:val="false"/>
        </w:rPr>
      </w:pPr>
      <w:r>
        <w:rPr>
          <w:caps w:val="false"/>
          <w:smallCaps w:val="false"/>
        </w:rPr>
        <w:t> </w:t>
      </w:r>
    </w:p>
    <w:tbl>
      <w:tblPr>
        <w:tblW w:w="1760" w:type="dxa"/>
        <w:jc w:val="left"/>
        <w:tblInd w:w="0" w:type="dxa"/>
        <w:tblLayout w:type="fixed"/>
        <w:tblCellMar>
          <w:top w:w="0" w:type="dxa"/>
          <w:left w:w="0" w:type="dxa"/>
          <w:bottom w:w="28" w:type="dxa"/>
          <w:right w:w="0" w:type="dxa"/>
        </w:tblCellMar>
      </w:tblPr>
      <w:tblGrid>
        <w:gridCol w:w="75"/>
        <w:gridCol w:w="1685"/>
      </w:tblGrid>
      <w:tr>
        <w:trPr/>
        <w:tc>
          <w:tcPr>
            <w:tcW w:w="7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685" w:type="dxa"/>
            <w:tcBorders/>
            <w:tcMar>
              <w:bottom w:w="0" w:type="dxa"/>
            </w:tcMar>
            <w:vAlign w:val="center"/>
          </w:tcPr>
          <w:p>
            <w:pPr>
              <w:pStyle w:val="TableContents"/>
              <w:bidi w:val="0"/>
              <w:spacing w:before="0" w:after="283"/>
              <w:jc w:val="both"/>
              <w:rPr/>
            </w:pPr>
            <w:r>
              <w:rPr/>
              <w:t> </w:t>
            </w:r>
            <w:r>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5832" w:right="0" w:hanging="0"/>
        <w:jc w:val="left"/>
        <w:rPr>
          <w:caps w:val="false"/>
          <w:smallCaps w:val="false"/>
        </w:rPr>
      </w:pPr>
      <w:r>
        <w:rPr>
          <w:caps w:val="false"/>
          <w:smallCaps w:val="false"/>
        </w:rPr>
        <w:t> </w:t>
      </w:r>
    </w:p>
    <w:p>
      <w:pPr>
        <w:pStyle w:val="TextBody"/>
        <w:bidi w:val="0"/>
        <w:spacing w:before="0" w:after="0"/>
        <w:ind w:left="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 __, ______</w:t>
      </w:r>
    </w:p>
    <w:p>
      <w:pPr>
        <w:pStyle w:val="TextBody"/>
        <w:bidi w:val="0"/>
        <w:spacing w:before="0" w:after="0"/>
        <w:ind w:left="5832"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1865"/>
        <w:gridCol w:w="60"/>
        <w:gridCol w:w="75"/>
      </w:tblGrid>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Signature: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144" w:right="0" w:hanging="0"/>
        <w:jc w:val="left"/>
        <w:rPr/>
      </w:pPr>
      <w:r>
        <w:rPr/>
        <w:t> </w:t>
      </w:r>
    </w:p>
    <w:p>
      <w:pPr>
        <w:pStyle w:val="TextBody"/>
        <w:bidi w:val="0"/>
        <w:jc w:val="left"/>
        <w:rPr/>
      </w:pPr>
      <w:bookmarkStart w:id="40" w:name="tm249250d1_ex10-8.htm"/>
      <w:bookmarkStart w:id="41" w:name="kstm249250d1_ex108"/>
      <w:bookmarkEnd w:id="40"/>
      <w:bookmarkEnd w:id="41"/>
      <w:r>
        <w:rPr/>
        <w:t> </w:t>
      </w:r>
      <w:r>
        <w:br w:type="page"/>
      </w:r>
    </w:p>
    <w:p>
      <w:pPr>
        <w:pStyle w:val="TextBody"/>
        <w:bidi w:val="0"/>
        <w:jc w:val="right"/>
        <w:rPr>
          <w:b/>
        </w:rPr>
      </w:pPr>
      <w:r>
        <w:rPr>
          <w:b/>
        </w:rPr>
        <w:t>Exhibit 10.8</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900,434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January 30, 2024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March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Offshore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900,434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Times;Serif" w:hAnsi="Times New Roman;Times;Serif"/>
          <w:b/>
          <w:i w:val="false"/>
          <w:caps w:val="false"/>
          <w:smallCaps w:val="false"/>
          <w:sz w:val="20"/>
        </w:rPr>
        <w:t>Forbearance Agreement</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Forbearance Agreement or the Credit Agreement (as defined in the Forbearance Agreement). This Warrant amends, restates and supersedes in its entirety that certain Warrant for 562,771 shares of Common Stock issued by the Company to the Holder on January 30, 2024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33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3300"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ind w:left="15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ind w:left="15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ind w:left="15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Times;Serif" w:hAnsi="Times New Roman;Times;Serif"/>
          <w:b/>
          <w:i w:val="false"/>
          <w:caps w:val="false"/>
          <w:smallCaps w:val="false"/>
          <w:sz w:val="20"/>
        </w:rPr>
        <w:t>Forbearance Warrants</w:t>
      </w:r>
      <w:r>
        <w:rPr>
          <w:rFonts w:ascii="Times New Roman;Times;Serif" w:hAnsi="Times New Roman;Times;Serif"/>
          <w:b w:val="false"/>
          <w:i w:val="false"/>
          <w:caps w:val="false"/>
          <w:smallCaps w:val="false"/>
          <w:sz w:val="20"/>
        </w:rPr>
        <w:t>”), together with the total number of shares of Common Stock issuable upon conversion of the Company’s Subordinated Convertible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sold by the Company on the date hereof to certain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September 30,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$0.25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$0.40 per share and the amendment and restatement is as of a result of a Dilutive Issuance with a $0.25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2808" w:right="0" w:hanging="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216"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216" w:right="0" w:firstLine="25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6"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216" w:right="0"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0" w:right="0" w:firstLine="2808"/>
        <w:jc w:val="both"/>
        <w:rPr>
          <w:caps w:val="false"/>
          <w:smallCaps w:val="false"/>
        </w:rPr>
      </w:pPr>
      <w:r>
        <w:rPr>
          <w:caps w:val="false"/>
          <w:smallCaps w:val="false"/>
        </w:rPr>
        <w:t> </w:t>
      </w:r>
    </w:p>
    <w:p>
      <w:pPr>
        <w:pStyle w:val="TextBody"/>
        <w:bidi w:val="0"/>
        <w:spacing w:before="0" w:after="0"/>
        <w:ind w:left="0" w:right="0" w:firstLine="2808"/>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280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0" w:right="0" w:firstLine="280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172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088"/>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Purchase Common Stock to be duly executed as of the Issuance Date set out above.</w:t>
      </w:r>
    </w:p>
    <w:p>
      <w:pPr>
        <w:pStyle w:val="TextBody"/>
        <w:bidi w:val="0"/>
        <w:spacing w:before="0" w:after="0"/>
        <w:ind w:left="144" w:right="144"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545"/>
        <w:gridCol w:w="2585"/>
      </w:tblGrid>
      <w:tr>
        <w:trPr/>
        <w:tc>
          <w:tcPr>
            <w:tcW w:w="75" w:type="dxa"/>
            <w:tcBorders/>
            <w:vAlign w:val="center"/>
          </w:tcPr>
          <w:p>
            <w:pPr>
              <w:pStyle w:val="TableContents"/>
              <w:bidi w:val="0"/>
              <w:spacing w:before="0" w:after="283"/>
              <w:jc w:val="left"/>
              <w:rPr>
                <w:sz w:val="4"/>
                <w:szCs w:val="4"/>
              </w:rPr>
            </w:pPr>
            <w:r>
              <w:rPr>
                <w:sz w:val="4"/>
                <w:szCs w:val="4"/>
              </w:rPr>
            </w:r>
          </w:p>
        </w:tc>
        <w:tc>
          <w:tcPr>
            <w:tcW w:w="3130" w:type="dxa"/>
            <w:gridSpan w:val="2"/>
            <w:tcBorders/>
            <w:vAlign w:val="center"/>
          </w:tcPr>
          <w:p>
            <w:pPr>
              <w:pStyle w:val="TableContents"/>
              <w:bidi w:val="0"/>
              <w:spacing w:before="0" w:after="283"/>
              <w:jc w:val="both"/>
              <w:rPr>
                <w:b/>
                <w:sz w:val="20"/>
              </w:rPr>
            </w:pPr>
            <w:r>
              <w:rPr>
                <w:b/>
                <w:sz w:val="20"/>
              </w:rPr>
              <w:t>PRESTO AUTOMATION INC.</w:t>
            </w:r>
          </w:p>
        </w:tc>
      </w:tr>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sz w:val="20"/>
              </w:rPr>
            </w:pPr>
            <w:r>
              <w:rPr>
                <w:sz w:val="20"/>
              </w:rPr>
              <w:t>By:</w:t>
            </w:r>
          </w:p>
        </w:tc>
        <w:tc>
          <w:tcPr>
            <w:tcW w:w="2585" w:type="dxa"/>
            <w:tcBorders>
              <w:bottom w:val="single" w:sz="8" w:space="0" w:color="000000"/>
            </w:tcBorders>
            <w:tcMar>
              <w:bottom w:w="28" w:type="dxa"/>
            </w:tcMar>
            <w:vAlign w:val="center"/>
          </w:tcPr>
          <w:p>
            <w:pPr>
              <w:pStyle w:val="TableContents"/>
              <w:bidi w:val="0"/>
              <w:spacing w:before="0" w:after="283"/>
              <w:jc w:val="both"/>
              <w:rPr>
                <w:sz w:val="20"/>
              </w:rPr>
            </w:pPr>
            <w:r>
              <w:rPr>
                <w:sz w:val="20"/>
              </w:rPr>
              <w:t>/s/ 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sz w:val="20"/>
              </w:rPr>
            </w:pPr>
            <w:r>
              <w:rPr>
                <w:sz w:val="20"/>
              </w:rPr>
              <w:t>Name:</w:t>
            </w:r>
          </w:p>
        </w:tc>
        <w:tc>
          <w:tcPr>
            <w:tcW w:w="2585" w:type="dxa"/>
            <w:tcBorders/>
            <w:vAlign w:val="center"/>
          </w:tcPr>
          <w:p>
            <w:pPr>
              <w:pStyle w:val="TableContents"/>
              <w:bidi w:val="0"/>
              <w:spacing w:before="0" w:after="283"/>
              <w:jc w:val="both"/>
              <w:rPr>
                <w:sz w:val="20"/>
              </w:rPr>
            </w:pPr>
            <w:r>
              <w:rPr>
                <w:sz w:val="20"/>
              </w:rPr>
              <w:t>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sz w:val="20"/>
              </w:rPr>
            </w:pPr>
            <w:r>
              <w:rPr>
                <w:sz w:val="20"/>
              </w:rPr>
              <w:t>Title:</w:t>
            </w:r>
          </w:p>
        </w:tc>
        <w:tc>
          <w:tcPr>
            <w:tcW w:w="2585" w:type="dxa"/>
            <w:tcBorders/>
            <w:vAlign w:val="center"/>
          </w:tcPr>
          <w:p>
            <w:pPr>
              <w:pStyle w:val="TableContents"/>
              <w:bidi w:val="0"/>
              <w:spacing w:before="0" w:after="283"/>
              <w:jc w:val="both"/>
              <w:rPr>
                <w:sz w:val="20"/>
              </w:rPr>
            </w:pPr>
            <w:r>
              <w:rPr>
                <w:sz w:val="20"/>
              </w:rPr>
              <w:t>Interim Chief Executive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08" w:right="108"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381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purchase________________</w:t>
        <w:tab/>
        <w:t>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144" w:right="0" w:firstLine="792"/>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to_________________</w:t>
        <w:tab/>
        <w:t>Warrant Shares;</w:t>
      </w:r>
    </w:p>
    <w:p>
      <w:pPr>
        <w:pStyle w:val="TextBody"/>
        <w:bidi w:val="0"/>
        <w:spacing w:before="0" w:after="0"/>
        <w:ind w:left="3168" w:right="0" w:hanging="0"/>
        <w:jc w:val="left"/>
        <w:rPr>
          <w:caps w:val="false"/>
          <w:smallCaps w:val="false"/>
        </w:rPr>
      </w:pPr>
      <w:r>
        <w:rPr>
          <w:caps w:val="false"/>
          <w:smallCaps w:val="false"/>
        </w:rPr>
        <w:t> </w:t>
      </w:r>
    </w:p>
    <w:p>
      <w:pPr>
        <w:pStyle w:val="TextBody"/>
        <w:bidi w:val="0"/>
        <w:spacing w:before="0" w:after="0"/>
        <w:ind w:left="316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to______________</w:t>
        <w:tab/>
        <w:t>Warrant Shares.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w:t>
        <w:tab/>
        <w:t>to the Company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holder_________________</w:t>
        <w:tab/>
        <w:t>Warrant Shares in accordance with the terms of the Warrant.</w:t>
      </w:r>
    </w:p>
    <w:p>
      <w:pPr>
        <w:pStyle w:val="TextBody"/>
        <w:bidi w:val="0"/>
        <w:spacing w:before="0" w:after="0"/>
        <w:ind w:left="144" w:right="144" w:firstLine="792"/>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380"/>
        <w:gridCol w:w="1730"/>
        <w:gridCol w:w="75"/>
      </w:tblGrid>
      <w:tr>
        <w:trPr/>
        <w:tc>
          <w:tcPr>
            <w:tcW w:w="3380" w:type="dxa"/>
            <w:tcBorders/>
            <w:vAlign w:val="center"/>
          </w:tcPr>
          <w:p>
            <w:pPr>
              <w:pStyle w:val="TableContents"/>
              <w:bidi w:val="0"/>
              <w:spacing w:before="0" w:after="283"/>
              <w:jc w:val="left"/>
              <w:rPr/>
            </w:pPr>
            <w:r>
              <w:rPr/>
              <w:t>____________ Electronic Delivery</w:t>
            </w:r>
          </w:p>
        </w:tc>
        <w:tc>
          <w:tcPr>
            <w:tcW w:w="1730" w:type="dxa"/>
            <w:tcBorders/>
            <w:vAlign w:val="center"/>
          </w:tcPr>
          <w:p>
            <w:pPr>
              <w:pStyle w:val="TableContents"/>
              <w:bidi w:val="0"/>
              <w:spacing w:before="0" w:after="283"/>
              <w:jc w:val="both"/>
              <w:rPr/>
            </w:pPr>
            <w:r>
              <w:rPr/>
              <w:t>DTC Participant:</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DTC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Name: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____________Physical Delivery</w:t>
            </w:r>
          </w:p>
        </w:tc>
        <w:tc>
          <w:tcPr>
            <w:tcW w:w="1730" w:type="dxa"/>
            <w:tcBorders/>
            <w:vAlign w:val="center"/>
          </w:tcPr>
          <w:p>
            <w:pPr>
              <w:pStyle w:val="TableContents"/>
              <w:bidi w:val="0"/>
              <w:spacing w:before="0" w:after="283"/>
              <w:jc w:val="both"/>
              <w:rPr/>
            </w:pPr>
            <w:r>
              <w:rPr/>
              <w:t>Address: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Date:____________ ____, ______</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Name of Registered Holder</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dated_________________</w:t>
        <w:tab/>
        <w:t>from the Company and acknowledged and agreed to by [TRANSFER AGENT].</w:t>
      </w:r>
    </w:p>
    <w:p>
      <w:pPr>
        <w:pStyle w:val="TextBody"/>
        <w:bidi w:val="0"/>
        <w:spacing w:before="0" w:after="0"/>
        <w:ind w:left="144" w:right="144"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2138"/>
        <w:gridCol w:w="1226"/>
      </w:tblGrid>
      <w:tr>
        <w:trPr/>
        <w:tc>
          <w:tcPr>
            <w:tcW w:w="75" w:type="dxa"/>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both"/>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8" w:type="dxa"/>
            <w:tcBorders/>
            <w:vAlign w:val="center"/>
          </w:tcPr>
          <w:p>
            <w:pPr>
              <w:pStyle w:val="TableContents"/>
              <w:bidi w:val="0"/>
              <w:spacing w:before="0" w:after="283"/>
              <w:jc w:val="both"/>
              <w:rPr/>
            </w:pPr>
            <w:r>
              <w:rPr/>
              <w:t>By:</w:t>
            </w:r>
          </w:p>
        </w:tc>
        <w:tc>
          <w:tcPr>
            <w:tcW w:w="122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Title:</w:t>
            </w:r>
          </w:p>
        </w:tc>
      </w:tr>
    </w:tbl>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ind w:left="295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144" w:hanging="0"/>
        <w:jc w:val="both"/>
        <w:rPr>
          <w:caps w:val="false"/>
          <w:smallCaps w:val="false"/>
        </w:rPr>
      </w:pPr>
      <w:r>
        <w:rPr>
          <w:caps w:val="false"/>
          <w:smallCaps w:val="false"/>
        </w:rPr>
        <w:t> </w:t>
      </w:r>
    </w:p>
    <w:tbl>
      <w:tblPr>
        <w:tblW w:w="1445" w:type="dxa"/>
        <w:jc w:val="left"/>
        <w:tblInd w:w="0" w:type="dxa"/>
        <w:tblLayout w:type="fixed"/>
        <w:tblCellMar>
          <w:top w:w="0" w:type="dxa"/>
          <w:left w:w="0" w:type="dxa"/>
          <w:bottom w:w="28" w:type="dxa"/>
          <w:right w:w="0" w:type="dxa"/>
        </w:tblCellMar>
      </w:tblPr>
      <w:tblGrid>
        <w:gridCol w:w="75"/>
        <w:gridCol w:w="1370"/>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 ______</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283"/>
        <w:jc w:val="left"/>
        <w:rPr/>
      </w:pPr>
      <w:r>
        <w:rPr/>
        <w:t> </w:t>
      </w:r>
    </w:p>
    <w:tbl>
      <w:tblPr>
        <w:tblW w:w="2075" w:type="dxa"/>
        <w:jc w:val="left"/>
        <w:tblInd w:w="0" w:type="dxa"/>
        <w:tblLayout w:type="fixed"/>
        <w:tblCellMar>
          <w:top w:w="0" w:type="dxa"/>
          <w:left w:w="0" w:type="dxa"/>
          <w:bottom w:w="0" w:type="dxa"/>
          <w:right w:w="0" w:type="dxa"/>
        </w:tblCellMar>
      </w:tblPr>
      <w:tblGrid>
        <w:gridCol w:w="75"/>
        <w:gridCol w:w="1865"/>
        <w:gridCol w:w="60"/>
        <w:gridCol w:w="75"/>
      </w:tblGrid>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Signature:</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Holder’s Address:</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2" w:name="tm249250d1_ex10-9.htm"/>
      <w:bookmarkStart w:id="43" w:name="kstm249250d1_ex109"/>
      <w:bookmarkEnd w:id="42"/>
      <w:bookmarkEnd w:id="43"/>
      <w:r>
        <w:rPr/>
        <w:t> </w:t>
      </w:r>
      <w:r>
        <w:br w:type="page"/>
      </w:r>
    </w:p>
    <w:p>
      <w:pPr>
        <w:pStyle w:val="TextBody"/>
        <w:bidi w:val="0"/>
        <w:spacing w:before="0" w:after="0"/>
        <w:ind w:left="0" w:right="0" w:hanging="0"/>
        <w:jc w:val="right"/>
        <w:rPr>
          <w:b/>
          <w:sz w:val="20"/>
        </w:rPr>
      </w:pPr>
      <w:r>
        <w:rPr>
          <w:b/>
          <w:sz w:val="20"/>
        </w:rPr>
        <w:t>Exhibit 10.9</w:t>
      </w:r>
    </w:p>
    <w:p>
      <w:pPr>
        <w:pStyle w:val="TextBody"/>
        <w:bidi w:val="0"/>
        <w:spacing w:before="0" w:after="0"/>
        <w:ind w:left="0" w:right="0" w:hanging="0"/>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1,084,018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January 30, 2024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March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CEOF Holdings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1,084,018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18. The Warrant is being issued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Times;Serif" w:hAnsi="Times New Roman;Times;Serif"/>
          <w:b/>
          <w:i w:val="false"/>
          <w:caps w:val="false"/>
          <w:smallCaps w:val="false"/>
          <w:sz w:val="20"/>
        </w:rPr>
        <w:t>Forbearance Agreement</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Forbearance Agreement or the Credit Agreement (as defined in the Forbearance Agreement). This Warrant amends, restates and supersedes in its entirety that certain Warrant for 677,511 shares of Common Stock issued by the Company to the Holder on January 30, 2024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216" w:right="0" w:firstLine="216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331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3312"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ind w:left="158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584"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Forbearance Agreement.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144" w:right="144" w:firstLine="2232"/>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144" w:right="144" w:firstLine="2232"/>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Forbearance Agreement (together with this Warrant, the “</w:t>
      </w:r>
      <w:r>
        <w:rPr>
          <w:rFonts w:ascii="Times New Roman;Times;Serif" w:hAnsi="Times New Roman;Times;Serif"/>
          <w:b/>
          <w:i w:val="false"/>
          <w:caps w:val="false"/>
          <w:smallCaps w:val="false"/>
          <w:sz w:val="20"/>
        </w:rPr>
        <w:t>Forbearance Warrants</w:t>
      </w:r>
      <w:r>
        <w:rPr>
          <w:rFonts w:ascii="Times New Roman;Times;Serif" w:hAnsi="Times New Roman;Times;Serif"/>
          <w:b w:val="false"/>
          <w:i w:val="false"/>
          <w:caps w:val="false"/>
          <w:smallCaps w:val="false"/>
          <w:sz w:val="20"/>
        </w:rPr>
        <w:t>”), together with the total number of shares of Common Stock issuable upon conversion of the Company’s Subordinated Convertible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sold by the Company on the date hereof to certain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Forbearance Warrants and the Notes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Forbearance Warrants and upon the conversion of the Notes,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the conversion of the Notes shall be made between (x) the holders of the Forbearance Warrants, and (y) the Buyers as nearly as possible on a pro rata basis based on the total amount of shares of Common Stock issued or issuable to such party.</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 (as defined in the Forbearance Agreement) or under any provision of the Forbearance Agreement.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September 30,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$0.25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$0.40 per share and the amendment and restatement is as of a result of a Dilutive Issuance with a $0.25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216" w:right="144" w:firstLine="252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216" w:right="144" w:firstLine="25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216" w:right="144" w:firstLine="2808"/>
        <w:jc w:val="both"/>
        <w:rPr>
          <w:caps w:val="false"/>
          <w:smallCaps w:val="false"/>
        </w:rPr>
      </w:pPr>
      <w:r>
        <w:rPr>
          <w:caps w:val="false"/>
          <w:smallCaps w:val="false"/>
        </w:rPr>
        <w:t> </w:t>
      </w:r>
    </w:p>
    <w:p>
      <w:pPr>
        <w:pStyle w:val="TextBody"/>
        <w:bidi w:val="0"/>
        <w:spacing w:before="0" w:after="0"/>
        <w:ind w:left="216" w:right="144" w:firstLine="2808"/>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216" w:right="144" w:firstLine="2808"/>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144" w:right="144" w:firstLine="1512"/>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216" w:right="0" w:firstLine="144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216" w:right="0" w:firstLine="2088"/>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the Forbearance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216" w:right="144" w:firstLine="136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xml:space="preserve">”)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216" w:right="144" w:firstLine="216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216" w:right="144"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216" w:right="144" w:hanging="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any warrant issued to the Metropolitan Entities in connection with the Third Amendment and (F) this Warrant and any other warrant issued to the Metropolitan Entities in connection with the Forbearance Agreement.</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216" w:right="144" w:firstLine="216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216" w:right="0"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216" w:right="216" w:firstLine="2160"/>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Purchase Common Stock to be duly executed as of the Issuance Date set out above.</w:t>
      </w:r>
    </w:p>
    <w:p>
      <w:pPr>
        <w:pStyle w:val="TextBody"/>
        <w:bidi w:val="0"/>
        <w:spacing w:before="0" w:after="0"/>
        <w:ind w:left="144" w:right="144"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625"/>
        <w:gridCol w:w="2739"/>
      </w:tblGrid>
      <w:tr>
        <w:trPr/>
        <w:tc>
          <w:tcPr>
            <w:tcW w:w="75" w:type="dxa"/>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left"/>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sz w:val="20"/>
              </w:rPr>
            </w:pPr>
            <w:r>
              <w:rPr>
                <w:sz w:val="20"/>
              </w:rPr>
              <w:t>By:</w:t>
            </w:r>
          </w:p>
        </w:tc>
        <w:tc>
          <w:tcPr>
            <w:tcW w:w="2739" w:type="dxa"/>
            <w:tcBorders>
              <w:bottom w:val="single" w:sz="8" w:space="0" w:color="000000"/>
            </w:tcBorders>
            <w:tcMar>
              <w:bottom w:w="28" w:type="dxa"/>
            </w:tcMar>
            <w:vAlign w:val="center"/>
          </w:tcPr>
          <w:p>
            <w:pPr>
              <w:pStyle w:val="TableContents"/>
              <w:bidi w:val="0"/>
              <w:spacing w:before="0" w:after="283"/>
              <w:jc w:val="left"/>
              <w:rPr/>
            </w:pPr>
            <w:r>
              <w:rPr/>
              <w:t>/s/ Guillaume Lefevre</w:t>
            </w:r>
          </w:p>
        </w:tc>
      </w:tr>
      <w:tr>
        <w:trPr/>
        <w:tc>
          <w:tcPr>
            <w:tcW w:w="7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sz w:val="20"/>
              </w:rPr>
            </w:pPr>
            <w:r>
              <w:rPr>
                <w:sz w:val="20"/>
              </w:rPr>
              <w:t xml:space="preserve">Name: </w:t>
            </w:r>
          </w:p>
        </w:tc>
        <w:tc>
          <w:tcPr>
            <w:tcW w:w="2739" w:type="dxa"/>
            <w:tcBorders/>
            <w:vAlign w:val="center"/>
          </w:tcPr>
          <w:p>
            <w:pPr>
              <w:pStyle w:val="TableContents"/>
              <w:bidi w:val="0"/>
              <w:spacing w:before="0" w:after="283"/>
              <w:jc w:val="both"/>
              <w:rPr>
                <w:sz w:val="20"/>
              </w:rPr>
            </w:pPr>
            <w:r>
              <w:rPr>
                <w:sz w:val="20"/>
              </w:rPr>
              <w:t>Guillaume Lefevre</w:t>
            </w:r>
          </w:p>
        </w:tc>
      </w:tr>
      <w:tr>
        <w:trPr/>
        <w:tc>
          <w:tcPr>
            <w:tcW w:w="7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sz w:val="20"/>
              </w:rPr>
            </w:pPr>
            <w:r>
              <w:rPr>
                <w:sz w:val="20"/>
              </w:rPr>
              <w:t xml:space="preserve">Title: </w:t>
            </w:r>
          </w:p>
        </w:tc>
        <w:tc>
          <w:tcPr>
            <w:tcW w:w="2739" w:type="dxa"/>
            <w:tcBorders/>
            <w:vAlign w:val="center"/>
          </w:tcPr>
          <w:p>
            <w:pPr>
              <w:pStyle w:val="TableContents"/>
              <w:bidi w:val="0"/>
              <w:spacing w:before="0" w:after="283"/>
              <w:jc w:val="both"/>
              <w:rPr>
                <w:sz w:val="20"/>
              </w:rPr>
            </w:pPr>
            <w:r>
              <w:rPr>
                <w:sz w:val="20"/>
              </w:rPr>
              <w:t>Interim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January 2024 Warrant (CEOF Holdings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108"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108" w:right="108"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381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purchase________________</w:t>
        <w:tab/>
        <w:t>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144" w:right="0" w:firstLine="792"/>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r>
        <w:rPr>
          <w:caps w:val="false"/>
          <w:smallCaps w:val="false"/>
          <w:u w:val="single"/>
        </w:rPr>
        <w:t>                           </w:t>
      </w: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to_________________</w:t>
        <w:tab/>
        <w:t>Warrant Shares;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30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r>
        <w:rPr>
          <w:caps w:val="false"/>
          <w:smallCaps w:val="false"/>
          <w:u w:val="single"/>
        </w:rPr>
        <w:t>                           </w:t>
      </w: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to______________</w:t>
        <w:tab/>
        <w:t>Warrant Shares.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$__________________</w:t>
        <w:tab/>
        <w:t>to the Company in accordance with the terms of the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holder_____________________</w:t>
        <w:tab/>
        <w:t>Warrant Shares in accordance with the terms of the Warrant.</w:t>
      </w:r>
    </w:p>
    <w:p>
      <w:pPr>
        <w:pStyle w:val="TextBody"/>
        <w:bidi w:val="0"/>
        <w:spacing w:before="0" w:after="0"/>
        <w:ind w:left="144" w:right="144" w:firstLine="792"/>
        <w:jc w:val="both"/>
        <w:rPr>
          <w:caps w:val="false"/>
          <w:smallCaps w:val="false"/>
        </w:rPr>
      </w:pPr>
      <w:r>
        <w:rPr>
          <w:caps w:val="false"/>
          <w:smallCaps w:val="false"/>
        </w:rPr>
        <w:t> </w:t>
      </w:r>
    </w:p>
    <w:tbl>
      <w:tblPr>
        <w:tblW w:w="3220" w:type="dxa"/>
        <w:jc w:val="left"/>
        <w:tblInd w:w="0" w:type="dxa"/>
        <w:tblLayout w:type="fixed"/>
        <w:tblCellMar>
          <w:top w:w="0" w:type="dxa"/>
          <w:left w:w="0" w:type="dxa"/>
          <w:bottom w:w="28" w:type="dxa"/>
          <w:right w:w="0" w:type="dxa"/>
        </w:tblCellMar>
      </w:tblPr>
      <w:tblGrid>
        <w:gridCol w:w="75"/>
        <w:gridCol w:w="1610"/>
        <w:gridCol w:w="1460"/>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sz w:val="20"/>
              </w:rPr>
            </w:pPr>
            <w:r>
              <w:rPr>
                <w:sz w:val="20"/>
              </w:rPr>
              <w:t>Electronic Delivery</w:t>
            </w:r>
          </w:p>
        </w:tc>
        <w:tc>
          <w:tcPr>
            <w:tcW w:w="1460" w:type="dxa"/>
            <w:tcBorders/>
            <w:tcMar>
              <w:bottom w:w="0" w:type="dxa"/>
            </w:tcMar>
            <w:vAlign w:val="center"/>
          </w:tcPr>
          <w:p>
            <w:pPr>
              <w:pStyle w:val="TableContents"/>
              <w:bidi w:val="0"/>
              <w:spacing w:before="0" w:after="283"/>
              <w:jc w:val="left"/>
              <w:rPr>
                <w:sz w:val="20"/>
              </w:rPr>
            </w:pPr>
            <w:r>
              <w:rPr>
                <w:sz w:val="20"/>
              </w:rPr>
              <w:t>DTC Participant:</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sz w:val="20"/>
              </w:rPr>
            </w:pPr>
            <w:r>
              <w:rPr>
                <w:sz w:val="20"/>
              </w:rPr>
              <w:t>DTC Number:</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sz w:val="20"/>
              </w:rPr>
            </w:pPr>
            <w:r>
              <w:rPr>
                <w:sz w:val="20"/>
              </w:rPr>
              <w:t>Account Name:</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sz w:val="20"/>
              </w:rPr>
            </w:pPr>
            <w:r>
              <w:rPr>
                <w:sz w:val="20"/>
              </w:rPr>
              <w:t>Account Number:</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sz w:val="20"/>
              </w:rPr>
            </w:pPr>
            <w:r>
              <w:rPr>
                <w:sz w:val="20"/>
              </w:rPr>
              <w:t>Physical Delivery</w:t>
            </w:r>
          </w:p>
        </w:tc>
        <w:tc>
          <w:tcPr>
            <w:tcW w:w="1460" w:type="dxa"/>
            <w:tcBorders/>
            <w:tcMar>
              <w:bottom w:w="0" w:type="dxa"/>
            </w:tcMar>
            <w:vAlign w:val="center"/>
          </w:tcPr>
          <w:p>
            <w:pPr>
              <w:pStyle w:val="TableContents"/>
              <w:bidi w:val="0"/>
              <w:spacing w:before="0" w:after="283"/>
              <w:jc w:val="left"/>
              <w:rPr>
                <w:sz w:val="20"/>
              </w:rPr>
            </w:pPr>
            <w:r>
              <w:rPr>
                <w:sz w:val="20"/>
              </w:rPr>
              <w:t>Address:</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w:t>
        <w:tab/>
        <w:t>__, ______</w:t>
      </w:r>
    </w:p>
    <w:p>
      <w:pPr>
        <w:pStyle w:val="TextBody"/>
        <w:bidi w:val="0"/>
        <w:spacing w:before="0" w:after="0"/>
        <w:ind w:left="144" w:right="0" w:hanging="0"/>
        <w:jc w:val="left"/>
        <w:rPr>
          <w:caps w:val="false"/>
          <w:smallCaps w:val="false"/>
        </w:rPr>
      </w:pPr>
      <w:r>
        <w:rPr>
          <w:caps w:val="false"/>
          <w:smallCaps w:val="false"/>
        </w:rPr>
        <w:t> </w:t>
      </w:r>
    </w:p>
    <w:tbl>
      <w:tblPr>
        <w:tblW w:w="2690" w:type="dxa"/>
        <w:jc w:val="left"/>
        <w:tblInd w:w="0" w:type="dxa"/>
        <w:tblLayout w:type="fixed"/>
        <w:tblCellMar>
          <w:top w:w="0" w:type="dxa"/>
          <w:left w:w="0" w:type="dxa"/>
          <w:bottom w:w="28" w:type="dxa"/>
          <w:right w:w="0" w:type="dxa"/>
        </w:tblCellMar>
      </w:tblPr>
      <w:tblGrid>
        <w:gridCol w:w="2630"/>
        <w:gridCol w:w="60"/>
      </w:tblGrid>
      <w:tr>
        <w:trPr/>
        <w:tc>
          <w:tcPr>
            <w:tcW w:w="263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Name of Registered Holder</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380"/>
        <w:gridCol w:w="545"/>
        <w:gridCol w:w="75"/>
      </w:tblGrid>
      <w:tr>
        <w:trPr/>
        <w:tc>
          <w:tcPr>
            <w:tcW w:w="380" w:type="dxa"/>
            <w:tcBorders/>
            <w:vAlign w:val="center"/>
          </w:tcPr>
          <w:p>
            <w:pPr>
              <w:pStyle w:val="TableContents"/>
              <w:bidi w:val="0"/>
              <w:spacing w:before="0" w:after="283"/>
              <w:jc w:val="left"/>
              <w:rPr>
                <w:sz w:val="20"/>
              </w:rPr>
            </w:pPr>
            <w:r>
              <w:rPr>
                <w:sz w:val="20"/>
              </w:rPr>
              <w:t xml:space="preserve">By: </w:t>
            </w:r>
          </w:p>
        </w:tc>
        <w:tc>
          <w:tcPr>
            <w:tcW w:w="54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 w:right="14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dated_________________</w:t>
        <w:tab/>
        <w:t>from the Company and acknowledged and agreed to by [TRANSFER AGENT].</w:t>
      </w:r>
    </w:p>
    <w:p>
      <w:pPr>
        <w:pStyle w:val="TextBody"/>
        <w:bidi w:val="0"/>
        <w:spacing w:before="0" w:after="0"/>
        <w:ind w:left="144" w:right="144" w:hanging="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2182"/>
        <w:gridCol w:w="1182"/>
      </w:tblGrid>
      <w:tr>
        <w:trPr/>
        <w:tc>
          <w:tcPr>
            <w:tcW w:w="75" w:type="dxa"/>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left"/>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left"/>
              <w:rPr>
                <w:sz w:val="20"/>
              </w:rPr>
            </w:pPr>
            <w:r>
              <w:rPr>
                <w:sz w:val="20"/>
              </w:rPr>
              <w:t>By:</w:t>
            </w:r>
          </w:p>
        </w:tc>
        <w:tc>
          <w:tcPr>
            <w:tcW w:w="118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left"/>
              <w:rPr>
                <w:sz w:val="20"/>
              </w:rPr>
            </w:pPr>
            <w:r>
              <w:rPr>
                <w:sz w:val="20"/>
              </w:rPr>
              <w:t xml:space="preserve">Name: </w:t>
            </w:r>
          </w:p>
        </w:tc>
        <w:tc>
          <w:tcPr>
            <w:tcW w:w="1182"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left"/>
              <w:rPr>
                <w:sz w:val="20"/>
              </w:rPr>
            </w:pPr>
            <w:r>
              <w:rPr>
                <w:sz w:val="20"/>
              </w:rPr>
              <w:t xml:space="preserve">Title: </w:t>
            </w:r>
          </w:p>
        </w:tc>
        <w:tc>
          <w:tcPr>
            <w:tcW w:w="118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144" w:hanging="0"/>
        <w:jc w:val="both"/>
        <w:rPr>
          <w:caps w:val="false"/>
          <w:smallCaps w:val="false"/>
        </w:rPr>
      </w:pPr>
      <w:r>
        <w:rPr>
          <w:caps w:val="false"/>
          <w:smallCaps w:val="false"/>
        </w:rPr>
        <w:t> </w:t>
      </w:r>
    </w:p>
    <w:tbl>
      <w:tblPr>
        <w:tblW w:w="1730" w:type="dxa"/>
        <w:jc w:val="left"/>
        <w:tblInd w:w="0" w:type="dxa"/>
        <w:tblLayout w:type="fixed"/>
        <w:tblCellMar>
          <w:top w:w="0" w:type="dxa"/>
          <w:left w:w="0" w:type="dxa"/>
          <w:bottom w:w="28" w:type="dxa"/>
          <w:right w:w="0" w:type="dxa"/>
        </w:tblCellMar>
      </w:tblPr>
      <w:tblGrid>
        <w:gridCol w:w="60"/>
        <w:gridCol w:w="1670"/>
      </w:tblGrid>
      <w:tr>
        <w:trPr/>
        <w:tc>
          <w:tcPr>
            <w:tcW w:w="60" w:type="dxa"/>
            <w:tcBorders>
              <w:bottom w:val="single" w:sz="8" w:space="0" w:color="000000"/>
            </w:tcBorders>
            <w:vAlign w:val="center"/>
          </w:tcPr>
          <w:p>
            <w:pPr>
              <w:pStyle w:val="TableContents"/>
              <w:bidi w:val="0"/>
              <w:spacing w:before="0" w:after="283"/>
              <w:ind w:left="0" w:right="0" w:hanging="0"/>
              <w:jc w:val="left"/>
              <w:rPr>
                <w:sz w:val="4"/>
                <w:szCs w:val="4"/>
              </w:rPr>
            </w:pPr>
            <w:r>
              <w:rPr>
                <w:sz w:val="4"/>
                <w:szCs w:val="4"/>
              </w:rPr>
            </w:r>
          </w:p>
        </w:tc>
        <w:tc>
          <w:tcPr>
            <w:tcW w:w="1670" w:type="dxa"/>
            <w:tcBorders/>
            <w:tcMar>
              <w:bottom w:w="0" w:type="dxa"/>
            </w:tcMar>
            <w:vAlign w:val="center"/>
          </w:tcPr>
          <w:p>
            <w:pPr>
              <w:pStyle w:val="TableContents"/>
              <w:bidi w:val="0"/>
              <w:spacing w:before="0" w:after="283"/>
              <w:jc w:val="left"/>
              <w:rPr/>
            </w:pPr>
            <w:r>
              <w:rPr/>
              <w:t> </w:t>
            </w:r>
            <w:r>
              <w:rPr/>
              <w:t>whose address is</w:t>
            </w:r>
          </w:p>
        </w:tc>
      </w:tr>
      <w:tr>
        <w:trPr/>
        <w:tc>
          <w:tcPr>
            <w:tcW w:w="60" w:type="dxa"/>
            <w:tcBorders>
              <w:bottom w:val="single" w:sz="8" w:space="0" w:color="000000"/>
            </w:tcBorders>
            <w:vAlign w:val="center"/>
          </w:tcPr>
          <w:p>
            <w:pPr>
              <w:pStyle w:val="TableContents"/>
              <w:bidi w:val="0"/>
              <w:spacing w:before="0" w:after="283"/>
              <w:ind w:left="0" w:right="0" w:hanging="0"/>
              <w:jc w:val="left"/>
              <w:rPr/>
            </w:pPr>
            <w:r>
              <w:rPr/>
              <w:t> </w:t>
            </w:r>
          </w:p>
        </w:tc>
        <w:tc>
          <w:tcPr>
            <w:tcW w:w="1670" w:type="dxa"/>
            <w:tcBorders/>
            <w:tcMar>
              <w:bottom w:w="0" w:type="dxa"/>
            </w:tcMar>
            <w:vAlign w:val="center"/>
          </w:tcPr>
          <w:p>
            <w:pPr>
              <w:pStyle w:val="TableContents"/>
              <w:bidi w:val="0"/>
              <w:spacing w:before="0" w:after="283"/>
              <w:ind w:left="0" w:right="0" w:hanging="0"/>
              <w:jc w:val="left"/>
              <w:rPr/>
            </w:pPr>
            <w:r>
              <w:rPr/>
              <w:t> </w:t>
            </w:r>
          </w:p>
        </w:tc>
      </w:tr>
      <w:tr>
        <w:trPr/>
        <w:tc>
          <w:tcPr>
            <w:tcW w:w="60" w:type="dxa"/>
            <w:tcBorders>
              <w:bottom w:val="single" w:sz="8" w:space="0" w:color="000000"/>
            </w:tcBorders>
            <w:vAlign w:val="center"/>
          </w:tcPr>
          <w:p>
            <w:pPr>
              <w:pStyle w:val="TableContents"/>
              <w:bidi w:val="0"/>
              <w:spacing w:before="0" w:after="283"/>
              <w:ind w:left="0" w:right="0" w:hanging="0"/>
              <w:jc w:val="left"/>
              <w:rPr/>
            </w:pPr>
            <w:r>
              <w:rPr/>
              <w:t> </w:t>
            </w:r>
          </w:p>
        </w:tc>
        <w:tc>
          <w:tcPr>
            <w:tcW w:w="16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344" w:right="0" w:hanging="0"/>
        <w:jc w:val="left"/>
        <w:rPr>
          <w:caps w:val="false"/>
          <w:smallCaps w:val="false"/>
        </w:rPr>
      </w:pPr>
      <w:r>
        <w:rPr>
          <w:caps w:val="false"/>
          <w:smallCaps w:val="false"/>
        </w:rPr>
        <w:t> </w:t>
      </w:r>
    </w:p>
    <w:p>
      <w:pPr>
        <w:pStyle w:val="TextBody"/>
        <w:bidi w:val="0"/>
        <w:spacing w:before="0" w:after="0"/>
        <w:ind w:left="864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 ______</w:t>
      </w:r>
    </w:p>
    <w:p>
      <w:pPr>
        <w:pStyle w:val="TextBody"/>
        <w:bidi w:val="0"/>
        <w:spacing w:before="0" w:after="0"/>
        <w:ind w:left="5832"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60"/>
        <w:gridCol w:w="1865"/>
        <w:gridCol w:w="60"/>
        <w:gridCol w:w="60"/>
      </w:tblGrid>
      <w:tr>
        <w:trPr/>
        <w:tc>
          <w:tcPr>
            <w:tcW w:w="60" w:type="dxa"/>
            <w:tcBorders/>
            <w:vAlign w:val="center"/>
          </w:tcPr>
          <w:p>
            <w:pPr>
              <w:pStyle w:val="TableContents"/>
              <w:bidi w:val="0"/>
              <w:spacing w:before="0" w:after="283"/>
              <w:ind w:left="0" w:right="0" w:hanging="0"/>
              <w:jc w:val="left"/>
              <w:rPr/>
            </w:pPr>
            <w:r>
              <w:rPr/>
              <w:t> </w:t>
            </w:r>
          </w:p>
        </w:tc>
        <w:tc>
          <w:tcPr>
            <w:tcW w:w="1865" w:type="dxa"/>
            <w:tcBorders/>
            <w:vAlign w:val="center"/>
          </w:tcPr>
          <w:p>
            <w:pPr>
              <w:pStyle w:val="TableContents"/>
              <w:bidi w:val="0"/>
              <w:spacing w:before="0" w:after="283"/>
              <w:ind w:left="0" w:right="0" w:hanging="0"/>
              <w:jc w:val="left"/>
              <w:rPr/>
            </w:pPr>
            <w:r>
              <w:rPr/>
              <w:t>Holder’s Signature:</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865" w:type="dxa"/>
            <w:tcBorders/>
            <w:vAlign w:val="center"/>
          </w:tcPr>
          <w:p>
            <w:pPr>
              <w:pStyle w:val="TableContents"/>
              <w:bidi w:val="0"/>
              <w:spacing w:before="0" w:after="283"/>
              <w:ind w:left="0" w:right="0" w:hanging="0"/>
              <w:jc w:val="left"/>
              <w:rPr/>
            </w:pPr>
            <w:r>
              <w:rPr/>
              <w:t>Holder’s 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1865" w:type="dxa"/>
            <w:tcBorders/>
            <w:vAlign w:val="center"/>
          </w:tcPr>
          <w:p>
            <w:pPr>
              <w:pStyle w:val="TableContents"/>
              <w:bidi w:val="0"/>
              <w:spacing w:before="0" w:after="283"/>
              <w:ind w:left="0" w:right="0" w:hanging="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2304"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4" w:name="tm249250d1_ex10-10.htm"/>
      <w:bookmarkStart w:id="45" w:name="kstm249250d1_ex1010"/>
      <w:bookmarkEnd w:id="44"/>
      <w:bookmarkEnd w:id="45"/>
      <w:r>
        <w:rPr/>
        <w:t> </w:t>
      </w:r>
      <w:r>
        <w:br w:type="page"/>
      </w:r>
    </w:p>
    <w:p>
      <w:pPr>
        <w:pStyle w:val="TextBody"/>
        <w:bidi w:val="0"/>
        <w:spacing w:before="0" w:after="0"/>
        <w:ind w:left="0" w:right="0" w:hanging="0"/>
        <w:jc w:val="right"/>
        <w:rPr>
          <w:b/>
        </w:rPr>
      </w:pPr>
      <w:r>
        <w:rPr>
          <w:b/>
        </w:rPr>
        <w:t>Exhibit 10.10</w:t>
      </w:r>
    </w:p>
    <w:p>
      <w:pPr>
        <w:pStyle w:val="TextBody"/>
        <w:bidi w:val="0"/>
        <w:spacing w:before="0" w:after="0"/>
        <w:ind w:left="0" w:right="0" w:hanging="0"/>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7,696,800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October 16, 2023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March 21, 2024</w:t>
      </w:r>
    </w:p>
    <w:p>
      <w:pPr>
        <w:pStyle w:val="TextBody"/>
        <w:bidi w:val="0"/>
        <w:spacing w:before="0" w:after="0"/>
        <w:ind w:left="360" w:right="36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Levered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7,696,800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Amended and Restated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and to Section 7 of that certain Third Amended and Restated Fee Letter, dated October 10, 2023, among E La Carte, LLC, the Company and Metropolitan Partners Group Administration (the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Credit Agreement (as defined in the Fee Letter). This Warrant amends, restates and supersedes in its entirety (i) that certain Warrant for 962,100 shares of Common Stock issued by the Company to the Holder on October 16, 2023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(ii)that certain Warrant for 1,924,200 shares of Common Stock issued by the Company to the Holder on November 21, 2023 (the “</w:t>
      </w:r>
      <w:r>
        <w:rPr>
          <w:rFonts w:ascii="Times New Roman;Times;Serif" w:hAnsi="Times New Roman;Times;Serif"/>
          <w:b/>
          <w:i w:val="false"/>
          <w:caps w:val="false"/>
          <w:smallCaps w:val="false"/>
          <w:sz w:val="20"/>
        </w:rPr>
        <w:t>November 2023 Warrant</w:t>
      </w:r>
      <w:r>
        <w:rPr>
          <w:rFonts w:ascii="Times New Roman;Times;Serif" w:hAnsi="Times New Roman;Times;Serif"/>
          <w:b w:val="false"/>
          <w:i w:val="false"/>
          <w:caps w:val="false"/>
          <w:smallCaps w:val="false"/>
          <w:sz w:val="20"/>
        </w:rPr>
        <w:t>”), and (iii) that certain Warrant for 4,810,500 shares of Common Stock issued by the Company to the Holder on January 30, 2024 (the “</w:t>
      </w:r>
      <w:r>
        <w:rPr>
          <w:rFonts w:ascii="Times New Roman;Times;Serif" w:hAnsi="Times New Roman;Times;Serif"/>
          <w:b/>
          <w:i w:val="false"/>
          <w:caps w:val="false"/>
          <w:smallCaps w:val="false"/>
          <w:sz w:val="20"/>
        </w:rPr>
        <w:t>January 2024 Warrant</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2304"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3168"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584" w:right="144" w:hanging="0"/>
        <w:jc w:val="both"/>
        <w:rPr>
          <w:caps w:val="false"/>
          <w:smallCaps w:val="false"/>
        </w:rPr>
      </w:pPr>
      <w:r>
        <w:rPr>
          <w:caps w:val="false"/>
          <w:smallCaps w:val="false"/>
        </w:rPr>
        <w:t> </w:t>
      </w:r>
    </w:p>
    <w:p>
      <w:pPr>
        <w:pStyle w:val="TextBody"/>
        <w:bidi w:val="0"/>
        <w:spacing w:before="0" w:after="0"/>
        <w:ind w:left="158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584" w:right="144" w:hanging="0"/>
        <w:jc w:val="both"/>
        <w:rPr>
          <w:caps w:val="false"/>
          <w:smallCaps w:val="false"/>
        </w:rPr>
      </w:pPr>
      <w:r>
        <w:rPr>
          <w:caps w:val="false"/>
          <w:smallCaps w:val="false"/>
        </w:rPr>
        <w:t> </w:t>
      </w:r>
    </w:p>
    <w:p>
      <w:pPr>
        <w:pStyle w:val="TextBody"/>
        <w:bidi w:val="0"/>
        <w:spacing w:before="0" w:after="0"/>
        <w:ind w:left="158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Times;Serif" w:hAnsi="Times New Roman;Times;Serif"/>
          <w:b/>
          <w:i w:val="false"/>
          <w:caps w:val="false"/>
          <w:smallCaps w:val="false"/>
          <w:sz w:val="20"/>
        </w:rPr>
        <w:t>Third Amendment Warrants</w:t>
      </w:r>
      <w:r>
        <w:rPr>
          <w:rFonts w:ascii="Times New Roman;Times;Serif" w:hAnsi="Times New Roman;Times;Serif"/>
          <w:b w:val="false"/>
          <w:i w:val="false"/>
          <w:caps w:val="false"/>
          <w:smallCaps w:val="false"/>
          <w:sz w:val="20"/>
        </w:rPr>
        <w:t>”), together with the total number of shares of Common Stock issued pursuant to Section 4.11 of the stock purchase agreement, dated October 10, 2023 (the “</w:t>
      </w:r>
      <w:r>
        <w:rPr>
          <w:rFonts w:ascii="Times New Roman;Times;Serif" w:hAnsi="Times New Roman;Times;Serif"/>
          <w:b/>
          <w:i w:val="false"/>
          <w:caps w:val="false"/>
          <w:smallCaps w:val="false"/>
          <w:sz w:val="20"/>
        </w:rPr>
        <w:t>Cleveland Avenue Purchase Agreement</w:t>
      </w:r>
      <w:r>
        <w:rPr>
          <w:rFonts w:ascii="Times New Roman;Times;Serif" w:hAnsi="Times New Roman;Times;Serif"/>
          <w:b w:val="false"/>
          <w:i w:val="false"/>
          <w:caps w:val="false"/>
          <w:smallCaps w:val="false"/>
          <w:sz w:val="20"/>
        </w:rPr>
        <w:t>”), by and between the Company and Presto CA LLC (“</w:t>
      </w:r>
      <w:r>
        <w:rPr>
          <w:rFonts w:ascii="Times New Roman;Times;Serif" w:hAnsi="Times New Roman;Times;Serif"/>
          <w:b/>
          <w:i w:val="false"/>
          <w:caps w:val="false"/>
          <w:smallCaps w:val="false"/>
          <w:sz w:val="20"/>
        </w:rPr>
        <w:t>Cleveland Avenue</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pStyle w:val="TextBody"/>
        <w:bidi w:val="0"/>
        <w:spacing w:before="0" w:after="0"/>
        <w:ind w:left="2304" w:right="0" w:hanging="0"/>
        <w:jc w:val="left"/>
        <w:rPr>
          <w:caps w:val="false"/>
          <w:smallCaps w:val="false"/>
        </w:rPr>
      </w:pPr>
      <w:r>
        <w:rPr>
          <w:caps w:val="false"/>
          <w:smallCaps w:val="false"/>
        </w:rPr>
        <w:t> </w:t>
      </w:r>
    </w:p>
    <w:p>
      <w:pPr>
        <w:pStyle w:val="TextBody"/>
        <w:bidi w:val="0"/>
        <w:spacing w:before="0" w:after="0"/>
        <w:ind w:left="2304"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2304"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September 30,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$0.25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the January 2024 Warrant had an Applicable Price of $0.40 and the amendment and restatement is as of a result of a Dilutive Issuance with a $0.25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144" w:right="144" w:firstLine="259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144" w:right="144"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0" w:right="0"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144" w:right="144" w:firstLine="2592"/>
        <w:jc w:val="both"/>
        <w:rPr>
          <w:caps w:val="false"/>
          <w:smallCaps w:val="false"/>
        </w:rPr>
      </w:pPr>
      <w:r>
        <w:rPr>
          <w:caps w:val="false"/>
          <w:smallCaps w:val="false"/>
        </w:rPr>
        <w:t> </w:t>
      </w:r>
    </w:p>
    <w:p>
      <w:pPr>
        <w:pStyle w:val="TextBody"/>
        <w:bidi w:val="0"/>
        <w:spacing w:before="0" w:after="0"/>
        <w:ind w:left="144" w:right="144" w:firstLine="259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144" w:right="144"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0" w:right="0"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216" w:right="144" w:firstLine="2592"/>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216" w:right="144" w:firstLine="259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216" w:right="144" w:firstLine="2592"/>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144" w:right="144"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144" w:right="144"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144" w:right="144"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216" w:right="144" w:firstLine="1440"/>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144" w:right="144" w:firstLine="1512"/>
        <w:jc w:val="both"/>
        <w:rPr>
          <w:caps w:val="false"/>
          <w:smallCaps w:val="false"/>
        </w:rPr>
      </w:pPr>
      <w:r>
        <w:rPr>
          <w:caps w:val="false"/>
          <w:smallCaps w:val="false"/>
        </w:rPr>
        <w:t> </w:t>
      </w:r>
    </w:p>
    <w:p>
      <w:pPr>
        <w:pStyle w:val="TextBody"/>
        <w:bidi w:val="0"/>
        <w:spacing w:before="0" w:after="0"/>
        <w:ind w:left="144" w:right="144" w:firstLine="151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144" w:right="144"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144" w:right="144"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144" w:right="0" w:firstLine="1512"/>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144" w:right="14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216"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144" w:right="0" w:firstLine="2160"/>
        <w:jc w:val="left"/>
        <w:rPr>
          <w:caps w:val="false"/>
          <w:smallCaps w:val="false"/>
        </w:rPr>
      </w:pPr>
      <w:r>
        <w:rPr>
          <w:caps w:val="false"/>
          <w:smallCaps w:val="false"/>
        </w:rPr>
        <w:t> </w:t>
      </w:r>
    </w:p>
    <w:p>
      <w:pPr>
        <w:pStyle w:val="TextBody"/>
        <w:bidi w:val="0"/>
        <w:spacing w:before="0" w:after="0"/>
        <w:ind w:left="144"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144"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216" w:right="144" w:firstLine="2088"/>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216" w:right="144"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4680" w:right="1008" w:hanging="2376"/>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4680" w:right="1008" w:hanging="2376"/>
        <w:jc w:val="left"/>
        <w:rPr>
          <w:caps w:val="false"/>
          <w:smallCaps w:val="false"/>
        </w:rPr>
      </w:pPr>
      <w:r>
        <w:rPr>
          <w:caps w:val="false"/>
          <w:smallCaps w:val="false"/>
        </w:rPr>
        <w:t> </w:t>
      </w:r>
    </w:p>
    <w:p>
      <w:pPr>
        <w:pStyle w:val="TextBody"/>
        <w:bidi w:val="0"/>
        <w:spacing w:before="0" w:after="0"/>
        <w:ind w:left="4680" w:right="1008" w:hanging="2376"/>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4680" w:right="1008" w:hanging="2376"/>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144" w:right="216"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144" w:right="216"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144" w:right="216"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C2C2C"/>
          <w:sz w:val="20"/>
        </w:rPr>
      </w:pPr>
      <w:r>
        <w:rPr>
          <w:rFonts w:ascii="Times New Roman;Times;Serif" w:hAnsi="Times New Roman;Times;Serif"/>
          <w:b/>
          <w:i w:val="false"/>
          <w:caps w:val="false"/>
          <w:smallCaps w:val="false"/>
          <w:color w:val="2C2C2C"/>
          <w:sz w:val="20"/>
        </w:rPr>
        <w:t xml:space="preserve">IN WITNESS WHEREOF, </w:t>
      </w:r>
      <w:r>
        <w:rPr>
          <w:rFonts w:ascii="Times New Roman;Times;Serif" w:hAnsi="Times New Roman;Times;Serif"/>
          <w:b w:val="false"/>
          <w:i w:val="false"/>
          <w:caps w:val="false"/>
          <w:smallCaps w:val="false"/>
          <w:color w:val="2C2C2C"/>
          <w:sz w:val="20"/>
        </w:rPr>
        <w:t>the Company has caused this Amended and Restated Warrant to Purchase Common Stock to be duly executed as of the Issuance Date set out above.</w:t>
      </w:r>
    </w:p>
    <w:p>
      <w:pPr>
        <w:pStyle w:val="TextBody"/>
        <w:bidi w:val="0"/>
        <w:spacing w:before="0" w:after="0"/>
        <w:ind w:left="0" w:right="0" w:firstLine="720"/>
        <w:jc w:val="left"/>
        <w:rPr>
          <w:caps w:val="false"/>
          <w:smallCaps w:val="false"/>
          <w:color w:val="2C2C2C"/>
        </w:rPr>
      </w:pPr>
      <w:r>
        <w:rPr>
          <w:caps w:val="false"/>
          <w:smallCaps w:val="false"/>
          <w:color w:val="2C2C2C"/>
        </w:rPr>
        <w:t> </w:t>
      </w:r>
    </w:p>
    <w:tbl>
      <w:tblPr>
        <w:tblW w:w="3205" w:type="dxa"/>
        <w:jc w:val="left"/>
        <w:tblInd w:w="0" w:type="dxa"/>
        <w:tblLayout w:type="fixed"/>
        <w:tblCellMar>
          <w:top w:w="0" w:type="dxa"/>
          <w:left w:w="0" w:type="dxa"/>
          <w:bottom w:w="0" w:type="dxa"/>
          <w:right w:w="0" w:type="dxa"/>
        </w:tblCellMar>
      </w:tblPr>
      <w:tblGrid>
        <w:gridCol w:w="75"/>
        <w:gridCol w:w="545"/>
        <w:gridCol w:w="2585"/>
      </w:tblGrid>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5" w:type="dxa"/>
            <w:tcBorders/>
            <w:vAlign w:val="center"/>
          </w:tcPr>
          <w:p>
            <w:pPr>
              <w:pStyle w:val="TableContents"/>
              <w:bidi w:val="0"/>
              <w:spacing w:before="0" w:after="283"/>
              <w:jc w:val="both"/>
              <w:rPr>
                <w:sz w:val="20"/>
              </w:rPr>
            </w:pPr>
            <w:r>
              <w:rPr>
                <w:sz w:val="20"/>
              </w:rPr>
              <w:t>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tcBorders/>
            <w:vAlign w:val="center"/>
          </w:tcPr>
          <w:p>
            <w:pPr>
              <w:pStyle w:val="TableContents"/>
              <w:bidi w:val="0"/>
              <w:spacing w:before="0" w:after="283"/>
              <w:jc w:val="both"/>
              <w:rPr>
                <w:sz w:val="20"/>
              </w:rPr>
            </w:pPr>
            <w:r>
              <w:rPr>
                <w:sz w:val="20"/>
              </w:rPr>
              <w:t>Interim Chief Executive Officer</w:t>
            </w:r>
          </w:p>
        </w:tc>
      </w:tr>
    </w:tbl>
    <w:p>
      <w:pPr>
        <w:pStyle w:val="TextBody"/>
        <w:bidi w:val="0"/>
        <w:spacing w:before="0" w:after="0"/>
        <w:ind w:left="5400" w:right="0" w:hanging="0"/>
        <w:jc w:val="left"/>
        <w:rPr>
          <w:caps w:val="false"/>
          <w:smallCaps w:val="false"/>
          <w:color w:val="2C2C2C"/>
        </w:rPr>
      </w:pPr>
      <w:r>
        <w:rPr>
          <w:caps w:val="false"/>
          <w:smallCaps w:val="false"/>
          <w:color w:val="2C2C2C"/>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8" w:right="108" w:hanging="0"/>
        <w:jc w:val="right"/>
        <w:rPr>
          <w:caps w:val="false"/>
          <w:smallCaps w:val="false"/>
        </w:rPr>
      </w:pPr>
      <w:r>
        <w:rPr>
          <w:caps w:val="false"/>
          <w:smallCaps w:val="false"/>
        </w:rPr>
        <w:t> </w:t>
      </w:r>
    </w:p>
    <w:p>
      <w:pPr>
        <w:pStyle w:val="TextBody"/>
        <w:bidi w:val="0"/>
        <w:spacing w:before="0" w:after="0"/>
        <w:ind w:left="108" w:right="108"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________________ 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Amended and Restated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144" w:right="0" w:firstLine="792"/>
        <w:jc w:val="left"/>
        <w:rPr>
          <w:caps w:val="false"/>
          <w:smallCaps w:val="false"/>
        </w:rPr>
      </w:pPr>
      <w:r>
        <w:rPr>
          <w:caps w:val="false"/>
          <w:smallCaps w:val="false"/>
        </w:rPr>
        <w:t> </w:t>
      </w:r>
    </w:p>
    <w:p>
      <w:pPr>
        <w:pStyle w:val="TextBody"/>
        <w:bidi w:val="0"/>
        <w:spacing w:before="0" w:after="0"/>
        <w:ind w:left="144"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 _________________ Warrant Shares; and/or</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 ______________ Warrant Shares.</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 to the Company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 _________________ Warrant Shares in accordance with the terms of the Warrant.</w:t>
      </w:r>
    </w:p>
    <w:p>
      <w:pPr>
        <w:pStyle w:val="TextBody"/>
        <w:bidi w:val="0"/>
        <w:spacing w:before="0" w:after="0"/>
        <w:ind w:left="144" w:right="144" w:firstLine="792"/>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380"/>
        <w:gridCol w:w="1730"/>
        <w:gridCol w:w="75"/>
      </w:tblGrid>
      <w:tr>
        <w:trPr/>
        <w:tc>
          <w:tcPr>
            <w:tcW w:w="3380" w:type="dxa"/>
            <w:tcBorders/>
            <w:vAlign w:val="center"/>
          </w:tcPr>
          <w:p>
            <w:pPr>
              <w:pStyle w:val="TableContents"/>
              <w:bidi w:val="0"/>
              <w:spacing w:before="0" w:after="283"/>
              <w:jc w:val="left"/>
              <w:rPr/>
            </w:pPr>
            <w:r>
              <w:rPr/>
              <w:t>____________ Electronic Delivery</w:t>
            </w:r>
          </w:p>
        </w:tc>
        <w:tc>
          <w:tcPr>
            <w:tcW w:w="1730" w:type="dxa"/>
            <w:tcBorders/>
            <w:vAlign w:val="center"/>
          </w:tcPr>
          <w:p>
            <w:pPr>
              <w:pStyle w:val="TableContents"/>
              <w:bidi w:val="0"/>
              <w:spacing w:before="0" w:after="283"/>
              <w:jc w:val="both"/>
              <w:rPr/>
            </w:pPr>
            <w:r>
              <w:rPr/>
              <w:t>DTC Participant:</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DTC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Name: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Account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____________ Physical Delivery</w:t>
            </w:r>
          </w:p>
        </w:tc>
        <w:tc>
          <w:tcPr>
            <w:tcW w:w="1730" w:type="dxa"/>
            <w:tcBorders/>
            <w:vAlign w:val="center"/>
          </w:tcPr>
          <w:p>
            <w:pPr>
              <w:pStyle w:val="TableContents"/>
              <w:bidi w:val="0"/>
              <w:spacing w:before="0" w:after="283"/>
              <w:jc w:val="both"/>
              <w:rPr/>
            </w:pPr>
            <w:r>
              <w:rPr/>
              <w:t>Address: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Date:____________ ____, ______</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80" w:type="dxa"/>
            <w:tcBorders/>
            <w:vAlign w:val="center"/>
          </w:tcPr>
          <w:p>
            <w:pPr>
              <w:pStyle w:val="TableContents"/>
              <w:bidi w:val="0"/>
              <w:spacing w:before="0" w:after="283"/>
              <w:jc w:val="left"/>
              <w:rPr/>
            </w:pPr>
            <w:r>
              <w:rPr/>
              <w:t>Name of Registered Holder</w:t>
            </w:r>
          </w:p>
        </w:tc>
        <w:tc>
          <w:tcPr>
            <w:tcW w:w="17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dated_________________</w:t>
        <w:tab/>
        <w:t>from the Company and acknowledged and agreed to by [TRANSFER AGENT].</w:t>
      </w:r>
    </w:p>
    <w:p>
      <w:pPr>
        <w:pStyle w:val="TextBody"/>
        <w:bidi w:val="0"/>
        <w:spacing w:before="0" w:after="0"/>
        <w:ind w:left="144" w:right="144"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2182"/>
        <w:gridCol w:w="1182"/>
      </w:tblGrid>
      <w:tr>
        <w:trPr/>
        <w:tc>
          <w:tcPr>
            <w:tcW w:w="75" w:type="dxa"/>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both"/>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both"/>
              <w:rPr/>
            </w:pPr>
            <w:r>
              <w:rPr/>
              <w:t>By:</w:t>
            </w:r>
          </w:p>
        </w:tc>
        <w:tc>
          <w:tcPr>
            <w:tcW w:w="1182"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both"/>
              <w:rPr/>
            </w:pPr>
            <w:r>
              <w:rPr/>
              <w:t>Title:</w:t>
            </w:r>
          </w:p>
        </w:tc>
      </w:tr>
    </w:tbl>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144" w:hanging="0"/>
        <w:jc w:val="both"/>
        <w:rPr>
          <w:caps w:val="false"/>
          <w:smallCaps w:val="false"/>
        </w:rPr>
      </w:pPr>
      <w:r>
        <w:rPr>
          <w:caps w:val="false"/>
          <w:smallCaps w:val="false"/>
        </w:rPr>
        <w:t> </w:t>
      </w:r>
    </w:p>
    <w:tbl>
      <w:tblPr>
        <w:tblW w:w="1505" w:type="dxa"/>
        <w:jc w:val="left"/>
        <w:tblInd w:w="0" w:type="dxa"/>
        <w:tblLayout w:type="fixed"/>
        <w:tblCellMar>
          <w:top w:w="0" w:type="dxa"/>
          <w:left w:w="0" w:type="dxa"/>
          <w:bottom w:w="28" w:type="dxa"/>
          <w:right w:w="0" w:type="dxa"/>
        </w:tblCellMar>
      </w:tblPr>
      <w:tblGrid>
        <w:gridCol w:w="75"/>
        <w:gridCol w:w="1430"/>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r>
              <w:rPr>
                <w:rFonts w:ascii="Times New Roman;Times;Serif" w:hAnsi="Times New Roman;Times;Serif"/>
                <w:sz w:val="20"/>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 ______</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283"/>
        <w:jc w:val="left"/>
        <w:rPr/>
      </w:pPr>
      <w:r>
        <w:rPr/>
        <w:t> </w:t>
      </w:r>
    </w:p>
    <w:tbl>
      <w:tblPr>
        <w:tblW w:w="1955" w:type="dxa"/>
        <w:jc w:val="center"/>
        <w:tblInd w:w="0" w:type="dxa"/>
        <w:tblLayout w:type="fixed"/>
        <w:tblCellMar>
          <w:top w:w="0" w:type="dxa"/>
          <w:left w:w="0" w:type="dxa"/>
          <w:bottom w:w="0" w:type="dxa"/>
          <w:right w:w="0" w:type="dxa"/>
        </w:tblCellMar>
      </w:tblPr>
      <w:tblGrid>
        <w:gridCol w:w="1880"/>
        <w:gridCol w:w="75"/>
      </w:tblGrid>
      <w:tr>
        <w:trPr/>
        <w:tc>
          <w:tcPr>
            <w:tcW w:w="1880" w:type="dxa"/>
            <w:tcBorders/>
            <w:vAlign w:val="center"/>
          </w:tcPr>
          <w:p>
            <w:pPr>
              <w:pStyle w:val="TableContents"/>
              <w:bidi w:val="0"/>
              <w:spacing w:before="0" w:after="283"/>
              <w:jc w:val="left"/>
              <w:rPr/>
            </w:pPr>
            <w:r>
              <w:rPr/>
              <w:t>Holder’s Signature: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880" w:type="dxa"/>
            <w:tcBorders/>
            <w:vAlign w:val="center"/>
          </w:tcPr>
          <w:p>
            <w:pPr>
              <w:pStyle w:val="TableContents"/>
              <w:bidi w:val="0"/>
              <w:spacing w:before="0" w:after="283"/>
              <w:jc w:val="left"/>
              <w:rPr/>
            </w:pPr>
            <w:r>
              <w:rPr/>
              <w:t>Holder’s Address: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88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024"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6" w:name="tm249250d1_ex10-11.htm"/>
      <w:bookmarkStart w:id="47" w:name="kstm249250d1_ex1011"/>
      <w:bookmarkEnd w:id="46"/>
      <w:bookmarkEnd w:id="47"/>
      <w:r>
        <w:rPr/>
        <w:t> </w:t>
      </w:r>
      <w:r>
        <w:br w:type="page"/>
      </w:r>
    </w:p>
    <w:p>
      <w:pPr>
        <w:pStyle w:val="TextBody"/>
        <w:bidi w:val="0"/>
        <w:jc w:val="right"/>
        <w:rPr>
          <w:b/>
        </w:rPr>
      </w:pPr>
      <w:r>
        <w:rPr>
          <w:b/>
        </w:rPr>
        <w:t>Exhibit 10.11</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w:t>
      </w:r>
    </w:p>
    <w:p>
      <w:pPr>
        <w:pStyle w:val="TextBody"/>
        <w:bidi w:val="0"/>
        <w:jc w:val="center"/>
        <w:rPr>
          <w:rFonts w:ascii="Times New Roman;Times;Serif" w:hAnsi="Times New Roman;Times;Serif"/>
          <w:b w:val="false"/>
          <w:i w:val="false"/>
          <w:smallCaps/>
          <w:sz w:val="20"/>
        </w:rPr>
      </w:pPr>
      <w:r>
        <w:rPr>
          <w:rFonts w:ascii="Times New Roman;Times;Serif" w:hAnsi="Times New Roman;Times;Serif"/>
          <w:b/>
          <w:i w:val="false"/>
          <w:caps/>
          <w:sz w:val="20"/>
        </w:rPr>
        <w:t>W</w:t>
      </w:r>
      <w:r>
        <w:rPr>
          <w:rFonts w:ascii="Times New Roman;Times;Serif" w:hAnsi="Times New Roman;Times;Serif"/>
          <w:b/>
          <w:i w:val="false"/>
          <w:smallCaps/>
          <w:sz w:val="20"/>
        </w:rPr>
        <w:t xml:space="preserve">arrant </w:t>
      </w:r>
      <w:r>
        <w:rPr>
          <w:rFonts w:ascii="Times New Roman;Times;Serif" w:hAnsi="Times New Roman;Times;Serif"/>
          <w:b/>
          <w:i w:val="false"/>
          <w:caps/>
          <w:sz w:val="20"/>
        </w:rPr>
        <w:t>T</w:t>
      </w:r>
      <w:r>
        <w:rPr>
          <w:rFonts w:ascii="Times New Roman;Times;Serif" w:hAnsi="Times New Roman;Times;Serif"/>
          <w:b/>
          <w:i w:val="false"/>
          <w:smallCaps/>
          <w:sz w:val="20"/>
        </w:rPr>
        <w:t xml:space="preserve">o </w:t>
      </w:r>
      <w:r>
        <w:rPr>
          <w:rFonts w:ascii="Times New Roman;Times;Serif" w:hAnsi="Times New Roman;Times;Serif"/>
          <w:b/>
          <w:i w:val="false"/>
          <w:caps/>
          <w:sz w:val="20"/>
        </w:rPr>
        <w:t>p</w:t>
      </w:r>
      <w:r>
        <w:rPr>
          <w:rFonts w:ascii="Times New Roman;Times;Serif" w:hAnsi="Times New Roman;Times;Serif"/>
          <w:b/>
          <w:i w:val="false"/>
          <w:smallCaps/>
          <w:sz w:val="20"/>
        </w:rPr>
        <w:t xml:space="preserve">urchase </w:t>
      </w:r>
      <w:r>
        <w:rPr>
          <w:rFonts w:ascii="Times New Roman;Times;Serif" w:hAnsi="Times New Roman;Times;Serif"/>
          <w:b/>
          <w:i w:val="false"/>
          <w:caps/>
          <w:sz w:val="20"/>
        </w:rPr>
        <w:t>C</w:t>
      </w:r>
      <w:r>
        <w:rPr>
          <w:rFonts w:ascii="Times New Roman;Times;Serif" w:hAnsi="Times New Roman;Times;Serif"/>
          <w:b/>
          <w:i w:val="false"/>
          <w:smallCaps/>
          <w:sz w:val="20"/>
        </w:rPr>
        <w:t xml:space="preserve">ommon </w:t>
      </w:r>
      <w:r>
        <w:rPr>
          <w:rFonts w:ascii="Times New Roman;Times;Serif" w:hAnsi="Times New Roman;Times;Serif"/>
          <w:b/>
          <w:i w:val="false"/>
          <w:caps/>
          <w:sz w:val="20"/>
        </w:rPr>
        <w:t>S</w:t>
      </w:r>
      <w:r>
        <w:rPr>
          <w:rFonts w:ascii="Times New Roman;Times;Serif" w:hAnsi="Times New Roman;Times;Serif"/>
          <w:b/>
          <w:i w:val="false"/>
          <w:smallCaps/>
          <w:sz w:val="20"/>
        </w:rPr>
        <w:t>tock</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10,711,200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October 16, 2023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March 21,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10,711,200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Amended and Restated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and to Section 7 of that certain Third Amended and Restated Fee Letter, dated October 10, 2023, among E La Carte, LLC, the Company and Metropolitan Partners Group Administration (the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Credit Agreement (as defined in the Fee Letter). This Warrant amends, restates and supersedes in its entirety (i) that certain Warrant for 1,338,900 shares of Common Stock issued by the Company to the Holder on October 16, 2023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(ii) that certain Warrant for 2,677,800 shares of Common Stock issued by the Company to the Holder on November 21, 2023 (the “</w:t>
      </w:r>
      <w:r>
        <w:rPr>
          <w:rFonts w:ascii="Times New Roman;Times;Serif" w:hAnsi="Times New Roman;Times;Serif"/>
          <w:b/>
          <w:i w:val="false"/>
          <w:caps w:val="false"/>
          <w:smallCaps w:val="false"/>
          <w:sz w:val="20"/>
        </w:rPr>
        <w:t>November 2023 Warrant</w:t>
      </w:r>
      <w:r>
        <w:rPr>
          <w:rFonts w:ascii="Times New Roman;Times;Serif" w:hAnsi="Times New Roman;Times;Serif"/>
          <w:b w:val="false"/>
          <w:i w:val="false"/>
          <w:caps w:val="false"/>
          <w:smallCaps w:val="false"/>
          <w:sz w:val="20"/>
        </w:rPr>
        <w:t>”), and (iii) that certain Warrant for 6,694,500 shares of Common Stock issued by the Company to the Holder on January 30, 2024 (the “</w:t>
      </w:r>
      <w:r>
        <w:rPr>
          <w:rFonts w:ascii="Times New Roman;Times;Serif" w:hAnsi="Times New Roman;Times;Serif"/>
          <w:b/>
          <w:i w:val="false"/>
          <w:caps w:val="false"/>
          <w:smallCaps w:val="false"/>
          <w:sz w:val="20"/>
        </w:rPr>
        <w:t>January 2024 Warrant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ind w:left="2304" w:right="0" w:hanging="0"/>
        <w:jc w:val="left"/>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180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jc w:val="left"/>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ind w:left="0" w:right="0" w:firstLine="180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(A x B) - (A x C)</w:t>
      </w:r>
    </w:p>
    <w:p>
      <w:pPr>
        <w:pStyle w:val="TextBody"/>
        <w:bidi w:val="0"/>
        <w:ind w:left="180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ind w:left="1800" w:right="0" w:firstLine="144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jc w:val="left"/>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jc w:val="both"/>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Times;Serif" w:hAnsi="Times New Roman;Times;Serif"/>
          <w:b/>
          <w:i w:val="false"/>
          <w:caps w:val="false"/>
          <w:smallCaps w:val="false"/>
          <w:sz w:val="20"/>
        </w:rPr>
        <w:t>Third Amendment Warrants</w:t>
      </w:r>
      <w:r>
        <w:rPr>
          <w:rFonts w:ascii="Times New Roman;Times;Serif" w:hAnsi="Times New Roman;Times;Serif"/>
          <w:b w:val="false"/>
          <w:i w:val="false"/>
          <w:caps w:val="false"/>
          <w:smallCaps w:val="false"/>
          <w:sz w:val="20"/>
        </w:rPr>
        <w:t>”), together with the total number of shares of Common Stock issued pursuant to Section 4.11 of the stock purchase agreement, dated October 10, 2023 (the “</w:t>
      </w:r>
      <w:r>
        <w:rPr>
          <w:rFonts w:ascii="Times New Roman;Times;Serif" w:hAnsi="Times New Roman;Times;Serif"/>
          <w:b/>
          <w:i w:val="false"/>
          <w:caps w:val="false"/>
          <w:smallCaps w:val="false"/>
          <w:sz w:val="20"/>
        </w:rPr>
        <w:t>Cleveland Avenue Purchase Agreement</w:t>
      </w:r>
      <w:r>
        <w:rPr>
          <w:rFonts w:ascii="Times New Roman;Times;Serif" w:hAnsi="Times New Roman;Times;Serif"/>
          <w:b w:val="false"/>
          <w:i w:val="false"/>
          <w:caps w:val="false"/>
          <w:smallCaps w:val="false"/>
          <w:sz w:val="20"/>
        </w:rPr>
        <w:t>”), by and between the Company and Presto CA LLC (“</w:t>
      </w:r>
      <w:r>
        <w:rPr>
          <w:rFonts w:ascii="Times New Roman;Times;Serif" w:hAnsi="Times New Roman;Times;Serif"/>
          <w:b/>
          <w:i w:val="false"/>
          <w:caps w:val="false"/>
          <w:smallCaps w:val="false"/>
          <w:sz w:val="20"/>
        </w:rPr>
        <w:t>Cleveland Avenue</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pStyle w:val="TextBody"/>
        <w:bidi w:val="0"/>
        <w:ind w:left="0" w:right="0" w:firstLine="1829"/>
        <w:jc w:val="both"/>
        <w:rPr>
          <w:caps w:val="false"/>
          <w:smallCaps w:val="false"/>
        </w:rPr>
      </w:pPr>
      <w:r>
        <w:rPr>
          <w:caps w:val="false"/>
          <w:smallCaps w:val="false"/>
        </w:rPr>
        <w:t> </w:t>
      </w:r>
    </w:p>
    <w:p>
      <w:pPr>
        <w:pStyle w:val="TextBody"/>
        <w:bidi w:val="0"/>
        <w:spacing w:before="0" w:after="0"/>
        <w:ind w:left="0" w:right="0" w:firstLine="1829"/>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ind w:left="0" w:right="0" w:firstLine="1829"/>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xml:space="preserve"> The Exercise Price and the number of Warrant Shares issuable upon exercise of this Warrant are subject to adjustments from time to time as set forth in this Section 2.</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September 30,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$0.25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the January 2024 Warrant had an Applicable Price of $0.40 and the amendment and restatement is as of a result of a Dilutive Issuance with a $0.25 per share New Issuance Price. For all purposes of the foregoing (including, without limitation, determining the adjusted number of Warrant Shares and the New Issuance Price under this Section 2(b)), the following shall be applicable:</w:t>
      </w:r>
    </w:p>
    <w:p>
      <w:pPr>
        <w:pStyle w:val="TextBody"/>
        <w:bidi w:val="0"/>
        <w:ind w:left="0" w:right="0" w:firstLine="1858"/>
        <w:jc w:val="left"/>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ind w:left="0" w:right="0" w:firstLine="2160"/>
        <w:jc w:val="left"/>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jc w:val="both"/>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jc w:val="both"/>
        <w:rPr>
          <w:caps w:val="false"/>
          <w:smallCaps w:val="false"/>
        </w:rPr>
      </w:pPr>
      <w:r>
        <w:rPr>
          <w:caps w:val="false"/>
          <w:smallCaps w:val="false"/>
        </w:rPr>
        <w:t> </w:t>
      </w:r>
    </w:p>
    <w:p>
      <w:pPr>
        <w:pStyle w:val="TextBody"/>
        <w:bidi w:val="0"/>
        <w:ind w:left="0" w:right="0" w:firstLine="2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jc w:val="left"/>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ind w:left="0" w:right="0" w:firstLine="1843"/>
        <w:jc w:val="both"/>
        <w:rPr>
          <w:caps w:val="false"/>
          <w:smallCaps w:val="false"/>
        </w:rPr>
      </w:pPr>
      <w:r>
        <w:rPr>
          <w:caps w:val="false"/>
          <w:smallCaps w:val="false"/>
        </w:rPr>
        <w:t> </w:t>
      </w:r>
    </w:p>
    <w:p>
      <w:pPr>
        <w:pStyle w:val="TextBody"/>
        <w:bidi w:val="0"/>
        <w:spacing w:before="0" w:after="0"/>
        <w:ind w:left="0" w:right="0" w:firstLine="1843"/>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ind w:left="0" w:right="0" w:firstLine="1843"/>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jc w:val="both"/>
        <w:rPr>
          <w:caps w:val="false"/>
          <w:smallCaps w:val="false"/>
        </w:rPr>
      </w:pPr>
      <w:r>
        <w:rPr>
          <w:caps w:val="false"/>
          <w:smallCaps w:val="false"/>
        </w:rPr>
        <w:t> </w:t>
      </w:r>
    </w:p>
    <w:p>
      <w:pPr>
        <w:pStyle w:val="TextBody"/>
        <w:bidi w:val="0"/>
        <w:ind w:left="0" w:right="0" w:firstLine="18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Amended and Restated Warrant to Purchase Common Stock to be duly executed as of the Issuance Date set out above.</w:t>
      </w:r>
    </w:p>
    <w:p>
      <w:pPr>
        <w:pStyle w:val="TextBody"/>
        <w:bidi w:val="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545"/>
        <w:gridCol w:w="2585"/>
      </w:tblGrid>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5" w:type="dxa"/>
            <w:tcBorders/>
            <w:vAlign w:val="center"/>
          </w:tcPr>
          <w:p>
            <w:pPr>
              <w:pStyle w:val="TableContents"/>
              <w:bidi w:val="0"/>
              <w:spacing w:before="0" w:after="283"/>
              <w:jc w:val="both"/>
              <w:rPr>
                <w:sz w:val="20"/>
              </w:rPr>
            </w:pPr>
            <w:r>
              <w:rPr>
                <w:sz w:val="20"/>
              </w:rPr>
              <w:t>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tcBorders/>
            <w:vAlign w:val="center"/>
          </w:tcPr>
          <w:p>
            <w:pPr>
              <w:pStyle w:val="TableContents"/>
              <w:bidi w:val="0"/>
              <w:spacing w:before="0" w:after="283"/>
              <w:jc w:val="both"/>
              <w:rPr>
                <w:sz w:val="20"/>
              </w:rPr>
            </w:pPr>
            <w:r>
              <w:rPr>
                <w:sz w:val="20"/>
              </w:rPr>
              <w:t>Interim Chief Executive Officer</w:t>
            </w:r>
          </w:p>
        </w:tc>
      </w:tr>
    </w:tbl>
    <w:p>
      <w:pPr>
        <w:pStyle w:val="TextBody"/>
        <w:bidi w:val="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________________ 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Amended and Restated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 _________________ Warrant Shares; and/or</w:t>
      </w:r>
    </w:p>
    <w:p>
      <w:pPr>
        <w:pStyle w:val="TextBody"/>
        <w:bidi w:val="0"/>
        <w:ind w:left="0" w:right="0" w:firstLine="1800"/>
        <w:jc w:val="left"/>
        <w:rPr>
          <w:caps w:val="false"/>
          <w:smallCaps w:val="false"/>
        </w:rPr>
      </w:pPr>
      <w:r>
        <w:rPr>
          <w:caps w:val="false"/>
          <w:smallCaps w:val="false"/>
        </w:rPr>
        <w:t> </w:t>
      </w:r>
    </w:p>
    <w:p>
      <w:pPr>
        <w:pStyle w:val="TextBody"/>
        <w:bidi w:val="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 _________________ Warrant Shares.</w:t>
      </w:r>
    </w:p>
    <w:p>
      <w:pPr>
        <w:pStyle w:val="TextBody"/>
        <w:bidi w:val="0"/>
        <w:ind w:left="3643"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$__________________ to the Company in accordance with the terms of the Warrant.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 ____________________________ Warrant Shares in accordance with the terms of the Warrant.</w:t>
      </w:r>
    </w:p>
    <w:p>
      <w:pPr>
        <w:pStyle w:val="TextBody"/>
        <w:bidi w:val="0"/>
        <w:ind w:left="0" w:right="0" w:firstLine="72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750"/>
        <w:gridCol w:w="1460"/>
        <w:gridCol w:w="75"/>
      </w:tblGrid>
      <w:tr>
        <w:trPr/>
        <w:tc>
          <w:tcPr>
            <w:tcW w:w="2750" w:type="dxa"/>
            <w:tcBorders/>
            <w:vAlign w:val="center"/>
          </w:tcPr>
          <w:p>
            <w:pPr>
              <w:pStyle w:val="TableContents"/>
              <w:bidi w:val="0"/>
              <w:spacing w:before="0" w:after="283"/>
              <w:jc w:val="left"/>
              <w:rPr>
                <w:caps w:val="false"/>
                <w:smallCaps w:val="false"/>
              </w:rPr>
            </w:pPr>
            <w:r>
              <w:rPr>
                <w:caps w:val="false"/>
                <w:smallCaps w:val="false"/>
                <w:u w:val="single"/>
              </w:rPr>
              <w:t>                  </w:t>
            </w:r>
            <w:r>
              <w:rPr>
                <w:caps w:val="false"/>
                <w:smallCaps w:val="false"/>
              </w:rPr>
              <w:t> </w:t>
            </w:r>
            <w:r>
              <w:rPr>
                <w:rFonts w:ascii="Times New Roman;Times;Serif" w:hAnsi="Times New Roman;Times;Serif"/>
                <w:b w:val="false"/>
                <w:i w:val="false"/>
                <w:caps w:val="false"/>
                <w:smallCaps w:val="false"/>
                <w:sz w:val="20"/>
              </w:rPr>
              <w:t>Electronic Delivery</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600"/>
        <w:gridCol w:w="725"/>
        <w:gridCol w:w="75"/>
      </w:tblGrid>
      <w:tr>
        <w:trPr/>
        <w:tc>
          <w:tcPr>
            <w:tcW w:w="2600" w:type="dxa"/>
            <w:tcBorders/>
            <w:vAlign w:val="center"/>
          </w:tcPr>
          <w:p>
            <w:pPr>
              <w:pStyle w:val="TableContents"/>
              <w:bidi w:val="0"/>
              <w:spacing w:before="0" w:after="283"/>
              <w:jc w:val="left"/>
              <w:rPr>
                <w:caps w:val="false"/>
                <w:smallCaps w:val="false"/>
              </w:rPr>
            </w:pPr>
            <w:r>
              <w:rPr>
                <w:caps w:val="false"/>
                <w:smallCaps w:val="false"/>
                <w:u w:val="single"/>
              </w:rPr>
              <w:t>                  </w:t>
            </w:r>
            <w:r>
              <w:rPr>
                <w:caps w:val="false"/>
                <w:smallCaps w:val="false"/>
              </w:rPr>
              <w:t> </w:t>
            </w:r>
            <w:r>
              <w:rPr>
                <w:rFonts w:ascii="Times New Roman;Times;Serif" w:hAnsi="Times New Roman;Times;Serif"/>
                <w:b w:val="false"/>
                <w:i w:val="false"/>
                <w:caps w:val="false"/>
                <w:smallCaps w:val="false"/>
                <w:sz w:val="20"/>
              </w:rPr>
              <w:t>Physical Delivery</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 ___, ______</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0" w:type="dxa"/>
        <w:jc w:val="left"/>
        <w:tblInd w:w="0" w:type="dxa"/>
        <w:tblLayout w:type="fixed"/>
        <w:tblCellMar>
          <w:top w:w="28" w:type="dxa"/>
          <w:left w:w="0" w:type="dxa"/>
          <w:bottom w:w="0" w:type="dxa"/>
          <w:right w:w="0" w:type="dxa"/>
        </w:tblCellMar>
      </w:tblPr>
      <w:tblGrid>
        <w:gridCol w:w="2225"/>
        <w:gridCol w:w="75"/>
      </w:tblGrid>
      <w:tr>
        <w:trPr/>
        <w:tc>
          <w:tcPr>
            <w:tcW w:w="2225"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tc>
        <w:tc>
          <w:tcPr>
            <w:tcW w:w="75"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55" w:type="dxa"/>
        <w:jc w:val="left"/>
        <w:tblInd w:w="0" w:type="dxa"/>
        <w:tblLayout w:type="fixed"/>
        <w:tblCellMar>
          <w:top w:w="0" w:type="dxa"/>
          <w:left w:w="0" w:type="dxa"/>
          <w:bottom w:w="0" w:type="dxa"/>
          <w:right w:w="0" w:type="dxa"/>
        </w:tblCellMar>
      </w:tblPr>
      <w:tblGrid>
        <w:gridCol w:w="335"/>
        <w:gridCol w:w="54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pStyle w:val="TextBody"/>
        <w:bidi w:val="0"/>
        <w:ind w:left="0" w:right="0" w:firstLine="720"/>
        <w:jc w:val="both"/>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923"/>
        <w:gridCol w:w="1736"/>
      </w:tblGrid>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3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and supply required information.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use this form to exercise the warrant.)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jc w:val="both"/>
        <w:rPr>
          <w:caps w:val="false"/>
          <w:smallCaps w:val="false"/>
        </w:rPr>
      </w:pPr>
      <w:r>
        <w:rPr>
          <w:caps w:val="false"/>
          <w:smallCaps w:val="false"/>
        </w:rPr>
        <w:t> </w:t>
      </w:r>
    </w:p>
    <w:tbl>
      <w:tblPr>
        <w:tblW w:w="1505" w:type="dxa"/>
        <w:jc w:val="left"/>
        <w:tblInd w:w="0" w:type="dxa"/>
        <w:tblLayout w:type="fixed"/>
        <w:tblCellMar>
          <w:top w:w="0" w:type="dxa"/>
          <w:left w:w="0" w:type="dxa"/>
          <w:bottom w:w="28" w:type="dxa"/>
          <w:right w:w="0" w:type="dxa"/>
        </w:tblCellMar>
      </w:tblPr>
      <w:tblGrid>
        <w:gridCol w:w="75"/>
        <w:gridCol w:w="1430"/>
      </w:tblGrid>
      <w:tr>
        <w:trPr/>
        <w:tc>
          <w:tcPr>
            <w:tcW w:w="7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whose address is</w:t>
            </w:r>
          </w:p>
        </w:tc>
      </w:tr>
      <w:tr>
        <w:trPr/>
        <w:tc>
          <w:tcPr>
            <w:tcW w:w="7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p>
    <w:p>
      <w:pPr>
        <w:pStyle w:val="TextBody"/>
        <w:bidi w:val="0"/>
        <w:jc w:val="right"/>
        <w:rPr>
          <w:caps w:val="false"/>
          <w:smallCaps w:val="false"/>
        </w:rPr>
      </w:pPr>
      <w:r>
        <w:rPr>
          <w:caps w:val="false"/>
          <w:smallCaps w:val="false"/>
        </w:rPr>
        <w:t> </w:t>
      </w:r>
    </w:p>
    <w:tbl>
      <w:tblPr>
        <w:tblW w:w="1685" w:type="dxa"/>
        <w:jc w:val="center"/>
        <w:tblInd w:w="0" w:type="dxa"/>
        <w:tblLayout w:type="fixed"/>
        <w:tblCellMar>
          <w:top w:w="0" w:type="dxa"/>
          <w:left w:w="0" w:type="dxa"/>
          <w:bottom w:w="0" w:type="dxa"/>
          <w:right w:w="0" w:type="dxa"/>
        </w:tblCellMar>
      </w:tblPr>
      <w:tblGrid>
        <w:gridCol w:w="1610"/>
        <w:gridCol w:w="75"/>
      </w:tblGrid>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jc w:val="both"/>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8" w:name="tm249250d1_ex10-12.htm"/>
      <w:bookmarkStart w:id="49" w:name="kstm249250d1_ex1012"/>
      <w:bookmarkEnd w:id="48"/>
      <w:bookmarkEnd w:id="49"/>
      <w:r>
        <w:rPr/>
        <w:t> </w:t>
      </w:r>
      <w:r>
        <w:br w:type="page"/>
      </w:r>
    </w:p>
    <w:p>
      <w:pPr>
        <w:pStyle w:val="TextBody"/>
        <w:bidi w:val="0"/>
        <w:spacing w:before="0" w:after="0"/>
        <w:ind w:left="0" w:right="0" w:hanging="0"/>
        <w:jc w:val="right"/>
        <w:rPr>
          <w:b/>
        </w:rPr>
      </w:pPr>
      <w:r>
        <w:rPr>
          <w:b/>
        </w:rPr>
        <w:t>Exhibit 10.12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2,536,800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October 16, 2023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March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Metropolitan Offshore Partners Fund VII,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2,536,800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Amended and Restated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and to Section 7 of that certain Third Amended and Restated Fee Letter, dated October 10, 2023, among E La Carte, LLC, the Company and Metropolitan Partners Group Administration (the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Credit Agreement (as defined in the Fee Letter). This Warrant amends, restates and supersedes in its entirety (i) that certain Warrant for 317,100 shares of Common Stock issued by the Company to the Holder on October 16, 2023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(ii) that certain Warrant for 634,200 shares of Common Stock issued by the Company to the Holder on November 21, 2023 (the “</w:t>
      </w:r>
      <w:r>
        <w:rPr>
          <w:rFonts w:ascii="Times New Roman;Times;Serif" w:hAnsi="Times New Roman;Times;Serif"/>
          <w:b/>
          <w:i w:val="false"/>
          <w:caps w:val="false"/>
          <w:smallCaps w:val="false"/>
          <w:sz w:val="20"/>
        </w:rPr>
        <w:t>November 2023 Warrant</w:t>
      </w:r>
      <w:r>
        <w:rPr>
          <w:rFonts w:ascii="Times New Roman;Times;Serif" w:hAnsi="Times New Roman;Times;Serif"/>
          <w:b w:val="false"/>
          <w:i w:val="false"/>
          <w:caps w:val="false"/>
          <w:smallCaps w:val="false"/>
          <w:sz w:val="20"/>
        </w:rPr>
        <w:t>”), and (iii) that certain Warrant for 1,585,500 shares of Common Stock issued by the Company to the Holder on January 30, 2024 (the “</w:t>
      </w:r>
      <w:r>
        <w:rPr>
          <w:rFonts w:ascii="Times New Roman;Times;Serif" w:hAnsi="Times New Roman;Times;Serif"/>
          <w:b/>
          <w:i w:val="false"/>
          <w:caps w:val="false"/>
          <w:smallCaps w:val="false"/>
          <w:sz w:val="20"/>
        </w:rPr>
        <w:t>January 2024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0" w:right="0" w:firstLine="1800"/>
        <w:jc w:val="both"/>
        <w:rPr>
          <w:caps w:val="false"/>
          <w:smallCaps w:val="false"/>
        </w:rPr>
      </w:pPr>
      <w:r>
        <w:rPr>
          <w:caps w:val="false"/>
          <w:smallCaps w:val="false"/>
        </w:rPr>
        <w:t> </w:t>
      </w:r>
    </w:p>
    <w:tbl>
      <w:tblPr>
        <w:tblW w:w="3201" w:type="dxa"/>
        <w:jc w:val="left"/>
        <w:tblInd w:w="0" w:type="dxa"/>
        <w:tblLayout w:type="fixed"/>
        <w:tblCellMar>
          <w:top w:w="0" w:type="dxa"/>
          <w:left w:w="0" w:type="dxa"/>
          <w:bottom w:w="0" w:type="dxa"/>
          <w:right w:w="0" w:type="dxa"/>
        </w:tblCellMar>
      </w:tblPr>
      <w:tblGrid>
        <w:gridCol w:w="38"/>
        <w:gridCol w:w="23"/>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both"/>
              <w:rPr/>
            </w:pPr>
            <w:r>
              <w:rPr/>
              <w:t xml:space="preserve">Net Number = </w:t>
            </w:r>
            <w:r>
              <w:rPr>
                <w:u w:val="single"/>
              </w:rPr>
              <w:t>(A x B) - (A x C)</w:t>
              <w:br/>
            </w:r>
            <w:r>
              <w:rPr/>
              <w:t>                                     B</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144" w:right="0" w:firstLine="216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Times;Serif" w:hAnsi="Times New Roman;Times;Serif"/>
          <w:b/>
          <w:i w:val="false"/>
          <w:caps w:val="false"/>
          <w:smallCaps w:val="false"/>
          <w:sz w:val="20"/>
        </w:rPr>
        <w:t>Third Amendment Warrants</w:t>
      </w:r>
      <w:r>
        <w:rPr>
          <w:rFonts w:ascii="Times New Roman;Times;Serif" w:hAnsi="Times New Roman;Times;Serif"/>
          <w:b w:val="false"/>
          <w:i w:val="false"/>
          <w:caps w:val="false"/>
          <w:smallCaps w:val="false"/>
          <w:sz w:val="20"/>
        </w:rPr>
        <w:t>”), together with the total number of shares of Common Stock issued pursuant to Section 4.11 of the stock purchase agreement, dated October 10, 2023 (the “</w:t>
      </w:r>
      <w:r>
        <w:rPr>
          <w:rFonts w:ascii="Times New Roman;Times;Serif" w:hAnsi="Times New Roman;Times;Serif"/>
          <w:b/>
          <w:i w:val="false"/>
          <w:caps w:val="false"/>
          <w:smallCaps w:val="false"/>
          <w:sz w:val="20"/>
        </w:rPr>
        <w:t>Cleveland Avenue Purchase Agreement</w:t>
      </w:r>
      <w:r>
        <w:rPr>
          <w:rFonts w:ascii="Times New Roman;Times;Serif" w:hAnsi="Times New Roman;Times;Serif"/>
          <w:b w:val="false"/>
          <w:i w:val="false"/>
          <w:caps w:val="false"/>
          <w:smallCaps w:val="false"/>
          <w:sz w:val="20"/>
        </w:rPr>
        <w:t>”), by and between the Company and Presto CA LLC (“</w:t>
      </w:r>
      <w:r>
        <w:rPr>
          <w:rFonts w:ascii="Times New Roman;Times;Serif" w:hAnsi="Times New Roman;Times;Serif"/>
          <w:b/>
          <w:i w:val="false"/>
          <w:caps w:val="false"/>
          <w:smallCaps w:val="false"/>
          <w:sz w:val="20"/>
        </w:rPr>
        <w:t>Cleveland Avenue</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September 30,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$0.25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the January 2024 Warrant had an Applicable Price of $0.40 and the amendment and restatement is as of a result of a Dilutive Issuance with a $0.25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144" w:right="0" w:firstLine="216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144" w:right="0" w:firstLine="144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sz w:val="20"/>
        </w:rPr>
      </w:pPr>
      <w:r>
        <w:rPr>
          <w:b/>
          <w:sz w:val="20"/>
        </w:rPr>
        <w:t xml:space="preserve">IN WITNESS WHEREOF, </w:t>
      </w:r>
      <w:r>
        <w:rPr>
          <w:sz w:val="20"/>
        </w:rPr>
        <w:t>the Company has caused this Amended and Restated Warrant to Purchase Common Stock to be duly executed as of the Issuance Date set out above.</w:t>
      </w:r>
    </w:p>
    <w:p>
      <w:pPr>
        <w:pStyle w:val="TextBody"/>
        <w:bidi w:val="0"/>
        <w:spacing w:before="0" w:after="0"/>
        <w:ind w:left="0" w:right="0" w:firstLine="720"/>
        <w:jc w:val="both"/>
        <w:rPr/>
      </w:pPr>
      <w:r>
        <w:rPr/>
        <w:t> </w:t>
      </w:r>
    </w:p>
    <w:tbl>
      <w:tblPr>
        <w:tblW w:w="3205" w:type="dxa"/>
        <w:jc w:val="left"/>
        <w:tblInd w:w="0" w:type="dxa"/>
        <w:tblLayout w:type="fixed"/>
        <w:tblCellMar>
          <w:top w:w="0" w:type="dxa"/>
          <w:left w:w="0" w:type="dxa"/>
          <w:bottom w:w="0" w:type="dxa"/>
          <w:right w:w="0" w:type="dxa"/>
        </w:tblCellMar>
      </w:tblPr>
      <w:tblGrid>
        <w:gridCol w:w="75"/>
        <w:gridCol w:w="545"/>
        <w:gridCol w:w="2585"/>
      </w:tblGrid>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2C2C2C"/>
                <w:sz w:val="20"/>
              </w:rPr>
            </w:pPr>
            <w:r>
              <w:rPr>
                <w:rFonts w:ascii="Times New Roman;Times;Serif" w:hAnsi="Times New Roman;Times;Serif"/>
                <w:b/>
                <w:i w:val="false"/>
                <w:caps w:val="false"/>
                <w:smallCaps w:val="false"/>
                <w:color w:val="2C2C2C"/>
                <w:sz w:val="20"/>
              </w:rPr>
              <w:t>PRESTO AUTOMATION INC.</w:t>
            </w:r>
          </w:p>
        </w:tc>
      </w:tr>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caps w:val="false"/>
                <w:smallCaps w:val="false"/>
                <w:color w:val="2C2C2C"/>
              </w:rPr>
            </w:pPr>
            <w:r>
              <w:rPr>
                <w:caps w:val="false"/>
                <w:smallCaps w:val="false"/>
                <w:color w:val="2C2C2C"/>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By:</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/s/ 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Name: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Title: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C2C2C"/>
                <w:sz w:val="20"/>
              </w:rPr>
            </w:pPr>
            <w:r>
              <w:rPr>
                <w:rFonts w:ascii="Times New Roman;Times;Serif" w:hAnsi="Times New Roman;Times;Serif"/>
                <w:b w:val="false"/>
                <w:i w:val="false"/>
                <w:caps w:val="false"/>
                <w:smallCaps w:val="false"/>
                <w:color w:val="2C2C2C"/>
                <w:sz w:val="20"/>
              </w:rPr>
              <w:t>Interim Chief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________________ 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Amended and Restated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144" w:right="0" w:firstLine="792"/>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 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 _________________ Warrant Shares; and/or</w:t>
      </w:r>
    </w:p>
    <w:p>
      <w:pPr>
        <w:pStyle w:val="TextBody"/>
        <w:bidi w:val="0"/>
        <w:spacing w:before="0" w:after="0"/>
        <w:ind w:left="324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 ______________ Warrant Shares.</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 __________________ to the Company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 ____________________________ Warrant Shares in accordance with the terms of the Warrant.</w:t>
      </w:r>
    </w:p>
    <w:p>
      <w:pPr>
        <w:pStyle w:val="TextBody"/>
        <w:bidi w:val="0"/>
        <w:spacing w:before="0" w:after="0"/>
        <w:ind w:left="0" w:right="0" w:firstLine="792"/>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615"/>
        <w:gridCol w:w="1460"/>
        <w:gridCol w:w="75"/>
      </w:tblGrid>
      <w:tr>
        <w:trPr/>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Electronic Delivery</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265" w:type="dxa"/>
        <w:jc w:val="left"/>
        <w:tblInd w:w="0" w:type="dxa"/>
        <w:tblLayout w:type="fixed"/>
        <w:tblCellMar>
          <w:top w:w="0" w:type="dxa"/>
          <w:left w:w="0" w:type="dxa"/>
          <w:bottom w:w="0" w:type="dxa"/>
          <w:right w:w="0" w:type="dxa"/>
        </w:tblCellMar>
      </w:tblPr>
      <w:tblGrid>
        <w:gridCol w:w="2465"/>
        <w:gridCol w:w="725"/>
        <w:gridCol w:w="75"/>
      </w:tblGrid>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Physical Delivery</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936"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3485"/>
        <w:gridCol w:w="60"/>
        <w:gridCol w:w="75"/>
      </w:tblGrid>
      <w:tr>
        <w:trPr/>
        <w:tc>
          <w:tcPr>
            <w:tcW w:w="3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 ____, _________</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75" w:type="dxa"/>
        <w:jc w:val="left"/>
        <w:tblInd w:w="0" w:type="dxa"/>
        <w:tblLayout w:type="fixed"/>
        <w:tblCellMar>
          <w:top w:w="0" w:type="dxa"/>
          <w:left w:w="0" w:type="dxa"/>
          <w:bottom w:w="0" w:type="dxa"/>
          <w:right w:w="0" w:type="dxa"/>
        </w:tblCellMar>
      </w:tblPr>
      <w:tblGrid>
        <w:gridCol w:w="335"/>
        <w:gridCol w:w="545"/>
        <w:gridCol w:w="60"/>
        <w:gridCol w:w="6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504"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 _________________</w:t>
        <w:tab/>
        <w:t>from the Company and acknowledged and agreed to by [TRANSFER AGENT].</w:t>
      </w:r>
    </w:p>
    <w:p>
      <w:pPr>
        <w:pStyle w:val="TextBody"/>
        <w:bidi w:val="0"/>
        <w:spacing w:before="0" w:after="0"/>
        <w:ind w:left="0" w:right="0" w:firstLine="720"/>
        <w:jc w:val="both"/>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852"/>
        <w:gridCol w:w="1807"/>
      </w:tblGrid>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0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0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tbl>
      <w:tblPr>
        <w:tblW w:w="1505" w:type="dxa"/>
        <w:jc w:val="left"/>
        <w:tblInd w:w="0" w:type="dxa"/>
        <w:tblLayout w:type="fixed"/>
        <w:tblCellMar>
          <w:top w:w="0" w:type="dxa"/>
          <w:left w:w="0" w:type="dxa"/>
          <w:bottom w:w="28" w:type="dxa"/>
          <w:right w:w="0" w:type="dxa"/>
        </w:tblCellMar>
      </w:tblPr>
      <w:tblGrid>
        <w:gridCol w:w="75"/>
        <w:gridCol w:w="1430"/>
      </w:tblGrid>
      <w:tr>
        <w:trPr/>
        <w:tc>
          <w:tcPr>
            <w:tcW w:w="7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430" w:type="dxa"/>
            <w:tcBorders/>
            <w:tcMar>
              <w:bottom w:w="0" w:type="dxa"/>
            </w:tcMar>
            <w:vAlign w:val="center"/>
          </w:tcPr>
          <w:p>
            <w:pPr>
              <w:pStyle w:val="TableContents"/>
              <w:bidi w:val="0"/>
              <w:spacing w:before="0" w:after="283"/>
              <w:jc w:val="both"/>
              <w:rPr/>
            </w:pPr>
            <w:r>
              <w:rPr/>
              <w:t> </w:t>
            </w:r>
            <w:r>
              <w:rPr>
                <w:sz w:val="20"/>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44" w:right="0" w:firstLine="7344"/>
        <w:jc w:val="left"/>
        <w:rPr>
          <w:caps w:val="false"/>
          <w:smallCaps w:val="false"/>
        </w:rPr>
      </w:pPr>
      <w:r>
        <w:rPr>
          <w:caps w:val="false"/>
          <w:smallCaps w:val="false"/>
        </w:rPr>
        <w:t> </w:t>
      </w:r>
    </w:p>
    <w:tbl>
      <w:tblPr>
        <w:tblW w:w="4573" w:type="dxa"/>
        <w:jc w:val="left"/>
        <w:tblInd w:w="0" w:type="dxa"/>
        <w:tblLayout w:type="fixed"/>
        <w:tblCellMar>
          <w:top w:w="0" w:type="dxa"/>
          <w:left w:w="0" w:type="dxa"/>
          <w:bottom w:w="0" w:type="dxa"/>
          <w:right w:w="0" w:type="dxa"/>
        </w:tblCellMar>
      </w:tblPr>
      <w:tblGrid>
        <w:gridCol w:w="75"/>
        <w:gridCol w:w="23"/>
        <w:gridCol w:w="4400"/>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4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_____________________________, ______</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2030" w:type="dxa"/>
        <w:jc w:val="center"/>
        <w:tblInd w:w="0" w:type="dxa"/>
        <w:tblLayout w:type="fixed"/>
        <w:tblCellMar>
          <w:top w:w="0" w:type="dxa"/>
          <w:left w:w="0" w:type="dxa"/>
          <w:bottom w:w="0" w:type="dxa"/>
          <w:right w:w="0" w:type="dxa"/>
        </w:tblCellMar>
      </w:tblPr>
      <w:tblGrid>
        <w:gridCol w:w="1655"/>
        <w:gridCol w:w="375"/>
      </w:tblGrid>
      <w:tr>
        <w:trPr/>
        <w:tc>
          <w:tcPr>
            <w:tcW w:w="1655" w:type="dxa"/>
            <w:tcBorders/>
            <w:vAlign w:val="center"/>
          </w:tcPr>
          <w:p>
            <w:pPr>
              <w:pStyle w:val="TableContents"/>
              <w:bidi w:val="0"/>
              <w:spacing w:before="0" w:after="283"/>
              <w:jc w:val="left"/>
              <w:rPr>
                <w:sz w:val="20"/>
              </w:rPr>
            </w:pPr>
            <w:r>
              <w:rPr>
                <w:sz w:val="20"/>
              </w:rPr>
              <w:t>Holder’s Signature:</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Holder’s Address: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230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0"/>
        <w:ind w:left="144"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50" w:name="tm249250d1_ex10-13.htm"/>
      <w:bookmarkStart w:id="51" w:name="kstm249250d1_ex1013"/>
      <w:bookmarkEnd w:id="50"/>
      <w:bookmarkEnd w:id="51"/>
      <w:r>
        <w:rPr/>
        <w:t> </w:t>
      </w:r>
      <w:r>
        <w:br w:type="page"/>
      </w:r>
    </w:p>
    <w:p>
      <w:pPr>
        <w:pStyle w:val="TextBody"/>
        <w:bidi w:val="0"/>
        <w:jc w:val="right"/>
        <w:rPr>
          <w:b/>
        </w:rPr>
      </w:pPr>
      <w:r>
        <w:rPr>
          <w:b/>
        </w:rPr>
        <w:t>Exhibit 10.13</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w:t>
      </w:r>
    </w:p>
    <w:p>
      <w:pPr>
        <w:pStyle w:val="TextBody"/>
        <w:bidi w:val="0"/>
        <w:jc w:val="center"/>
        <w:rPr>
          <w:rFonts w:ascii="Times New Roman;Times;Serif" w:hAnsi="Times New Roman;Times;Serif"/>
          <w:b w:val="false"/>
          <w:i w:val="false"/>
          <w:smallCaps/>
          <w:sz w:val="20"/>
        </w:rPr>
      </w:pPr>
      <w:r>
        <w:rPr>
          <w:rFonts w:ascii="Times New Roman;Times;Serif" w:hAnsi="Times New Roman;Times;Serif"/>
          <w:b/>
          <w:i w:val="false"/>
          <w:caps/>
          <w:sz w:val="20"/>
        </w:rPr>
        <w:t>W</w:t>
      </w:r>
      <w:r>
        <w:rPr>
          <w:rFonts w:ascii="Times New Roman;Times;Serif" w:hAnsi="Times New Roman;Times;Serif"/>
          <w:b/>
          <w:i w:val="false"/>
          <w:smallCaps/>
          <w:sz w:val="20"/>
        </w:rPr>
        <w:t xml:space="preserve">arrant </w:t>
      </w:r>
      <w:r>
        <w:rPr>
          <w:rFonts w:ascii="Times New Roman;Times;Serif" w:hAnsi="Times New Roman;Times;Serif"/>
          <w:b/>
          <w:i w:val="false"/>
          <w:caps/>
          <w:sz w:val="20"/>
        </w:rPr>
        <w:t>T</w:t>
      </w:r>
      <w:r>
        <w:rPr>
          <w:rFonts w:ascii="Times New Roman;Times;Serif" w:hAnsi="Times New Roman;Times;Serif"/>
          <w:b/>
          <w:i w:val="false"/>
          <w:smallCaps/>
          <w:sz w:val="20"/>
        </w:rPr>
        <w:t xml:space="preserve">o </w:t>
      </w:r>
      <w:r>
        <w:rPr>
          <w:rFonts w:ascii="Times New Roman;Times;Serif" w:hAnsi="Times New Roman;Times;Serif"/>
          <w:b/>
          <w:i w:val="false"/>
          <w:caps/>
          <w:sz w:val="20"/>
        </w:rPr>
        <w:t>p</w:t>
      </w:r>
      <w:r>
        <w:rPr>
          <w:rFonts w:ascii="Times New Roman;Times;Serif" w:hAnsi="Times New Roman;Times;Serif"/>
          <w:b/>
          <w:i w:val="false"/>
          <w:smallCaps/>
          <w:sz w:val="20"/>
        </w:rPr>
        <w:t xml:space="preserve">urchase </w:t>
      </w:r>
      <w:r>
        <w:rPr>
          <w:rFonts w:ascii="Times New Roman;Times;Serif" w:hAnsi="Times New Roman;Times;Serif"/>
          <w:b/>
          <w:i w:val="false"/>
          <w:caps/>
          <w:sz w:val="20"/>
        </w:rPr>
        <w:t>C</w:t>
      </w:r>
      <w:r>
        <w:rPr>
          <w:rFonts w:ascii="Times New Roman;Times;Serif" w:hAnsi="Times New Roman;Times;Serif"/>
          <w:b/>
          <w:i w:val="false"/>
          <w:smallCaps/>
          <w:sz w:val="20"/>
        </w:rPr>
        <w:t xml:space="preserve">ommon </w:t>
      </w:r>
      <w:r>
        <w:rPr>
          <w:rFonts w:ascii="Times New Roman;Times;Serif" w:hAnsi="Times New Roman;Times;Serif"/>
          <w:b/>
          <w:i w:val="false"/>
          <w:caps/>
          <w:sz w:val="20"/>
        </w:rPr>
        <w:t>S</w:t>
      </w:r>
      <w:r>
        <w:rPr>
          <w:rFonts w:ascii="Times New Roman;Times;Serif" w:hAnsi="Times New Roman;Times;Serif"/>
          <w:b/>
          <w:i w:val="false"/>
          <w:smallCaps/>
          <w:sz w:val="20"/>
        </w:rPr>
        <w:t>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3,055,200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October 16, 2023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Amendment and Restatement: March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CEOF Holdings LP,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at any time or times on or after the Issuance Date, but not after 11:59 p.m., New York time, on the Expiration Date, (as defined below), 3,055,200 duly authorized, validly issued, fully paid, nonassessable shares of Common Stock, subject to adjustment as provided herein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Amended and Restated Warrant to Purchase Common Stock (including any Warrants to Purchase Common Stock issued in exchange, transfer or replacement hereof, this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shall have the meanings set forth in Section 17. The Original Warrant (as defined below) was issued pursuant to Section 3 of that certain Third Amendment to Credit Agreement, dated October 10, 2023, among E La Carte, LLC, the Company and Metropolitan Partners Group Administration, LLC, as agent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and to Section 7 of that certain Third Amended and Restated Fee Letter, dated October 10, 2023, among E La Carte, LLC, the Company and Metropolitan Partners Group Administration (the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Capitalized terms used herein and not otherwise defined shall have the definitions ascribed to such terms in the Credit Agreement (as defined in the Fee Letter). This Warrant amends, restates and supersedes in its entirety (i) that certain Warrant for 381,900 shares of Common Stock issued by the Company to the Holder on October 16, 2023 (the “</w:t>
      </w:r>
      <w:r>
        <w:rPr>
          <w:rFonts w:ascii="Times New Roman;Times;Serif" w:hAnsi="Times New Roman;Times;Serif"/>
          <w:b/>
          <w:i w:val="false"/>
          <w:caps w:val="false"/>
          <w:smallCaps w:val="false"/>
          <w:sz w:val="20"/>
        </w:rPr>
        <w:t>Original Warrant</w:t>
      </w:r>
      <w:r>
        <w:rPr>
          <w:rFonts w:ascii="Times New Roman;Times;Serif" w:hAnsi="Times New Roman;Times;Serif"/>
          <w:b w:val="false"/>
          <w:i w:val="false"/>
          <w:caps w:val="false"/>
          <w:smallCaps w:val="false"/>
          <w:sz w:val="20"/>
        </w:rPr>
        <w:t>”), (ii) that certain Warrant for 763,800 shares of Common Stock issued by the Company to the Holder on November 21, 2023 (the “</w:t>
      </w:r>
      <w:r>
        <w:rPr>
          <w:rFonts w:ascii="Times New Roman;Times;Serif" w:hAnsi="Times New Roman;Times;Serif"/>
          <w:b/>
          <w:i w:val="false"/>
          <w:caps w:val="false"/>
          <w:smallCaps w:val="false"/>
          <w:sz w:val="20"/>
        </w:rPr>
        <w:t>November 2023 Warrant</w:t>
      </w:r>
      <w:r>
        <w:rPr>
          <w:rFonts w:ascii="Times New Roman;Times;Serif" w:hAnsi="Times New Roman;Times;Serif"/>
          <w:b w:val="false"/>
          <w:i w:val="false"/>
          <w:caps w:val="false"/>
          <w:smallCaps w:val="false"/>
          <w:sz w:val="20"/>
        </w:rPr>
        <w:t>”), and (iii) that certain Warrant for 1,909,500 shares of Common Stock issued by the Company to the Holder on January 30, 2024 (the “</w:t>
      </w:r>
      <w:r>
        <w:rPr>
          <w:rFonts w:ascii="Times New Roman;Times;Serif" w:hAnsi="Times New Roman;Times;Serif"/>
          <w:b/>
          <w:i w:val="false"/>
          <w:caps w:val="false"/>
          <w:smallCaps w:val="false"/>
          <w:sz w:val="20"/>
        </w:rPr>
        <w:t>January 2024 Warrant</w:t>
      </w:r>
      <w:r>
        <w:rPr>
          <w:rFonts w:ascii="Times New Roman;Times;Serif" w:hAnsi="Times New Roman;Times;Serif"/>
          <w:b w:val="false"/>
          <w:i w:val="false"/>
          <w:caps w:val="false"/>
          <w:smallCaps w:val="false"/>
          <w:sz w:val="20"/>
        </w:rPr>
        <w:t>”).</w:t>
      </w:r>
    </w:p>
    <w:p>
      <w:pPr>
        <w:pStyle w:val="TextBody"/>
        <w:bidi w:val="0"/>
        <w:spacing w:before="0" w:after="0"/>
        <w:ind w:left="360" w:right="360" w:firstLine="1440"/>
        <w:jc w:val="both"/>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360" w:right="360" w:firstLine="144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OF WARRANT.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and (ii) (A) payment to the Company of an amount equal to the applicable Exercise Price multiplied by the number of Warrant Shares as to which this Warrant is being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On or before the third (3rd) Trading Day following the date on which the Company has received the Exercise Notice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144" w:right="144" w:firstLine="216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$0.01, subject to adjustment as provided herein.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pStyle w:val="TextBody"/>
        <w:bidi w:val="0"/>
        <w:spacing w:before="0" w:after="0"/>
        <w:ind w:left="144" w:right="144" w:firstLine="21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Number = </w:t>
      </w:r>
      <w:r>
        <w:rPr>
          <w:rFonts w:ascii="Times New Roman;Times;Serif" w:hAnsi="Times New Roman;Times;Serif"/>
          <w:b w:val="false"/>
          <w:i w:val="false"/>
          <w:caps w:val="false"/>
          <w:smallCaps w:val="false"/>
          <w:sz w:val="20"/>
          <w:u w:val="single"/>
        </w:rPr>
        <w:t xml:space="preserve">(A x B) - (A x C)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584" w:right="0" w:hanging="0"/>
        <w:jc w:val="left"/>
        <w:rPr>
          <w:caps w:val="false"/>
          <w:smallCaps w:val="false"/>
        </w:rPr>
      </w:pPr>
      <w:r>
        <w:rPr>
          <w:caps w:val="false"/>
          <w:smallCaps w:val="false"/>
        </w:rPr>
        <w:t> </w:t>
      </w:r>
    </w:p>
    <w:p>
      <w:pPr>
        <w:pStyle w:val="TextBody"/>
        <w:bidi w:val="0"/>
        <w:spacing w:before="0" w:after="0"/>
        <w:ind w:left="158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pStyle w:val="TextBody"/>
        <w:bidi w:val="0"/>
        <w:spacing w:before="0" w:after="0"/>
        <w:ind w:left="1584" w:right="144" w:hanging="0"/>
        <w:jc w:val="both"/>
        <w:rPr>
          <w:caps w:val="false"/>
          <w:smallCaps w:val="false"/>
        </w:rPr>
      </w:pPr>
      <w:r>
        <w:rPr>
          <w:caps w:val="false"/>
          <w:smallCaps w:val="false"/>
        </w:rPr>
        <w:t> </w:t>
      </w:r>
    </w:p>
    <w:p>
      <w:pPr>
        <w:pStyle w:val="TextBody"/>
        <w:bidi w:val="0"/>
        <w:spacing w:before="0" w:after="0"/>
        <w:ind w:left="158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1584" w:right="144"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pStyle w:val="TextBody"/>
        <w:bidi w:val="0"/>
        <w:spacing w:before="0" w:after="0"/>
        <w:ind w:left="144" w:right="144" w:firstLine="21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Limitations on Exercises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 Notwithstanding anything to the contrary contained herein, the Holder and the Company agree that the total number of shares of Common Stock issuable pursuant to the terms of this Warrant and the other warrants issued in connection with the Third Amendment (together with this Warrant, the “</w:t>
      </w:r>
      <w:r>
        <w:rPr>
          <w:rFonts w:ascii="Times New Roman;Times;Serif" w:hAnsi="Times New Roman;Times;Serif"/>
          <w:b/>
          <w:i w:val="false"/>
          <w:caps w:val="false"/>
          <w:smallCaps w:val="false"/>
          <w:sz w:val="20"/>
        </w:rPr>
        <w:t>Third Amendment Warrants</w:t>
      </w:r>
      <w:r>
        <w:rPr>
          <w:rFonts w:ascii="Times New Roman;Times;Serif" w:hAnsi="Times New Roman;Times;Serif"/>
          <w:b w:val="false"/>
          <w:i w:val="false"/>
          <w:caps w:val="false"/>
          <w:smallCaps w:val="false"/>
          <w:sz w:val="20"/>
        </w:rPr>
        <w:t>”), together with the total number of shares of Common Stock issued pursuant to Section 4.11 of the stock purchase agreement, dated October 10, 2023 (the “</w:t>
      </w:r>
      <w:r>
        <w:rPr>
          <w:rFonts w:ascii="Times New Roman;Times;Serif" w:hAnsi="Times New Roman;Times;Serif"/>
          <w:b/>
          <w:i w:val="false"/>
          <w:caps w:val="false"/>
          <w:smallCaps w:val="false"/>
          <w:sz w:val="20"/>
        </w:rPr>
        <w:t>Cleveland Avenue Purchase Agreement</w:t>
      </w:r>
      <w:r>
        <w:rPr>
          <w:rFonts w:ascii="Times New Roman;Times;Serif" w:hAnsi="Times New Roman;Times;Serif"/>
          <w:b w:val="false"/>
          <w:i w:val="false"/>
          <w:caps w:val="false"/>
          <w:smallCaps w:val="false"/>
          <w:sz w:val="20"/>
        </w:rPr>
        <w:t>”), by and between the Company and Presto CA LLC (“</w:t>
      </w:r>
      <w:r>
        <w:rPr>
          <w:rFonts w:ascii="Times New Roman;Times;Serif" w:hAnsi="Times New Roman;Times;Serif"/>
          <w:b/>
          <w:i w:val="false"/>
          <w:caps w:val="false"/>
          <w:smallCaps w:val="false"/>
          <w:sz w:val="20"/>
        </w:rPr>
        <w:t>Cleveland Avenue</w:t>
      </w:r>
      <w:r>
        <w:rPr>
          <w:rFonts w:ascii="Times New Roman;Times;Serif" w:hAnsi="Times New Roman;Times;Serif"/>
          <w:b w:val="false"/>
          <w:i w:val="false"/>
          <w:caps w:val="false"/>
          <w:smallCaps w:val="false"/>
          <w:sz w:val="20"/>
        </w:rPr>
        <w:t>”), may not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issued to the holders of the Third Amendment Warrants and Cleveland Avenue reaches the Nasdaq 19.99% Cap, so as not to violate the 20% limit established in Listing Rule 5635(d), the Company shall as soon as reasonably practicable take all action necessary to obtain stockholder approval of the issuance of additional shares of Common Stock issuable upon the exercise of the Third Amendment Warrants and pursuant to the terms of the Cleveland Avenue Purchase Agreement, if necessary,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seventy-five (75) days after such occurrence, the Company shall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increases to the Warrant Shares pursuant to Section 2(b) hereof and (ii) issuances of Common Stock pursuant to Section 4.11 of the Cleveland Avenue Purchase Agreement shall be made between (x) the holders of the Third Amendment Warrants, and (y) Cleveland Avenue as nearly as possible on a pro rata basis based on the total amount of shares of Common Stock issued or issuable to such party (i.e. at any given time, the amount of Third Amendment Warrants (without regard to the Maximum Percentage limitation herein, but subject to the Nasdaq 19.99% Cap) which may be exercised is equal to two (2) times the sum of (i) the shares of Common Stock originally issued pursuant to the Cleveland Avenue Purchase Agreement and (ii) the shares issued pursuant to Section 4.11 thereof).</w:t>
      </w:r>
    </w:p>
    <w:p>
      <w:pPr>
        <w:pStyle w:val="TextBody"/>
        <w:bidi w:val="0"/>
        <w:spacing w:before="0" w:after="0"/>
        <w:ind w:left="144" w:right="144" w:firstLine="21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and the failure to have such sufficient number of authorized and unreserved shares of Common Stock,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pStyle w:val="TextBody"/>
        <w:bidi w:val="0"/>
        <w:spacing w:before="0" w:after="0"/>
        <w:ind w:left="144" w:right="144" w:firstLine="21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the number of Warrant Shares issuable upon exercise of this Warrant are subject to adjustments from time to time as set forth in this Section 2.</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Upon Subdivision or Combination of Shares of Common Stock</w:t>
      </w:r>
      <w:r>
        <w:rPr>
          <w:rFonts w:ascii="Times New Roman;Times;Serif" w:hAnsi="Times New Roman;Times;Serif"/>
          <w:b w:val="false"/>
          <w:i w:val="false"/>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under this Section 2(a) shall become effective at the close of business on the date the subdivision or combination becomes effective. Corresponding adjustments shall be made to the Applicable Price (as defined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Upon Issuance of Shares of Common Stock</w:t>
      </w:r>
      <w:r>
        <w:rPr>
          <w:rFonts w:ascii="Times New Roman;Times;Serif" w:hAnsi="Times New Roman;Times;Serif"/>
          <w:b w:val="false"/>
          <w:i w:val="false"/>
          <w:caps w:val="false"/>
          <w:smallCaps w:val="false"/>
          <w:sz w:val="20"/>
        </w:rPr>
        <w:t>. If and whenever on or after the Issuance Date but prior to September 30, 2024 (the “</w:t>
      </w:r>
      <w:r>
        <w:rPr>
          <w:rFonts w:ascii="Times New Roman;Times;Serif" w:hAnsi="Times New Roman;Times;Serif"/>
          <w:b/>
          <w:i w:val="false"/>
          <w:caps w:val="false"/>
          <w:smallCaps w:val="false"/>
          <w:sz w:val="20"/>
        </w:rPr>
        <w:t>Anti-Dilution Period</w:t>
      </w:r>
      <w:r>
        <w:rPr>
          <w:rFonts w:ascii="Times New Roman;Times;Serif" w:hAnsi="Times New Roman;Times;Serif"/>
          <w:b w:val="false"/>
          <w:i w:val="false"/>
          <w:caps w:val="false"/>
          <w:smallCaps w:val="false"/>
          <w:sz w:val="20"/>
        </w:rPr>
        <w:t>”), the Company issues or sells, or in accordance with this Section 2 is deemed to have issued or sold, any shares of Common Stock (including the issuance or sale of shares of Common Stock owned or held by or for the account of the Company, but excluding Excluded Securities)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$0.25 per share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and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number of Warrant Shares shall be increased to an amount equal to (x) the number of Warrant Shares prior to such Dilutive Issuance, multiplied by (y) the quotient of the Applicable Price divided by the New Issuance Price. The Company and Holder acknowledge and agree that the Original Warrant had an Applicable Price of $2.00 per share, the November 2023 Warrant had an Applicable Price of $1.00 per share, the January 2024 Warrant had an Applicable Price of $0.40 and the amendment and restatement is as of a result of a Dilutive Issuance with a $0.25 per share New Issuance Price. For all purposes of the foregoing (including, without limitation, determining the adjusted number of Warrant Shares and the New Issuance Price under this Section 2(b)), the following shall be applicable: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Anti-Dilution Period, the Company in any manner grants or sells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increase in the Warrant Shares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0"/>
        <w:ind w:left="144" w:right="144"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Anti-Dilution Period, the Company in any manner issues or sells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increase of the Warrant Shares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increase of the Warrant Shares shall be made by reason of such issuance or sale.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 the number of Warrant Shares in effect at the time of such increase or decrease shall be increased to the number of Warrant Shares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 decrease of the number of Warrant Shares.</w:t>
      </w:r>
    </w:p>
    <w:p>
      <w:pPr>
        <w:pStyle w:val="TextBody"/>
        <w:bidi w:val="0"/>
        <w:spacing w:before="0" w:after="0"/>
        <w:ind w:left="144" w:right="144" w:firstLine="2592"/>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p>
      <w:pPr>
        <w:pStyle w:val="TextBody"/>
        <w:bidi w:val="0"/>
        <w:spacing w:before="0" w:after="0"/>
        <w:ind w:left="0" w:right="0" w:hanging="0"/>
        <w:jc w:val="left"/>
        <w:rPr/>
      </w:pPr>
      <w:r>
        <w:rPr/>
        <w:t> </w:t>
      </w:r>
    </w:p>
    <w:p>
      <w:pPr>
        <w:pStyle w:val="TextBody"/>
        <w:bidi w:val="0"/>
        <w:spacing w:before="0" w:after="0"/>
        <w:ind w:left="144" w:right="144" w:firstLine="2592"/>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2(b)(i), 2(b)(ii) or 2(b)(iii) above and (z) the quotient of (I) the sum of the three (3) lowest VWAPs of the Common Stock during the five (5) Trading Day period immediately following the public announcement of such Dilutive Issuance, divided by (II) three (3)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10 days after the occurrence of an event requiring valuation (the “Valuation Event”), the fair value of such consideration will be determined within five Trading Days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144" w:right="144" w:firstLine="2664"/>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144" w:right="144" w:firstLine="2664"/>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 Value</w:t>
      </w:r>
      <w:r>
        <w:rPr>
          <w:rFonts w:ascii="Times New Roman;Times;Serif" w:hAnsi="Times New Roman;Times;Serif"/>
          <w:b w:val="false"/>
          <w:i w:val="false"/>
          <w:caps w:val="false"/>
          <w:smallCaps w:val="false"/>
          <w:sz w:val="20"/>
        </w:rPr>
        <w:t>. Notwithstanding anything to the contrary in this Warrant, in no event shall the Exercise Price be reduced below the par value of the Company’s Common Stock.</w:t>
      </w:r>
    </w:p>
    <w:p>
      <w:pPr>
        <w:pStyle w:val="TextBody"/>
        <w:bidi w:val="0"/>
        <w:spacing w:before="0" w:after="0"/>
        <w:ind w:left="144" w:right="144" w:firstLine="21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144" w:right="144"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p>
      <w:pPr>
        <w:pStyle w:val="TextBody"/>
        <w:bidi w:val="0"/>
        <w:spacing w:before="0" w:after="0"/>
        <w:ind w:left="0" w:right="0" w:hanging="0"/>
        <w:jc w:val="left"/>
        <w:rPr/>
      </w:pPr>
      <w:r>
        <w:rPr/>
        <w:t> </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Times New Roman;Times;Serif" w:hAnsi="Times New Roman;Times;Serif"/>
          <w:b/>
          <w:i w:val="false"/>
          <w:caps w:val="false"/>
          <w:smallCaps w:val="false"/>
          <w:sz w:val="20"/>
        </w:rPr>
        <w:t>Public Fundamental Transaction</w:t>
      </w:r>
      <w:r>
        <w:rPr>
          <w:rFonts w:ascii="Times New Roman;Times;Serif" w:hAnsi="Times New Roman;Times;Serif"/>
          <w:b w:val="false"/>
          <w:i w:val="false"/>
          <w:caps w:val="false"/>
          <w:smallCaps w:val="false"/>
          <w:sz w:val="20"/>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pStyle w:val="TextBody"/>
        <w:bidi w:val="0"/>
        <w:spacing w:before="0" w:after="0"/>
        <w:ind w:left="144" w:right="144" w:firstLine="28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144" w:right="144"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p>
      <w:pPr>
        <w:pStyle w:val="TextBody"/>
        <w:bidi w:val="0"/>
        <w:spacing w:before="0" w:after="0"/>
        <w:ind w:left="0" w:right="0" w:hanging="0"/>
        <w:jc w:val="left"/>
        <w:rPr/>
      </w:pPr>
      <w:r>
        <w:rPr/>
        <w:t> </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 Optional Redemptions</w:t>
      </w:r>
      <w:r>
        <w:rPr>
          <w:rFonts w:ascii="Times New Roman;Times;Serif" w:hAnsi="Times New Roman;Times;Serif"/>
          <w:b w:val="false"/>
          <w:i w:val="false"/>
          <w:caps w:val="false"/>
          <w:smallCaps w:val="false"/>
          <w:sz w:val="20"/>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144" w:right="144"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pStyle w:val="TextBody"/>
        <w:bidi w:val="0"/>
        <w:spacing w:before="0" w:after="0"/>
        <w:ind w:left="144" w:right="144"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p>
      <w:pPr>
        <w:pStyle w:val="TextBody"/>
        <w:bidi w:val="0"/>
        <w:spacing w:before="0" w:after="0"/>
        <w:ind w:left="0" w:right="0" w:hanging="0"/>
        <w:jc w:val="left"/>
        <w:rPr/>
      </w:pPr>
      <w:r>
        <w:rPr/>
        <w:t> </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pStyle w:val="TextBody"/>
        <w:bidi w:val="0"/>
        <w:spacing w:before="0" w:after="0"/>
        <w:ind w:left="144" w:right="144"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144"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warrants for fractional shares of Common Stock shall be given.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AND THE HOLDER EACH IRREVOCABLY WAIVES ANY RIGHT IT MAY HAVE, AND AGREES NOT TO REQUEST, A JURY TRIAL FOR THE ADJUDICATION OF ANY DISPUTE HEREUNDER OR IN CONNECTION WITH OR ARISING OUT OF THIS WARRANT OR ANY TRANSACTION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CONSTRUCTION; HEADINGS; BUSINESS DAYS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REMEDIES,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NO DISCLOSURE</w:t>
      </w:r>
      <w:r>
        <w:rPr>
          <w:rFonts w:ascii="Times New Roman;Times;Serif" w:hAnsi="Times New Roman;Times;Serif"/>
          <w:b w:val="false"/>
          <w:i w:val="false"/>
          <w:caps w:val="false"/>
          <w:smallCaps w:val="false"/>
          <w:sz w:val="20"/>
        </w:rPr>
        <w:t>. The Company shall not provide material, non-public information or confidential or proprietary information to the                                          Holder without such Holder’s written consent.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REPRESENTATIONS OF HOLDERS</w:t>
      </w:r>
      <w:r>
        <w:rPr>
          <w:rFonts w:ascii="Times New Roman;Times;Serif" w:hAnsi="Times New Roman;Times;Serif"/>
          <w:b w:val="false"/>
          <w:i w:val="false"/>
          <w:caps w:val="false"/>
          <w:smallCaps w:val="false"/>
          <w:sz w:val="20"/>
        </w:rPr>
        <w:t>.</w:t>
      </w:r>
    </w:p>
    <w:p>
      <w:pPr>
        <w:pStyle w:val="TextBody"/>
        <w:bidi w:val="0"/>
        <w:spacing w:before="0" w:after="0"/>
        <w:ind w:left="144" w:right="0" w:firstLine="1512"/>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Each Holder represents and warrants that it is acquiring this Warrant and the Warrant Shares (collectively,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solely for its beneficial account, for investment purposes, and not with a view to, or for resale in connection with, any distribution of the Securities in violation of applicable securities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Unregistered Securities</w:t>
      </w:r>
      <w:r>
        <w:rPr>
          <w:rFonts w:ascii="Times New Roman;Times;Serif" w:hAnsi="Times New Roman;Times;Serif"/>
          <w:b w:val="false"/>
          <w:i w:val="false"/>
          <w:caps w:val="false"/>
          <w:smallCaps w:val="false"/>
          <w:sz w:val="20"/>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Each Holder represents and warrants that it is an “accredited investor” as defined in Rule 501(a)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Sophisticated Investor</w:t>
      </w:r>
      <w:r>
        <w:rPr>
          <w:rFonts w:ascii="Times New Roman;Times;Serif" w:hAnsi="Times New Roman;Times;Serif"/>
          <w:b w:val="false"/>
          <w:i w:val="false"/>
          <w:caps w:val="false"/>
          <w:smallCaps w:val="false"/>
          <w:sz w:val="20"/>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Non-Reliance</w:t>
      </w:r>
      <w:r>
        <w:rPr>
          <w:rFonts w:ascii="Times New Roman;Times;Serif" w:hAnsi="Times New Roman;Times;Serif"/>
          <w:b w:val="false"/>
          <w:i w:val="false"/>
          <w:caps w:val="false"/>
          <w:smallCaps w:val="false"/>
          <w:sz w:val="20"/>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The Company represents and warrants to the Holder that, except as set forth in the SEC Reports (as defined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has not been issued in violation of any preemptive rights created under the Company’s organizational documents or the laws of the State of Delaware.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The Company’s Annual Report on Form 10-K for the fiscal year ended June 30, 2023 (the “</w:t>
      </w:r>
      <w:r>
        <w:rPr>
          <w:rFonts w:ascii="Times New Roman;Times;Serif" w:hAnsi="Times New Roman;Times;Serif"/>
          <w:b/>
          <w:i w:val="false"/>
          <w:caps w:val="false"/>
          <w:smallCaps w:val="false"/>
          <w:sz w:val="20"/>
        </w:rPr>
        <w:t>2023 Form 10-K</w:t>
      </w:r>
      <w:r>
        <w:rPr>
          <w:rFonts w:ascii="Times New Roman;Times;Serif" w:hAnsi="Times New Roman;Times;Serif"/>
          <w:b w:val="false"/>
          <w:i w:val="false"/>
          <w:caps w:val="false"/>
          <w:smallCaps w:val="false"/>
          <w:sz w:val="20"/>
        </w:rPr>
        <w:t>”) complies in all material respects with the requirements of the Securities Act and the Exchange Act, as applicable, and the 2023 Form 10-K does not contain any untrue statement of a material fact or omit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Such financial statements have been prepared in all material respects in accordance with United States generally accepted accounting principles applied on a consistent basis during the periods involved (“</w:t>
      </w:r>
      <w:r>
        <w:rPr>
          <w:rFonts w:ascii="Times New Roman;Times;Serif" w:hAnsi="Times New Roman;Times;Serif"/>
          <w:b/>
          <w:i/>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Black Scholes Going Private Value</w:t>
      </w:r>
      <w:r>
        <w:rPr>
          <w:rFonts w:ascii="Times New Roman;Times;Serif" w:hAnsi="Times New Roman;Times;Serif"/>
          <w:b w:val="false"/>
          <w:i w:val="false"/>
          <w:caps w:val="false"/>
          <w:smallCaps w:val="false"/>
          <w:sz w:val="20"/>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4680" w:right="0" w:hanging="2304"/>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p>
      <w:pPr>
        <w:pStyle w:val="TextBody"/>
        <w:bidi w:val="0"/>
        <w:spacing w:before="0" w:after="0"/>
        <w:ind w:left="0" w:right="0" w:hanging="0"/>
        <w:jc w:val="left"/>
        <w:rPr/>
      </w:pPr>
      <w:r>
        <w:rPr/>
        <w:t> </w:t>
      </w:r>
    </w:p>
    <w:p>
      <w:pPr>
        <w:pStyle w:val="TextBody"/>
        <w:bidi w:val="0"/>
        <w:spacing w:before="0" w:after="0"/>
        <w:ind w:left="4680" w:right="0" w:hanging="2304"/>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share capital into which such common stock shall have been changed or any share capital resulting from a reclassification of such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Nasdaq Capital Market, The Nasdaq Global Select Market, The Nasdaq Global Market, the NYSE American, or The New York Stock Exchange.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without duplication, (i) shares of Common Stock or standard options to purchase Common Stock issued to directors, officers or employees of the Company for services rendered to the Company in their capacity as such pursuant to an Approved Stock Plan,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of this Warrant; (ii) shares of Common Stock issued upon the conversion or exercise of Convertible Securities (other than standard options to purchase Common Stock issued pursuant to an Approved Stock Plan that are covered by clause (i) above) outstanding prior to the Issuance Date, provided that the conversion price of any such Convertible Securities (other than standard options to purchase Common Stock issued pursuant to an Approved Stock Plan that are covered by clause (i) above) is not lowered, none of such Convertible Securities (other than standard options to purchase Common Stock issued pursuant to an Approved Stock Plan that are covered by clause (i) above) are amended to increase the number of shares issuable thereunder and none of the terms or conditions of any such Convertible Securities (other than standard options to purchase Common Stock issued pursuant to an Approved Stock Plan that are covered by clause (i) above) are otherwise materially changed in any manner that adversely affects any of the Holders; and (iii) the shares of Common Stock issuable upon exercise of (A) warrants to purchase 400,000 shares of Common Stock, with an exercise price of $0.01 per share, issued to Metropolitan Levered Partners Fund VII, LP, Metropolitan Partners Fund VII, LP, Metropolitan Offshore Partners Fund VII, LP and CEOF Holdings LP (the “</w:t>
      </w:r>
      <w:r>
        <w:rPr>
          <w:rFonts w:ascii="Times New Roman;Times;Serif" w:hAnsi="Times New Roman;Times;Serif"/>
          <w:b/>
          <w:i w:val="false"/>
          <w:caps w:val="false"/>
          <w:smallCaps w:val="false"/>
          <w:sz w:val="20"/>
        </w:rPr>
        <w:t>Metropolitan Entities</w:t>
      </w:r>
      <w:r>
        <w:rPr>
          <w:rFonts w:ascii="Times New Roman;Times;Serif" w:hAnsi="Times New Roman;Times;Serif"/>
          <w:b w:val="false"/>
          <w:i w:val="false"/>
          <w:caps w:val="false"/>
          <w:smallCaps w:val="false"/>
          <w:sz w:val="20"/>
        </w:rPr>
        <w:t>”), (B) warrants to purchase 500,000 shares of Common Stock, with an exercise price of $0.01 per share, issued to the Metropolitan Entities, (C) warrants to purchase 2,000,000 shares of Common Stock, with an exercise price of $0.01 per share, issued to the Metropolitan Entities, (D) warrants to purchase 25,000 shares of Common Stock, with an exercise price of $0.01 per share, issued to Metropolitan Levered Partners Fund VII, LP, Metropolitan Partners Fund VII, LP, Metropolitan Offshore Partners Fund VII, LP and CEOF Holdings LP, (E) this Warrant and any other warrant issued to the Metropolitan Entities in connection with the Third Amendment and (F) any warrant issued to the Metropolitan Entities in connection with the Forbearance and Fourth Amendment to Credit Agreement, dated as of January 22, 2024, by and among the Company, Metropolitan Partners Group Administration, LLC, a Delaware limited liability corporation, in its capacity as administrative agent and collateral agent under the Credit Agreement, and the Metropolitan Entities.</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the five (5) year anniversary of the Issuance Date or, if such date falls on a day other than a Trading Day or on which trading does not take place on the Principal Market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OTC Bulletin Board or any other Eligible Market, or any national securities exchange, market or trading or quotation facility on which the Common Stock is then listed or quoted.</w:t>
      </w:r>
    </w:p>
    <w:p>
      <w:pPr>
        <w:pStyle w:val="TextBody"/>
        <w:bidi w:val="0"/>
        <w:spacing w:before="0" w:after="0"/>
        <w:ind w:left="144"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Amended and Restated Warrant to Purchase Common Stock to be duly executed as of the Issuance Date set out above.</w:t>
      </w:r>
    </w:p>
    <w:p>
      <w:pPr>
        <w:pStyle w:val="TextBody"/>
        <w:bidi w:val="0"/>
        <w:spacing w:before="0" w:after="0"/>
        <w:ind w:left="0" w:right="0" w:firstLine="144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676"/>
        <w:gridCol w:w="2688"/>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rPr>
            </w:pPr>
            <w:r>
              <w:rPr>
                <w:b/>
              </w:rPr>
              <w:t>PRESTO AUTOMATION INC.</w:t>
            </w:r>
          </w:p>
        </w:tc>
      </w:tr>
      <w:tr>
        <w:trPr/>
        <w:tc>
          <w:tcPr>
            <w:tcW w:w="75"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26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By:</w:t>
            </w:r>
          </w:p>
        </w:tc>
        <w:tc>
          <w:tcPr>
            <w:tcW w:w="2688" w:type="dxa"/>
            <w:tcBorders>
              <w:bottom w:val="single" w:sz="2" w:space="0" w:color="000000"/>
            </w:tcBorders>
            <w:tcMar>
              <w:bottom w:w="28" w:type="dxa"/>
            </w:tcMar>
            <w:vAlign w:val="center"/>
          </w:tcPr>
          <w:p>
            <w:pPr>
              <w:pStyle w:val="TableContents"/>
              <w:bidi w:val="0"/>
              <w:spacing w:before="0" w:after="283"/>
              <w:jc w:val="left"/>
              <w:rPr/>
            </w:pPr>
            <w:r>
              <w:rPr/>
              <w:t>/s/ Guillaume Lefevre</w:t>
            </w:r>
          </w:p>
        </w:tc>
      </w:tr>
      <w:tr>
        <w:trPr/>
        <w:tc>
          <w:tcPr>
            <w:tcW w:w="75"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Name:</w:t>
            </w:r>
          </w:p>
        </w:tc>
        <w:tc>
          <w:tcPr>
            <w:tcW w:w="2688" w:type="dxa"/>
            <w:tcBorders/>
            <w:vAlign w:val="center"/>
          </w:tcPr>
          <w:p>
            <w:pPr>
              <w:pStyle w:val="TableContents"/>
              <w:bidi w:val="0"/>
              <w:spacing w:before="0" w:after="283"/>
              <w:jc w:val="both"/>
              <w:rPr>
                <w:sz w:val="20"/>
              </w:rPr>
            </w:pPr>
            <w:r>
              <w:rPr>
                <w:sz w:val="20"/>
              </w:rPr>
              <w:t>Guillaume Lefevre</w:t>
            </w:r>
          </w:p>
        </w:tc>
      </w:tr>
      <w:tr>
        <w:trPr/>
        <w:tc>
          <w:tcPr>
            <w:tcW w:w="75"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Title:</w:t>
            </w:r>
          </w:p>
        </w:tc>
        <w:tc>
          <w:tcPr>
            <w:tcW w:w="2688" w:type="dxa"/>
            <w:tcBorders/>
            <w:vAlign w:val="center"/>
          </w:tcPr>
          <w:p>
            <w:pPr>
              <w:pStyle w:val="TableContents"/>
              <w:bidi w:val="0"/>
              <w:spacing w:before="0" w:after="283"/>
              <w:jc w:val="both"/>
              <w:rPr>
                <w:sz w:val="20"/>
              </w:rPr>
            </w:pPr>
            <w:r>
              <w:rPr>
                <w:sz w:val="20"/>
              </w:rPr>
              <w:t>Interim Chief Executive Officer</w:t>
            </w:r>
          </w:p>
        </w:tc>
      </w:tr>
    </w:tbl>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08" w:right="108"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b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________________</w:t>
        <w:tab/>
        <w:t>of the shares of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the attached Amended and Restated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936"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_________________a “</w:t>
      </w:r>
      <w:r>
        <w:rPr>
          <w:rFonts w:ascii="Times New Roman;Times;Serif" w:hAnsi="Times New Roman;Times;Serif"/>
          <w:b w:val="false"/>
          <w:i w:val="false"/>
          <w:caps w:val="false"/>
          <w:smallCaps w:val="false"/>
          <w:sz w:val="20"/>
          <w:u w:val="single"/>
        </w:rPr>
        <w:t>Cash Exercise</w:t>
      </w:r>
      <w:r>
        <w:rPr>
          <w:rFonts w:ascii="Times New Roman;Times;Serif" w:hAnsi="Times New Roman;Times;Serif"/>
          <w:b w:val="false"/>
          <w:i w:val="false"/>
          <w:caps w:val="false"/>
          <w:smallCaps w:val="false"/>
          <w:sz w:val="20"/>
        </w:rPr>
        <w:t>” with respect to _________________ Warrant Shares; and/or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with respect to ______________ Warrant Shares.</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$__________________ to the Company in accordance with the terms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the holder ____________________ Warrant Shares in accordance with the terms of the Warrant.</w:t>
      </w:r>
    </w:p>
    <w:p>
      <w:pPr>
        <w:pStyle w:val="TextBody"/>
        <w:bidi w:val="0"/>
        <w:spacing w:before="0" w:after="0"/>
        <w:ind w:left="144" w:right="144" w:firstLine="792"/>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2720"/>
        <w:gridCol w:w="1460"/>
        <w:gridCol w:w="75"/>
      </w:tblGrid>
      <w:tr>
        <w:trPr/>
        <w:tc>
          <w:tcPr>
            <w:tcW w:w="2720" w:type="dxa"/>
            <w:tcBorders/>
            <w:vAlign w:val="center"/>
          </w:tcPr>
          <w:p>
            <w:pPr>
              <w:pStyle w:val="TableContents"/>
              <w:bidi w:val="0"/>
              <w:spacing w:before="0" w:after="283"/>
              <w:jc w:val="left"/>
              <w:rPr>
                <w:sz w:val="20"/>
              </w:rPr>
            </w:pPr>
            <w:r>
              <w:rPr>
                <w:sz w:val="20"/>
              </w:rPr>
              <w:t>__________ Electronic Delivery</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sz w:val="20"/>
              </w:rPr>
            </w:pPr>
            <w:r>
              <w:rPr>
                <w:sz w:val="20"/>
              </w:rPr>
              <w:t>__________ Physical Delivery</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left"/>
              <w:rPr>
                <w:sz w:val="20"/>
              </w:rPr>
            </w:pPr>
            <w:r>
              <w:rPr>
                <w:sz w:val="20"/>
              </w:rPr>
              <w:t>Date:__________ ___, ______</w:t>
            </w:r>
          </w:p>
        </w:tc>
        <w:tc>
          <w:tcPr>
            <w:tcW w:w="153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bottom w:val="single" w:sz="2" w:space="0" w:color="000000"/>
            </w:tcBorders>
            <w:tcMar>
              <w:bottom w:w="28" w:type="dxa"/>
            </w:tcMar>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sz w:val="20"/>
              </w:rPr>
            </w:pPr>
            <w:r>
              <w:rPr>
                <w:sz w:val="20"/>
              </w:rPr>
              <w:t>Name of Registered Holder</w:t>
            </w:r>
          </w:p>
        </w:tc>
        <w:tc>
          <w:tcPr>
            <w:tcW w:w="1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144" w:right="0" w:hanging="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4" w:right="0" w:hanging="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144"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pStyle w:val="TextBody"/>
        <w:bidi w:val="0"/>
        <w:spacing w:before="0" w:after="0"/>
        <w:ind w:left="144" w:right="144" w:firstLine="720"/>
        <w:jc w:val="both"/>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646"/>
        <w:gridCol w:w="2013"/>
      </w:tblGrid>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013"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2952" w:right="0" w:hanging="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2952"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shares of the foregoing Warrant and all rights evidenced thereby are hereby assigned to</w:t>
      </w:r>
    </w:p>
    <w:p>
      <w:pPr>
        <w:pStyle w:val="TextBody"/>
        <w:bidi w:val="0"/>
        <w:spacing w:before="0" w:after="0"/>
        <w:ind w:left="144" w:right="144" w:hanging="0"/>
        <w:jc w:val="both"/>
        <w:rPr/>
      </w:pPr>
      <w:r>
        <w:rPr>
          <w:caps w:val="false"/>
          <w:smallCaps w:val="false"/>
        </w:rPr>
        <w:t> </w:t>
      </w:r>
      <w:r>
        <w:rPr/>
        <w:t xml:space="preserve"> </w:t>
      </w:r>
    </w:p>
    <w:tbl>
      <w:tblPr>
        <w:tblW w:w="1490" w:type="dxa"/>
        <w:jc w:val="left"/>
        <w:tblInd w:w="0" w:type="dxa"/>
        <w:tblLayout w:type="fixed"/>
        <w:tblCellMar>
          <w:top w:w="0" w:type="dxa"/>
          <w:left w:w="0" w:type="dxa"/>
          <w:bottom w:w="28" w:type="dxa"/>
          <w:right w:w="0" w:type="dxa"/>
        </w:tblCellMar>
      </w:tblPr>
      <w:tblGrid>
        <w:gridCol w:w="75"/>
        <w:gridCol w:w="141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whose address is</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605"/>
        <w:gridCol w:w="2750"/>
      </w:tblGrid>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Dated: </w:t>
            </w:r>
          </w:p>
        </w:tc>
        <w:tc>
          <w:tcPr>
            <w:tcW w:w="2750" w:type="dxa"/>
            <w:tcBorders/>
            <w:vAlign w:val="center"/>
          </w:tcPr>
          <w:p>
            <w:pPr>
              <w:pStyle w:val="TableContents"/>
              <w:bidi w:val="0"/>
              <w:spacing w:before="0" w:after="283"/>
              <w:jc w:val="left"/>
              <w:rPr>
                <w:sz w:val="20"/>
              </w:rPr>
            </w:pPr>
            <w:r>
              <w:rPr>
                <w:sz w:val="20"/>
              </w:rPr>
              <w:t>____________________, _____</w:t>
            </w:r>
          </w:p>
        </w:tc>
      </w:tr>
    </w:tbl>
    <w:p>
      <w:pPr>
        <w:pStyle w:val="TextBody"/>
        <w:bidi w:val="0"/>
        <w:spacing w:before="0" w:after="0"/>
        <w:ind w:left="0" w:right="0" w:hanging="0"/>
        <w:jc w:val="left"/>
        <w:rPr>
          <w:caps w:val="false"/>
          <w:smallCaps w:val="false"/>
        </w:rPr>
      </w:pPr>
      <w:r>
        <w:rPr>
          <w:caps w:val="false"/>
          <w:smallCaps w:val="false"/>
        </w:rPr>
        <w:t> </w:t>
      </w:r>
    </w:p>
    <w:tbl>
      <w:tblPr>
        <w:tblW w:w="1685" w:type="dxa"/>
        <w:jc w:val="center"/>
        <w:tblInd w:w="0" w:type="dxa"/>
        <w:tblLayout w:type="fixed"/>
        <w:tblCellMar>
          <w:top w:w="0" w:type="dxa"/>
          <w:left w:w="0" w:type="dxa"/>
          <w:bottom w:w="0" w:type="dxa"/>
          <w:right w:w="0" w:type="dxa"/>
        </w:tblCellMar>
      </w:tblPr>
      <w:tblGrid>
        <w:gridCol w:w="1610"/>
        <w:gridCol w:w="75"/>
      </w:tblGrid>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Signature: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w:t>
      </w:r>
    </w:p>
    <w:p>
      <w:pPr>
        <w:pStyle w:val="TextBody"/>
        <w:bidi w:val="0"/>
        <w:ind w:left="360" w:right="0" w:hanging="0"/>
        <w:jc w:val="both"/>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36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52" w:name="tm249250d1_ex10-14.htm"/>
      <w:bookmarkStart w:id="53" w:name="kstm249250d1_ex1014"/>
      <w:bookmarkEnd w:id="52"/>
      <w:bookmarkEnd w:id="53"/>
      <w:r>
        <w:rPr>
          <w:b/>
        </w:rPr>
        <w:t>Exhibit 10.14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Waiver and Extension of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Waiver and Extension of Registration Rights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March 21, 2024, is by and among Presto Automation Inc., a Delaware corporation (“</w:t>
      </w:r>
      <w:r>
        <w:rPr>
          <w:rFonts w:ascii="Times New Roman;Times;Serif" w:hAnsi="Times New Roman;Times;Serif"/>
          <w:b w:val="false"/>
          <w:i w:val="false"/>
          <w:caps w:val="false"/>
          <w:smallCaps w:val="false"/>
          <w:sz w:val="20"/>
          <w:u w:val="single"/>
        </w:rPr>
        <w:t>Presto</w:t>
      </w:r>
      <w:r>
        <w:rPr>
          <w:rFonts w:ascii="Times New Roman;Times;Serif" w:hAnsi="Times New Roman;Times;Serif"/>
          <w:b w:val="false"/>
          <w:i w:val="false"/>
          <w:caps w:val="false"/>
          <w:smallCaps w:val="false"/>
          <w:sz w:val="20"/>
        </w:rPr>
        <w:t>”), Presto CA LLC, a Delaware limited liability company (“</w:t>
      </w:r>
      <w:r>
        <w:rPr>
          <w:rFonts w:ascii="Times New Roman;Times;Serif" w:hAnsi="Times New Roman;Times;Serif"/>
          <w:b w:val="false"/>
          <w:i w:val="false"/>
          <w:caps w:val="false"/>
          <w:smallCaps w:val="false"/>
          <w:sz w:val="20"/>
          <w:u w:val="single"/>
        </w:rPr>
        <w:t>CA</w:t>
      </w:r>
      <w:r>
        <w:rPr>
          <w:rFonts w:ascii="Times New Roman;Times;Serif" w:hAnsi="Times New Roman;Times;Serif"/>
          <w:b w:val="false"/>
          <w:i w:val="false"/>
          <w:caps w:val="false"/>
          <w:smallCaps w:val="false"/>
          <w:sz w:val="20"/>
        </w:rPr>
        <w:t>”), CEOF Holdings LP, a Delaware limited partnership (“</w:t>
      </w:r>
      <w:r>
        <w:rPr>
          <w:rFonts w:ascii="Times New Roman;Times;Serif" w:hAnsi="Times New Roman;Times;Serif"/>
          <w:b w:val="false"/>
          <w:i w:val="false"/>
          <w:caps w:val="false"/>
          <w:smallCaps w:val="false"/>
          <w:sz w:val="20"/>
          <w:u w:val="single"/>
        </w:rPr>
        <w:t>CEOF</w:t>
      </w:r>
      <w:r>
        <w:rPr>
          <w:rFonts w:ascii="Times New Roman;Times;Serif" w:hAnsi="Times New Roman;Times;Serif"/>
          <w:b w:val="false"/>
          <w:i w:val="false"/>
          <w:caps w:val="false"/>
          <w:smallCaps w:val="false"/>
          <w:sz w:val="20"/>
        </w:rPr>
        <w:t>”), and certain entities affiliated with Metropolitan Partners Group Administration, LLC, a Delaware limited liability company listed on the signature pages hereto (collectively with CEOF, “</w:t>
      </w:r>
      <w:r>
        <w:rPr>
          <w:rFonts w:ascii="Times New Roman;Times;Serif" w:hAnsi="Times New Roman;Times;Serif"/>
          <w:b w:val="false"/>
          <w:i w:val="false"/>
          <w:caps w:val="false"/>
          <w:smallCaps w:val="false"/>
          <w:sz w:val="20"/>
          <w:u w:val="single"/>
        </w:rPr>
        <w:t>Met</w:t>
      </w:r>
      <w:r>
        <w:rPr>
          <w:rFonts w:ascii="Times New Roman;Times;Serif" w:hAnsi="Times New Roman;Times;Serif"/>
          <w:b w:val="false"/>
          <w:i w:val="false"/>
          <w:caps w:val="false"/>
          <w:smallCaps w:val="false"/>
          <w:sz w:val="20"/>
        </w:rPr>
        <w:t>” and, together with Presto and CA,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Presto and CA are party to that certain Registration Rights Agreement dated as of October 16, 2023 (the “</w:t>
      </w:r>
      <w:r>
        <w:rPr>
          <w:rFonts w:ascii="Times New Roman;Times;Serif" w:hAnsi="Times New Roman;Times;Serif"/>
          <w:b w:val="false"/>
          <w:i w:val="false"/>
          <w:caps w:val="false"/>
          <w:smallCaps w:val="false"/>
          <w:sz w:val="20"/>
          <w:u w:val="single"/>
        </w:rPr>
        <w:t>CA RRA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Presto and Met are party to (i) that certain Amended and Restated Registration Rights Agreement, dated as of September 21, 2022, and (ii) that certain Registration Rights Agreement, dated as of March 31, 2023 (together, the “</w:t>
      </w:r>
      <w:r>
        <w:rPr>
          <w:rFonts w:ascii="Times New Roman;Times;Serif" w:hAnsi="Times New Roman;Times;Serif"/>
          <w:b w:val="false"/>
          <w:i w:val="false"/>
          <w:caps w:val="false"/>
          <w:smallCaps w:val="false"/>
          <w:sz w:val="20"/>
          <w:u w:val="single"/>
        </w:rPr>
        <w:t>Met RRAs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Section 2 of the CA RRA and Section 1(a) of each of the Met RRAs contain certain registration rights (the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Registration Rights were triggered by the issuance of certain anti-dilution securities of Presto to CA and Met (the “</w:t>
      </w:r>
      <w:r>
        <w:rPr>
          <w:rFonts w:ascii="Times New Roman;Times;Serif" w:hAnsi="Times New Roman;Times;Serif"/>
          <w:b w:val="false"/>
          <w:i w:val="false"/>
          <w:caps w:val="false"/>
          <w:smallCaps w:val="false"/>
          <w:sz w:val="20"/>
          <w:u w:val="single"/>
        </w:rPr>
        <w:t>November 2023 Anti-Dilution Shares</w:t>
      </w:r>
      <w:r>
        <w:rPr>
          <w:rFonts w:ascii="Times New Roman;Times;Serif" w:hAnsi="Times New Roman;Times;Serif"/>
          <w:b w:val="false"/>
          <w:i w:val="false"/>
          <w:caps w:val="false"/>
          <w:smallCaps w:val="false"/>
          <w:sz w:val="20"/>
        </w:rPr>
        <w:t>”) in connection with Presto’s registered direct offering that closed on November 21, 2023 (the “</w:t>
      </w:r>
      <w:r>
        <w:rPr>
          <w:rFonts w:ascii="Times New Roman;Times;Serif" w:hAnsi="Times New Roman;Times;Serif"/>
          <w:b w:val="false"/>
          <w:i w:val="false"/>
          <w:caps w:val="false"/>
          <w:smallCaps w:val="false"/>
          <w:sz w:val="20"/>
          <w:u w:val="single"/>
        </w:rPr>
        <w:t>November 2023 Offering</w:t>
      </w:r>
      <w:r>
        <w:rPr>
          <w:rFonts w:ascii="Times New Roman;Times;Serif" w:hAnsi="Times New Roman;Times;Serif"/>
          <w:b w:val="false"/>
          <w:i w:val="false"/>
          <w:caps w:val="false"/>
          <w:smallCaps w:val="false"/>
          <w:sz w:val="20"/>
        </w:rPr>
        <w:t>”), which required Presto to register such anti-dilution shares on or before December 21, 2023, which is the date that is 30 days after the closing of the November 2023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Parties entered into that certain Waiver and Extension of Registration Rights on December 21, 2023, pursuant to which the Parties established February 20, 2024 as the new deadline for Presto to register the November 2023 Anti-Dilution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Registration Rights were further triggered by the issuance of certain anti-dilution securities of Presto to CA and Met (the “</w:t>
      </w:r>
      <w:r>
        <w:rPr>
          <w:rFonts w:ascii="Times New Roman;Times;Serif" w:hAnsi="Times New Roman;Times;Serif"/>
          <w:b w:val="false"/>
          <w:i w:val="false"/>
          <w:caps w:val="false"/>
          <w:smallCaps w:val="false"/>
          <w:sz w:val="20"/>
          <w:u w:val="single"/>
        </w:rPr>
        <w:t>January 2024 Anti-Dilution Shares</w:t>
      </w:r>
      <w:r>
        <w:rPr>
          <w:rFonts w:ascii="Times New Roman;Times;Serif" w:hAnsi="Times New Roman;Times;Serif"/>
          <w:b w:val="false"/>
          <w:i w:val="false"/>
          <w:caps w:val="false"/>
          <w:smallCaps w:val="false"/>
          <w:sz w:val="20"/>
        </w:rPr>
        <w:t>”) in connection with Presto’s issuance of subordinated convertible notes that closed on February 2, 2024 (the “</w:t>
      </w:r>
      <w:r>
        <w:rPr>
          <w:rFonts w:ascii="Times New Roman;Times;Serif" w:hAnsi="Times New Roman;Times;Serif"/>
          <w:b w:val="false"/>
          <w:i w:val="false"/>
          <w:caps w:val="false"/>
          <w:smallCaps w:val="false"/>
          <w:sz w:val="20"/>
          <w:u w:val="single"/>
        </w:rPr>
        <w:t>January Notes Offering</w:t>
      </w:r>
      <w:r>
        <w:rPr>
          <w:rFonts w:ascii="Times New Roman;Times;Serif" w:hAnsi="Times New Roman;Times;Serif"/>
          <w:b w:val="false"/>
          <w:i w:val="false"/>
          <w:caps w:val="false"/>
          <w:smallCaps w:val="false"/>
          <w:sz w:val="20"/>
        </w:rPr>
        <w:t>”), which required Presto to register such anti-dilution shares on or before March 3, 2024, which is the date that is 30 days after the closing of the January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Registration Rights were further triggered by the issuance of certain securities of Presto to Met pursuant to Section 8(i)(4) of that certain Forbearance and Fourth Amendment to Credit Agreement, dated January 22, 2024, among Presto Automation LLC (f/k/a E La Carte, LLC, f/k/a Ventoux Merger Sub II LLC), the Company, Metropolitan Partners Group Administration, LLC, as agent, and the Lenders (as defined therein) (the “</w:t>
      </w:r>
      <w:r>
        <w:rPr>
          <w:rFonts w:ascii="Times New Roman;Times;Serif" w:hAnsi="Times New Roman;Times;Serif"/>
          <w:b w:val="false"/>
          <w:i w:val="false"/>
          <w:caps w:val="false"/>
          <w:smallCaps w:val="false"/>
          <w:sz w:val="20"/>
          <w:u w:val="single"/>
        </w:rPr>
        <w:t>Forbearance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Registration Rights were further triggered by the issuance of certain anti-dilution securities of Presto to CA and Met (the “</w:t>
      </w:r>
      <w:r>
        <w:rPr>
          <w:rFonts w:ascii="Times New Roman;Times;Serif" w:hAnsi="Times New Roman;Times;Serif"/>
          <w:b w:val="false"/>
          <w:i w:val="false"/>
          <w:caps w:val="false"/>
          <w:smallCaps w:val="false"/>
          <w:sz w:val="20"/>
          <w:u w:val="single"/>
        </w:rPr>
        <w:t>March 2024 Anti-Dilution Shares</w:t>
      </w:r>
      <w:r>
        <w:rPr>
          <w:rFonts w:ascii="Times New Roman;Times;Serif" w:hAnsi="Times New Roman;Times;Serif"/>
          <w:b w:val="false"/>
          <w:i w:val="false"/>
          <w:caps w:val="false"/>
          <w:smallCaps w:val="false"/>
          <w:sz w:val="20"/>
        </w:rPr>
        <w:t>” and, collectively with the November 2023 Anti-Dilution Shares and the January 2024 Anti-Dilution Shares, the “</w:t>
      </w:r>
      <w:r>
        <w:rPr>
          <w:rFonts w:ascii="Times New Roman;Times;Serif" w:hAnsi="Times New Roman;Times;Serif"/>
          <w:b w:val="false"/>
          <w:i w:val="false"/>
          <w:caps w:val="false"/>
          <w:smallCaps w:val="false"/>
          <w:sz w:val="20"/>
          <w:u w:val="single"/>
        </w:rPr>
        <w:t>Anti-Dilution Shares</w:t>
      </w:r>
      <w:r>
        <w:rPr>
          <w:rFonts w:ascii="Times New Roman;Times;Serif" w:hAnsi="Times New Roman;Times;Serif"/>
          <w:b w:val="false"/>
          <w:i w:val="false"/>
          <w:caps w:val="false"/>
          <w:smallCaps w:val="false"/>
          <w:sz w:val="20"/>
        </w:rPr>
        <w:t>”) in connection with Presto’s registered direct offering that closed on March 4, 2024 (the “</w:t>
      </w:r>
      <w:r>
        <w:rPr>
          <w:rFonts w:ascii="Times New Roman;Times;Serif" w:hAnsi="Times New Roman;Times;Serif"/>
          <w:b w:val="false"/>
          <w:i w:val="false"/>
          <w:caps w:val="false"/>
          <w:smallCaps w:val="false"/>
          <w:sz w:val="20"/>
          <w:u w:val="single"/>
        </w:rPr>
        <w:t>March 2024 Offering</w:t>
      </w:r>
      <w:r>
        <w:rPr>
          <w:rFonts w:ascii="Times New Roman;Times;Serif" w:hAnsi="Times New Roman;Times;Serif"/>
          <w:b w:val="false"/>
          <w:i w:val="false"/>
          <w:caps w:val="false"/>
          <w:smallCaps w:val="false"/>
          <w:sz w:val="20"/>
        </w:rPr>
        <w:t>”), which required Presto to register such anti-dilution shares on or before April 3, 2024, which is the date that is 30 days after the closing of the March 2024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Presto filed its quarterly report on Form 10-Q for the quarter ended December 31, 2023 shortly after the extended due date and is therefore currently not eligible to use Form S-3 to register the resale of the Anti-Dilution Shares and the Forbearance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Presto is in discussions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to allow Presto to file a Form S-3 to register the resale of the Anti-Dilution Shares and the Forbearance Shares but no decision has been made as of the date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Parties desire to establish April 15, 2024 as the new deadline for Presto to register the Anti-Dilution Shares and the Forbearance Shares (the “</w:t>
      </w:r>
      <w:r>
        <w:rPr>
          <w:rFonts w:ascii="Times New Roman;Times;Serif" w:hAnsi="Times New Roman;Times;Serif"/>
          <w:b w:val="false"/>
          <w:i w:val="false"/>
          <w:caps w:val="false"/>
          <w:smallCaps w:val="false"/>
          <w:sz w:val="20"/>
          <w:u w:val="single"/>
        </w:rPr>
        <w:t>Amended Registration Deadline</w:t>
      </w:r>
      <w:r>
        <w:rPr>
          <w:rFonts w:ascii="Times New Roman;Times;Serif" w:hAnsi="Times New Roman;Times;Serif"/>
          <w:b w:val="false"/>
          <w:i w:val="false"/>
          <w:caps w:val="false"/>
          <w:smallCaps w:val="false"/>
          <w:sz w:val="20"/>
        </w:rPr>
        <w:t>”) to allow additional time for Presto to receive a decision from the SEC regarding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terms, conditions and covenants set forth below, and other good and valuable consideration, the receipt of which is hereby acknowledged, the parties, intending to be legally bound hereby, promise and agree as follows. </w:t>
      </w:r>
      <w:r>
        <w:rPr>
          <w:rFonts w:ascii="Times New Roman;Times;Serif" w:hAnsi="Times New Roman;Times;Serif"/>
          <w:b w:val="false"/>
          <w:i w:val="false"/>
          <w:caps w:val="false"/>
          <w:smallCaps w:val="false"/>
          <w:sz w:val="20"/>
          <w:shd w:fill="FFFFFF" w:val="clear"/>
        </w:rPr>
        <w:t>Capitalized terms used but not otherwise defined herein shall have the meanings given to such terms in the CA RRA and Met RRAs, respectfully, as amended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Waiver and Extension</w:t>
      </w:r>
      <w:r>
        <w:rPr>
          <w:rFonts w:ascii="Times New Roman;Times;Serif" w:hAnsi="Times New Roman;Times;Serif"/>
          <w:b w:val="false"/>
          <w:i w:val="false"/>
          <w:caps w:val="false"/>
          <w:smallCaps w:val="false"/>
          <w:sz w:val="20"/>
        </w:rPr>
        <w:t>. The Parties hereby agree that (i) for purposes of Section 2 of the CA RRA, the Filing Date shall be the Amended Registration Deadline and (ii) for purposes of Section 1(a) of each of the Met RRAs, the Filing Deadline shall be the Amended Registration Deadline, and CA and Met hereby waive any rights or claims with respect to Presto’s failure to cause the registration of Anti-Dilution Shares and the Forbearance Shares before the Amended Registration Deadline (the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Waiver is a limited, one time waiver and, except as expressly set forth herein, shall not be deemed to: (a) constitute a waiver of or consent to any other breach of the CA RRA or Met RRAs, whether now existing or hereafter arising, (b) constitute a waiver of any right or remedy of CA or Met under the CA RRA or Met RRAs, respectively, for any other purpose (all such rights and remedies being expressly reserved by the CA and Met), or (c) establish a custom or course of dealing or conduct between CA or Met, on the one hand, and Presto,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Valid Amendment</w:t>
      </w:r>
      <w:r>
        <w:rPr>
          <w:rFonts w:ascii="Times New Roman;Times;Serif" w:hAnsi="Times New Roman;Times;Serif"/>
          <w:b w:val="false"/>
          <w:i w:val="false"/>
          <w:caps w:val="false"/>
          <w:smallCaps w:val="false"/>
          <w:sz w:val="20"/>
        </w:rPr>
        <w:t>. This Agreement is made in accordance with Section 6(d) of the CA RRA and Section 12(d) of the Met RRAs and constitutes integral parts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Confirmation, Ratification and Entire Agreements</w:t>
      </w:r>
      <w:r>
        <w:rPr>
          <w:rFonts w:ascii="Times New Roman;Times;Serif" w:hAnsi="Times New Roman;Times;Serif"/>
          <w:b w:val="false"/>
          <w:i w:val="false"/>
          <w:caps w:val="false"/>
          <w:smallCaps w:val="false"/>
          <w:sz w:val="20"/>
        </w:rPr>
        <w:t>. Except as expressly amended and modified herein, the CA RRA and Met RRAs shall continue in full force and effect, and the parties hereby ratify and confirm the CA RRA and Met RRAs, respectfully, as hereby amended. All references to the CA RRA or Met RRAs in any document, instrument, agreement, or writing delivered pursuant to the CA RRA or Met RRAs (as amended hereby) shall hereafter be deemed to refer to the CA RRA or Met RRAs as amended hereby. The CA RRA and Met RRAs (as amended hereby) and any other documents, instruments, and agreements among the parties as contemplated by or referenced in the CA RRA or Met RRAs comprise the complete and exclusive agreement between the parties regarding the subject matter of this Agreement, and supersede all oral and written communications, negotiations, representations or agreements in relation to that subject matter made or entered into before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With respect to the CA RRA, Sections 6(d) (Amendments and Waivers), 6(e) (Notices), 6(f) (Successors and Assigns), 6(h) (Execution and Counterparts), 6(i) (Governing Law), and 6(k) (Severability) of the CA RRA are incorporated herein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With respect to the Met RRAs, Sections 12(d) (Amendments and Waivers), 12(e) (Successors and Assigns), 12(g) (Severability), 12(h) (Counterparts), 12(j) (Governing Law; Jurisdiction), 12(k) (Notices), and 12(l) (Mutual Waiver of Jury Trial) of the Met RRAs are incorporated herein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Upon the effectiveness of this Agreement, each reference in the CA RRA or Met RRAs to “this Agreement,” “hereunder,” “herein,” “hereof” or words of like import referring to the CA RRA or Met RRAs shall mean and refer to the CA RRA or Met RRAs as amended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party hereto has caused this Agreement to be duly executed and delivered by its proper and duly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154" w:type="dxa"/>
        <w:jc w:val="left"/>
        <w:tblInd w:w="0" w:type="dxa"/>
        <w:tblLayout w:type="fixed"/>
        <w:tblCellMar>
          <w:top w:w="0" w:type="dxa"/>
          <w:left w:w="0" w:type="dxa"/>
          <w:bottom w:w="0" w:type="dxa"/>
          <w:right w:w="0" w:type="dxa"/>
        </w:tblCellMar>
      </w:tblPr>
      <w:tblGrid>
        <w:gridCol w:w="75"/>
        <w:gridCol w:w="466"/>
        <w:gridCol w:w="2613"/>
      </w:tblGrid>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Guillaume Lefevre</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Interim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Waiver and Extension of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59" w:type="dxa"/>
        <w:jc w:val="left"/>
        <w:tblInd w:w="0" w:type="dxa"/>
        <w:tblLayout w:type="fixed"/>
        <w:tblCellMar>
          <w:top w:w="0" w:type="dxa"/>
          <w:left w:w="0" w:type="dxa"/>
          <w:bottom w:w="0" w:type="dxa"/>
          <w:right w:w="0" w:type="dxa"/>
        </w:tblCellMar>
      </w:tblPr>
      <w:tblGrid>
        <w:gridCol w:w="75"/>
        <w:gridCol w:w="403"/>
        <w:gridCol w:w="1881"/>
      </w:tblGrid>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CA LLC:</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8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McCoy</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Joseph McCoy</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Waiver and Extension of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09" w:type="dxa"/>
        <w:jc w:val="left"/>
        <w:tblInd w:w="0" w:type="dxa"/>
        <w:tblLayout w:type="fixed"/>
        <w:tblCellMar>
          <w:top w:w="0" w:type="dxa"/>
          <w:left w:w="0" w:type="dxa"/>
          <w:bottom w:w="0" w:type="dxa"/>
          <w:right w:w="0" w:type="dxa"/>
        </w:tblCellMar>
      </w:tblPr>
      <w:tblGrid>
        <w:gridCol w:w="75"/>
        <w:gridCol w:w="647"/>
        <w:gridCol w:w="3287"/>
      </w:tblGrid>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Metropolitan Levered Partners Fund VII, LP:</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K. Lisiak</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K. Lisiak</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Metropolitan Partners Fund VII, LP:</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K. Lisiak</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K. Lisiak</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Metropolitan Offshore Partners Fund VII, LP:</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K. Lisiak</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K. Lisiak</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Partner</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CEOF Holdings LP:</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Friedman</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Daniel Friedman</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Waiver and Extension of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174604</Words>
  <Characters>903027</Characters>
  <CharactersWithSpaces>1087731</CharactersWithSpaces>
  <Paragraphs>5331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