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420" w:type="dxa"/>
            <w:vAlign w:val="bottom"/>
            <w:gridSpan w:val="4"/>
          </w:tcPr>
          <w:p>
            <w:pPr>
              <w:jc w:val="center"/>
              <w:ind w:righ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89"/>
              </w:rPr>
              <w:t>SEC Form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6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440" w:type="dxa"/>
            <w:vAlign w:val="bottom"/>
            <w:gridSpan w:val="6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restart"/>
          </w:tcPr>
          <w:p>
            <w:pPr>
              <w:jc w:val="center"/>
              <w:ind w:right="29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restart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jc w:val="center"/>
              <w:ind w:right="13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Suri Rajat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Presto Automation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PRST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5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-1139825</wp:posOffset>
            </wp:positionV>
            <wp:extent cx="7045960" cy="9770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77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0" w:gutter="0" w:footer="0" w:header="0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525 MIDDLEFIELD DRIVE, SUITE 250</w:t>
            </w: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MENLO PARK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5"/>
        </w:trPr>
        <w:tc>
          <w:tcPr>
            <w:tcW w:w="3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06/30/2023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0" w:gutter="0" w:footer="0" w:header="0"/>
          <w:type w:val="continuous"/>
        </w:sectPr>
      </w:pPr>
    </w:p>
    <w:p>
      <w:pPr>
        <w:ind w:left="416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5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5.22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07/03/2023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07/03/2023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5.21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07/05/2023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07/05/2023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5.49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07/05/2023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07/05/2023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5.46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06/30/2023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08/27/2017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5,013,529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06/30/2023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08/27/2017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5,013,529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08/27/2017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5,013,529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08/27/2017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5,013,529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08/27/2017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5,013,529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Cashless exercise of nonqualified stock options.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Rajat Suri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07/05/2023</w:t>
            </w: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420" w:firstLine="4"/>
        <w:spacing w:after="0" w:line="312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0"/>
      </w:cols>
      <w:pgMar w:left="500" w:top="153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45017" TargetMode="External"/><Relationship Id="rId9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2023-07-05T19:16:05Z</dcterms:created>
  <dcterms:modified xsi:type="dcterms:W3CDTF">2023-07-05T19:16:05Z</dcterms:modified>
</cp:coreProperties>
</file>