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GROSSMAN JONAS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520"/>
        <w:spacing w:after="0" w:line="451" w:lineRule="auto"/>
        <w:rPr>
          <w:sz w:val="20"/>
          <w:szCs w:val="20"/>
          <w:color w:val="auto"/>
        </w:rPr>
      </w:pPr>
      <w:r>
        <w:rPr>
          <w:rFonts w:ascii="Arial" w:cs="Arial" w:eastAsia="Arial" w:hAnsi="Arial"/>
          <w:sz w:val="14"/>
          <w:szCs w:val="14"/>
          <w:color w:val="0000FF"/>
        </w:rPr>
        <w:t>C/O VENTOUX CCM ACQUISITION CORP. 1 EAST PUTNAM AVENUE, FLOOR 4</w:t>
      </w: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GREENWICH</w:t>
            </w:r>
          </w:p>
        </w:tc>
        <w:tc>
          <w:tcPr>
            <w:tcW w:w="920" w:type="dxa"/>
            <w:vAlign w:val="bottom"/>
          </w:tcPr>
          <w:p>
            <w:pPr>
              <w:ind w:left="120"/>
              <w:spacing w:after="0"/>
              <w:rPr>
                <w:sz w:val="20"/>
                <w:szCs w:val="20"/>
                <w:color w:val="auto"/>
              </w:rPr>
            </w:pPr>
            <w:r>
              <w:rPr>
                <w:rFonts w:ascii="Arial" w:cs="Arial" w:eastAsia="Arial" w:hAnsi="Arial"/>
                <w:sz w:val="17"/>
                <w:szCs w:val="17"/>
                <w:color w:val="0000FF"/>
              </w:rPr>
              <w:t>CT</w:t>
            </w:r>
          </w:p>
        </w:tc>
        <w:tc>
          <w:tcPr>
            <w:tcW w:w="1620" w:type="dxa"/>
            <w:vAlign w:val="bottom"/>
          </w:tcPr>
          <w:p>
            <w:pPr>
              <w:ind w:left="420"/>
              <w:spacing w:after="0"/>
              <w:rPr>
                <w:sz w:val="20"/>
                <w:szCs w:val="20"/>
                <w:color w:val="auto"/>
              </w:rPr>
            </w:pPr>
            <w:r>
              <w:rPr>
                <w:rFonts w:ascii="Arial" w:cs="Arial" w:eastAsia="Arial" w:hAnsi="Arial"/>
                <w:sz w:val="17"/>
                <w:szCs w:val="17"/>
                <w:color w:val="0000FF"/>
              </w:rPr>
              <w:t>06830</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2"/>
          </w:tcPr>
          <w:p>
            <w:pPr>
              <w:ind w:left="8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Ventoux CCM Acquisition Corp.</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VTAQU</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62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10"/>
        </w:trPr>
        <w:tc>
          <w:tcPr>
            <w:tcW w:w="20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620" w:type="dxa"/>
            <w:vAlign w:val="bottom"/>
          </w:tcPr>
          <w:p>
            <w:pPr>
              <w:ind w:left="50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01/05/2021</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253365</wp:posOffset>
            </wp:positionV>
            <wp:extent cx="6969760" cy="864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870"/>
                    </a:xfrm>
                    <a:prstGeom prst="rect">
                      <a:avLst/>
                    </a:prstGeom>
                    <a:noFill/>
                  </pic:spPr>
                </pic:pic>
              </a:graphicData>
            </a:graphic>
          </wp:anchor>
        </w:drawing>
      </w:r>
    </w:p>
    <w:p>
      <w:pPr>
        <w:spacing w:after="0" w:line="457"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916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91643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3"/>
                <w:szCs w:val="13"/>
                <w:color w:val="0000FF"/>
              </w:rPr>
              <w:t>Warrants</w:t>
            </w:r>
          </w:p>
        </w:tc>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line="140" w:lineRule="exact"/>
              <w:rPr>
                <w:sz w:val="20"/>
                <w:szCs w:val="20"/>
                <w:color w:val="auto"/>
              </w:rPr>
            </w:pPr>
            <w:r>
              <w:rPr>
                <w:rFonts w:ascii="Arial" w:cs="Arial" w:eastAsia="Arial" w:hAnsi="Arial"/>
                <w:sz w:val="13"/>
                <w:szCs w:val="13"/>
                <w:color w:val="0000FF"/>
              </w:rPr>
              <w:t>to</w:t>
            </w:r>
          </w:p>
        </w:tc>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restart"/>
          </w:tcPr>
          <w:p>
            <w:pPr>
              <w:jc w:val="right"/>
              <w:ind w:right="247"/>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jc w:val="right"/>
              <w:ind w:right="127"/>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ind w:left="36"/>
              <w:spacing w:after="0"/>
              <w:rPr>
                <w:sz w:val="20"/>
                <w:szCs w:val="20"/>
                <w:color w:val="auto"/>
              </w:rPr>
            </w:pPr>
            <w:r>
              <w:rPr>
                <w:rFonts w:ascii="Arial" w:cs="Arial" w:eastAsia="Arial" w:hAnsi="Arial"/>
                <w:sz w:val="13"/>
                <w:szCs w:val="13"/>
                <w:color w:val="0000FF"/>
                <w:w w:val="87"/>
              </w:rPr>
              <w:t>Common</w:t>
            </w:r>
          </w:p>
        </w:tc>
        <w:tc>
          <w:tcPr>
            <w:tcW w:w="780" w:type="dxa"/>
            <w:vAlign w:val="bottom"/>
            <w:vMerge w:val="restart"/>
          </w:tcPr>
          <w:p>
            <w:pPr>
              <w:jc w:val="right"/>
              <w:ind w:right="97"/>
              <w:spacing w:after="0"/>
              <w:rPr>
                <w:sz w:val="20"/>
                <w:szCs w:val="20"/>
                <w:color w:val="auto"/>
              </w:rPr>
            </w:pPr>
            <w:r>
              <w:rPr>
                <w:rFonts w:ascii="Arial" w:cs="Arial" w:eastAsia="Arial" w:hAnsi="Arial"/>
                <w:sz w:val="17"/>
                <w:szCs w:val="17"/>
                <w:color w:val="0000FF"/>
                <w:w w:val="94"/>
              </w:rPr>
              <w:t>225,000</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660" w:type="dxa"/>
            <w:vAlign w:val="bottom"/>
            <w:vMerge w:val="restart"/>
          </w:tcPr>
          <w:p>
            <w:pPr>
              <w:spacing w:after="0"/>
              <w:rPr>
                <w:sz w:val="20"/>
                <w:szCs w:val="20"/>
                <w:color w:val="auto"/>
              </w:rPr>
            </w:pPr>
            <w:r>
              <w:rPr>
                <w:rFonts w:ascii="Arial" w:cs="Arial" w:eastAsia="Arial" w:hAnsi="Arial"/>
                <w:sz w:val="13"/>
                <w:szCs w:val="13"/>
                <w:color w:val="0000FF"/>
              </w:rPr>
              <w:t>purchase</w:t>
            </w:r>
          </w:p>
        </w:tc>
        <w:tc>
          <w:tcPr>
            <w:tcW w:w="72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580" w:type="dxa"/>
            <w:vAlign w:val="bottom"/>
            <w:vMerge w:val="restart"/>
          </w:tcPr>
          <w:p>
            <w:pPr>
              <w:jc w:val="right"/>
              <w:ind w:right="676"/>
              <w:spacing w:after="0"/>
              <w:rPr>
                <w:sz w:val="20"/>
                <w:szCs w:val="20"/>
                <w:color w:val="auto"/>
              </w:rPr>
            </w:pPr>
            <w:r>
              <w:rPr>
                <w:rFonts w:ascii="Arial" w:cs="Arial" w:eastAsia="Arial" w:hAnsi="Arial"/>
                <w:sz w:val="13"/>
                <w:szCs w:val="13"/>
                <w:color w:val="0000FF"/>
              </w:rPr>
              <w:t>01/05/2021</w:t>
            </w:r>
          </w:p>
        </w:tc>
        <w:tc>
          <w:tcPr>
            <w:tcW w:w="1120" w:type="dxa"/>
            <w:vAlign w:val="bottom"/>
            <w:vMerge w:val="restart"/>
          </w:tcPr>
          <w:p>
            <w:pPr>
              <w:ind w:left="740"/>
              <w:spacing w:after="0"/>
              <w:rPr>
                <w:sz w:val="20"/>
                <w:szCs w:val="20"/>
                <w:color w:val="auto"/>
              </w:rPr>
            </w:pPr>
            <w:r>
              <w:rPr>
                <w:rFonts w:ascii="Arial" w:cs="Arial" w:eastAsia="Arial" w:hAnsi="Arial"/>
                <w:sz w:val="13"/>
                <w:szCs w:val="13"/>
                <w:color w:val="0000FF"/>
              </w:rPr>
              <w:t>P</w:t>
            </w:r>
          </w:p>
        </w:tc>
        <w:tc>
          <w:tcPr>
            <w:tcW w:w="1080" w:type="dxa"/>
            <w:vAlign w:val="bottom"/>
            <w:vMerge w:val="restart"/>
          </w:tcPr>
          <w:p>
            <w:pPr>
              <w:jc w:val="right"/>
              <w:ind w:right="296"/>
              <w:spacing w:after="0"/>
              <w:rPr>
                <w:sz w:val="20"/>
                <w:szCs w:val="20"/>
                <w:color w:val="auto"/>
              </w:rPr>
            </w:pPr>
            <w:r>
              <w:rPr>
                <w:rFonts w:ascii="Arial" w:cs="Arial" w:eastAsia="Arial" w:hAnsi="Arial"/>
                <w:sz w:val="13"/>
                <w:szCs w:val="13"/>
                <w:color w:val="0000FF"/>
              </w:rPr>
              <w:t>225,000</w:t>
            </w:r>
          </w:p>
        </w:tc>
        <w:tc>
          <w:tcPr>
            <w:tcW w:w="7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4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w:t>
            </w:r>
          </w:p>
        </w:tc>
        <w:tc>
          <w:tcPr>
            <w:tcW w:w="1020" w:type="dxa"/>
            <w:vAlign w:val="bottom"/>
            <w:vMerge w:val="restart"/>
          </w:tcPr>
          <w:p>
            <w:pPr>
              <w:jc w:val="right"/>
              <w:ind w:right="196"/>
              <w:spacing w:after="0"/>
              <w:rPr>
                <w:sz w:val="20"/>
                <w:szCs w:val="20"/>
                <w:color w:val="auto"/>
              </w:rPr>
            </w:pPr>
            <w:r>
              <w:rPr>
                <w:rFonts w:ascii="Arial" w:cs="Arial" w:eastAsia="Arial" w:hAnsi="Arial"/>
                <w:sz w:val="13"/>
                <w:szCs w:val="13"/>
                <w:color w:val="0000FF"/>
              </w:rPr>
              <w:t>2,225,000</w:t>
            </w:r>
          </w:p>
        </w:tc>
        <w:tc>
          <w:tcPr>
            <w:tcW w:w="520" w:type="dxa"/>
            <w:vAlign w:val="bottom"/>
            <w:vMerge w:val="restart"/>
          </w:tcPr>
          <w:p>
            <w:pPr>
              <w:ind w:left="280"/>
              <w:spacing w:after="0"/>
              <w:rPr>
                <w:sz w:val="20"/>
                <w:szCs w:val="20"/>
                <w:color w:val="auto"/>
              </w:rPr>
            </w:pPr>
            <w:r>
              <w:rPr>
                <w:rFonts w:ascii="Arial" w:cs="Arial" w:eastAsia="Arial" w:hAnsi="Arial"/>
                <w:sz w:val="13"/>
                <w:szCs w:val="13"/>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restart"/>
          </w:tcPr>
          <w:p>
            <w:pPr>
              <w:jc w:val="center"/>
              <w:ind w:left="36"/>
              <w:spacing w:after="0"/>
              <w:rPr>
                <w:sz w:val="20"/>
                <w:szCs w:val="20"/>
                <w:color w:val="auto"/>
              </w:rPr>
            </w:pPr>
            <w:r>
              <w:rPr>
                <w:rFonts w:ascii="Arial" w:cs="Arial" w:eastAsia="Arial" w:hAnsi="Arial"/>
                <w:sz w:val="13"/>
                <w:szCs w:val="13"/>
                <w:color w:val="0000FF"/>
                <w:w w:val="92"/>
              </w:rPr>
              <w:t>Stock</w:t>
            </w:r>
          </w:p>
        </w:tc>
        <w:tc>
          <w:tcPr>
            <w:tcW w:w="7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vMerge w:val="restart"/>
          </w:tcPr>
          <w:p>
            <w:pPr>
              <w:ind w:left="200"/>
              <w:spacing w:after="0" w:line="153" w:lineRule="exact"/>
              <w:rPr>
                <w:sz w:val="20"/>
                <w:szCs w:val="20"/>
                <w:color w:val="auto"/>
              </w:rPr>
            </w:pPr>
            <w:r>
              <w:rPr>
                <w:rFonts w:ascii="Arial" w:cs="Arial" w:eastAsia="Arial" w:hAnsi="Arial"/>
                <w:sz w:val="11"/>
                <w:szCs w:val="11"/>
                <w:color w:val="0000FF"/>
                <w:w w:val="97"/>
              </w:rPr>
              <w:t>Footnote</w:t>
            </w:r>
            <w:r>
              <w:rPr>
                <w:rFonts w:ascii="Arial" w:cs="Arial" w:eastAsia="Arial" w:hAnsi="Arial"/>
                <w:sz w:val="17"/>
                <w:szCs w:val="17"/>
                <w:color w:val="008000"/>
                <w:w w:val="97"/>
                <w:vertAlign w:val="superscript"/>
              </w:rPr>
              <w:t>(3)</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60" w:type="dxa"/>
            <w:vAlign w:val="bottom"/>
          </w:tcPr>
          <w:p>
            <w:pPr>
              <w:spacing w:after="0" w:line="91" w:lineRule="exact"/>
              <w:rPr>
                <w:sz w:val="20"/>
                <w:szCs w:val="20"/>
                <w:color w:val="auto"/>
              </w:rPr>
            </w:pPr>
            <w:r>
              <w:rPr>
                <w:rFonts w:ascii="Arial" w:cs="Arial" w:eastAsia="Arial" w:hAnsi="Arial"/>
                <w:sz w:val="10"/>
                <w:szCs w:val="10"/>
                <w:color w:val="0000FF"/>
              </w:rPr>
              <w:t>Common</w:t>
            </w:r>
          </w:p>
        </w:tc>
        <w:tc>
          <w:tcPr>
            <w:tcW w:w="7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warrants become exercisable on the later of (i) twelve (12) months from the closing of the registrant's initial public offering or (ii) the consummation of the registrant's initial business combination.</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warrants purchased by Chardan International Investments, LLC will not be exercisable more than five (5) years from the effective date of the registrant's registration statement.</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Warrants owned by Chardan International Investments, LLC, for which Jonas Grossman is the managing member.</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3"/>
              </w:rPr>
              <w:t>/s/ Jonas Grossman</w:t>
            </w:r>
          </w:p>
        </w:tc>
        <w:tc>
          <w:tcPr>
            <w:tcW w:w="9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01/05/2021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23905"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2021-01-05T15:26:11Z</dcterms:created>
  <dcterms:modified xsi:type="dcterms:W3CDTF">2021-01-05T15:26:11Z</dcterms:modified>
</cp:coreProperties>
</file>