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7433d1_8k.htm"/>
      <w:bookmarkStart w:id="1" w:name="kstm24743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E_edei--DocumentType_c2024022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February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4" w:name="xdx_907_edei--EntityRegistrantName_c2024"/>
      <w:bookmarkEnd w:id="4"/>
      <w:r>
        <w:rPr>
          <w:rFonts w:ascii="Times New Roman;Times;Serif" w:hAnsi="Times New Roman;Times;Serif"/>
          <w:b/>
          <w:i w:val="false"/>
          <w:caps w:val="false"/>
          <w:smallCaps w:val="false"/>
          <w:sz w:val="28"/>
        </w:rPr>
        <w:t>Presto Automation Inc.</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8" w:space="0" w:color="000000"/>
            </w:tcBorders>
            <w:vAlign w:val="center"/>
          </w:tcPr>
          <w:p>
            <w:pPr>
              <w:pStyle w:val="TableContents"/>
              <w:bidi w:val="0"/>
              <w:spacing w:before="0" w:after="283"/>
              <w:jc w:val="center"/>
              <w:rPr>
                <w:b/>
              </w:rPr>
            </w:pPr>
            <w:bookmarkStart w:id="5" w:name="xdx_905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F_edei--EntityFileNumber_c20240223"/>
            <w:bookmarkEnd w:id="6"/>
            <w:r>
              <w:rPr>
                <w:b/>
              </w:rPr>
              <w:t>001-39830</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4_edei--EntityTaxIdentificationNum"/>
            <w:bookmarkEnd w:id="7"/>
            <w:r>
              <w:rPr>
                <w:b/>
              </w:rPr>
              <w:t>84-2968594</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985 Industrial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San Carlos, </w:t>
      </w:r>
      <w:bookmarkStart w:id="10" w:name="xdx_905_edei--EntityAddressStateOrProvin"/>
      <w:bookmarkEnd w:id="10"/>
      <w:r>
        <w:rPr>
          <w:rFonts w:ascii="Times New Roman;Times;Serif" w:hAnsi="Times New Roman;Times;Serif"/>
          <w:b/>
          <w:i w:val="false"/>
          <w:caps w:val="false"/>
          <w:smallCaps w:val="false"/>
          <w:sz w:val="20"/>
        </w:rPr>
        <w:t xml:space="preserve">CA </w:t>
      </w:r>
      <w:bookmarkStart w:id="11" w:name="xdx_902_edei--EntityAddressPostalZipCode"/>
      <w:bookmarkEnd w:id="11"/>
      <w:r>
        <w:rPr>
          <w:rFonts w:ascii="Times New Roman;Times;Serif" w:hAnsi="Times New Roman;Times;Serif"/>
          <w:b/>
          <w:i w:val="false"/>
          <w:caps w:val="false"/>
          <w:smallCaps w:val="false"/>
          <w:sz w:val="20"/>
        </w:rPr>
        <w:t>94070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w:t>
      </w:r>
      <w:bookmarkStart w:id="12" w:name="xdx_903_edei--CityAreaCode_c20240223__20"/>
      <w:bookmarkEnd w:id="12"/>
      <w:r>
        <w:rPr>
          <w:rFonts w:ascii="Times New Roman;Times;Serif" w:hAnsi="Times New Roman;Times;Serif"/>
          <w:b/>
          <w:i w:val="false"/>
          <w:caps w:val="false"/>
          <w:smallCaps w:val="false"/>
          <w:sz w:val="20"/>
        </w:rPr>
        <w:t xml:space="preserve">650) </w:t>
      </w:r>
      <w:bookmarkStart w:id="13" w:name="xdx_900_edei--LocalPhoneNumber_c20240223"/>
      <w:bookmarkEnd w:id="13"/>
      <w:r>
        <w:rPr>
          <w:rFonts w:ascii="Times New Roman;Times;Serif" w:hAnsi="Times New Roman;Times;Serif"/>
          <w:b/>
          <w:i w:val="false"/>
          <w:caps w:val="false"/>
          <w:smallCaps w:val="false"/>
          <w:sz w:val="20"/>
        </w:rPr>
        <w:t>817-9012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E_edei--SolicitingMaterial_c202402"/>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7"/>
        <w:gridCol w:w="60"/>
        <w:gridCol w:w="1005"/>
        <w:gridCol w:w="60"/>
        <w:gridCol w:w="2813"/>
      </w:tblGrid>
      <w:tr>
        <w:trPr/>
        <w:tc>
          <w:tcPr>
            <w:tcW w:w="626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0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813" w:type="dxa"/>
            <w:tcBorders>
              <w:bottom w:val="single" w:sz="8" w:space="0" w:color="000000"/>
            </w:tcBorders>
            <w:vAlign w:val="center"/>
          </w:tcPr>
          <w:p>
            <w:pPr>
              <w:pStyle w:val="TableContents"/>
              <w:bidi w:val="0"/>
              <w:spacing w:before="0" w:after="283"/>
              <w:jc w:val="center"/>
              <w:rPr>
                <w:b/>
              </w:rPr>
            </w:pPr>
            <w:r>
              <w:rPr>
                <w:b/>
              </w:rPr>
              <w:t>Name of each exchange on</w:t>
              <w:br/>
              <w:t xml:space="preserve">which </w:t>
              <w:br/>
              <w:t>registered</w:t>
            </w:r>
          </w:p>
        </w:tc>
      </w:tr>
      <w:tr>
        <w:trPr/>
        <w:tc>
          <w:tcPr>
            <w:tcW w:w="6267" w:type="dxa"/>
            <w:tcBorders/>
            <w:shd w:fill="FFFFFF" w:val="clear"/>
            <w:tcMar>
              <w:bottom w:w="0" w:type="dxa"/>
            </w:tcMar>
            <w:vAlign w:val="center"/>
          </w:tcPr>
          <w:p>
            <w:pPr>
              <w:pStyle w:val="TableContents"/>
              <w:bidi w:val="0"/>
              <w:spacing w:before="0" w:after="283"/>
              <w:jc w:val="center"/>
              <w:rPr/>
            </w:pPr>
            <w:bookmarkStart w:id="18" w:name="xdx_907_edei--Security12bTitle_c20240223"/>
            <w:bookmarkEnd w:id="18"/>
            <w:r>
              <w:rPr/>
              <w:t>Common stock, par value $0.0001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05" w:type="dxa"/>
            <w:tcBorders/>
            <w:shd w:fill="FFFFFF" w:val="clear"/>
            <w:tcMar>
              <w:bottom w:w="0" w:type="dxa"/>
            </w:tcMar>
            <w:vAlign w:val="center"/>
          </w:tcPr>
          <w:p>
            <w:pPr>
              <w:pStyle w:val="TableContents"/>
              <w:bidi w:val="0"/>
              <w:spacing w:before="0" w:after="283"/>
              <w:jc w:val="center"/>
              <w:rPr/>
            </w:pPr>
            <w:bookmarkStart w:id="19" w:name="xdx_905_edei--TradingSymbol_c20240223__2"/>
            <w:bookmarkEnd w:id="19"/>
            <w:r>
              <w:rPr/>
              <w:t>PRST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13" w:type="dxa"/>
            <w:tcBorders/>
            <w:shd w:fill="FFFFFF" w:val="clear"/>
            <w:tcMar>
              <w:bottom w:w="0" w:type="dxa"/>
            </w:tcMar>
            <w:vAlign w:val="center"/>
          </w:tcPr>
          <w:p>
            <w:pPr>
              <w:pStyle w:val="TableContents"/>
              <w:bidi w:val="0"/>
              <w:spacing w:before="0" w:after="283"/>
              <w:jc w:val="center"/>
              <w:rPr/>
            </w:pPr>
            <w:bookmarkStart w:id="20" w:name="xdx_908_edei--SecurityExchangeName_c2024"/>
            <w:bookmarkEnd w:id="20"/>
            <w:r>
              <w:rPr/>
              <w:t>The Nasdaq Stock Market LLC</w:t>
            </w:r>
          </w:p>
        </w:tc>
      </w:tr>
      <w:tr>
        <w:trPr/>
        <w:tc>
          <w:tcPr>
            <w:tcW w:w="6267" w:type="dxa"/>
            <w:tcBorders/>
            <w:tcMar>
              <w:bottom w:w="0" w:type="dxa"/>
            </w:tcMar>
            <w:vAlign w:val="center"/>
          </w:tcPr>
          <w:p>
            <w:pPr>
              <w:pStyle w:val="TableContents"/>
              <w:bidi w:val="0"/>
              <w:spacing w:before="0" w:after="283"/>
              <w:jc w:val="center"/>
              <w:rPr/>
            </w:pPr>
            <w:bookmarkStart w:id="21" w:name="xdx_904_edei--Security12bTitle_c20240223"/>
            <w:bookmarkEnd w:id="21"/>
            <w:r>
              <w:rPr/>
              <w:t>Warrants, each whole warrant exercisable for one share of common stock</w:t>
            </w:r>
          </w:p>
        </w:tc>
        <w:tc>
          <w:tcPr>
            <w:tcW w:w="60" w:type="dxa"/>
            <w:tcBorders/>
            <w:tcMar>
              <w:bottom w:w="0" w:type="dxa"/>
            </w:tcMar>
            <w:vAlign w:val="center"/>
          </w:tcPr>
          <w:p>
            <w:pPr>
              <w:pStyle w:val="TableContents"/>
              <w:bidi w:val="0"/>
              <w:spacing w:before="0" w:after="283"/>
              <w:jc w:val="center"/>
              <w:rPr/>
            </w:pPr>
            <w:r>
              <w:rPr/>
              <w:t> </w:t>
            </w:r>
          </w:p>
        </w:tc>
        <w:tc>
          <w:tcPr>
            <w:tcW w:w="1005" w:type="dxa"/>
            <w:tcBorders/>
            <w:tcMar>
              <w:bottom w:w="0" w:type="dxa"/>
            </w:tcMar>
            <w:vAlign w:val="center"/>
          </w:tcPr>
          <w:p>
            <w:pPr>
              <w:pStyle w:val="TableContents"/>
              <w:bidi w:val="0"/>
              <w:spacing w:before="0" w:after="283"/>
              <w:jc w:val="center"/>
              <w:rPr/>
            </w:pPr>
            <w:bookmarkStart w:id="22" w:name="xdx_908_edei--TradingSymbol_c20240223__2"/>
            <w:bookmarkEnd w:id="22"/>
            <w:r>
              <w:rPr/>
              <w:t>PRSTW</w:t>
            </w:r>
          </w:p>
        </w:tc>
        <w:tc>
          <w:tcPr>
            <w:tcW w:w="60" w:type="dxa"/>
            <w:tcBorders/>
            <w:tcMar>
              <w:bottom w:w="0" w:type="dxa"/>
            </w:tcMar>
            <w:vAlign w:val="center"/>
          </w:tcPr>
          <w:p>
            <w:pPr>
              <w:pStyle w:val="TableContents"/>
              <w:bidi w:val="0"/>
              <w:spacing w:before="0" w:after="283"/>
              <w:jc w:val="center"/>
              <w:rPr/>
            </w:pPr>
            <w:r>
              <w:rPr/>
              <w:t> </w:t>
            </w:r>
          </w:p>
        </w:tc>
        <w:tc>
          <w:tcPr>
            <w:tcW w:w="2813" w:type="dxa"/>
            <w:tcBorders/>
            <w:tcMar>
              <w:bottom w:w="0" w:type="dxa"/>
            </w:tcMar>
            <w:vAlign w:val="center"/>
          </w:tcPr>
          <w:p>
            <w:pPr>
              <w:pStyle w:val="TableContents"/>
              <w:bidi w:val="0"/>
              <w:spacing w:before="0" w:after="283"/>
              <w:jc w:val="center"/>
              <w:rPr/>
            </w:pPr>
            <w:bookmarkStart w:id="23" w:name="xdx_901_edei--SecurityExchangeName_c2024"/>
            <w:bookmarkEnd w:id="23"/>
            <w:r>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E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2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2024, Presto Automation Inc. (the “Company”) received a notice (the “Notice”) from The Nasdaq Stock Market LLC (“Nasdaq”) stating that the Company is not in compliance with the requirement to maintain a minimum Market Value of Publicly Held Securities (“MVPHS”) of $15 million, as set forth in Nasdaq Listing Rule 5450(b)(2)(C) (the “MVPHS Requirement”), because the MVPHS of the Company was below $15 million for the 35 consecutive business days prior to the date of the Notice. The Notice is in addition to the previously disclosed letters received on February 6, 2024, notifying the Company that it was not in compliance with the requirement to maintain a minimum Market Value of Listed Securities of $50 million, as set forth in Nasdaq Listing Rule 5450(b)(2)(A), and on December 28, 2023, notifying the Company that it was not in compliance with the requirement to maintain a minimum bid price of $1.00 per share, as set forth in Nasdaq Listing Rule 5450(a)(1).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does not impact the listing of the Company's common stock, par value $0.0001 per share (the “Common Stock”), or warrants on The Nasdaq Global Market at this time. The Notice provided that, in accordance with Nasdaq Listing Rule 5810(c)(3)(D), the Company has a period of 180 calendar days from the date of the Notice, or until August 21, 2024, to regain compliance with the MVPHS Requirement. During this period, the Common Stock will continue to trade on The Nasdaq Global Market. If at any time before August 21, 2024 the MVPHS closes at $15 million or more for a minimum of ten consecutive business days, Nasdaq will provide written notification that the Company has achieved compliance with the MVPHS Requirement and the matter will be closed.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does not regain compliance by August 21, 2024, the Company will receive written notification that its securities are subject to delisting. At that time, the Company may appeal the delisting determination to a Hearings Panel. The Notice provides that the Company may be eligible to transfer the listing of its securities to The Nasdaq Capital Market (provided that it then satisfies the requirements for continued listing on that market).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its MVPHS and will evaluate available options to regain compliance with the MVPHS Requirement. However, there can be no assurance that the Company will be able to regain compliance with the MVPHS Requirement or maintain compliance with any of the other Nasdaq continued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indicated below, on February 26, 2024, the stockholders of the Company approved an amendment (the “Amendment”) to the Second Amended and Restated Certificate of Incorporation of the Company (the “Certificate of Incorporation”). The Company’s board of directors previously approved the Amendment on February 12, 2024, subject to stockholder approval. The Amendment increased the number of authorized shares of Common Stock, of the Company from 180,000,000 shares to 100,000,000,000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summary is qualified in its entirety by reference to the Amendment, a copy of which is filed as Exhibit 3.1 to this current report on Form 8-K and is incorporated herein by reference. A more complete description of the terms of the Amendment can be found in “Proposal 1 – Approval of the Amendment to the Second Amended and Restated Certificate of Incorporation of the Company to Increase the Total Number of Authorized Shares of Common Stock” on pages 7 to 8 of the Company’s definitive proxy statement filed with the U.S. Securities and Exchange Commission on February 12, 2024 (the “Proxy Statement”), which description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February 26, 2024, the Company held its Special Meeting of Stockholders (the “Special Meeting”). Set forth below are the voting results of the four proposals considered and voted upon at the Special Meeting, all of which were described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Proposal 1 </w:t>
      </w:r>
      <w:r>
        <w:rPr>
          <w:rFonts w:ascii="Times New Roman;Times;Serif" w:hAnsi="Times New Roman;Times;Serif"/>
          <w:b w:val="false"/>
          <w:i w:val="false"/>
          <w:caps w:val="false"/>
          <w:smallCaps w:val="false"/>
          <w:sz w:val="20"/>
          <w:shd w:fill="FFFFFF" w:val="clear"/>
        </w:rPr>
        <w:t>– To approve the Amendment to increase the total number of authorized shares of Common Stock of the Company from 180,000,000 to 100,000,000,000 shares.</w:t>
      </w:r>
    </w:p>
    <w:p>
      <w:pPr>
        <w:pStyle w:val="TextBody"/>
        <w:bidi w:val="0"/>
        <w:spacing w:before="0" w:after="0"/>
        <w:ind w:left="0" w:right="0" w:hanging="0"/>
        <w:jc w:val="left"/>
        <w:rPr>
          <w:caps w:val="false"/>
          <w:smallCaps w:val="false"/>
        </w:rPr>
      </w:pPr>
      <w:r>
        <w:rPr>
          <w:caps w:val="false"/>
          <w:smallCaps w:val="false"/>
        </w:rPr>
        <w:t> </w:t>
      </w:r>
    </w:p>
    <w:tbl>
      <w:tblPr>
        <w:tblW w:w="4429" w:type="dxa"/>
        <w:jc w:val="left"/>
        <w:tblInd w:w="0" w:type="dxa"/>
        <w:tblLayout w:type="fixed"/>
        <w:tblCellMar>
          <w:top w:w="0" w:type="dxa"/>
          <w:left w:w="0" w:type="dxa"/>
          <w:bottom w:w="28" w:type="dxa"/>
          <w:right w:w="0" w:type="dxa"/>
        </w:tblCellMar>
      </w:tblPr>
      <w:tblGrid>
        <w:gridCol w:w="75"/>
        <w:gridCol w:w="950"/>
        <w:gridCol w:w="60"/>
        <w:gridCol w:w="60"/>
        <w:gridCol w:w="60"/>
        <w:gridCol w:w="695"/>
        <w:gridCol w:w="60"/>
        <w:gridCol w:w="60"/>
        <w:gridCol w:w="61"/>
        <w:gridCol w:w="604"/>
        <w:gridCol w:w="60"/>
        <w:gridCol w:w="60"/>
        <w:gridCol w:w="663"/>
        <w:gridCol w:w="886"/>
        <w:gridCol w:w="75"/>
      </w:tblGrid>
      <w:tr>
        <w:trPr/>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38,392,937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387,273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1" w:type="dxa"/>
            <w:tcBorders/>
            <w:shd w:fill="CCEEFF" w:val="clear"/>
            <w:tcMar>
              <w:bottom w:w="0" w:type="dxa"/>
            </w:tcMar>
            <w:vAlign w:val="center"/>
          </w:tcPr>
          <w:p>
            <w:pPr>
              <w:pStyle w:val="TableContents"/>
              <w:bidi w:val="0"/>
              <w:spacing w:before="0" w:after="283"/>
              <w:jc w:val="center"/>
              <w:rPr/>
            </w:pPr>
            <w:r>
              <w:rPr/>
              <w:t> </w:t>
            </w:r>
          </w:p>
        </w:tc>
        <w:tc>
          <w:tcPr>
            <w:tcW w:w="604" w:type="dxa"/>
            <w:tcBorders/>
            <w:shd w:fill="CCEEFF" w:val="clear"/>
            <w:tcMar>
              <w:bottom w:w="0" w:type="dxa"/>
            </w:tcMar>
            <w:vAlign w:val="center"/>
          </w:tcPr>
          <w:p>
            <w:pPr>
              <w:pStyle w:val="TableContents"/>
              <w:bidi w:val="0"/>
              <w:spacing w:before="0" w:after="283"/>
              <w:jc w:val="center"/>
              <w:rPr>
                <w:sz w:val="20"/>
              </w:rPr>
            </w:pPr>
            <w:r>
              <w:rPr>
                <w:sz w:val="20"/>
              </w:rPr>
              <w:t>10,768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3" w:type="dxa"/>
            <w:tcBorders/>
            <w:shd w:fill="CCEEFF" w:val="clear"/>
            <w:tcMar>
              <w:bottom w:w="0" w:type="dxa"/>
            </w:tcMar>
            <w:vAlign w:val="center"/>
          </w:tcPr>
          <w:p>
            <w:pPr>
              <w:pStyle w:val="TableContents"/>
              <w:bidi w:val="0"/>
              <w:spacing w:before="0" w:after="283"/>
              <w:jc w:val="center"/>
              <w:rPr/>
            </w:pPr>
            <w:r>
              <w:rPr/>
              <w:t> </w:t>
            </w:r>
          </w:p>
        </w:tc>
        <w:tc>
          <w:tcPr>
            <w:tcW w:w="886" w:type="dxa"/>
            <w:tcBorders/>
            <w:shd w:fill="CCEEFF" w:val="clear"/>
            <w:tcMar>
              <w:bottom w:w="0" w:type="dxa"/>
            </w:tcMar>
            <w:vAlign w:val="center"/>
          </w:tcPr>
          <w:p>
            <w:pPr>
              <w:pStyle w:val="TableContents"/>
              <w:bidi w:val="0"/>
              <w:spacing w:before="0" w:after="283"/>
              <w:jc w:val="center"/>
              <w:rPr>
                <w:sz w:val="20"/>
              </w:rPr>
            </w:pPr>
            <w:r>
              <w:rPr>
                <w:sz w:val="20"/>
              </w:rPr>
              <w:t>-</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2 </w:t>
      </w:r>
      <w:r>
        <w:rPr>
          <w:rFonts w:ascii="Times New Roman;Times;Serif" w:hAnsi="Times New Roman;Times;Serif"/>
          <w:b w:val="false"/>
          <w:i w:val="false"/>
          <w:caps w:val="false"/>
          <w:smallCaps w:val="false"/>
          <w:sz w:val="20"/>
        </w:rPr>
        <w:t>– To approve the issuance of shares of Common Stock in an amount in excess of 19.99% of the Company’s outstanding Common Stock, pursuant to the terms of certain Securities Purchase Agreement, dated October 10, 2023, and warrants to purchase Common Stock, dated October 16, 2023, issued to certain Metropolitan funds.</w:t>
      </w:r>
    </w:p>
    <w:p>
      <w:pPr>
        <w:pStyle w:val="TextBody"/>
        <w:bidi w:val="0"/>
        <w:spacing w:before="0" w:after="0"/>
        <w:ind w:left="0" w:right="0" w:hanging="0"/>
        <w:jc w:val="left"/>
        <w:rPr>
          <w:caps w:val="false"/>
          <w:smallCaps w:val="false"/>
        </w:rPr>
      </w:pPr>
      <w:r>
        <w:rPr>
          <w:caps w:val="false"/>
          <w:smallCaps w:val="false"/>
        </w:rPr>
        <w:t> </w:t>
      </w:r>
    </w:p>
    <w:tbl>
      <w:tblPr>
        <w:tblW w:w="4684" w:type="dxa"/>
        <w:jc w:val="left"/>
        <w:tblInd w:w="0" w:type="dxa"/>
        <w:tblLayout w:type="fixed"/>
        <w:tblCellMar>
          <w:top w:w="0" w:type="dxa"/>
          <w:left w:w="0" w:type="dxa"/>
          <w:bottom w:w="28" w:type="dxa"/>
          <w:right w:w="0" w:type="dxa"/>
        </w:tblCellMar>
      </w:tblPr>
      <w:tblGrid>
        <w:gridCol w:w="75"/>
        <w:gridCol w:w="950"/>
        <w:gridCol w:w="60"/>
        <w:gridCol w:w="60"/>
        <w:gridCol w:w="60"/>
        <w:gridCol w:w="950"/>
        <w:gridCol w:w="60"/>
        <w:gridCol w:w="60"/>
        <w:gridCol w:w="61"/>
        <w:gridCol w:w="604"/>
        <w:gridCol w:w="60"/>
        <w:gridCol w:w="60"/>
        <w:gridCol w:w="663"/>
        <w:gridCol w:w="886"/>
        <w:gridCol w:w="75"/>
      </w:tblGrid>
      <w:tr>
        <w:trPr/>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20,932,519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17,845,536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1" w:type="dxa"/>
            <w:tcBorders/>
            <w:shd w:fill="CCEEFF" w:val="clear"/>
            <w:tcMar>
              <w:bottom w:w="0" w:type="dxa"/>
            </w:tcMar>
            <w:vAlign w:val="center"/>
          </w:tcPr>
          <w:p>
            <w:pPr>
              <w:pStyle w:val="TableContents"/>
              <w:bidi w:val="0"/>
              <w:spacing w:before="0" w:after="283"/>
              <w:jc w:val="center"/>
              <w:rPr/>
            </w:pPr>
            <w:r>
              <w:rPr/>
              <w:t> </w:t>
            </w:r>
          </w:p>
        </w:tc>
        <w:tc>
          <w:tcPr>
            <w:tcW w:w="604" w:type="dxa"/>
            <w:tcBorders/>
            <w:shd w:fill="CCEEFF" w:val="clear"/>
            <w:tcMar>
              <w:bottom w:w="0" w:type="dxa"/>
            </w:tcMar>
            <w:vAlign w:val="center"/>
          </w:tcPr>
          <w:p>
            <w:pPr>
              <w:pStyle w:val="TableContents"/>
              <w:bidi w:val="0"/>
              <w:spacing w:before="0" w:after="283"/>
              <w:jc w:val="center"/>
              <w:rPr>
                <w:sz w:val="20"/>
              </w:rPr>
            </w:pPr>
            <w:r>
              <w:rPr>
                <w:sz w:val="20"/>
              </w:rPr>
              <w:t>12,923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3" w:type="dxa"/>
            <w:tcBorders/>
            <w:shd w:fill="CCEEFF" w:val="clear"/>
            <w:tcMar>
              <w:bottom w:w="0" w:type="dxa"/>
            </w:tcMar>
            <w:vAlign w:val="center"/>
          </w:tcPr>
          <w:p>
            <w:pPr>
              <w:pStyle w:val="TableContents"/>
              <w:bidi w:val="0"/>
              <w:spacing w:before="0" w:after="283"/>
              <w:jc w:val="center"/>
              <w:rPr/>
            </w:pPr>
            <w:r>
              <w:rPr/>
              <w:t> </w:t>
            </w:r>
          </w:p>
        </w:tc>
        <w:tc>
          <w:tcPr>
            <w:tcW w:w="886" w:type="dxa"/>
            <w:tcBorders/>
            <w:shd w:fill="CCEEFF" w:val="clear"/>
            <w:tcMar>
              <w:bottom w:w="0" w:type="dxa"/>
            </w:tcMar>
            <w:vAlign w:val="center"/>
          </w:tcPr>
          <w:p>
            <w:pPr>
              <w:pStyle w:val="TableContents"/>
              <w:bidi w:val="0"/>
              <w:spacing w:before="0" w:after="283"/>
              <w:jc w:val="center"/>
              <w:rPr>
                <w:sz w:val="20"/>
              </w:rPr>
            </w:pPr>
            <w:r>
              <w:rPr>
                <w:sz w:val="20"/>
              </w:rPr>
              <w:t>-</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3 </w:t>
      </w:r>
      <w:r>
        <w:rPr>
          <w:rFonts w:ascii="Times New Roman;Times;Serif" w:hAnsi="Times New Roman;Times;Serif"/>
          <w:b w:val="false"/>
          <w:i w:val="false"/>
          <w:caps w:val="false"/>
          <w:smallCaps w:val="false"/>
          <w:sz w:val="20"/>
        </w:rPr>
        <w:t>– To approve the issuance of shares of Common Stock in an amount in excess of 19.99% of the Company’s outstanding Common Stock, pursuant to the terms of certain Common Stock Purchase Agreements, dated November 17, 2023.</w:t>
      </w:r>
    </w:p>
    <w:p>
      <w:pPr>
        <w:pStyle w:val="TextBody"/>
        <w:bidi w:val="0"/>
        <w:spacing w:before="0" w:after="0"/>
        <w:ind w:left="0" w:right="0" w:hanging="0"/>
        <w:jc w:val="left"/>
        <w:rPr>
          <w:caps w:val="false"/>
          <w:smallCaps w:val="false"/>
        </w:rPr>
      </w:pPr>
      <w:r>
        <w:rPr>
          <w:caps w:val="false"/>
          <w:smallCaps w:val="false"/>
        </w:rPr>
        <w:t> </w:t>
      </w:r>
    </w:p>
    <w:tbl>
      <w:tblPr>
        <w:tblW w:w="4429" w:type="dxa"/>
        <w:jc w:val="left"/>
        <w:tblInd w:w="0" w:type="dxa"/>
        <w:tblLayout w:type="fixed"/>
        <w:tblCellMar>
          <w:top w:w="0" w:type="dxa"/>
          <w:left w:w="0" w:type="dxa"/>
          <w:bottom w:w="28" w:type="dxa"/>
          <w:right w:w="0" w:type="dxa"/>
        </w:tblCellMar>
      </w:tblPr>
      <w:tblGrid>
        <w:gridCol w:w="75"/>
        <w:gridCol w:w="950"/>
        <w:gridCol w:w="60"/>
        <w:gridCol w:w="60"/>
        <w:gridCol w:w="60"/>
        <w:gridCol w:w="695"/>
        <w:gridCol w:w="60"/>
        <w:gridCol w:w="60"/>
        <w:gridCol w:w="73"/>
        <w:gridCol w:w="592"/>
        <w:gridCol w:w="60"/>
        <w:gridCol w:w="60"/>
        <w:gridCol w:w="663"/>
        <w:gridCol w:w="886"/>
        <w:gridCol w:w="75"/>
      </w:tblGrid>
      <w:tr>
        <w:trPr/>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38,435,745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345,612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 w:type="dxa"/>
            <w:tcBorders/>
            <w:shd w:fill="CCEEFF" w:val="clear"/>
            <w:tcMar>
              <w:bottom w:w="0" w:type="dxa"/>
            </w:tcMar>
            <w:vAlign w:val="center"/>
          </w:tcPr>
          <w:p>
            <w:pPr>
              <w:pStyle w:val="TableContents"/>
              <w:bidi w:val="0"/>
              <w:spacing w:before="0" w:after="283"/>
              <w:jc w:val="center"/>
              <w:rPr/>
            </w:pPr>
            <w:r>
              <w:rPr/>
              <w:t> </w:t>
            </w:r>
          </w:p>
        </w:tc>
        <w:tc>
          <w:tcPr>
            <w:tcW w:w="592" w:type="dxa"/>
            <w:tcBorders/>
            <w:shd w:fill="CCEEFF" w:val="clear"/>
            <w:tcMar>
              <w:bottom w:w="0" w:type="dxa"/>
            </w:tcMar>
            <w:vAlign w:val="center"/>
          </w:tcPr>
          <w:p>
            <w:pPr>
              <w:pStyle w:val="TableContents"/>
              <w:bidi w:val="0"/>
              <w:spacing w:before="0" w:after="283"/>
              <w:jc w:val="center"/>
              <w:rPr>
                <w:sz w:val="20"/>
              </w:rPr>
            </w:pPr>
            <w:r>
              <w:rPr>
                <w:sz w:val="20"/>
              </w:rPr>
              <w:t>9,621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3" w:type="dxa"/>
            <w:tcBorders/>
            <w:shd w:fill="CCEEFF" w:val="clear"/>
            <w:tcMar>
              <w:bottom w:w="0" w:type="dxa"/>
            </w:tcMar>
            <w:vAlign w:val="center"/>
          </w:tcPr>
          <w:p>
            <w:pPr>
              <w:pStyle w:val="TableContents"/>
              <w:bidi w:val="0"/>
              <w:spacing w:before="0" w:after="283"/>
              <w:jc w:val="center"/>
              <w:rPr/>
            </w:pPr>
            <w:r>
              <w:rPr/>
              <w:t> </w:t>
            </w:r>
          </w:p>
        </w:tc>
        <w:tc>
          <w:tcPr>
            <w:tcW w:w="886" w:type="dxa"/>
            <w:tcBorders/>
            <w:shd w:fill="CCEEFF" w:val="clear"/>
            <w:tcMar>
              <w:bottom w:w="0" w:type="dxa"/>
            </w:tcMar>
            <w:vAlign w:val="center"/>
          </w:tcPr>
          <w:p>
            <w:pPr>
              <w:pStyle w:val="TableContents"/>
              <w:bidi w:val="0"/>
              <w:spacing w:before="0" w:after="283"/>
              <w:jc w:val="center"/>
              <w:rPr>
                <w:sz w:val="20"/>
              </w:rPr>
            </w:pPr>
            <w:r>
              <w:rPr>
                <w:sz w:val="20"/>
              </w:rPr>
              <w:t>-</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4 </w:t>
      </w:r>
      <w:r>
        <w:rPr>
          <w:rFonts w:ascii="Times New Roman;Times;Serif" w:hAnsi="Times New Roman;Times;Serif"/>
          <w:b w:val="false"/>
          <w:i w:val="false"/>
          <w:caps w:val="false"/>
          <w:smallCaps w:val="false"/>
          <w:sz w:val="20"/>
        </w:rPr>
        <w:t>– To approve the proposed issuance of shares of Common Stock underlying subordinated convertible notes and warrants in an amount in excess of 19.99% of the Company’s outstanding Common Stock, pursuant to the terms of certain Securities Purchase Agreements, dated January 29, 2024, and warrants to purchase Common Stock.</w:t>
      </w:r>
    </w:p>
    <w:p>
      <w:pPr>
        <w:pStyle w:val="TextBody"/>
        <w:bidi w:val="0"/>
        <w:spacing w:before="0" w:after="0"/>
        <w:ind w:left="0" w:right="0" w:hanging="0"/>
        <w:jc w:val="left"/>
        <w:rPr>
          <w:caps w:val="false"/>
          <w:smallCaps w:val="false"/>
        </w:rPr>
      </w:pPr>
      <w:r>
        <w:rPr>
          <w:caps w:val="false"/>
          <w:smallCaps w:val="false"/>
        </w:rPr>
        <w:t> </w:t>
      </w:r>
    </w:p>
    <w:tbl>
      <w:tblPr>
        <w:tblW w:w="4429" w:type="dxa"/>
        <w:jc w:val="left"/>
        <w:tblInd w:w="0" w:type="dxa"/>
        <w:tblLayout w:type="fixed"/>
        <w:tblCellMar>
          <w:top w:w="0" w:type="dxa"/>
          <w:left w:w="0" w:type="dxa"/>
          <w:bottom w:w="28" w:type="dxa"/>
          <w:right w:w="0" w:type="dxa"/>
        </w:tblCellMar>
      </w:tblPr>
      <w:tblGrid>
        <w:gridCol w:w="75"/>
        <w:gridCol w:w="950"/>
        <w:gridCol w:w="60"/>
        <w:gridCol w:w="60"/>
        <w:gridCol w:w="60"/>
        <w:gridCol w:w="695"/>
        <w:gridCol w:w="60"/>
        <w:gridCol w:w="60"/>
        <w:gridCol w:w="73"/>
        <w:gridCol w:w="592"/>
        <w:gridCol w:w="60"/>
        <w:gridCol w:w="60"/>
        <w:gridCol w:w="663"/>
        <w:gridCol w:w="886"/>
        <w:gridCol w:w="75"/>
      </w:tblGrid>
      <w:tr>
        <w:trPr/>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38,426,181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355,123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3" w:type="dxa"/>
            <w:tcBorders/>
            <w:shd w:fill="CCEEFF" w:val="clear"/>
            <w:tcMar>
              <w:bottom w:w="0" w:type="dxa"/>
            </w:tcMar>
            <w:vAlign w:val="center"/>
          </w:tcPr>
          <w:p>
            <w:pPr>
              <w:pStyle w:val="TableContents"/>
              <w:bidi w:val="0"/>
              <w:spacing w:before="0" w:after="283"/>
              <w:jc w:val="center"/>
              <w:rPr/>
            </w:pPr>
            <w:r>
              <w:rPr/>
              <w:t> </w:t>
            </w:r>
          </w:p>
        </w:tc>
        <w:tc>
          <w:tcPr>
            <w:tcW w:w="592" w:type="dxa"/>
            <w:tcBorders/>
            <w:shd w:fill="CCEEFF" w:val="clear"/>
            <w:tcMar>
              <w:bottom w:w="0" w:type="dxa"/>
            </w:tcMar>
            <w:vAlign w:val="center"/>
          </w:tcPr>
          <w:p>
            <w:pPr>
              <w:pStyle w:val="TableContents"/>
              <w:bidi w:val="0"/>
              <w:spacing w:before="0" w:after="283"/>
              <w:jc w:val="center"/>
              <w:rPr>
                <w:sz w:val="20"/>
              </w:rPr>
            </w:pPr>
            <w:r>
              <w:rPr>
                <w:sz w:val="20"/>
              </w:rPr>
              <w:t>9,674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3" w:type="dxa"/>
            <w:tcBorders/>
            <w:shd w:fill="CCEEFF" w:val="clear"/>
            <w:tcMar>
              <w:bottom w:w="0" w:type="dxa"/>
            </w:tcMar>
            <w:vAlign w:val="center"/>
          </w:tcPr>
          <w:p>
            <w:pPr>
              <w:pStyle w:val="TableContents"/>
              <w:bidi w:val="0"/>
              <w:spacing w:before="0" w:after="283"/>
              <w:jc w:val="center"/>
              <w:rPr/>
            </w:pPr>
            <w:r>
              <w:rPr/>
              <w:t> </w:t>
            </w:r>
          </w:p>
        </w:tc>
        <w:tc>
          <w:tcPr>
            <w:tcW w:w="886" w:type="dxa"/>
            <w:tcBorders/>
            <w:shd w:fill="CCEEFF" w:val="clear"/>
            <w:tcMar>
              <w:bottom w:w="0" w:type="dxa"/>
            </w:tcMar>
            <w:vAlign w:val="center"/>
          </w:tcPr>
          <w:p>
            <w:pPr>
              <w:pStyle w:val="TableContents"/>
              <w:bidi w:val="0"/>
              <w:spacing w:before="0" w:after="283"/>
              <w:jc w:val="center"/>
              <w:rPr>
                <w:sz w:val="20"/>
              </w:rPr>
            </w:pPr>
            <w:r>
              <w:rPr>
                <w:sz w:val="20"/>
              </w:rPr>
              <w:t>-</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29, 2024, the Company issued a press release announcing that it has entered into a securities purchase agreement with certain institutional investors, providing for the purchase and sale of 8,533,000 shares of Common Stock in a registered direct offering at a price per share of $0.25 (the “Offering”). The Offering is expected to close on or about March 4, 2024, subject to the satisfaction of customary closing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filed herewith as Exhibit 99.1 to this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shd w:fill="FFFFFF" w:val="clear"/>
        <w:tblLayout w:type="fixed"/>
        <w:tblCellMar>
          <w:top w:w="0" w:type="dxa"/>
          <w:left w:w="0" w:type="dxa"/>
          <w:bottom w:w="0" w:type="dxa"/>
          <w:right w:w="0" w:type="dxa"/>
        </w:tblCellMar>
      </w:tblPr>
      <w:tblGrid>
        <w:gridCol w:w="1265"/>
        <w:gridCol w:w="60"/>
        <w:gridCol w:w="7340"/>
      </w:tblGrid>
      <w:tr>
        <w:trPr/>
        <w:tc>
          <w:tcPr>
            <w:tcW w:w="1265" w:type="dxa"/>
            <w:tcBorders/>
            <w:shd w:fill="FFFFFF" w:val="clear"/>
            <w:vAlign w:val="center"/>
          </w:tcPr>
          <w:p>
            <w:pPr>
              <w:pStyle w:val="TableContents"/>
              <w:bidi w:val="0"/>
              <w:spacing w:before="0" w:after="283"/>
              <w:jc w:val="left"/>
              <w:rPr>
                <w:b/>
              </w:rPr>
            </w:pPr>
            <w:r>
              <w:rPr>
                <w:b/>
              </w:rPr>
              <w:t>Exhibit No. </w:t>
            </w:r>
          </w:p>
        </w:tc>
        <w:tc>
          <w:tcPr>
            <w:tcW w:w="60" w:type="dxa"/>
            <w:tcBorders/>
            <w:shd w:fill="FFFFFF" w:val="clear"/>
            <w:vAlign w:val="center"/>
          </w:tcPr>
          <w:p>
            <w:pPr>
              <w:pStyle w:val="TableContents"/>
              <w:bidi w:val="0"/>
              <w:spacing w:before="0" w:after="283"/>
              <w:jc w:val="left"/>
              <w:rPr/>
            </w:pPr>
            <w:r>
              <w:rPr/>
              <w:t> </w:t>
            </w:r>
          </w:p>
        </w:tc>
        <w:tc>
          <w:tcPr>
            <w:tcW w:w="7340" w:type="dxa"/>
            <w:tcBorders/>
            <w:shd w:fill="FFFFFF" w:val="clear"/>
            <w:vAlign w:val="center"/>
          </w:tcPr>
          <w:p>
            <w:pPr>
              <w:pStyle w:val="TableContents"/>
              <w:bidi w:val="0"/>
              <w:spacing w:before="0" w:after="283"/>
              <w:jc w:val="left"/>
              <w:rPr>
                <w:b/>
              </w:rPr>
            </w:pPr>
            <w:r>
              <w:rPr>
                <w:b/>
              </w:rPr>
              <w:t>Description</w:t>
            </w:r>
          </w:p>
        </w:tc>
      </w:tr>
      <w:tr>
        <w:trPr/>
        <w:tc>
          <w:tcPr>
            <w:tcW w:w="1265" w:type="dxa"/>
            <w:tcBorders/>
            <w:shd w:fill="FFFFFF" w:val="clear"/>
            <w:vAlign w:val="center"/>
          </w:tcPr>
          <w:p>
            <w:pPr>
              <w:pStyle w:val="TableContents"/>
              <w:bidi w:val="0"/>
              <w:spacing w:before="0" w:after="283"/>
              <w:jc w:val="left"/>
              <w:rPr/>
            </w:pPr>
            <w:hyperlink w:anchor="tm247433d1_ex3-1.htm">
              <w:r>
                <w:rPr>
                  <w:rStyle w:val="InternetLink"/>
                </w:rPr>
                <w:t>3.1</w:t>
              </w:r>
            </w:hyperlink>
          </w:p>
        </w:tc>
        <w:tc>
          <w:tcPr>
            <w:tcW w:w="60" w:type="dxa"/>
            <w:tcBorders/>
            <w:shd w:fill="FFFFFF" w:val="clear"/>
            <w:vAlign w:val="center"/>
          </w:tcPr>
          <w:p>
            <w:pPr>
              <w:pStyle w:val="TableContents"/>
              <w:bidi w:val="0"/>
              <w:spacing w:before="0" w:after="283"/>
              <w:jc w:val="left"/>
              <w:rPr/>
            </w:pPr>
            <w:r>
              <w:rPr/>
              <w:t> </w:t>
            </w:r>
          </w:p>
        </w:tc>
        <w:tc>
          <w:tcPr>
            <w:tcW w:w="7340" w:type="dxa"/>
            <w:tcBorders/>
            <w:shd w:fill="FFFFFF" w:val="clear"/>
            <w:vAlign w:val="center"/>
          </w:tcPr>
          <w:p>
            <w:pPr>
              <w:pStyle w:val="TableContents"/>
              <w:bidi w:val="0"/>
              <w:spacing w:before="0" w:after="283"/>
              <w:jc w:val="left"/>
              <w:rPr/>
            </w:pPr>
            <w:hyperlink w:anchor="tm247433d1_ex3-1.htm">
              <w:r>
                <w:rPr>
                  <w:rStyle w:val="InternetLink"/>
                </w:rPr>
                <w:t xml:space="preserve">Amendment to Second Amended and Restated Certificate of Incorporation. </w:t>
              </w:r>
            </w:hyperlink>
          </w:p>
        </w:tc>
      </w:tr>
      <w:tr>
        <w:trPr/>
        <w:tc>
          <w:tcPr>
            <w:tcW w:w="1265" w:type="dxa"/>
            <w:tcBorders/>
            <w:shd w:fill="FFFFFF" w:val="clear"/>
            <w:vAlign w:val="center"/>
          </w:tcPr>
          <w:p>
            <w:pPr>
              <w:pStyle w:val="TableContents"/>
              <w:bidi w:val="0"/>
              <w:spacing w:before="0" w:after="283"/>
              <w:jc w:val="left"/>
              <w:rPr/>
            </w:pPr>
            <w:hyperlink w:anchor="tm247433d1_ex99-1.htm">
              <w:r>
                <w:rPr>
                  <w:rStyle w:val="InternetLink"/>
                </w:rPr>
                <w:t>99.1</w:t>
              </w:r>
            </w:hyperlink>
          </w:p>
        </w:tc>
        <w:tc>
          <w:tcPr>
            <w:tcW w:w="60" w:type="dxa"/>
            <w:tcBorders/>
            <w:shd w:fill="FFFFFF" w:val="clear"/>
            <w:vAlign w:val="center"/>
          </w:tcPr>
          <w:p>
            <w:pPr>
              <w:pStyle w:val="TableContents"/>
              <w:bidi w:val="0"/>
              <w:spacing w:before="0" w:after="283"/>
              <w:jc w:val="left"/>
              <w:rPr/>
            </w:pPr>
            <w:r>
              <w:rPr/>
              <w:t> </w:t>
            </w:r>
          </w:p>
        </w:tc>
        <w:tc>
          <w:tcPr>
            <w:tcW w:w="7340" w:type="dxa"/>
            <w:tcBorders/>
            <w:shd w:fill="FFFFFF" w:val="clear"/>
            <w:vAlign w:val="center"/>
          </w:tcPr>
          <w:p>
            <w:pPr>
              <w:pStyle w:val="TableContents"/>
              <w:bidi w:val="0"/>
              <w:spacing w:before="0" w:after="283"/>
              <w:jc w:val="left"/>
              <w:rPr/>
            </w:pPr>
            <w:hyperlink w:anchor="tm247433d1_ex99-1.htm">
              <w:r>
                <w:rPr>
                  <w:rStyle w:val="InternetLink"/>
                </w:rPr>
                <w:t>Press Release, dated February 29, 2024.</w:t>
              </w:r>
            </w:hyperlink>
          </w:p>
        </w:tc>
      </w:tr>
      <w:tr>
        <w:trPr/>
        <w:tc>
          <w:tcPr>
            <w:tcW w:w="1265" w:type="dxa"/>
            <w:tcBorders/>
            <w:shd w:fill="FFFFFF" w:val="clear"/>
            <w:vAlign w:val="center"/>
          </w:tcPr>
          <w:p>
            <w:pPr>
              <w:pStyle w:val="TableContents"/>
              <w:bidi w:val="0"/>
              <w:spacing w:before="0" w:after="283"/>
              <w:jc w:val="left"/>
              <w:rPr/>
            </w:pPr>
            <w:r>
              <w:rPr/>
              <w:t>104</w:t>
            </w:r>
          </w:p>
        </w:tc>
        <w:tc>
          <w:tcPr>
            <w:tcW w:w="60" w:type="dxa"/>
            <w:tcBorders/>
            <w:shd w:fill="FFFFFF" w:val="clear"/>
            <w:vAlign w:val="center"/>
          </w:tcPr>
          <w:p>
            <w:pPr>
              <w:pStyle w:val="TableContents"/>
              <w:bidi w:val="0"/>
              <w:spacing w:before="0" w:after="283"/>
              <w:jc w:val="left"/>
              <w:rPr/>
            </w:pPr>
            <w:r>
              <w:rPr/>
              <w:t> </w:t>
            </w:r>
          </w:p>
        </w:tc>
        <w:tc>
          <w:tcPr>
            <w:tcW w:w="7340" w:type="dxa"/>
            <w:tcBorders/>
            <w:shd w:fill="FFFFFF" w:val="clear"/>
            <w:vAlign w:val="center"/>
          </w:tcPr>
          <w:p>
            <w:pPr>
              <w:pStyle w:val="TableContents"/>
              <w:bidi w:val="0"/>
              <w:spacing w:before="0" w:after="283"/>
              <w:jc w:val="left"/>
              <w:rPr/>
            </w:pPr>
            <w:r>
              <w:rPr/>
              <w:t>Cover Page Interactive Data File (embedded within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525" w:type="dxa"/>
        <w:jc w:val="left"/>
        <w:tblInd w:w="0" w:type="dxa"/>
        <w:tblLayout w:type="fixed"/>
        <w:tblCellMar>
          <w:top w:w="0" w:type="dxa"/>
          <w:left w:w="0" w:type="dxa"/>
          <w:bottom w:w="0" w:type="dxa"/>
          <w:right w:w="0" w:type="dxa"/>
        </w:tblCellMar>
      </w:tblPr>
      <w:tblGrid>
        <w:gridCol w:w="75"/>
        <w:gridCol w:w="320"/>
        <w:gridCol w:w="545"/>
        <w:gridCol w:w="2585"/>
      </w:tblGrid>
      <w:tr>
        <w:trPr/>
        <w:tc>
          <w:tcPr>
            <w:tcW w:w="75" w:type="dxa"/>
            <w:tcBorders/>
            <w:vAlign w:val="center"/>
          </w:tcPr>
          <w:p>
            <w:pPr>
              <w:pStyle w:val="TableContents"/>
              <w:bidi w:val="0"/>
              <w:spacing w:before="0" w:after="283"/>
              <w:jc w:val="left"/>
              <w:rPr/>
            </w:pPr>
            <w:r>
              <w:rPr/>
              <w:t> </w:t>
            </w:r>
          </w:p>
        </w:tc>
        <w:tc>
          <w:tcPr>
            <w:tcW w:w="3450" w:type="dxa"/>
            <w:gridSpan w:val="3"/>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34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130"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585" w:type="dxa"/>
            <w:tcBorders/>
            <w:vAlign w:val="center"/>
          </w:tcPr>
          <w:p>
            <w:pPr>
              <w:pStyle w:val="TableContents"/>
              <w:bidi w:val="0"/>
              <w:spacing w:before="0" w:after="283"/>
              <w:jc w:val="left"/>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585" w:type="dxa"/>
            <w:tcBorders/>
            <w:vAlign w:val="center"/>
          </w:tcPr>
          <w:p>
            <w:pPr>
              <w:pStyle w:val="TableContents"/>
              <w:bidi w:val="0"/>
              <w:spacing w:before="0" w:after="283"/>
              <w:jc w:val="left"/>
              <w:rPr>
                <w:sz w:val="20"/>
              </w:rPr>
            </w:pPr>
            <w:r>
              <w:rPr>
                <w:sz w:val="20"/>
              </w:rPr>
              <w:t>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47433d1_ex3-1.htm"/>
      <w:bookmarkStart w:id="27" w:name="kstm247433d1_ex31"/>
      <w:bookmarkEnd w:id="26"/>
      <w:bookmarkEnd w:id="27"/>
      <w:r>
        <w:rPr/>
        <w:t> </w:t>
      </w:r>
      <w:r>
        <w:br w:type="page"/>
      </w:r>
    </w:p>
    <w:p>
      <w:pPr>
        <w:pStyle w:val="TextBody"/>
        <w:bidi w:val="0"/>
        <w:jc w:val="right"/>
        <w:rPr>
          <w:b/>
          <w:sz w:val="20"/>
        </w:rPr>
      </w:pPr>
      <w:r>
        <w:rPr>
          <w:b/>
          <w:sz w:val="20"/>
        </w:rPr>
        <w:t>Exhibit 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the Second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(the “Corporation”), a corporation organized and existing under the General Corporation Law of the State of Delaware, hereby certifies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Certificate of Amendment (the “Certificate of Amendment”) amends the provisions of the Corporation’s Second Amended and Restated Certificate of Incorporation filed with the Secretary of State on September 21, 2022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4.1.1 of the Certificate of Incorporation is hereby amended and restated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4.1.1 The total number of shares of all classes of stock that the Corporation has authority to issue is 100,001,500,000 shares, consisting of two classes: 100,000,000,000 shares of Common Stock, $0.0001 par value per share (“Common Stock”), and 1,500,000 shares of Preferred Stock, $0.0001 par value per share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amendment was duly adopted in accordance with the provisions of Section 242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other provisions of the Certificate of Incorporation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signed by Susan Shinoff, its General Counsel, this 27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February, 2024.</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320"/>
        <w:gridCol w:w="3230"/>
      </w:tblGrid>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Susan Shinoff</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Shinoff</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8" w:name="tm247433d1_ex99-1.htm"/>
      <w:bookmarkStart w:id="29" w:name="kstm247433d1_ex991"/>
      <w:bookmarkEnd w:id="28"/>
      <w:bookmarkEnd w:id="29"/>
      <w:r>
        <w:rPr>
          <w:b/>
          <w:sz w:val="20"/>
        </w:rPr>
        <w:t>Exhibit 99.1</w:t>
      </w:r>
      <w:r>
        <w:br w:type="page"/>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Announces Pricing of $2.1M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 29,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Carlos, California, Feb. 29, 2024 (GLOBE NEWSWIRE) – Presto Automation Inc. (“Presto” or the “Company”) (NASDAQ: PRST), one of the largest AI and automation technology providers to the restaurant industry,, announced today that it has entered into a securities purchase agreement with institutional investors, providing for the purchase and sale of 8,533,000 shares of common stock in a registered direct offering, at a price per share of $0.25. The offering is expected to close on or about March 4, 2024,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Chardan Capital Markets LLC and Spartan Capital Securities, LLC are acting as the placement agents (the “Placement Agents”)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to Presto from this offering are expected to be approximately $2.1 million, before deducting the Placement Agents’ fees and other offering expenses payable by Presto. Presto intends to use the net proceeds from this offering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offering is being made pursuant to a shelf registration statement on Form S-3 (File No. 333-275112) (including a base prospectus) previously filed with the Securities and Exchange Commission (the “SEC”) on October 20, 2023 and declared effective by the SEC on October 30, 2023. A prospectus supplement and the accompanying base prospectus relating to and describing the terms of the offering will be filed with the SEC and will be available on the SEC’s website at www.sec.gov. When available, copies of the prospectus supplement and the accompanying base prospectus relating to the offering may also be obtained by contacting Chardan Capital Markets, LLC, Attn: Capital Markets, 17 State Street, Suite 2100, New York, New York 10004, by email at </w:t>
      </w:r>
      <w:r>
        <w:rPr>
          <w:rFonts w:ascii="Times New Roman;Times;Serif" w:hAnsi="Times New Roman;Times;Serif"/>
          <w:b w:val="false"/>
          <w:i w:val="false"/>
          <w:caps w:val="false"/>
          <w:smallCaps w:val="false"/>
          <w:sz w:val="20"/>
          <w:u w:val="single"/>
        </w:rPr>
        <w:t>prospectus@chardan.com</w:t>
      </w:r>
      <w:r>
        <w:rPr>
          <w:rFonts w:ascii="Times New Roman;Times;Serif" w:hAnsi="Times New Roman;Times;Serif"/>
          <w:b w:val="false"/>
          <w:i w:val="false"/>
          <w:caps w:val="false"/>
          <w:smallCaps w:val="false"/>
          <w:sz w:val="20"/>
        </w:rPr>
        <w:t xml:space="preserve"> and Spartan Capital Securities, LLC, 45 Broadway, New York, NY 10006, at (212) 293-0123.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Presto Automation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(Nasdaq: PRST) provides enterprise-grade AI and automation solutions to the restaurant industry. Presto’s solutions are designed to decrease labor costs, improve staff productivity, increase revenue, and enhance the guest experience. Presto offers its AI solution, Presto Voice™, to quick service restaurants (QSR) and its pay-at-table tablet solution, Presto Touch, to casual dining chains. Some of the most recognized restaurant names in the United States are among Presto’s customers, including Carl’s Jr., Hardee’s, and Checkers for Presto Voice™.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press release, regarding including statements about the closing of the offering, are forward-looking statements. When used in this press release,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press release are subject to risks and uncertainties, including but not limited to, the Company’s ability to secure additional capital resources, the Company’s ability to compete successfully to maintain the relationship with Checkers, the Company’s ability to continue to roll out its AI technology with current franchisees, the Company’s ability to engage with new customers for its AI technology, including: the uncertainties related to market conditions and the completion of the offering on the anticipated terms or at all and such other factors and those additional risks and uncertainties discussed under the heading “Risk Factors” in the Form 10-K filed by the Company with the Securities and Exchange Commission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press release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press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Presto Automation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and Media Contacts: investors@presto.com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2519</Words>
  <Characters>13825</Characters>
  <CharactersWithSpaces>16435</CharactersWithSpaces>
  <Paragraphs>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