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5632d1_8k.htm"/>
      <w:bookmarkStart w:id="1" w:name="kstm24563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A_edei--DocumentType_c2024020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February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bookmarkStart w:id="4" w:name="xdx_905_edei--EntityRegistrantName_c2024"/>
      <w:bookmarkEnd w:id="4"/>
      <w:r>
        <w:rPr>
          <w:rFonts w:ascii="Times New Roman;Times;Serif" w:hAnsi="Times New Roman;Times;Serif"/>
          <w:b/>
          <w:i w:val="false"/>
          <w:caps w:val="false"/>
          <w:smallCaps w:val="false"/>
          <w:sz w:val="28"/>
        </w:rPr>
        <w:t>Presto Automation Inc.</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8" w:space="0" w:color="000000"/>
            </w:tcBorders>
            <w:vAlign w:val="center"/>
          </w:tcPr>
          <w:p>
            <w:pPr>
              <w:pStyle w:val="TableContents"/>
              <w:bidi w:val="0"/>
              <w:spacing w:before="0" w:after="283"/>
              <w:jc w:val="center"/>
              <w:rPr>
                <w:b/>
              </w:rPr>
            </w:pPr>
            <w:bookmarkStart w:id="5" w:name="xdx_90A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8" w:space="0" w:color="000000"/>
            </w:tcBorders>
            <w:vAlign w:val="center"/>
          </w:tcPr>
          <w:p>
            <w:pPr>
              <w:pStyle w:val="TableContents"/>
              <w:bidi w:val="0"/>
              <w:spacing w:before="0" w:after="283"/>
              <w:jc w:val="center"/>
              <w:rPr>
                <w:b/>
              </w:rPr>
            </w:pPr>
            <w:bookmarkStart w:id="6" w:name="xdx_90C_edei--EntityFileNumber_c20240204"/>
            <w:bookmarkEnd w:id="6"/>
            <w:r>
              <w:rPr>
                <w:b/>
              </w:rPr>
              <w:t>001-39830</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A_edei--EntityTaxIdentificationNum"/>
            <w:bookmarkEnd w:id="7"/>
            <w:r>
              <w:rPr>
                <w:b/>
              </w:rPr>
              <w:t>84-2968594</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985 Industrial Road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San Carlos, </w:t>
      </w:r>
      <w:bookmarkStart w:id="10" w:name="xdx_905_edei--EntityAddressStateOrProvin"/>
      <w:bookmarkEnd w:id="10"/>
      <w:r>
        <w:rPr>
          <w:rFonts w:ascii="Times New Roman;Times;Serif" w:hAnsi="Times New Roman;Times;Serif"/>
          <w:b/>
          <w:i w:val="false"/>
          <w:caps w:val="false"/>
          <w:smallCaps w:val="false"/>
          <w:sz w:val="20"/>
        </w:rPr>
        <w:t xml:space="preserve">CA </w:t>
      </w:r>
      <w:bookmarkStart w:id="11" w:name="xdx_903_edei--EntityAddressPostalZipCode"/>
      <w:bookmarkEnd w:id="11"/>
      <w:r>
        <w:rPr>
          <w:rFonts w:ascii="Times New Roman;Times;Serif" w:hAnsi="Times New Roman;Times;Serif"/>
          <w:b/>
          <w:i w:val="false"/>
          <w:caps w:val="false"/>
          <w:smallCaps w:val="false"/>
          <w:sz w:val="20"/>
        </w:rPr>
        <w:t>94070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r>
        <w:rPr>
          <w:rFonts w:ascii="Times New Roman;Times;Serif" w:hAnsi="Times New Roman;Times;Serif"/>
          <w:b/>
          <w:i w:val="false"/>
          <w:caps w:val="false"/>
          <w:smallCaps w:val="false"/>
          <w:sz w:val="20"/>
        </w:rPr>
        <w:t>: (</w:t>
      </w:r>
      <w:bookmarkStart w:id="12" w:name="xdx_905_edei--CityAreaCode_c20240204__20"/>
      <w:bookmarkEnd w:id="12"/>
      <w:r>
        <w:rPr>
          <w:rFonts w:ascii="Times New Roman;Times;Serif" w:hAnsi="Times New Roman;Times;Serif"/>
          <w:b/>
          <w:i w:val="false"/>
          <w:caps w:val="false"/>
          <w:smallCaps w:val="false"/>
          <w:sz w:val="20"/>
        </w:rPr>
        <w:t xml:space="preserve">650) </w:t>
      </w:r>
      <w:bookmarkStart w:id="13" w:name="xdx_906_edei--LocalPhoneNumber_c20240204"/>
      <w:bookmarkEnd w:id="13"/>
      <w:r>
        <w:rPr>
          <w:rFonts w:ascii="Times New Roman;Times;Serif" w:hAnsi="Times New Roman;Times;Serif"/>
          <w:b/>
          <w:i w:val="false"/>
          <w:caps w:val="false"/>
          <w:smallCaps w:val="false"/>
          <w:sz w:val="20"/>
        </w:rPr>
        <w:t>817-9012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5_edei--SolicitingMaterial_c202402"/>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F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267"/>
        <w:gridCol w:w="60"/>
        <w:gridCol w:w="1005"/>
        <w:gridCol w:w="60"/>
        <w:gridCol w:w="2813"/>
      </w:tblGrid>
      <w:tr>
        <w:trPr/>
        <w:tc>
          <w:tcPr>
            <w:tcW w:w="6267"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0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2813" w:type="dxa"/>
            <w:tcBorders>
              <w:bottom w:val="single" w:sz="8" w:space="0" w:color="000000"/>
            </w:tcBorders>
            <w:vAlign w:val="center"/>
          </w:tcPr>
          <w:p>
            <w:pPr>
              <w:pStyle w:val="TableContents"/>
              <w:bidi w:val="0"/>
              <w:spacing w:before="0" w:after="283"/>
              <w:jc w:val="center"/>
              <w:rPr>
                <w:b/>
              </w:rPr>
            </w:pPr>
            <w:r>
              <w:rPr>
                <w:b/>
              </w:rPr>
              <w:t>Name of each exchange on</w:t>
              <w:br/>
              <w:t xml:space="preserve">which </w:t>
              <w:br/>
              <w:t>registered</w:t>
            </w:r>
          </w:p>
        </w:tc>
      </w:tr>
      <w:tr>
        <w:trPr/>
        <w:tc>
          <w:tcPr>
            <w:tcW w:w="6267" w:type="dxa"/>
            <w:tcBorders/>
            <w:shd w:fill="FFFFFF" w:val="clear"/>
            <w:tcMar>
              <w:bottom w:w="0" w:type="dxa"/>
            </w:tcMar>
            <w:vAlign w:val="center"/>
          </w:tcPr>
          <w:p>
            <w:pPr>
              <w:pStyle w:val="TableContents"/>
              <w:bidi w:val="0"/>
              <w:spacing w:before="0" w:after="283"/>
              <w:jc w:val="center"/>
              <w:rPr/>
            </w:pPr>
            <w:bookmarkStart w:id="18" w:name="xdx_902_edei--Security12bTitle_c20240204"/>
            <w:bookmarkEnd w:id="18"/>
            <w:r>
              <w:rPr/>
              <w:t>Common stock, par value $0.0001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05" w:type="dxa"/>
            <w:tcBorders/>
            <w:shd w:fill="FFFFFF" w:val="clear"/>
            <w:tcMar>
              <w:bottom w:w="0" w:type="dxa"/>
            </w:tcMar>
            <w:vAlign w:val="center"/>
          </w:tcPr>
          <w:p>
            <w:pPr>
              <w:pStyle w:val="TableContents"/>
              <w:bidi w:val="0"/>
              <w:spacing w:before="0" w:after="283"/>
              <w:jc w:val="center"/>
              <w:rPr/>
            </w:pPr>
            <w:bookmarkStart w:id="19" w:name="xdx_901_edei--TradingSymbol_c20240204__2"/>
            <w:bookmarkEnd w:id="19"/>
            <w:r>
              <w:rPr/>
              <w:t>PRST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813" w:type="dxa"/>
            <w:tcBorders/>
            <w:shd w:fill="FFFFFF" w:val="clear"/>
            <w:tcMar>
              <w:bottom w:w="0" w:type="dxa"/>
            </w:tcMar>
            <w:vAlign w:val="center"/>
          </w:tcPr>
          <w:p>
            <w:pPr>
              <w:pStyle w:val="TableContents"/>
              <w:bidi w:val="0"/>
              <w:spacing w:before="0" w:after="283"/>
              <w:jc w:val="center"/>
              <w:rPr/>
            </w:pPr>
            <w:bookmarkStart w:id="20" w:name="xdx_90C_edei--SecurityExchangeName_c2024"/>
            <w:bookmarkEnd w:id="20"/>
            <w:r>
              <w:rPr/>
              <w:t>The Nasdaq Stock Market LLC</w:t>
            </w:r>
          </w:p>
        </w:tc>
      </w:tr>
      <w:tr>
        <w:trPr/>
        <w:tc>
          <w:tcPr>
            <w:tcW w:w="6267" w:type="dxa"/>
            <w:tcBorders/>
            <w:tcMar>
              <w:bottom w:w="0" w:type="dxa"/>
            </w:tcMar>
            <w:vAlign w:val="center"/>
          </w:tcPr>
          <w:p>
            <w:pPr>
              <w:pStyle w:val="TableContents"/>
              <w:bidi w:val="0"/>
              <w:spacing w:before="0" w:after="283"/>
              <w:jc w:val="center"/>
              <w:rPr/>
            </w:pPr>
            <w:bookmarkStart w:id="21" w:name="xdx_908_edei--Security12bTitle_c20240204"/>
            <w:bookmarkEnd w:id="21"/>
            <w:r>
              <w:rPr/>
              <w:t>Warrants, each whole warrant exercisable for one share of common stock</w:t>
            </w:r>
          </w:p>
        </w:tc>
        <w:tc>
          <w:tcPr>
            <w:tcW w:w="60" w:type="dxa"/>
            <w:tcBorders/>
            <w:tcMar>
              <w:bottom w:w="0" w:type="dxa"/>
            </w:tcMar>
            <w:vAlign w:val="center"/>
          </w:tcPr>
          <w:p>
            <w:pPr>
              <w:pStyle w:val="TableContents"/>
              <w:bidi w:val="0"/>
              <w:spacing w:before="0" w:after="283"/>
              <w:jc w:val="center"/>
              <w:rPr/>
            </w:pPr>
            <w:r>
              <w:rPr/>
              <w:t> </w:t>
            </w:r>
          </w:p>
        </w:tc>
        <w:tc>
          <w:tcPr>
            <w:tcW w:w="1005" w:type="dxa"/>
            <w:tcBorders/>
            <w:tcMar>
              <w:bottom w:w="0" w:type="dxa"/>
            </w:tcMar>
            <w:vAlign w:val="center"/>
          </w:tcPr>
          <w:p>
            <w:pPr>
              <w:pStyle w:val="TableContents"/>
              <w:bidi w:val="0"/>
              <w:spacing w:before="0" w:after="283"/>
              <w:jc w:val="center"/>
              <w:rPr/>
            </w:pPr>
            <w:bookmarkStart w:id="22" w:name="xdx_901_edei--TradingSymbol_c20240204__2"/>
            <w:bookmarkEnd w:id="22"/>
            <w:r>
              <w:rPr/>
              <w:t>PRSTW</w:t>
            </w:r>
          </w:p>
        </w:tc>
        <w:tc>
          <w:tcPr>
            <w:tcW w:w="60" w:type="dxa"/>
            <w:tcBorders/>
            <w:tcMar>
              <w:bottom w:w="0" w:type="dxa"/>
            </w:tcMar>
            <w:vAlign w:val="center"/>
          </w:tcPr>
          <w:p>
            <w:pPr>
              <w:pStyle w:val="TableContents"/>
              <w:bidi w:val="0"/>
              <w:spacing w:before="0" w:after="283"/>
              <w:jc w:val="center"/>
              <w:rPr/>
            </w:pPr>
            <w:r>
              <w:rPr/>
              <w:t> </w:t>
            </w:r>
          </w:p>
        </w:tc>
        <w:tc>
          <w:tcPr>
            <w:tcW w:w="2813" w:type="dxa"/>
            <w:tcBorders/>
            <w:tcMar>
              <w:bottom w:w="0" w:type="dxa"/>
            </w:tcMar>
            <w:vAlign w:val="center"/>
          </w:tcPr>
          <w:p>
            <w:pPr>
              <w:pStyle w:val="TableContents"/>
              <w:bidi w:val="0"/>
              <w:spacing w:before="0" w:after="283"/>
              <w:jc w:val="center"/>
              <w:rPr/>
            </w:pPr>
            <w:bookmarkStart w:id="23" w:name="xdx_906_edei--SecurityExchangeName_c2024"/>
            <w:bookmarkEnd w:id="23"/>
            <w:r>
              <w:rPr/>
              <w:t>The 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A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1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2024, Presto Automation Inc. (the “Company”) received a notice (the “Notice”) from The Nasdaq Stock Market LLC (“Nasdaq”) stating that the Company is not in compliance with the requirement to maintain a minimum Market Value of Listed Securities (“MVLS”) of $50 million, as set forth in Nasdaq Listing Rule 5450(b)(2)(A) (the “MVLS Requirement”), because the MVLS of the Company was below $50 million for the 30 consecutive business days prior to the date of the Notice. Nasdaq further indicated that, as of the date of the Notice, the Company did not comply with certain requirements under the alternative standards set forth in Nasdaq Listing Rule 5450(b)(3)(A) for continued listing on the Nasdaq Global Market. The Notice is in addition to the previously disclosed letter received on December 28, 2023, notifying the Company that it was not in compliance with the requirement to maintain a minimum bid price of $1.00 per share, as set forth in Nasdaq Listing Rule 5450(a)(1).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does not impact the listing of the Common Stock on The Nasdaq Global Market at this time. The Notice provided that, in accordance with Nasdaq Listing Rule 5810(c)(3)(C), the Company has a period of 180 calendar days from the date of the Notice, or until August 5, 2024, to regain compliance with the MVLS Requirement. During this period, the Common Stock will continue to trade on The Nasdaq Global Market. If at any time before August 5, 2024 the MVLS closes at $50 million or more for a minimum of ten consecutive business days, Nasdaq will provide written notification that the Company has achieved compliance with the MVLS Requirement and the matter will be closed.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Company does not regain compliance by August 5, 2024, the Company will receive written notification that its securities are subject to delisting. At that time, the Company may appeal the delisting determination to a Hearings Panel. The Notice provides that the Company may be eligible to transfer the listing of its securities to The Nasdaq Capital Market (provided that it then satisfies the requirements for continued listing on that market).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actively monitor its MVLS and will evaluate available options to regain compliance with the MVLS Requirement. However, there can be no assurance that the Company will be able to regain compliance with the MVLS Requirement or maintain compliance with any of the other Nasdaq continued listing requirements.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2024, Xavier Casanova provided notice to the board of directors of the Company of his decision to resign as Chief Executive Officer (“CEO”) of the Company and all other positions held at the Company, effective immediately. Pursuant to the Forbearance Agreement and Fourth Amendment to the Credit Agreement dated January 22, 2024 by and among the Company and Metropolitan Partners Group Administration, LLC, as administrative, agent and collateral agent (the “Agent”), the Company is required to appoint a chief restructuring officer or person with significant restructuring, turnaround and insolvency experience reasonably acceptable to the Agent by no later than February 16, 2024. The Company is in the process of identifying suitable candidates to serve as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Update to Presentation of Restaurant Locations following Amendment to Cooperation Agreement with Hi Auto Ltd.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2021, the Company and Hi Auto Ltd. (“Hi Auto”) entered into a Cooperation Agreement pursuant to which Hi Auto supplies the AI technology used at approximately 347 Checkers and franchisee locations. On January 29, 2024, the parties reached an amicable agreement to amend certain aspects of the Cooperation Agreement following receipt of a notice from Hi Auto to the Company purporting to terminate the Cooperation Agreement based on various alleged breaches. In connection with the amendment, the Company has agreed that, commencing on May 1, 2024, the Company and Hi Auto will be permitted to compete for the Checkers relationship, including franchisee locations. For that reason, the Company has broken out below Checkers locations separately from its other locations.</w:t>
      </w:r>
    </w:p>
    <w:p>
      <w:pPr>
        <w:pStyle w:val="TextBody"/>
        <w:bidi w:val="0"/>
        <w:spacing w:before="0" w:after="0"/>
        <w:ind w:left="0" w:right="0" w:hanging="0"/>
        <w:jc w:val="left"/>
        <w:rPr>
          <w:caps w:val="false"/>
          <w:smallCaps w:val="false"/>
        </w:rPr>
      </w:pPr>
      <w:r>
        <w:rPr>
          <w:caps w:val="false"/>
          <w:smallCaps w:val="false"/>
        </w:rPr>
        <w:t> </w:t>
      </w:r>
    </w:p>
    <w:tbl>
      <w:tblPr>
        <w:tblW w:w="7215" w:type="dxa"/>
        <w:jc w:val="left"/>
        <w:tblInd w:w="0" w:type="dxa"/>
        <w:tblLayout w:type="fixed"/>
        <w:tblCellMar>
          <w:top w:w="0" w:type="dxa"/>
          <w:left w:w="0" w:type="dxa"/>
          <w:bottom w:w="0" w:type="dxa"/>
          <w:right w:w="0" w:type="dxa"/>
        </w:tblCellMar>
      </w:tblPr>
      <w:tblGrid>
        <w:gridCol w:w="2420"/>
        <w:gridCol w:w="60"/>
        <w:gridCol w:w="335"/>
        <w:gridCol w:w="60"/>
        <w:gridCol w:w="60"/>
        <w:gridCol w:w="335"/>
        <w:gridCol w:w="60"/>
        <w:gridCol w:w="60"/>
        <w:gridCol w:w="335"/>
        <w:gridCol w:w="125"/>
        <w:gridCol w:w="60"/>
        <w:gridCol w:w="485"/>
        <w:gridCol w:w="125"/>
        <w:gridCol w:w="60"/>
        <w:gridCol w:w="485"/>
        <w:gridCol w:w="125"/>
        <w:gridCol w:w="60"/>
        <w:gridCol w:w="485"/>
        <w:gridCol w:w="125"/>
        <w:gridCol w:w="60"/>
        <w:gridCol w:w="485"/>
        <w:gridCol w:w="125"/>
        <w:gridCol w:w="60"/>
        <w:gridCol w:w="485"/>
        <w:gridCol w:w="140"/>
      </w:tblGrid>
      <w:tr>
        <w:trPr/>
        <w:tc>
          <w:tcPr>
            <w:tcW w:w="2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1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2024</w:t>
            </w:r>
          </w:p>
        </w:tc>
        <w:tc>
          <w:tcPr>
            <w:tcW w:w="1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Calendar 2025</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Q2</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Q4</w:t>
            </w:r>
          </w:p>
        </w:tc>
        <w:tc>
          <w:tcPr>
            <w:tcW w:w="14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Technology Locations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1,251</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1,948</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2,328</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Checkers Locations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w:t>
            </w:r>
          </w:p>
        </w:tc>
        <w:tc>
          <w:tcPr>
            <w:tcW w:w="1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2,250</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After May 1, 2024, the Company intends to compete with Hi Auto for the Checkers relationship, but it is probable that the Company will be unable to retain all of these locations or execute the retention plan on this timeframe.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amendment of the Cooperation Agreement will not have a material adverse effect on the financial prospects of the Company. The Company’s previously-issued projected annualized run rate (PARR) of $17.6 million would be reduced by $0.9 million to $16.7 million (based on a revised store count projection of 998 stores by the end of calendar 2024), assuming that the Company does not retain any of the Checkers locations as of the third quarter of calendar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PARR as the annualized revenue of contracts for its Presto Voice AI solution that are projected to be in effect at the end of the relevant period. As of February 7, 2024, PARR reflects 145 currently contracted locations with 876 additional projected contracted locations by the end of calendar 2024. As a result, a significant portion of the PARR is based on the Company’s expectation that it will roll out additional locations. The Company’s pricing assumptions reflect its experience with recent additions of new 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PARR is a useful measure of overall expected volume at a particular point in time and of changes in the volume of business over time because it allows investors to understand how the Company expects its business to scale and eliminates the time impact associated with the signing of new contracts during a quarterly or annual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Voice contracts are generally for 12-month terms and can be terminated upon two months’ or two quarters’ notice or on a location-by-location basis, respectively, if minimum service levels are not maintained. The contracts have “evergreen” provisions that extend their term automatically unless the customer provides notification of non-renewal. Therefore, unless a notice of non-renewal has been received, the Company’s PARR calculation assumes that each contract in place currently will continue through the end of the relevant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the Company’s ability to compete successfully to maintain the relationship with Checkers, the Company’s ability to continue to roll out its AI technology with current franchisees, the Company’s ability to engage with new customers for its AI technology, and those additional risks and uncertainties discussed under the heading “Risk Factors” in the Form 10-K filed by the Company with the Securities and Exchange Commission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exhibits are provided as part of this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145"/>
        <w:gridCol w:w="7475"/>
      </w:tblGrid>
      <w:tr>
        <w:trPr/>
        <w:tc>
          <w:tcPr>
            <w:tcW w:w="1145" w:type="dxa"/>
            <w:tcBorders/>
            <w:vAlign w:val="center"/>
          </w:tcPr>
          <w:p>
            <w:pPr>
              <w:pStyle w:val="TableContents"/>
              <w:bidi w:val="0"/>
              <w:spacing w:before="0" w:after="283"/>
              <w:jc w:val="left"/>
              <w:rPr>
                <w:u w:val="single"/>
              </w:rPr>
            </w:pPr>
            <w:r>
              <w:rPr>
                <w:u w:val="single"/>
              </w:rPr>
              <w:t>Exhibit No.</w:t>
            </w:r>
          </w:p>
        </w:tc>
        <w:tc>
          <w:tcPr>
            <w:tcW w:w="7475" w:type="dxa"/>
            <w:tcBorders/>
            <w:vAlign w:val="center"/>
          </w:tcPr>
          <w:p>
            <w:pPr>
              <w:pStyle w:val="TableContents"/>
              <w:bidi w:val="0"/>
              <w:spacing w:before="0" w:after="283"/>
              <w:jc w:val="left"/>
              <w:rPr>
                <w:u w:val="single"/>
              </w:rPr>
            </w:pPr>
            <w:r>
              <w:rPr>
                <w:u w:val="single"/>
              </w:rPr>
              <w:t>Description</w:t>
            </w:r>
          </w:p>
        </w:tc>
      </w:tr>
      <w:tr>
        <w:trPr/>
        <w:tc>
          <w:tcPr>
            <w:tcW w:w="1145" w:type="dxa"/>
            <w:tcBorders/>
            <w:vAlign w:val="center"/>
          </w:tcPr>
          <w:p>
            <w:pPr>
              <w:pStyle w:val="TableContents"/>
              <w:bidi w:val="0"/>
              <w:spacing w:before="0" w:after="283"/>
              <w:jc w:val="left"/>
              <w:rPr/>
            </w:pPr>
            <w:r>
              <w:rPr/>
              <w:t>104</w:t>
            </w:r>
          </w:p>
        </w:tc>
        <w:tc>
          <w:tcPr>
            <w:tcW w:w="747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320" w:type="dxa"/>
        <w:jc w:val="left"/>
        <w:tblInd w:w="0" w:type="dxa"/>
        <w:tblLayout w:type="fixed"/>
        <w:tblCellMar>
          <w:top w:w="0" w:type="dxa"/>
          <w:left w:w="0" w:type="dxa"/>
          <w:bottom w:w="0" w:type="dxa"/>
          <w:right w:w="0" w:type="dxa"/>
        </w:tblCellMar>
      </w:tblPr>
      <w:tblGrid>
        <w:gridCol w:w="75"/>
        <w:gridCol w:w="320"/>
        <w:gridCol w:w="545"/>
        <w:gridCol w:w="3380"/>
      </w:tblGrid>
      <w:tr>
        <w:trPr/>
        <w:tc>
          <w:tcPr>
            <w:tcW w:w="75" w:type="dxa"/>
            <w:tcBorders/>
            <w:vAlign w:val="center"/>
          </w:tcPr>
          <w:p>
            <w:pPr>
              <w:pStyle w:val="TableContents"/>
              <w:bidi w:val="0"/>
              <w:spacing w:before="0" w:after="283"/>
              <w:jc w:val="left"/>
              <w:rPr/>
            </w:pPr>
            <w:r>
              <w:rPr/>
              <w:t> </w:t>
            </w:r>
          </w:p>
        </w:tc>
        <w:tc>
          <w:tcPr>
            <w:tcW w:w="4245" w:type="dxa"/>
            <w:gridSpan w:val="3"/>
            <w:tcBorders/>
            <w:vAlign w:val="center"/>
          </w:tcPr>
          <w:p>
            <w:pPr>
              <w:pStyle w:val="TableContents"/>
              <w:bidi w:val="0"/>
              <w:spacing w:before="0" w:after="283"/>
              <w:jc w:val="left"/>
              <w:rPr/>
            </w:pPr>
            <w:r>
              <w:rPr>
                <w:b/>
              </w:rPr>
              <w:t>PRESTO AUTOMATION INC.</w:t>
            </w:r>
            <w:r>
              <w:rPr/>
              <w:t xml:space="preserve">  </w:t>
            </w:r>
          </w:p>
        </w:tc>
      </w:tr>
      <w:tr>
        <w:trPr/>
        <w:tc>
          <w:tcPr>
            <w:tcW w:w="75" w:type="dxa"/>
            <w:tcBorders/>
            <w:vAlign w:val="center"/>
          </w:tcPr>
          <w:p>
            <w:pPr>
              <w:pStyle w:val="TableContents"/>
              <w:bidi w:val="0"/>
              <w:spacing w:before="0" w:after="283"/>
              <w:jc w:val="left"/>
              <w:rPr/>
            </w:pPr>
            <w:r>
              <w:rPr/>
              <w:t> </w:t>
            </w:r>
          </w:p>
        </w:tc>
        <w:tc>
          <w:tcPr>
            <w:tcW w:w="424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9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Susan Shinoff</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Shinoff</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February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1951</Words>
  <Characters>10500</Characters>
  <CharactersWithSpaces>12483</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