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supplement and the accompanying prospectus is not complete and may be changed. This preliminary prospectus supplement and the accompanying prospectus are not an offer to sell these securities, nor are they soliciting an offer to buy these securities, in any jurisdiction where the offer or sale is not permitted.</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MAY 16,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333-275112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3"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Shares in this Offering</w:t>
      </w:r>
    </w:p>
    <w:p>
      <w:pPr>
        <w:spacing w:after="0" w:line="22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Shares Potentially Issuable in the Future</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Anti-Dilution Rights Granted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2275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in a registered direct offering (the “Offering”) to certain</w:t>
      </w:r>
    </w:p>
    <w:p>
      <w:pPr>
        <w:spacing w:after="0" w:line="27"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purchasers, shares of our common stock, par value $0.0001 per share (“common stock”) at an offering price of $ per share (the “public offering price”).</w:t>
      </w:r>
    </w:p>
    <w:p>
      <w:pPr>
        <w:spacing w:after="0" w:line="200" w:lineRule="exact"/>
        <w:rPr>
          <w:sz w:val="24"/>
          <w:szCs w:val="24"/>
          <w:color w:val="auto"/>
        </w:rPr>
      </w:pPr>
    </w:p>
    <w:p>
      <w:pPr>
        <w:spacing w:after="0" w:line="214"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and the accompanying prospectus supplement, also cover the potential issuance in the future of additional shares of our common stock that may become issuable to the investors in this Offering pursuant to anti-dilution rights that may be triggered by a future offering at a price per share below the public offering price.</w:t>
      </w:r>
    </w:p>
    <w:p>
      <w:pPr>
        <w:spacing w:after="0" w:line="176"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(“Nasdaq”) under the symbol “PRST.” On May 15, 2024, the last reported sale price of our common stock on Nasdaq was $0.17 per share.</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Please read “Risk Factors” beginning on page S-7 of this prospectus supplement, on page 4 of the accompanying prospectus and in the documents incorporated by reference into this prospectus supplement and the accompanying prospectus.</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2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r>
    </w:tbl>
    <w:p>
      <w:pPr>
        <w:spacing w:after="0" w:line="175"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w:t>
            </w:r>
          </w:p>
        </w:tc>
        <w:tc>
          <w:tcPr>
            <w:tcW w:w="53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 2024, subject to satisfaction of customary closing conditions.</w:t>
            </w:r>
          </w:p>
        </w:tc>
      </w:tr>
      <w:tr>
        <w:trPr>
          <w:trHeight w:val="432"/>
        </w:trPr>
        <w:tc>
          <w:tcPr>
            <w:tcW w:w="6540" w:type="dxa"/>
            <w:vAlign w:val="bottom"/>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Prospectus Supplement dated</w:t>
            </w:r>
          </w:p>
        </w:tc>
        <w:tc>
          <w:tcPr>
            <w:tcW w:w="4700" w:type="dxa"/>
            <w:vAlign w:val="bottom"/>
          </w:tcPr>
          <w:p>
            <w:pPr>
              <w:jc w:val="right"/>
              <w:ind w:right="397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655"/>
        </w:trPr>
        <w:tc>
          <w:tcPr>
            <w:tcW w:w="5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74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Important Notice About Information in this Prospectus Supplement and the Accompanying Prospectus</w:t>
            </w:r>
          </w:p>
        </w:tc>
        <w:tc>
          <w:tcPr>
            <w:tcW w:w="2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80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060" w:type="dxa"/>
            <w:vAlign w:val="bottom"/>
            <w:tcBorders>
              <w:bottom w:val="single" w:sz="8" w:color="CCEEFF"/>
            </w:tcBorders>
            <w:gridSpan w:val="2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Capitalization</w:t>
            </w:r>
          </w:p>
        </w:tc>
        <w:tc>
          <w:tcPr>
            <w:tcW w:w="9220" w:type="dxa"/>
            <w:vAlign w:val="bottom"/>
            <w:tcBorders>
              <w:bottom w:val="single" w:sz="8" w:color="CCEEFF"/>
            </w:tcBorders>
            <w:gridSpan w:val="2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Tax Considerations for Non-U.S. Holders of Our Common Stock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0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9680" w:type="dxa"/>
            <w:vAlign w:val="bottom"/>
            <w:tcBorders>
              <w:bottom w:val="single" w:sz="8" w:color="CCEEFF"/>
            </w:tcBorders>
            <w:gridSpan w:val="2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S-25</w:t>
            </w:r>
          </w:p>
        </w:tc>
      </w:tr>
      <w:tr>
        <w:trPr>
          <w:trHeight w:val="453"/>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634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90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14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248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76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20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22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4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or incorporated by reference in this prospectus supplement. We do not take responsibility for, and can provide no assurance as to the reliability of, any other information that others may give you.</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supplement and the accompanying prospectus do not constitute an offer to sell, or a solicitation of an offer to purchase, the securities offered hereby in any jurisdiction to or from any person to whom or from whom it is unlawful to make such offer or solicitation of an offer in such jurisdiction. You should not assume that the information contained or incorporated by reference in this prospectus supplement or the accompanying prospectus is accurate as of any date other than the date on the front cover of the applicable document. Neither the delivery of this prospectus supplement and the accompanying prospectus, nor any distribution of securities pursuant to this prospectus supplement or the accompanying prospectus shall, under any circumstances, create any implication that there has been no change in our business, financial condition, results of operations and prospects since the date of this prospectus supplement or the accompanying prospectus.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7"/>
          <w:szCs w:val="17"/>
          <w:b w:val="1"/>
          <w:bCs w:val="1"/>
          <w:color w:val="auto"/>
        </w:rPr>
        <w:t>You should read this prospectus supplement, the accompanying prospectus and the documents incorporated by reference in the accompanying prospectus in their entirety before making an investment decision. You should also read and consider the information in the documents to which we have referred you in the section of the prospectus supplement entitled “Incorporation of Certain Information by Reference” and in the sections of the accompanying prospectus entitled “Where You Can Find More Information” and “Incorporation of Certain Information by Reference.”</w:t>
      </w:r>
    </w:p>
    <w:p>
      <w:pPr>
        <w:spacing w:after="0" w:line="16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we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AND THE ACCOMPANYING PROSPECTUS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or the SEC, using a “shelf” registration process. This document contains two parts. The first part is this prospectus supplement, which describes the specific terms of this Offering of shares of our common stock. The second part is the accompanying prospectus, which gives more general information, some of which may not apply to this Offering of shares of our common stock. Generally, when we refer only to the “prospectus,” we are referring to both parts combined. If the information about this Offering of shares of our common stock varies between this prospectus supplement and the accompanying prospectus, you should rely on the information in this prospectus supplement.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“Incorporation of Certain Information by Reference” in this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7847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78479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Presto provides enterprise-grade AI and automation solutions to the restaurant industry. Presto’s solutions are designed to decrease labor costs, improve staff productivity, increase revenue, and enhance the guest experience. Presto offers our AI solution, Presto Voice™, to quick-service restaurants (QSR), and we have some of the most recognized restaurant names in the United States as our customers.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 pay-at-table tablet solution. We are considering strategic alternatives related to our Presto Touch solution including evaluating whether to engage in a wind-down from Presto Touch, which could include either a sale, partial sale or abandonment in the coming months, and allows us to focus our efforts on our Presto Voice solution. Our Presto Voice product line addresses the pressing needs of drive-thru restaurant operators by improving order accuracy, reducing labor costs and increasing revenue through menu upselling, while also providing guests with an improved drive-thru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16, 2024, we and Presto Automation LLC (the “Borrower”), our wholly owned subsidiary (the “Loan Parties”) entered into a Cooperation Agreement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to Forbearance Date and Related Terms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Cooperation Agreement provides that the Lenders will not exercise remedies as a result of certain continuing events of default under the Credit Agreement, subject to the following agreements and conditions (the “Forbearance”):</w:t>
      </w:r>
    </w:p>
    <w:p>
      <w:pPr>
        <w:spacing w:after="0" w:line="162" w:lineRule="exact"/>
        <w:rPr>
          <w:sz w:val="20"/>
          <w:szCs w:val="20"/>
          <w:color w:val="auto"/>
        </w:rPr>
      </w:pPr>
    </w:p>
    <w:p>
      <w:pPr>
        <w:ind w:left="660" w:right="20" w:hanging="333"/>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raise $3,000,000 or more of working capital in this or another registered direct offering or private placement by May 22, 2024, with at least $2,500,000 received by May 15, 2024, the Agent and the Lenders agree to extend the Forbearance termination date to June 14, 2024; and</w:t>
      </w:r>
    </w:p>
    <w:p>
      <w:pPr>
        <w:spacing w:after="0" w:line="161" w:lineRule="exact"/>
        <w:rPr>
          <w:rFonts w:ascii="Times New Roman" w:cs="Times New Roman" w:eastAsia="Times New Roman" w:hAnsi="Times New Roman"/>
          <w:sz w:val="18"/>
          <w:szCs w:val="18"/>
          <w:color w:val="auto"/>
        </w:rPr>
      </w:pPr>
    </w:p>
    <w:p>
      <w:pPr>
        <w:ind w:left="660" w:right="20" w:hanging="333"/>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raise additional working capital of $3,000,000 or more by June 7, 2024 in a registered direct offering or private placement (the “Second Capital Raise”), the Agent and the Lenders agree to extend the Forbearance termination date to July 15, 2024.</w:t>
      </w:r>
    </w:p>
    <w:p>
      <w:pPr>
        <w:spacing w:after="0" w:line="162"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with a view to concluding a binding agreement with a third party based on a binding written offer (the “Offer”) from such third 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us with operating capital of not less than $18.0 million, not including the cash purchase price described in subparagraph (A) above. To the extent that the operating capital is less than $18.0 million but greater than $12.0 million, the amount of the convertible note set forth above will be increased by a dollar amount equal the reduction in operating capital below $18.0 million</w:t>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7"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613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6613525"/>
                    </a:xfrm>
                    <a:prstGeom prst="rect">
                      <a:avLst/>
                    </a:prstGeom>
                    <a:noFill/>
                  </pic:spPr>
                </pic:pic>
              </a:graphicData>
            </a:graphic>
          </wp:anchor>
        </w:drawing>
        <w:t>Cooperation in Connection with Sale of the Company</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event of termination of Forbearance, the Loan Parties have agreed to cooperate and not impede in the exercise of the Agent’s and Lenders’ rights and remedies under the Loan Documents (as defined in the Credit Agreement), including, among other things, the realization of their collateral and a potential sale process under Article 9 of the Uniform Commercial Code. In the event of such outcome, it is likely that the holders of shares of our common stock, including the shares purchased in this Offering, will receive no value and the shares will become worthless.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agreed to maintain a committee of independent directors to work with the Lenders on the development and execution of a strategic plan (the “Alternative Path”) to address our obligations under the Credit Agreement in the event that Forbearance ends, including directing our professional advisors to work with the Agent in the development and execution of the Alternative Path, including the identification and solicitation of additional financing sources. We have agreed to provide access to properties, systems and our access to various types of information as the Lenders reasonably request and make reasonably available its directors, officers, employees and advisors.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from Claims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together with our past, present and future successors, assigns, managers, members, officers, directors, agents, employees, professionals and other representatives (in their capacities as such and not in any other capacity), and entities affiliated with Remus Capital and </w:t>
      </w:r>
      <w:r>
        <w:rPr>
          <w:rFonts w:ascii="Times New Roman" w:cs="Times New Roman" w:eastAsia="Times New Roman" w:hAnsi="Times New Roman"/>
          <w:sz w:val="18"/>
          <w:szCs w:val="18"/>
          <w:color w:val="auto"/>
          <w:highlight w:val="white"/>
        </w:rPr>
        <w:t>Presto CA LLC</w:t>
      </w:r>
      <w:r>
        <w:rPr>
          <w:rFonts w:ascii="Times New Roman" w:cs="Times New Roman" w:eastAsia="Times New Roman" w:hAnsi="Times New Roman"/>
          <w:sz w:val="18"/>
          <w:szCs w:val="18"/>
          <w:color w:val="auto"/>
        </w:rPr>
        <w:t xml:space="preserve"> (an affiliate of Cleveland Avenue, LLC) together with their respective past, present and future successors and assigns released the Agent and the Lenders from any claims related to our forbearance agreement, the Credit Agreement and any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Secured Promissory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21, 2024, we issued to Presto CA LLC (“Presto CA”) a secured promissory note in the principal amount of $4,000,000 (the “Note”), pursuant to which Presto CA made two loans totaling an aggregate of $4.0 million to us. The first loan was made on March 21, 2024 in the amount of $2.0 million and the second loan was made on March 30, 2024 in the amount of $2.0 million (the “Loans”). The Loans were originally to be repaid no later than May 15, 2024.</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Presto CA has agreed to extend the maturity of the Note to align with the termination of Forbearance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Concurrent with the closing of this Offering, the Company and Remus Capital Series B II, L.P. (“Remus Capital”), an entity controlled by Krishna Gupta, a member of our Board of Directors, have agreed to issue to Remus Capital a subordinated convertible note in the principal amount of $1,500,000 (the “May Note”) in consideration for a cash investment of $1,500,000 from Remus Capital.</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Interest on the May Note will accrue monthly by increasing principal at a rate of 7.5% per annum. The interest rate shall increase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in the case of an event of default.</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May Note will be convertible into 10,714,286 shares of common stock at the option of the holder at an initial conversion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$0.14 per share.</w:t>
      </w:r>
    </w:p>
    <w:p>
      <w:pPr>
        <w:spacing w:after="0" w:line="1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May Note shall convert mandatorily into common stock at the then prevailing conversion price immediately prior to (a) a Restructuring Transaction, and (b) a Change of Control transaction with a financial investor (in each case, as such terms are defined in the May Note). For these purposes:</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9" w:right="419" w:bottom="1440" w:gutter="0" w:footer="0" w:header="0"/>
        </w:sectPr>
      </w:pPr>
    </w:p>
    <w:bookmarkStart w:id="6" w:name="page7"/>
    <w:bookmarkEnd w:id="6"/>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710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7710805"/>
                    </a:xfrm>
                    <a:prstGeom prst="rect">
                      <a:avLst/>
                    </a:prstGeom>
                    <a:noFill/>
                  </pic:spPr>
                </pic:pic>
              </a:graphicData>
            </a:graphic>
          </wp:anchor>
        </w:drawing>
        <w:t>Conversion Cap</w:t>
      </w:r>
      <w:r>
        <w:rPr>
          <w:rFonts w:ascii="Times New Roman" w:cs="Times New Roman" w:eastAsia="Times New Roman" w:hAnsi="Times New Roman"/>
          <w:sz w:val="18"/>
          <w:szCs w:val="18"/>
          <w:color w:val="auto"/>
        </w:rPr>
        <w:t>. Pursuant to Nasdaq Listing Rule 5635(d), the total number of shares of common stock that can be issued upon conversion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Note and the shares to be issued in connection this Offering will be limited to 19.99% of the outstanding shares of the Company (the “Conversion Share Cap”) at the time of the conversion of the May Note. Absent the Conversion Share Cap, the total number of shares issuable under the May Note would be 10,714,286.</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May Note will be subject to the terms and conditions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indebtedness (the “Senior Indebtedness”) outstanding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 xml:space="preserve">the Credit Agreement </w:t>
      </w:r>
      <w:r>
        <w:rPr>
          <w:rFonts w:ascii="Times New Roman" w:cs="Times New Roman" w:eastAsia="Times New Roman" w:hAnsi="Times New Roman"/>
          <w:sz w:val="18"/>
          <w:szCs w:val="18"/>
          <w:color w:val="auto"/>
        </w:rPr>
        <w:t>and additional provisions set forth in the May Note, including, without limitation, (i) the May Note will be subordinated to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prior payment in cash in full of the Senior Indebtedness, and (ii) no principal or interest may be paid in cash on the May Note prior to the repayment in cash in full of the Senior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Concurrent with the closing of this Offering and the issuance of the May Note, the Company intends to enter into a Registration Rights Agreement with the May Note holder (the “Registration Rights Agreement”). Under the Registration Rights Agreement, the Company will file a registration statement (“Resale Registration Statement”) with the SEC within 90 days following the date of the Registration Rights Agreement for purposes of registering the resale of the shares of common stock issuable upon conversion of the May Note. The Company will also use commercially reasonable efforts to cause the SEC to declare the Resale Registration Statement effective as promptly as possible after the filing of the Resale Registration Statement and no later than the earlier of (i) the 150th calendar day following the date of the Registration Rights Agreement and (ii) the 5th trading day after the date the Company is notified by the SEC that the Registration Statement will not be “reviewed” or will not be subject to further review. The Company will also use its commercially reasonable efforts to keep each Registration Statement continuously effective under the Securities Act of 1933, as amended (the “Securities Act”) until the earlier of (i) such time as all of the registrable securities covered by such Resale Registration Statement have been sold by the holders publicly or pursuant to Rule 144 or (ii) the date that all registrable securities covered by such Resale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Regarding Liquidity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date of this Offering, we have $1.2 million of cash and cash equivalents.</w:t>
      </w:r>
    </w:p>
    <w:p>
      <w:pPr>
        <w:spacing w:after="0" w:line="22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Assuming net proceeds from this Offering of $3.0 million, together with our projected revenues, we expect to be able to sustain our operations through June 14, 2024, which is the same date that the Forbearance terminates. After that time, absent a further capital raise, and assuming the Lenders have not previously sold their loan, the Agent and Lenders will no longer be required to forbear from exercising rights and remedies against us under the Credit Agreement as a result of defaults under the Credit Agreement, and the Note will be due and payable. See “—Cooperation Agreement— Cooperation in Connection with Sale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Unaudited Results for the Three Months Ended March 31, 2024</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for the three months ended March 31, 2024 are not yet available. The following expectations regarding our results for this period are solely management estimates based on currently available information, and are not a comprehensive statement of our financial position or results of operations as of or for the three months ended March 31, 2024. Our normal reporting processes with respect to the estimated financial data provided below have not been fully completed. As a result, these estimated results may differ from the actual results that will be reflected in our financial statements for the quarter ended March 31, 2024 when they are completed and publicly disclosed. Moss Adams LLP, our independent registered public accounting firm has not audited, reviewed or performed any other procedures with respect to these preliminary financial data and, accordingly, does not express an opinion or any other form of assurance with respect to these data. You should not place undue reliance on this preliminary data.</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Total revenue for the three months ended March 31, 2024 is expected to be $4.5 million, as compared to $6.6 million for the three months ended March 31, 2023. Platform revenue for the three months ended March 31, 2024 is expected to be $2.2 million, as compared to $3.1 million for the three months ended March 31, 2023. The decrease is primarily attributable to the amortization and roll-off of deferred revenue related to legacy Touch contracts. This decrease was offset by an increase of $0.9 million in the Presto Voice solution revenue, attributable to the continued rollout to new locations. Transaction revenue for the three months ended March 31, 2024 is expected to be $2.3 million, as compared to $3.5 million for the three months ended March 31, 2023. The decrease is primarily attributable to fewer live stores using Presto Touch and a lower volume of games being played by restaurant guests, as is expected as part of the Presto Touch wind-down.</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9" w:right="419" w:bottom="1440" w:gutter="0" w:footer="0" w:header="0"/>
        </w:sectPr>
      </w:pPr>
    </w:p>
    <w:bookmarkStart w:id="7" w:name="page8"/>
    <w:bookmarkEnd w:id="7"/>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804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7804785"/>
                    </a:xfrm>
                    <a:prstGeom prst="rect">
                      <a:avLst/>
                    </a:prstGeom>
                    <a:noFill/>
                  </pic:spPr>
                </pic:pic>
              </a:graphicData>
            </a:graphic>
          </wp:anchor>
        </w:drawing>
        <w:t>During these same relative periods, the reduction in revenue resulted in a decline in gross profit of approximately $0.3 million. Additionally, research and development costs were reduced by approximately $2.8 million, sales and marketing expenses were reduced by approximately $0.1 million, and general and administrative expenses increased by approximately $3.2 million. The net impact of these differences resulted in an increase in the net loss from operations from $14.5 million for the three months ended March 31, 2023 to a net loss of approximately $15.3 million for the three months ended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Impact of this Offering</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Offering will trigger anti-dilution adjustment provisions in the (1) securities purchase agreement, dated October 10, 2023, between the Company and Presto CA (the “CA Purchase Agreement”), (2) warrants to purchase shares of common stock of the Company initially issued to the Lenders on October 16, 2023 (as amended and restated, the “Third Amendment Conversion Warrants”), (3) warrants to purchase shares of common stock of the Company initially issued to the Lenders on January 30, 2024 (as amended and restated, the “Fifth Amendment Conversion Warrants”) and</w:t>
      </w:r>
    </w:p>
    <w:p>
      <w:pPr>
        <w:spacing w:after="0" w:line="3" w:lineRule="exact"/>
        <w:rPr>
          <w:sz w:val="20"/>
          <w:szCs w:val="20"/>
          <w:color w:val="auto"/>
        </w:rPr>
      </w:pPr>
    </w:p>
    <w:p>
      <w:pPr>
        <w:ind w:right="20" w:firstLine="3"/>
        <w:spacing w:after="0" w:line="260"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convertible notes issued on January 30, 2024 (the “January 2024 Notes”). A summary of the impact of these anti-dilution protections is set forth below assuming a public offering price of $0.14 per share: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Securityholder</w:t>
            </w: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Subject Security</w:t>
            </w: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Current Offering</w:t>
            </w:r>
          </w:p>
        </w:tc>
      </w:tr>
      <w:tr>
        <w:trPr>
          <w:trHeight w:val="198"/>
        </w:trPr>
        <w:tc>
          <w:tcPr>
            <w:tcW w:w="27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Presto CA</w:t>
            </w:r>
          </w:p>
        </w:tc>
        <w:tc>
          <w:tcPr>
            <w:tcW w:w="12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top w:val="single" w:sz="8" w:color="CCEEFF"/>
            </w:tcBorders>
            <w:shd w:val="clear" w:color="auto" w:fill="CCEEFF"/>
          </w:tcPr>
          <w:p>
            <w:pPr>
              <w:spacing w:after="0"/>
              <w:rPr>
                <w:sz w:val="17"/>
                <w:szCs w:val="17"/>
                <w:color w:val="auto"/>
              </w:rPr>
            </w:pPr>
          </w:p>
        </w:tc>
        <w:tc>
          <w:tcPr>
            <w:tcW w:w="5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9,428,571 additional shares.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of New Issuance Price from $0.25 to $0.14.</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Lenders</w:t>
            </w:r>
          </w:p>
        </w:tc>
        <w:tc>
          <w:tcPr>
            <w:tcW w:w="29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Third Amendment Conversion</w:t>
            </w:r>
          </w:p>
        </w:tc>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the number of shares underlying the Third Amendment</w:t>
            </w:r>
          </w:p>
        </w:tc>
      </w:tr>
      <w:tr>
        <w:trPr>
          <w:trHeight w:val="216"/>
        </w:trPr>
        <w:tc>
          <w:tcPr>
            <w:tcW w:w="27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Conversion Warrants from 24,000,000 to 42,857,143 shares.</w:t>
            </w:r>
          </w:p>
        </w:tc>
      </w:tr>
      <w:tr>
        <w:trPr>
          <w:trHeight w:val="234"/>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the Applicable Price from $0.25 to $0.14.</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198"/>
        </w:trPr>
        <w:tc>
          <w:tcPr>
            <w:tcW w:w="2760" w:type="dxa"/>
            <w:vAlign w:val="bottom"/>
            <w:shd w:val="clear" w:color="auto" w:fill="CCEEFF"/>
          </w:tcPr>
          <w:p>
            <w:pPr>
              <w:spacing w:after="0"/>
              <w:rPr>
                <w:sz w:val="17"/>
                <w:szCs w:val="17"/>
                <w:color w:val="auto"/>
              </w:rPr>
            </w:pPr>
          </w:p>
        </w:tc>
        <w:tc>
          <w:tcPr>
            <w:tcW w:w="29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Fifth Amendment Conversion</w:t>
            </w:r>
          </w:p>
        </w:tc>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the number of shares underlying the Fifth Amendment</w:t>
            </w:r>
          </w:p>
        </w:tc>
      </w:tr>
      <w:tr>
        <w:trPr>
          <w:trHeight w:val="216"/>
        </w:trPr>
        <w:tc>
          <w:tcPr>
            <w:tcW w:w="27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Warrants from 8,517,278 to 15,209,425 shares.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in the Applicable Price from $0.25 to $0.14.</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January 2024 Noteholders</w:t>
            </w:r>
          </w:p>
        </w:tc>
        <w:tc>
          <w:tcPr>
            <w:tcW w:w="29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January 2024 Notes</w:t>
            </w:r>
          </w:p>
        </w:tc>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an aggregate 28,285,714 additional shares underlying the</w:t>
            </w:r>
          </w:p>
        </w:tc>
      </w:t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of the January 2024 Notes.</w:t>
            </w:r>
          </w:p>
        </w:tc>
      </w:tr>
      <w:tr>
        <w:trPr>
          <w:trHeight w:val="234"/>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Conversion Price from $0.25 to $0.14.</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Reinstatement and Extension of Anti-Dilution Rights</w:t>
      </w:r>
    </w:p>
    <w:p>
      <w:pPr>
        <w:spacing w:after="0" w:line="227"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Offering, we and certain of our existing securityholders will amend the existing or previously expired anti-dilution rights under such securityholders’ respective agreements. We and each of the Lenders, Presto CA and the purchasers of our January 2024 Notes (the “January 2024 Noteholders”) will agree that the end of the anti-dilution period under their respective purchase agreements, warrants or notes will be extended from September 30, 2024 to December 31, 2024. In addition, we and the purchasers from our November 2023 registered direct offering (the “November 2023 Purchasers”) that participate in this Offering will agree to reinstate the anti-dilution provisions in their respective November 2023 purchase agreements, such that such anti-dilution provisions will apply for any future issuances undertaken after this Offering that are below the Per Share Purchase Price (as defined in such agreements) of $0.25.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Future Impact of Anti-Dilution Provisions</w:t>
      </w:r>
    </w:p>
    <w:p>
      <w:pPr>
        <w:spacing w:after="0" w:line="227"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For illustrative purposes, assuming the above amendments, extensions and reinstatements are effective, if we were to undertake an offering in the future at a purchase price of $0.05 per share, we would be required to issue approximately 38.6 million additional shares to Presto CA under the CA Purchase Agreement, 60.8 million additional shares to the November 2023 Purchasers under the November 2023 purchase agreements, approximately 71.7 million additional shares underlying the Third Amendment Conversion Warrants, approximately 27.4 million additional shares underlying the Fifth Amendment Conversion Warrants and approximately 115.7 million additional shares underlying the principal of the January 2024 Notes. In addition, for each share issued in this Offering, we would be required to issue 1.8 million additional shares pursuant to the anti-dilution provisions in the May 2024 purchase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1" w:right="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7220" w:type="dxa"/>
            <w:vAlign w:val="bottom"/>
            <w:tcBorders>
              <w:top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7220" w:type="dxa"/>
            <w:vAlign w:val="bottom"/>
            <w:tcBorders>
              <w:right w:val="single" w:sz="8" w:color="auto"/>
            </w:tcBorders>
            <w:gridSpan w:val="2"/>
          </w:tcPr>
          <w:p>
            <w:pPr>
              <w:ind w:left="1880"/>
              <w:spacing w:after="0"/>
              <w:rPr>
                <w:sz w:val="20"/>
                <w:szCs w:val="20"/>
                <w:color w:val="auto"/>
              </w:rPr>
            </w:pPr>
            <w:r>
              <w:rPr>
                <w:rFonts w:ascii="Times New Roman" w:cs="Times New Roman" w:eastAsia="Times New Roman" w:hAnsi="Times New Roman"/>
                <w:sz w:val="18"/>
                <w:szCs w:val="18"/>
                <w:color w:val="auto"/>
              </w:rPr>
              <w:t>shares of our common stock issued pursuant to the Offering.</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7220" w:type="dxa"/>
            <w:vAlign w:val="bottom"/>
            <w:tcBorders>
              <w:right w:val="single" w:sz="8" w:color="auto"/>
            </w:tcBorders>
            <w:gridSpan w:val="2"/>
          </w:tcPr>
          <w:p>
            <w:pPr>
              <w:ind w:left="2520"/>
              <w:spacing w:after="0"/>
              <w:rPr>
                <w:sz w:val="20"/>
                <w:szCs w:val="20"/>
                <w:color w:val="auto"/>
              </w:rPr>
            </w:pPr>
            <w:r>
              <w:rPr>
                <w:rFonts w:ascii="Times New Roman" w:cs="Times New Roman" w:eastAsia="Times New Roman" w:hAnsi="Times New Roman"/>
                <w:sz w:val="18"/>
                <w:szCs w:val="18"/>
                <w:color w:val="auto"/>
              </w:rPr>
              <w:t>shares of our common stock potentially issuable in the future</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pursuant to anti-dilution rights granted in the Offering.</w:t>
            </w:r>
          </w:p>
        </w:tc>
      </w:tr>
      <w:tr>
        <w:trPr>
          <w:trHeight w:val="432"/>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7220" w:type="dxa"/>
            <w:vAlign w:val="bottom"/>
            <w:tcBorders>
              <w:right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shares of common stock</w:t>
            </w:r>
          </w:p>
        </w:tc>
      </w:tr>
      <w:tr>
        <w:trPr>
          <w:trHeight w:val="432"/>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Price per share</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  per share.</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million, after deducting the estimated offering expenses payable by us.</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corporate purposes. See “Use of Proceeds.”</w:t>
            </w:r>
          </w:p>
        </w:tc>
      </w:tr>
      <w:tr>
        <w:trPr>
          <w:trHeight w:val="432"/>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Our common stock is listed on Nasdaq under the trading symbol “PRST.”</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Anti-dilution issuance</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The Offering will result in us issuing additional shares to an existing shareholder,</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increasing the number of shares issuable under convertible notes held by certain</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noteholders and issuing warrants to purchase additional shares for $0.01 per share to our</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lenders, in each case, pursuant to anti-dilution rights described in detail in our public</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filings with SEC. See the information below for the number of shares issued or issuable.</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You should read the</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section titled “Risk Factors,” and the other information included, or incorporated by</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reference, in this prospectus supplement for a discussion of some of the risks and</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uncertainties you should carefully consider before deciding to invest in our common</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stock.</w:t>
            </w:r>
          </w:p>
        </w:tc>
      </w:tr>
      <w:tr>
        <w:trPr>
          <w:trHeight w:val="220"/>
        </w:trPr>
        <w:tc>
          <w:tcPr>
            <w:tcW w:w="40" w:type="dxa"/>
            <w:vAlign w:val="bottom"/>
            <w:tcBorders>
              <w:right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718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442"/>
        </w:trPr>
        <w:tc>
          <w:tcPr>
            <w:tcW w:w="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S-5</w:t>
            </w:r>
          </w:p>
        </w:tc>
        <w:tc>
          <w:tcPr>
            <w:tcW w:w="40" w:type="dxa"/>
            <w:vAlign w:val="bottom"/>
          </w:tcPr>
          <w:p>
            <w:pPr>
              <w:spacing w:after="0"/>
              <w:rPr>
                <w:sz w:val="24"/>
                <w:szCs w:val="24"/>
                <w:color w:val="auto"/>
              </w:rPr>
            </w:pPr>
          </w:p>
        </w:tc>
      </w:tr>
    </w:tbl>
    <w:p>
      <w:pPr>
        <w:sectPr>
          <w:pgSz w:w="11900" w:h="16838" w:orient="portrait"/>
          <w:cols w:equalWidth="0" w:num="1">
            <w:col w:w="11280"/>
          </w:cols>
          <w:pgMar w:left="320" w:top="690" w:right="299" w:bottom="1440" w:gutter="0" w:footer="0" w:header="0"/>
        </w:sectPr>
      </w:pPr>
    </w:p>
    <w:bookmarkStart w:id="9" w:name="page10"/>
    <w:bookmarkEnd w:id="9"/>
    <w:p>
      <w:pPr>
        <w:ind w:firstLine="32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36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6364605"/>
                    </a:xfrm>
                    <a:prstGeom prst="rect">
                      <a:avLst/>
                    </a:prstGeom>
                    <a:noFill/>
                  </pic:spPr>
                </pic:pic>
              </a:graphicData>
            </a:graphic>
          </wp:anchor>
        </w:drawing>
        <w:t>Unless otherwise indicated, all information in this prospectus relating to the number of shares of our common stock outstanding is based on 95,141,277 shares of common stock outstanding as of May 15, 2024 and does not include:</w:t>
      </w:r>
    </w:p>
    <w:p>
      <w:pPr>
        <w:spacing w:after="0" w:line="162" w:lineRule="exact"/>
        <w:rPr>
          <w:sz w:val="20"/>
          <w:szCs w:val="20"/>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certain outstanding warrants outstanding as of May 15,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Underlying Warrants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9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35,847,239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639,026</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294,725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71,101</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584,648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8,625,000</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170,993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7,625,000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79" w:lineRule="exact"/>
        <w:rPr>
          <w:sz w:val="20"/>
          <w:szCs w:val="20"/>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2,977,011 shares of common stock underlying outstanding RSUs as of May 15, 2024 and 5,823,136 shares issuable upon the exercise of stock options outstanding as of May 15, 2024 previously granted under the Company’s equity incentive plans; and</w:t>
      </w:r>
    </w:p>
    <w:p>
      <w:pPr>
        <w:spacing w:after="0" w:line="161"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35,442,278 shares of common stock underlying warrants with an exercise price of $0.01 per share held by the Agent and the Lenders, the agent under our credit facility, in connection with anti-dilution protections under the warrants that were triggered by the February 2024 Offering (as defined below), but that may only be issued following receipt of shareholder approval pursuant to Nasdaq Rule 5635(d);</w:t>
      </w:r>
    </w:p>
    <w:p>
      <w:pPr>
        <w:spacing w:after="0" w:line="175"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CA pursuant to anti-dilution protections previously granted to CA, an affiliate of our shareholder, Cleveland Avenue, but that may only be issued following receipt of shareholder approval pursuant to Nasdaq Listing Rule 5635(d);</w:t>
      </w:r>
    </w:p>
    <w:p>
      <w:pPr>
        <w:spacing w:after="0" w:line="175"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investors who participated in the Company’s registered direct offering dated November 17, 2023, but that may only be issued following receipt of shareholder approval pursuant to Nasdaq Listing Rule 5635(d).</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Offering, assuming a public offering price of $0.14 per share:</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9,428,571 shares of common stock issuable to CA pursuant to anti-dilution protections previously granted to CA, an affiliate of our shareholder, Cleveland Avenue, but that may only be issued following receipt of shareholder approval pursuant to Nasdaq Listing Rule 5635(d);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28,285,714 shares of common stock issuable to the January 2024 Noteholders pursuant to anti-adjustment provisions in the January 2024 Notes, but that may only be issued following receipt of shareholder approval pursuant to Nasdaq Listing Rule 5635(d); and</w:t>
      </w:r>
    </w:p>
    <w:p>
      <w:pPr>
        <w:spacing w:after="0" w:line="162" w:lineRule="exact"/>
        <w:rPr>
          <w:sz w:val="20"/>
          <w:szCs w:val="20"/>
          <w:color w:val="auto"/>
        </w:rPr>
      </w:pPr>
    </w:p>
    <w:p>
      <w:pPr>
        <w:jc w:val="both"/>
        <w:ind w:left="980" w:hanging="329"/>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25,549,290 shares of common stock underlying warrants with an exercise price of $0.01 per share held by the Agent and the Lenders, the agent under our credit facility, in connection with anti-dilution protections under the warrants that were triggered by the Offering but that may only be issued following receipt of shareholder approval pursuant to Nasdaq Rule 5635(d);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reflects or assumes no exercise, vesting or termination of options, RSUs or warrants outstanding as of May 15, 2024.</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Liquidity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significant likelihood that you will lose all of your investment if we are unable to raise an additional $3 million in funding by June 7, 2024.</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entered into a Cooperation Agreement with our Lenders which requires us to raise a further $3 million in funding by June 7, 2024. We face significant challenges raising this funding given our financial condition. In addition, we may be unable to issue common stock given the likely need for shareholder approval under the rules of the Nasdaq Stock Exchange. As a result, we may be required to issue subordinated notes convertible into common stock subject to approval of our shareholders. We would also need approval of our Lenders to issue such notes. If we are unable to raise such additional funding by June 7, 2024, then the Forbearance granted to us by our Lenders will terminate on June 14, 2024 and we will be required to cooperate with our Lenders in a potential sale of our business in connection with the realization of their collateral. In the event of such a sale, our common stock is unlikely to receive any recovery.</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raise $32 million in order for our Lenders to negotiate in good faith the potential transfer of its loan to a third party. We face significant challenges raising this amount and, even if we succeed, we will continue to have a significant debt burden.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Cooperation Agreement with our Lenders requires it to enter into good faith discussions regarding the transfer of its debt if we or our significant shareholders present it with a binding cash offer for $20 million to purchase $40 million of its indebtedness. We are also required to demonstrate that we have at least $12 million of operating capital pursuant to such offer. We will face significant challenges finding an investor to invest these funds and, even if our existing lender negotiates a transfer of its loan, we will still have $40 million outstanding under this facility following its transfer.</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to sustain our operations and to the extent additional financing is unavailable or is only available on unfavorable terms, or if certain investors exercise their veto rights and block us from raising additional capital, we will be forced to initiate insolvency proceedings.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financing in the near term, we will become insolvent and investors will lose the entirety of their investment. Further, as described in our Current Report on Form 8-K filed with the SEC on November 16, 2023, pursuant to a contractual arrangement, KKG Enterprises LLC and CA, each affiliates of certain significant stockholders and directors of the Company,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Purchasers of shares in this Offering will experience immediate and substantial dilution in the book value of their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offering price per share in this Offering is substantially higher than the net tangible book value per share of our common stock before giving effect to this Offering. Accordingly, purchasers of our securities in this Offering at the public offering price will incur immediate dilution of approximately $ per share representing the difference between the respective offering price per share and our pro forma as-adjusted net tangible book value as of December 31, 2023. For more information, including how these amounts were calculated, see “Dilution.”</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immediate dilutive effects described in “The Offering”, we have granted anti-dilution protections to holders of our shares, warrants and convertible notes that will result in the issuance of additional shares as a result of this Offering and would result in the issuance of additional shares as a result of future offerings below certain threshold prices.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granted in most of our recent equity financings, could make it more difficult for us to raise additional funds through the sale of equity or equity-related securities in the future at a time and price that we deem reasonable or appropriate,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and trading volume have and may in the future experience volatility, and at times shares of our common stock have been, and may continue to be, thinly traded, which may contribute to volatility in our stock price and less liquidity for investors.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If our common stock is thinly traded, the trading of a relatively small volume of our common stock may have a greater impact on the trading price of our common stock than would be the case if our float were larger. As a result, the trading prices of our common stock may be more volatile than the common stock of companies with broader public ownership, and an investor be unable to liquidate an investment in our common stock at attractive prices.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in the future. Variations in financial results, announcements of material events, changes in our dividend policy, technological innovations or new products by us or our competitors, our quarterly operating results, changes in general conditions in the economy or government spending on law enforcement and military, other developments affecting us or our competitors or general price and volume fluctuations in the market are among the many factors that could cause the market price of our common stock to fluctuate substantially.</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or the perception that these sales may occur, could cause the market price of our common stock to decline.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In connection with the completion of this Offering, we have agreed not to issue, enter into any agreement to issue or announce the issuance or proposed issuance of any shares of common stock or Common Stock Equivalents (as defined in the securities purchase agreement entered into in connection with this Offering) for a period of 15 days after the date of this prospectus supplement, subject to certain exceptions. Separately, the holders of approximately 35% of our shares have also agreed pursuant to a separate lock-up agreement with us entered into in connection with a financing transaction not to offer, sell or transfer their shares until December 23, 2024. Following the expiration of the lock-up periods, these shares will be available for sale in the public markets subject to restrictions under applicable securities laws. We cannot predict the size of future issuances of our shares, or the effect, if any, that future sales and issuances of securities would have on the market price of our shares of common stock. See “Plan of Distribution.”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common stock is currently listed on Nasdaq, we may not be able to continue to meet the exchange’s minimum listing requirements or those of any other national exchange. For example, On February 23, 2024, we received the Notice from Nasdaq stating that the Company is not in compliance with the requirement to maintain a MVPHS of $15 million, as set forth in Nasdaq Listing Rule 5450(b)(2)(C)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 The delisting of our common stock from Nasdaq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spacing w:after="0" w:line="19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for the continuation of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investors that will consider investing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results may vary from our preliminary unaudited results for the three months ended March 31, 2024 included in the section titled “Summary – Recent Developments” and the variances may be material.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certain preliminary unaudited financial results for the three months ended March 31, 2024. Upon completion of our auditor’s review of the results for the three months ended March 31, 2024, it is possible significant changes to such preliminary results may be necessary. Finally, such preliminary unaudited financial results do not reflect all of our material financial information as of and for the three months ended March 31, 2024, and we therefore caution you not to place undue reliance on them. See “Special Note Regarding Forward-Looking Statements” in this prospectus supplement for a discussion of factors that may cause our actual results to vary from our estimates.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million from the sale of the shares of common stock offered by us in this Offering, after deducting the estimated offering expenses payable by us. We intend to use the net proceeds from this Offering for working capital and general corporate purposes.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yet determined the amount of net proceeds to be used specifically for any of the foregoing purposes. Accordingly, our management will have significant discretion and flexibility in applying the net proceeds from this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offering price per share you will pay in this Offering and the as-adjusted net tangible book value per share of our common stock immediately after giving effect to this Offering.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December 31, 2023 was approximately $(53.2) million, or $(0.76) per share of common stock. Net tangible book value per share is determined by dividing our total tangible assets, less total liabilities, by the number of shares of our common stock outstanding as of December 31, 2023.</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2023, before giving effect to this Offering, was approximately $ , or $ per share of common stock. Pro forma net tangible book value, before the issuance and sale of shares of securities in this Offering, gives effect to the issuance and sale of an aggregate of $9.0 million principal amount of subordinated convertible notes offered in January 2024 (the “January 2024 Offering”), sale of 8.5 million shares for gross proceeds of $2.1 million, and an aggregate of $0.96 million principal amount of subordinated convertible notes offered in February 2024 (the “February 2024 Offering”), sale of 4.8 million shares for gross proceeds of $1.2 million at a price of $0.25 per share (the “March 2024 Offering”), and the issuance of shares of common stock pursuant to anti-dilution provisions triggered by the January 2024 Offering and the February 2024 Offering, after deducting estimated offering expenses payable by us.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As-adjusted net tangible book value per share represents our net tangible book value after giving effect to the sale of shares of common stock at the public offering price of $ per share, and, after deducting the estimated offering expenses payable by us in connection with this Offering, would have been approximately $ million, or $ per share. This represents an immediate increase in net tangible book value of $ per share to our existing stockholders and an immediate dilution of approximately $ per share to purchasers of our common stock in this Offering at the public offering price.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5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5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2023</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(0.75)</w:t>
            </w:r>
          </w:p>
        </w:tc>
      </w:tr>
      <w:tr>
        <w:trPr>
          <w:trHeight w:val="198"/>
        </w:trPr>
        <w:tc>
          <w:tcPr>
            <w:tcW w:w="8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the January 2024 Offering, February 2024 Offering, and</w:t>
            </w:r>
          </w:p>
        </w:tc>
        <w:tc>
          <w:tcPr>
            <w:tcW w:w="5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2024 Offering, and the application of the estimated net proceeds therefrom and the issuance of shares of</w:t>
            </w:r>
          </w:p>
        </w:tc>
        <w:tc>
          <w:tcPr>
            <w:tcW w:w="5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pursuant to anti-dilution provisions triggered by the January 2024 Offering and February 2024</w:t>
            </w:r>
          </w:p>
        </w:tc>
        <w:tc>
          <w:tcPr>
            <w:tcW w:w="5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34"/>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after deducting estimated offering expenses payable by us</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spacing w:after="0"/>
              <w:rPr>
                <w:sz w:val="20"/>
                <w:szCs w:val="20"/>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2023</w:t>
            </w:r>
          </w:p>
        </w:tc>
        <w:tc>
          <w:tcPr>
            <w:tcW w:w="500" w:type="dxa"/>
            <w:vAlign w:val="bottom"/>
          </w:tcPr>
          <w:p>
            <w:pPr>
              <w:spacing w:after="0"/>
              <w:rPr>
                <w:sz w:val="18"/>
                <w:szCs w:val="18"/>
                <w:color w:val="auto"/>
              </w:rPr>
            </w:pPr>
          </w:p>
        </w:tc>
        <w:tc>
          <w:tcPr>
            <w:tcW w:w="21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5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 forma as-adjusted net tangible book value per share as of December 31, 2023, after giving effect to this Offering</w:t>
            </w:r>
          </w:p>
        </w:tc>
        <w:tc>
          <w:tcPr>
            <w:tcW w:w="500" w:type="dxa"/>
            <w:vAlign w:val="bottom"/>
          </w:tcPr>
          <w:p>
            <w:pPr>
              <w:spacing w:after="0"/>
              <w:rPr>
                <w:sz w:val="18"/>
                <w:szCs w:val="18"/>
                <w:color w:val="auto"/>
              </w:rPr>
            </w:pPr>
          </w:p>
        </w:tc>
        <w:tc>
          <w:tcPr>
            <w:tcW w:w="21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in this Offering at the public offering price</w:t>
            </w:r>
          </w:p>
        </w:tc>
        <w:tc>
          <w:tcPr>
            <w:tcW w:w="5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86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S-11</w:t>
            </w:r>
          </w:p>
        </w:tc>
        <w:tc>
          <w:tcPr>
            <w:tcW w:w="5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above and in the foregoing table is based on 70,335,628 shares of our common stock outstanding as of December 31, 2023, and does not include:</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12,907,800 shares of common stock reserved for future issuance under the Company’s equity incentive plans;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35,442,278 shares of common stock underlying warrants with an exercise price of $0.01 per share held by the Agent and the Lenders, the agent under our credit facility, in connection with anti-dilution protections under the warrants that were triggered by the February 2024 Offering, but that may only be issued following receipt of shareholder approval pursuant to Nasdaq Rule 5635(d);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Presto CA LLC (“CA LLC”) pursuant to anti-dilution protections previously granted to CA LLC, an affiliate of our shareholder, Cleveland Avenue, but that may only be issued following receipt of shareholder approval pursuant to Nasdaq Listing Rule 5635(d);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investors who participated in the Company’s registered direct offering dated November 17, 2023, but that may only be issued following receipt of shareholder approval pursuant to Nasdaq Listing Rule 5635(d).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Offering, assuming a public offering price of $0.14 per share:</w:t>
      </w:r>
    </w:p>
    <w:p>
      <w:pPr>
        <w:spacing w:after="0" w:line="225" w:lineRule="exact"/>
        <w:rPr>
          <w:rFonts w:ascii="Times New Roman" w:cs="Times New Roman" w:eastAsia="Times New Roman" w:hAnsi="Times New Roman"/>
          <w:sz w:val="18"/>
          <w:szCs w:val="18"/>
          <w:color w:val="auto"/>
        </w:rPr>
      </w:pPr>
    </w:p>
    <w:p>
      <w:pPr>
        <w:ind w:left="980" w:hanging="324"/>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9,428,571 shares of common stock issuable to CA pursuant to anti-dilution protections previously granted to CA, an affiliate of our shareholder, Cleveland Avenue, but that may only be issued following receipt of shareholder approval pursuant to Nasdaq Listing Rule 5635(d);</w:t>
      </w:r>
    </w:p>
    <w:p>
      <w:pPr>
        <w:spacing w:after="0" w:line="389"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28,285,714 shares of common stock issuable to the January 2024 Noteholders pursuant to anti-adjustment provisions in the January 2024 Notes, but that may only be issued following receipt of shareholder approval pursuant to Nasdaq Listing Rule 5635(d); and</w:t>
      </w:r>
    </w:p>
    <w:p>
      <w:pPr>
        <w:spacing w:after="0" w:line="162" w:lineRule="exact"/>
        <w:rPr>
          <w:sz w:val="20"/>
          <w:szCs w:val="20"/>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25,549,290 shares of common stock underlying warrants with an exercise price of $0.01 per share held by the Agent and the Lenders, the agent under our credit facility, in connection with anti-dilution protections under the warrants that were triggered by the Offering but that may only be issued following receipt of shareholder approval pursuant to Nasdaq Rule 5635(d);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vesting or termination of options, RSUs or warrants outstanding as of December 31, 2023. To the extent that any of these outstanding options, RSUs or warrants are exercised at prices per share below the public offering price or lead investor price per share in this Offering or we issue additional shares under our equity incentive plans at prices below the public offering price or lead investor price per share in this Offering,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December 31, 2023:</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reflect:</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on an as-adjusted basis to give effect to the issuance and sale of an aggregate of $9.0 million principal amount of subordinated convertible notes offered in January 2024, the application of the estimated net proceeds therefrom and the issuance of shares of common stock pursuant to anti-dilution provisions triggered by the January 2024 Offering, after deducting estimated offering expenses payable by us;</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on an as-adjusted basis to give effect to the issuance and sale of an aggregate of $2.1 million of common stock in February 2024, the application of the estimated net proceeds therefrom and the issuance of shares of common stock pursuant to anti-dilution provisions triggered by the February 2024 Offering, after deducting estimated offering expenses payable by us;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on an as-adjusted basis to give effect to the issuance and sale of an aggregate of $0.96 million principal amount of subordinated convertible notes offered in March 2024, the application of the estimated net proceeds therefrom;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as-further-adjusted basis to give effect to the issuance and sale of our common stock offered hereby and the application of the estimated net</w:t>
      </w:r>
    </w:p>
    <w:p>
      <w:pPr>
        <w:spacing w:after="0" w:line="19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proceeds therefrom as set forth under “Use of Proceeds,” based on the sale of shares of common stock at public offering price of $ per share, after deducting the estimated offering expenses payable by us.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the financial statements, including the notes thereto, and other financial information pertaining to us incorporated by reference in this prospectus supplement.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gridSpan w:val="7"/>
          </w:tcPr>
          <w:p>
            <w:pPr>
              <w:ind w:left="7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601"/>
              <w:spacing w:after="0" w:line="194" w:lineRule="exact"/>
              <w:rPr>
                <w:sz w:val="20"/>
                <w:szCs w:val="20"/>
                <w:color w:val="auto"/>
              </w:rPr>
            </w:pPr>
            <w:r>
              <w:rPr>
                <w:rFonts w:ascii="Times New Roman" w:cs="Times New Roman" w:eastAsia="Times New Roman" w:hAnsi="Times New Roman"/>
                <w:sz w:val="18"/>
                <w:szCs w:val="18"/>
                <w:b w:val="1"/>
                <w:bCs w:val="1"/>
                <w:color w:val="auto"/>
              </w:rPr>
              <w:t>As</w:t>
            </w:r>
          </w:p>
        </w:tc>
        <w:tc>
          <w:tcPr>
            <w:tcW w:w="112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As Further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2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9"/>
                <w:szCs w:val="29"/>
                <w:color w:val="auto"/>
                <w:vertAlign w:val="superscript"/>
              </w:rPr>
              <w:t>(1)(2)(3)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10,546</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55,632</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51,012</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180,000,000 shares authorized, actual and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100,000,000,000 shares authorized, as adjusted and as further adjusted, 70,335,628 shares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issued and outstanding, actual; 79,335,628 shares issued and outstanding, as adjusted, and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outstanding, as further adjusted</w:t>
            </w:r>
          </w:p>
        </w:tc>
        <w:tc>
          <w:tcPr>
            <w:tcW w:w="200" w:type="dxa"/>
            <w:vAlign w:val="bottom"/>
          </w:tcPr>
          <w:p>
            <w:pPr>
              <w:spacing w:after="0"/>
              <w:rPr>
                <w:sz w:val="20"/>
                <w:szCs w:val="20"/>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206,109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207,898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(247,945)</w:t>
            </w:r>
          </w:p>
        </w:tc>
        <w:tc>
          <w:tcPr>
            <w:tcW w:w="14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(247,945)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13,803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28,037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S-13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wash sale, conversion or other integrated or similar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Taxable Exchange or Other Taxable Disposition of Common Stock</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a securities purchase agreement directly with the investors who have agreed to purchase our securities in this Offering. We will only sell securities in this Offering to such investors.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the securities offered hereby is expected to occur on or about May 17, 2024, subject to the satisfaction of customary closing conditions.</w:t>
      </w:r>
    </w:p>
    <w:p>
      <w:pPr>
        <w:spacing w:after="0" w:line="225" w:lineRule="exact"/>
        <w:rPr>
          <w:sz w:val="20"/>
          <w:szCs w:val="20"/>
          <w:color w:val="auto"/>
        </w:rPr>
      </w:pPr>
    </w:p>
    <w:p>
      <w:pPr>
        <w:ind w:left="340"/>
        <w:spacing w:after="0"/>
        <w:tabs>
          <w:tab w:leader="none" w:pos="6500" w:val="left"/>
        </w:tabs>
        <w:rPr>
          <w:sz w:val="20"/>
          <w:szCs w:val="20"/>
          <w:color w:val="auto"/>
        </w:rPr>
      </w:pPr>
      <w:r>
        <w:rPr>
          <w:rFonts w:ascii="Times New Roman" w:cs="Times New Roman" w:eastAsia="Times New Roman" w:hAnsi="Times New Roman"/>
          <w:sz w:val="18"/>
          <w:szCs w:val="18"/>
          <w:color w:val="auto"/>
        </w:rPr>
        <w:t>We estimate that our total expenses of this Offering will be approximately $</w:t>
      </w:r>
      <w:r>
        <w:rPr>
          <w:sz w:val="20"/>
          <w:szCs w:val="20"/>
          <w:color w:val="auto"/>
        </w:rPr>
        <w:tab/>
      </w:r>
      <w:r>
        <w:rPr>
          <w:rFonts w:ascii="Times New Roman" w:cs="Times New Roman" w:eastAsia="Times New Roman" w:hAnsi="Times New Roman"/>
          <w:sz w:val="16"/>
          <w:szCs w:val="16"/>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“PRST.”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and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that would permit a public offering of the securities offered by this prospectus supplement in any jurisdiction where action for that purpose is required. The shares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the securities through any financial intermediary on their behalf. Accordingly, no purchaser of the securities is authorized to make any further offer of the securities on behalf of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has been approved by the Financial Conduct Authority, except that offers of securities may be made to the public in the United Kingdom at any time under the following exemptions under the UK Prospectus Regulation:</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any representatives to publish a prospectus pursuant to 85 of the FSMA or supplement a prospectus pursuant to Article 23 of the UK Prospectus Regulation.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person in the United Kingdom who initially acquires any securities or to whom any offer is made will be deemed to have represented, acknowledged and agreed to and with us and the representatives that it is a qualified investor within the meaning of Article 2 of the UK Prospectus Regulation.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1(4) of the U.K. Prospectus Regulation, each financial intermediary will also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the United Kingdom to qualified investors as so defined or in circumstances in which the prior consent of the representatives has been obtained to each such proposed offer or resale.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our securities must be made in accordance with an exemption from the prospectus requirements and in compliance with the registration requirements of applicable securities laws.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and will not be submitted to the French Autorité des marchés financiers, or the AMF, for approval in France and accordingly may not and will not be distributed to the public in France.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Article 211-3 of the AMF General Regulation, French residents are hereby informed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does not require a prospectus to be submitted for approval to the AMF;</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instruments thus acquired cannot be distributed directly or indirectly to the public otherwise than in accordance with Articles L. 411-1, L. 411-2, L. 412-1 and L. 621-8 to L. 621-8-3 of the Monetary and Financial Code.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securities for their own account and undertake not to transfer, directly or indirectly, our securities to the public in France, other than in compliance with all applicable laws and regulations and in particular with Articles L. 411-1 and L. 411-2 of the French Monetary and Financial Code.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securities which are or are intended to be disposed of only to persons outside Hong Kong or only to “professional investors” within the meaning of the Securities and Futures Ordinance (Cap. 571, Laws of Hong Kong) and any rules made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placement agents,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 (Shares and Debentures) Regulations 2005.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 Securities and Futures Act Product Classification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Solely for the purposes of our obligations pursuant to sections 309B(1)(a) and 309B(1)(c) of the SFA, we have determined, and hereby notify all relevant persons (as defined in Section 309A of the SFA), that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publiclyv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this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this Offering, our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the DFSA, a regulatory authority of the Dubai International Financial Centre, or DIFC. This Offering does not constitute a public offer of securities in the UAE, DIFC and/or any other free zone in accordance with the Commercial Companies Law, Federal Law No 8 of 1984 (as amended), DFSA Offered Securities Rules and NASDAQ Dubai Listing Rules, accordingly, or otherwise. The securities may not be offered to the public in the UAE and/or any of the free zones.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offered and issued only to a limited number of investors in the UAE or any of its free zones who qualify as sophisticated investors under the relevant laws and regulations of the UAE or the free zone concerned.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Paul Hastings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92"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9">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September 30, 2023, filed with the SEC on November 20, 2023 and 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December 31, 2023, submitted to the SEC on February 20, 2024 and deemed filed with the SEC on February 21, 2024;</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and the exhibits furnished under Item 9.01 therein), </w:t>
      </w:r>
      <w:hyperlink r:id="rId45">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December 14, 2023</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auto"/>
          </w:rPr>
          <w:t xml:space="preserve">(excluding Item 7.01 and the exhibits furnished under Item 9.01 therein), </w:t>
        </w:r>
        <w:r>
          <w:rPr>
            <w:rFonts w:ascii="Times New Roman" w:cs="Times New Roman" w:eastAsia="Times New Roman" w:hAnsi="Times New Roman"/>
            <w:sz w:val="18"/>
            <w:szCs w:val="18"/>
            <w:u w:val="single" w:color="auto"/>
            <w:color w:val="0000EE"/>
          </w:rPr>
          <w:t>December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subsequent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March 18, 2024</w:t>
        </w:r>
      </w:hyperlink>
      <w:hyperlink r:id="rId51">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March 21, 2024</w:t>
        </w:r>
      </w:hyperlink>
      <w:hyperlink r:id="rId51">
        <w:r>
          <w:rPr>
            <w:rFonts w:ascii="Times New Roman" w:cs="Times New Roman" w:eastAsia="Times New Roman" w:hAnsi="Times New Roman"/>
            <w:sz w:val="18"/>
            <w:szCs w:val="18"/>
            <w:color w:val="000000"/>
          </w:rPr>
          <w:t>; and</w:t>
        </w:r>
      </w:hyperlink>
    </w:p>
    <w:p>
      <w:pPr>
        <w:spacing w:after="0" w:line="183"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76"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62"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direct requests for documents to:</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16,823,660 Shares of Common Stock Issuable Upon Exercise of Outstanding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7,625,000 Warrants to Purchase Shares of Common Stock Offered by the Selling Securityholders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8"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0" w:name="page31"/>
    <w:bookmarkEnd w:id="30"/>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80"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(vii)4,760,500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76" w:lineRule="exact"/>
        <w:rPr>
          <w:sz w:val="20"/>
          <w:szCs w:val="20"/>
          <w:color w:val="auto"/>
        </w:rPr>
      </w:pPr>
    </w:p>
    <w:p>
      <w:pPr>
        <w:jc w:val="both"/>
        <w:ind w:left="700" w:right="20" w:hanging="363"/>
        <w:spacing w:after="0" w:line="266" w:lineRule="auto"/>
        <w:rPr>
          <w:sz w:val="20"/>
          <w:szCs w:val="20"/>
          <w:color w:val="auto"/>
        </w:rPr>
      </w:pPr>
      <w:r>
        <w:rPr>
          <w:rFonts w:ascii="Times New Roman" w:cs="Times New Roman" w:eastAsia="Times New Roman" w:hAnsi="Times New Roman"/>
          <w:sz w:val="18"/>
          <w:szCs w:val="18"/>
          <w:color w:val="auto"/>
        </w:rPr>
        <w:t>(viii)1,500,000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76" w:lineRule="exact"/>
        <w:rPr>
          <w:sz w:val="20"/>
          <w:szCs w:val="20"/>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8"/>
          <w:szCs w:val="18"/>
          <w:i w:val="1"/>
          <w:iCs w:val="1"/>
          <w:color w:val="auto"/>
        </w:rPr>
        <w:t>Risk Factors—Risks Relating to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in our Annual Report on Form 10-K for the fiscal year ended June 30, 2023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4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813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27875" cy="4813300"/>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560" w:firstLine="332"/>
        <w:spacing w:after="0" w:line="498"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Presto;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3"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Founder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Business Combination PIPE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(vii)4,760,500 June 2023 PIPE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(viii)1,500,000 October 2023 PIPE Shares; and</w:t>
      </w:r>
    </w:p>
    <w:p>
      <w:pPr>
        <w:spacing w:after="0" w:line="225"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12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80Five LLC</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Adam Eskin</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Adam Feil</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 Marjan Limited</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Alexander Nevinskiy</w:t>
            </w:r>
            <w:r>
              <w:rPr>
                <w:rFonts w:ascii="Times New Roman" w:cs="Times New Roman" w:eastAsia="Times New Roman" w:hAnsi="Times New Roman"/>
                <w:sz w:val="26"/>
                <w:szCs w:val="26"/>
                <w:color w:val="auto"/>
                <w:vertAlign w:val="superscript"/>
              </w:rPr>
              <w:t>(30)(32)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Aloha Partners, LLC</w:t>
            </w:r>
            <w:r>
              <w:rPr>
                <w:rFonts w:ascii="Times New Roman" w:cs="Times New Roman" w:eastAsia="Times New Roman" w:hAnsi="Times New Roman"/>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Amir Ali Mithani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Amy Doshi &amp; Sarin Swami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Arbat Capital Group Ltd</w:t>
            </w:r>
            <w:r>
              <w:rPr>
                <w:rFonts w:ascii="Times New Roman" w:cs="Times New Roman" w:eastAsia="Times New Roman" w:hAnsi="Times New Roman"/>
                <w:sz w:val="26"/>
                <w:szCs w:val="26"/>
                <w:color w:val="auto"/>
                <w:vertAlign w:val="superscript"/>
              </w:rPr>
              <w:t>.(29)(30)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Art Spigel</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Biren Gosalia</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Blind 1212, LLC</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Brock Strasbourger</w:t>
            </w:r>
            <w:r>
              <w:rPr>
                <w:rFonts w:ascii="Times New Roman" w:cs="Times New Roman" w:eastAsia="Times New Roman" w:hAnsi="Times New Roman"/>
                <w:sz w:val="26"/>
                <w:szCs w:val="26"/>
                <w:color w:val="auto"/>
                <w:vertAlign w:val="superscript"/>
              </w:rPr>
              <w:t>(3)(34)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390,905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Cabbaj Capital Ltd.</w:t>
            </w:r>
            <w:r>
              <w:rPr>
                <w:rFonts w:ascii="Times New Roman" w:cs="Times New Roman" w:eastAsia="Times New Roman" w:hAnsi="Times New Roman"/>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Cartoris Limited</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167,687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CEOF Holdings LP</w:t>
            </w:r>
            <w:r>
              <w:rPr>
                <w:rFonts w:ascii="Times New Roman" w:cs="Times New Roman" w:eastAsia="Times New Roman" w:hAnsi="Times New Roman"/>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Chris Ahrens</w:t>
            </w:r>
            <w:r>
              <w:rPr>
                <w:rFonts w:ascii="Times New Roman" w:cs="Times New Roman" w:eastAsia="Times New Roman" w:hAnsi="Times New Roman"/>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Cindat USA LLC</w:t>
            </w:r>
            <w:r>
              <w:rPr>
                <w:rFonts w:ascii="Times New Roman" w:cs="Times New Roman" w:eastAsia="Times New Roman" w:hAnsi="Times New Roman"/>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Cleveland Avenue LLC</w:t>
            </w:r>
            <w:r>
              <w:rPr>
                <w:rFonts w:ascii="Times New Roman" w:cs="Times New Roman" w:eastAsia="Times New Roman" w:hAnsi="Times New Roman"/>
                <w:sz w:val="26"/>
                <w:szCs w:val="26"/>
                <w:color w:val="auto"/>
                <w:vertAlign w:val="superscript"/>
              </w:rPr>
              <w:t>(33)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Cliff Moskowitz</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Energy QP, LP</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68,137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Connective Capital I QP, LP</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Cosme Fagundo</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Dan Bordessa</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David Allan DeHorn</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Dentons US LLP</w:t>
            </w:r>
            <w:r>
              <w:rPr>
                <w:rFonts w:ascii="Times New Roman" w:cs="Times New Roman" w:eastAsia="Times New Roman" w:hAnsi="Times New Roman"/>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Dhari Albader</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Dipan Desai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Ed Scheetz</w:t>
            </w:r>
            <w:r>
              <w:rPr>
                <w:rFonts w:ascii="Times New Roman" w:cs="Times New Roman" w:eastAsia="Times New Roman" w:hAnsi="Times New Roman"/>
                <w:sz w:val="26"/>
                <w:szCs w:val="26"/>
                <w:color w:val="auto"/>
                <w:vertAlign w:val="superscript"/>
              </w:rPr>
              <w:t>(3)(11)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1,032,464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EJK Investments LLC</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Georgia Sgardeli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Greg Flynn</w:t>
            </w:r>
            <w:r>
              <w:rPr>
                <w:rFonts w:ascii="Times New Roman" w:cs="Times New Roman" w:eastAsia="Times New Roman" w:hAnsi="Times New Roman"/>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HighSage Ventures LLC</w:t>
            </w:r>
            <w:r>
              <w:rPr>
                <w:rFonts w:ascii="Times New Roman" w:cs="Times New Roman" w:eastAsia="Times New Roman" w:hAnsi="Times New Roman"/>
                <w:sz w:val="26"/>
                <w:szCs w:val="26"/>
                <w:color w:val="auto"/>
                <w:vertAlign w:val="superscript"/>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Jameson Weber</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Jasminder Singh</w:t>
            </w:r>
            <w:r>
              <w:rPr>
                <w:rFonts w:ascii="Times New Roman" w:cs="Times New Roman" w:eastAsia="Times New Roman" w:hAnsi="Times New Roman"/>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2"/>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4" w:name="page55"/>
    <w:bookmarkEnd w:id="54"/>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9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Jay Lidell</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 Jones</w:t>
            </w:r>
            <w:r>
              <w:rPr>
                <w:rFonts w:ascii="Times New Roman" w:cs="Times New Roman" w:eastAsia="Times New Roman" w:hAnsi="Times New Roman"/>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Jefferies LLC</w:t>
            </w:r>
            <w:r>
              <w:rPr>
                <w:rFonts w:ascii="Times New Roman" w:cs="Times New Roman" w:eastAsia="Times New Roman" w:hAnsi="Times New Roman"/>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Julie Atkinson</w:t>
            </w:r>
            <w:r>
              <w:rPr>
                <w:rFonts w:ascii="Times New Roman" w:cs="Times New Roman" w:eastAsia="Times New Roman" w:hAnsi="Times New Roman"/>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37,946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Kali Invest LLC</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Kepos Alpha Master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Fund L.P.</w:t>
            </w:r>
            <w:r>
              <w:rPr>
                <w:rFonts w:ascii="Times New Roman" w:cs="Times New Roman" w:eastAsia="Times New Roman" w:hAnsi="Times New Roman"/>
                <w:sz w:val="26"/>
                <w:szCs w:val="26"/>
                <w:color w:val="auto"/>
                <w:vertAlign w:val="superscript"/>
              </w:rPr>
              <w:t>(30)(31)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Kim Lopdrup</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Lago Innovation</w:t>
            </w:r>
            <w:r>
              <w:rPr>
                <w:rFonts w:ascii="Times New Roman" w:cs="Times New Roman" w:eastAsia="Times New Roman" w:hAnsi="Times New Roman"/>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Matt Armstrong</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Matt MacDonald</w:t>
            </w:r>
            <w:r>
              <w:rPr>
                <w:rFonts w:ascii="Times New Roman" w:cs="Times New Roman" w:eastAsia="Times New Roman" w:hAnsi="Times New Roman"/>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1,036,253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512,024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Group</w:t>
            </w:r>
            <w:r>
              <w:rPr>
                <w:rFonts w:ascii="Times New Roman" w:cs="Times New Roman" w:eastAsia="Times New Roman" w:hAnsi="Times New Roman"/>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7,003,544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Nadir Noorani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Paresh Doshi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Paul Liberman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Prasad Phatak</w:t>
            </w:r>
            <w:r>
              <w:rPr>
                <w:rFonts w:ascii="Times New Roman" w:cs="Times New Roman" w:eastAsia="Times New Roman" w:hAnsi="Times New Roman"/>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604,758</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Rajat Suri</w:t>
            </w:r>
            <w:r>
              <w:rPr>
                <w:rFonts w:ascii="Times New Roman" w:cs="Times New Roman" w:eastAsia="Times New Roman" w:hAnsi="Times New Roman"/>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8,623,814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Richard Hoon Thye Woei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Robert Martin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Romulus Capital</w:t>
            </w:r>
            <w:r>
              <w:rPr>
                <w:rFonts w:ascii="Times New Roman" w:cs="Times New Roman" w:eastAsia="Times New Roman" w:hAnsi="Times New Roman"/>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18,111,939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Sasha Hoffman</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Series V</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1,932,773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Shamsuddin Charania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262,069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Sheel Tyle</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Shehzaan Chunara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Partners</w:t>
            </w:r>
            <w:r>
              <w:rPr>
                <w:rFonts w:ascii="Times New Roman" w:cs="Times New Roman" w:eastAsia="Times New Roman" w:hAnsi="Times New Roman"/>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Tan Chin Nam</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revocable 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Thomas P Botts</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573,660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Holdings LLC</w:t>
            </w:r>
            <w:r>
              <w:rPr>
                <w:rFonts w:ascii="Times New Roman" w:cs="Times New Roman" w:eastAsia="Times New Roman" w:hAnsi="Times New Roman"/>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288,925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White &amp; Case LLP</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William (Bill) Healey</w:t>
            </w:r>
            <w:r>
              <w:rPr>
                <w:rFonts w:ascii="Times New Roman" w:cs="Times New Roman" w:eastAsia="Times New Roman" w:hAnsi="Times New Roman"/>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307,318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William Souillard-Mandar</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ATO Dalmia Trust</w:t>
            </w:r>
            <w:r>
              <w:rPr>
                <w:rFonts w:ascii="Times New Roman" w:cs="Times New Roman" w:eastAsia="Times New Roman" w:hAnsi="Times New Roman"/>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Woolery &amp; Co PLLC</w:t>
            </w:r>
            <w:r>
              <w:rPr>
                <w:rFonts w:ascii="Times New Roman" w:cs="Times New Roman" w:eastAsia="Times New Roman" w:hAnsi="Times New Roman"/>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-7065645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-6748780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-6440170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156,233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747,328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39,529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38,616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604,758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4,386,655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18,111,939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1,432,773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174,569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284,640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115,848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307,318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580" w:space="100"/>
            <w:col w:w="5560"/>
          </w:cols>
          <w:pgMar w:left="320" w:top="893" w:right="339" w:bottom="1440" w:gutter="0" w:footer="0" w:header="0"/>
        </w:sect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252" w:lineRule="exact"/>
        <w:rPr>
          <w:sz w:val="20"/>
          <w:szCs w:val="20"/>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55" w:name="page56"/>
    <w:bookmarkEnd w:id="55"/>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securityholders is c/o Ventoux Acquisition Holdings LLC, 1 East Putnam Avenue, Floor 4, Greenwich, CT 06830.</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Acadia Woods Partners, LLC is c/o Hawkes Financial LLC, 77 Bedford Road, Katonah, NY 10536.</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Aloha Partners, LLC is c/o Hawkes Financial LLC 77 Bedford Road, Omaha, NE 68127.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Cabbaj Capital Ltd. is Georgiou Katsounotou, 6, 3026, Limassol, Cyprus.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Dentons US LLP is 233 South Wacker Drive, Suite 5900, Chicago, IL 60606. Dentons US LLP served as co-counsel to VTAQ in connection with the Business Combination.</w:t>
      </w:r>
    </w:p>
    <w:p>
      <w:pPr>
        <w:spacing w:after="0" w:line="192"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4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Woolery &amp; Co. PLLC is 1 Pier 76, 408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New York, NY 10018. Woolery &amp; Co. PLLC served as co-counsel to VTAQ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Cindat USA LLC is Beijing Yintai Center, Tower C, Suite 5101, 2 Jianwai Avenue, Beijing 100022, PRC.</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Greg Flynn is 225 Bush Street, Suite 1800, San Francisco, CA 94104.</w:t>
      </w:r>
    </w:p>
    <w:p>
      <w:pPr>
        <w:spacing w:after="0" w:line="23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HighSage Ventures, LLC is 200 Clarendon Street,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01"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Jeff Jones is 1180 NW Maple St Ste 105, Issaquah, WA 98027.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10022. Mr. Bergstrom disclaims beneficial ownership of shares held by CEOF. CEOF is a lender under the Credit Agreement.</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37"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228"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10004. Chardan Capital Markets, LLC served as an advisor to Legacy Presto in connection with the Business Combination</w:t>
      </w:r>
    </w:p>
    <w:p>
      <w:pPr>
        <w:spacing w:after="0" w:line="229"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4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Jefferies LLC is 520 Madison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Jefferies LLC served as financial advisor to Legacy Presto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266,822 Earnout Shares that may be issued from time to time upon achievement of certain stock price thresholds in accordance with the terms of the Merger Agreement.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Wilton Trustees (IOM) Limited ATO Dalmia Trust is Grosvenor House 66-67 Athol Street, Isle of Man IM1 IJE.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both"/>
        <w:ind w:left="660" w:hanging="652"/>
        <w:spacing w:after="0" w:line="25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shares of Common Stock to be sold pursuant to this prospectus represent June 2023 PIPE Shares held by the securityholders.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Brock Strasbourger was the Chief Operating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Julie Atkinson was a director of the Company’s corporate predecessor, VTAQ.</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Matt MacDonald was the Chief Financial Officer, Secretary, and a director of the Company’s corporate predecessor, VTAQ.</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Prasad Phatak was the Chief Investment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Chris Ahrens was a director of the Company’s corporate predecessor, VTAQ.</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9">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8">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EE"/>
          </w:rPr>
          <w:t>October 11, 2023</w:t>
        </w:r>
      </w:hyperlink>
      <w:r>
        <w:rPr>
          <w:rFonts w:ascii="Times New Roman" w:cs="Times New Roman" w:eastAsia="Times New Roman" w:hAnsi="Times New Roman"/>
          <w:sz w:val="18"/>
          <w:szCs w:val="18"/>
          <w:color w:val="auto"/>
        </w:rPr>
        <w:t xml:space="preserve">, and </w:t>
      </w:r>
      <w:hyperlink r:id="rId111">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Xavier Casanova</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702945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4"/>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o"/>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o"/>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2"/>
    </w:lvl>
    <w:lvl w:ilvl="1">
      <w:lvlJc w:val="left"/>
      <w:lvlText w:val="%2."/>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Roman"/>
      <w:start w:val="1"/>
    </w:lvl>
  </w:abstractNum>
  <w:abstractNum w:abstractNumId="20">
    <w:nsid w:val="3006C83E"/>
    <w:multiLevelType w:val="hybridMultilevel"/>
    <w:lvl w:ilvl="0">
      <w:lvlJc w:val="left"/>
      <w:lvlText w:val="(%1)"/>
      <w:numFmt w:val="lowerRoman"/>
      <w:start w:val="4"/>
    </w:lvl>
  </w:abstractNum>
  <w:abstractNum w:abstractNumId="21">
    <w:nsid w:val="614FD4A1"/>
    <w:multiLevelType w:val="hybridMultilevel"/>
    <w:lvl w:ilvl="0">
      <w:lvlJc w:val="left"/>
      <w:lvlText w:val="(%1)"/>
      <w:numFmt w:val="lowerRoman"/>
      <w:start w:val="9"/>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lowerRoman"/>
      <w:start w:val="1"/>
    </w:lvl>
  </w:abstractNum>
  <w:abstractNum w:abstractNumId="38">
    <w:nsid w:val="6A2342EC"/>
    <w:multiLevelType w:val="hybridMultilevel"/>
    <w:lvl w:ilvl="0">
      <w:lvlJc w:val="left"/>
      <w:lvlText w:val="(%1)"/>
      <w:numFmt w:val="lowerRoman"/>
      <w:start w:val="9"/>
    </w:lvl>
    <w:lvl w:ilvl="1">
      <w:lvlJc w:val="left"/>
      <w:lvlText w:val="%2."/>
      <w:numFmt w:val="lowerLetter"/>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2"/>
    </w:lvl>
  </w:abstractNum>
  <w:abstractNum w:abstractNumId="42">
    <w:nsid w:val="2CD89A32"/>
    <w:multiLevelType w:val="hybridMultilevel"/>
    <w:lvl w:ilvl="0">
      <w:lvlJc w:val="left"/>
      <w:lvlText w:val="(%1)"/>
      <w:numFmt w:val="decimal"/>
      <w:start w:val="13"/>
    </w:lvl>
  </w:abstractNum>
  <w:abstractNum w:abstractNumId="43">
    <w:nsid w:val="57E4CCAF"/>
    <w:multiLevelType w:val="hybridMultilevel"/>
    <w:lvl w:ilvl="0">
      <w:lvlJc w:val="left"/>
      <w:lvlText w:val="(%1)"/>
      <w:numFmt w:val="decimal"/>
      <w:start w:val="29"/>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38" Type="http://schemas.openxmlformats.org/officeDocument/2006/relationships/hyperlink" Target="http://www.sec.gov/Archives/edgar/data/1822145/000155837023016336/prst-20230630x10k.htm" TargetMode="External"/><Relationship Id="rId39" Type="http://schemas.openxmlformats.org/officeDocument/2006/relationships/hyperlink" Target="http://www.sec.gov/Archives/edgar/data/1822145/000155837023016408/prst-20230630x10ka.htm" TargetMode="External"/><Relationship Id="rId40" Type="http://schemas.openxmlformats.org/officeDocument/2006/relationships/hyperlink" Target="http://www.sec.gov/Archives/edgar/data/1822145/000155837023019254/prst-20230930x10q.htm" TargetMode="External"/><Relationship Id="rId41" Type="http://schemas.openxmlformats.org/officeDocument/2006/relationships/hyperlink" Target="http://www.sec.gov/Archives/edgar/data/1822145/000155837024001375/prst-20231231x10q.htm" TargetMode="External"/><Relationship Id="rId42" Type="http://schemas.openxmlformats.org/officeDocument/2006/relationships/hyperlink" Target="http://www.sec.gov/Archives/edgar/data/1822145/000110465923086535/tm2322640d1_8k.htm" TargetMode="External"/><Relationship Id="rId43" Type="http://schemas.openxmlformats.org/officeDocument/2006/relationships/hyperlink" Target="http://www.sec.gov/Archives/edgar/data/1822145/000110465923097311/tm2325309d1_8k.htm" TargetMode="External"/><Relationship Id="rId44" Type="http://schemas.openxmlformats.org/officeDocument/2006/relationships/hyperlink" Target="http://www.sec.gov/Archives/edgar/data/1822145/000101376223002979/ea186564-8k_prestoauto.htm" TargetMode="External"/><Relationship Id="rId45" Type="http://schemas.openxmlformats.org/officeDocument/2006/relationships/hyperlink" Target="http://www.sec.gov/Archives/edgar/data/1822145/000101376223005246/ea187043-8k_prestoauto.htm" TargetMode="External"/><Relationship Id="rId46" Type="http://schemas.openxmlformats.org/officeDocument/2006/relationships/hyperlink" Target="http://www.sec.gov/Archives/edgar/data/1822145/000121390023089293/ea188717-8k_presto.htm" TargetMode="External"/><Relationship Id="rId47" Type="http://schemas.openxmlformats.org/officeDocument/2006/relationships/hyperlink" Target="http://www.sec.gov/Archives/edgar/data/1822145/000155837023019477/prst-20231129x8k.htm" TargetMode="External"/><Relationship Id="rId48" Type="http://schemas.openxmlformats.org/officeDocument/2006/relationships/hyperlink" Target="http://www.sec.gov/Archives/edgar/data/1822145/000155837023019744/prst-20231206x8k.htm" TargetMode="External"/><Relationship Id="rId49" Type="http://schemas.openxmlformats.org/officeDocument/2006/relationships/hyperlink" Target="http://www.sec.gov/Archives/edgar/data/1822145/000121390023095635/ea190049-8k_presto.htm" TargetMode="External"/><Relationship Id="rId50" Type="http://schemas.openxmlformats.org/officeDocument/2006/relationships/hyperlink" Target="http://www.sec.gov/Archives/edgar/data/1822145/000121390024009098/ea192676-8k_presto.htm" TargetMode="External"/><Relationship Id="rId51" Type="http://schemas.openxmlformats.org/officeDocument/2006/relationships/hyperlink" Target="http://www.sec.gov/Archives/edgar/data/1822145/000110465924032703/tm248423d1_8k.htm" TargetMode="External"/><Relationship Id="rId52" Type="http://schemas.openxmlformats.org/officeDocument/2006/relationships/hyperlink" Target="http://www.sec.gov/Archives/edgar/data/1822145/000110465924035601/tm249131d1_8k.htm" TargetMode="External"/><Relationship Id="rId53" Type="http://schemas.openxmlformats.org/officeDocument/2006/relationships/hyperlink" Target="http://www.sec.gov/Archives/edgar/data/1822145/000110465924037407/tm249250d1_8k.htm" TargetMode="External"/><Relationship Id="rId54" Type="http://schemas.openxmlformats.org/officeDocument/2006/relationships/hyperlink" Target="http://www.sec.gov/Archives/edgar/data/1822145/000121390020044238/ea131985-8a12b_ventouxccm.htm" TargetMode="External"/><Relationship Id="rId55" Type="http://schemas.openxmlformats.org/officeDocument/2006/relationships/hyperlink" Target="http://www.sec.gov/Archives/edgar/data/1822145/000155837023016336/prst-20230630xex4d1.htm" TargetMode="External"/><Relationship Id="rId108" Type="http://schemas.openxmlformats.org/officeDocument/2006/relationships/hyperlink" Target="https://www.sec.gov/Archives/edgar/data/1822145/000110465923086535/tm2322640d1_8k.htm" TargetMode="External"/><Relationship Id="rId109" Type="http://schemas.openxmlformats.org/officeDocument/2006/relationships/hyperlink" Target="https://www.sec.gov/Archives/edgar/data/1822145/000110465923097311/tm2325309d1_8k.htm" TargetMode="External"/><Relationship Id="rId110" Type="http://schemas.openxmlformats.org/officeDocument/2006/relationships/hyperlink" Target="https://www.sec.gov/Archives/edgar/data/1822145/000101376223002979/ea186564-8k_prestoauto.htm" TargetMode="External"/><Relationship Id="rId111" Type="http://schemas.openxmlformats.org/officeDocument/2006/relationships/hyperlink" Target="https://www.sec.gov/Archives/edgar/data/1822145/000101376223005246/ea187043-8k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2024-05-16T10:56:17Z</dcterms:created>
  <dcterms:modified xsi:type="dcterms:W3CDTF">2024-05-16T10:56:17Z</dcterms:modified>
</cp:coreProperties>
</file>