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333-275112</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30, 2023)</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Primary Offering of</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16,823,660 Shares of Common Stock Issuable Upon Exercise of Outstanding Warrants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Secondary Offering of</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52,709,824 Shares of Common Stock</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7,625,000 Warrants to Purchase Shares of Common Stock Offered by the Selling Securityholders</w:t>
      </w:r>
    </w:p>
    <w:p>
      <w:pPr>
        <w:spacing w:after="0" w:line="209" w:lineRule="exact"/>
        <w:rPr>
          <w:sz w:val="24"/>
          <w:szCs w:val="24"/>
          <w:color w:val="auto"/>
        </w:rPr>
      </w:pPr>
    </w:p>
    <w:p>
      <w:pPr>
        <w:jc w:val="both"/>
        <w:spacing w:after="0" w:line="268" w:lineRule="auto"/>
        <w:rPr>
          <w:sz w:val="20"/>
          <w:szCs w:val="20"/>
          <w:color w:val="auto"/>
        </w:rPr>
      </w:pPr>
      <w:r>
        <w:rPr>
          <w:rFonts w:ascii="Arial" w:cs="Arial" w:eastAsia="Arial" w:hAnsi="Arial"/>
          <w:sz w:val="17"/>
          <w:szCs w:val="17"/>
          <w:color w:val="auto"/>
        </w:rPr>
        <w:t>This prospectus supplement relates to (a) the issuance by Presto Automation Inc., a Delaware corporation (the “Company,” “we,” “us” or “Presto”)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(b)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(c) an aggregate of 52,709,824 shares of Common Stock by certain of the selling securityholders named in this prospectus supplement (each a “Selling Securityholder” and, collectively, the “Selling Securityholders”). The securities registered for resale covered by this prospectus supplement consist of the following:</w:t>
      </w:r>
    </w:p>
    <w:p>
      <w:pPr>
        <w:spacing w:after="0" w:line="184" w:lineRule="exact"/>
        <w:rPr>
          <w:sz w:val="24"/>
          <w:szCs w:val="24"/>
          <w:color w:val="auto"/>
        </w:rPr>
      </w:pPr>
    </w:p>
    <w:p>
      <w:pPr>
        <w:jc w:val="both"/>
        <w:ind w:left="980" w:hanging="651"/>
        <w:spacing w:after="0" w:line="26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185" w:lineRule="exact"/>
        <w:rPr>
          <w:rFonts w:ascii="Arial" w:cs="Arial" w:eastAsia="Arial" w:hAnsi="Arial"/>
          <w:sz w:val="18"/>
          <w:szCs w:val="18"/>
          <w:color w:val="auto"/>
        </w:rPr>
      </w:pPr>
    </w:p>
    <w:p>
      <w:pPr>
        <w:jc w:val="both"/>
        <w:ind w:left="980" w:hanging="651"/>
        <w:spacing w:after="0" w:line="268"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80" w:lineRule="exact"/>
        <w:rPr>
          <w:rFonts w:ascii="Arial" w:cs="Arial" w:eastAsia="Arial" w:hAnsi="Arial"/>
          <w:sz w:val="17"/>
          <w:szCs w:val="17"/>
          <w:color w:val="auto"/>
        </w:rPr>
      </w:pPr>
    </w:p>
    <w:p>
      <w:pPr>
        <w:ind w:left="980" w:hanging="651"/>
        <w:spacing w:after="0" w:line="272"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408940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jc w:val="both"/>
        <w:ind w:left="980" w:right="20" w:hanging="651"/>
        <w:spacing w:after="0" w:line="26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85" w:lineRule="exact"/>
        <w:rPr>
          <w:rFonts w:ascii="Arial" w:cs="Arial" w:eastAsia="Arial" w:hAnsi="Arial"/>
          <w:sz w:val="18"/>
          <w:szCs w:val="18"/>
          <w:color w:val="auto"/>
        </w:rPr>
      </w:pPr>
    </w:p>
    <w:p>
      <w:pPr>
        <w:jc w:val="both"/>
        <w:ind w:left="980" w:hanging="651"/>
        <w:spacing w:after="0" w:line="282"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68" w:lineRule="exact"/>
        <w:rPr>
          <w:rFonts w:ascii="Arial" w:cs="Arial" w:eastAsia="Arial" w:hAnsi="Arial"/>
          <w:sz w:val="17"/>
          <w:szCs w:val="17"/>
          <w:color w:val="auto"/>
        </w:rPr>
      </w:pPr>
    </w:p>
    <w:p>
      <w:pPr>
        <w:jc w:val="both"/>
        <w:ind w:left="980" w:hanging="651"/>
        <w:spacing w:after="0" w:line="27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p>
      <w:pPr>
        <w:spacing w:after="0" w:line="173" w:lineRule="exact"/>
        <w:rPr>
          <w:rFonts w:ascii="Arial" w:cs="Arial" w:eastAsia="Arial" w:hAnsi="Arial"/>
          <w:sz w:val="17"/>
          <w:szCs w:val="17"/>
          <w:color w:val="auto"/>
        </w:rPr>
      </w:pPr>
    </w:p>
    <w:p>
      <w:pPr>
        <w:jc w:val="both"/>
        <w:ind w:left="980" w:hanging="651"/>
        <w:spacing w:after="0" w:line="26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p>
      <w:pPr>
        <w:spacing w:after="0" w:line="185"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p>
      <w:pPr>
        <w:spacing w:after="0" w:line="185" w:lineRule="exact"/>
        <w:rPr>
          <w:rFonts w:ascii="Arial" w:cs="Arial" w:eastAsia="Arial" w:hAnsi="Arial"/>
          <w:sz w:val="18"/>
          <w:szCs w:val="18"/>
          <w:color w:val="auto"/>
        </w:rPr>
      </w:pPr>
    </w:p>
    <w:p>
      <w:pPr>
        <w:jc w:val="both"/>
        <w:ind w:left="980" w:hanging="651"/>
        <w:spacing w:after="0" w:line="271"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p>
      <w:pPr>
        <w:spacing w:after="0" w:line="177" w:lineRule="exact"/>
        <w:rPr>
          <w:rFonts w:ascii="Arial" w:cs="Arial" w:eastAsia="Arial" w:hAnsi="Arial"/>
          <w:sz w:val="17"/>
          <w:szCs w:val="17"/>
          <w:color w:val="auto"/>
        </w:rPr>
      </w:pPr>
    </w:p>
    <w:p>
      <w:pPr>
        <w:jc w:val="both"/>
        <w:ind w:left="980" w:hanging="651"/>
        <w:spacing w:after="0" w:line="27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prospectus supplement provides you with a general description of such securities and the general manner in which the Selling Securityholders may offer or sell the securities. More specific terms of any securities that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418465</wp:posOffset>
            </wp:positionV>
            <wp:extent cx="71335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p>
      <w:pPr>
        <w:jc w:val="both"/>
        <w:spacing w:after="0" w:line="254" w:lineRule="auto"/>
        <w:rPr>
          <w:sz w:val="20"/>
          <w:szCs w:val="20"/>
          <w:color w:val="auto"/>
        </w:rPr>
      </w:pPr>
      <w:r>
        <w:rPr>
          <w:rFonts w:ascii="Arial" w:cs="Arial" w:eastAsia="Arial" w:hAnsi="Arial"/>
          <w:sz w:val="18"/>
          <w:szCs w:val="18"/>
          <w:color w:val="auto"/>
        </w:rPr>
        <w:t>We will not receive any proceeds from the sale by the Selling Securityholders of shares of Common Stock or warrants pursuant to this prospectus supplement or of the issuance by us of shares of Common Stock issuable upon exercise of outstanding warrants pursuant to this prospectus supplement,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 supplement.</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registration of the securities covered by this prospectus supplement does not mean that either we or the Selling Securityholders will issue, offer or sell, as applicable, any of the securities. The Selling Securityholders may offer and sell the securities covered by this prospectus supplement in a number of different ways and at varying prices. We provide more information about how the Selling Securityholders may sell the securities in the section entitled “Plan of Distribution.” You should read this prospectus supplement and the accompanying prospectus carefully, including the documents incorporated by reference in this prospectus supplement and the accompanying prospectus before you invest in our securities.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shares of Common Stock are listed on the Nasdaq Stock Market under the symbol “PRST.” On October 30, 2023, the closing sale price of shares of our Common Stock was $1.33. Our warrants are listed on the Nasdaq Stock Market under the symbol “PRSTW.” On October 30, 2023, the closing sale price of our warrants was $0.04.</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the date of this prospectus supplement,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Arial" w:cs="Arial" w:eastAsia="Arial" w:hAnsi="Arial"/>
          <w:sz w:val="17"/>
          <w:szCs w:val="17"/>
          <w:i w:val="1"/>
          <w:iCs w:val="1"/>
          <w:color w:val="auto"/>
        </w:rPr>
        <w:t>Risk Factors—Risks Relating to Our Common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and Warrants</w:t>
      </w:r>
      <w:r>
        <w:rPr>
          <w:rFonts w:ascii="Arial" w:cs="Arial" w:eastAsia="Arial" w:hAnsi="Arial"/>
          <w:sz w:val="17"/>
          <w:szCs w:val="17"/>
          <w:color w:val="auto"/>
        </w:rPr>
        <w:t>” in our Annual Report on Form 10-K for the fiscal year ended June 30, 2023 for more information.</w:t>
      </w:r>
    </w:p>
    <w:p>
      <w:pPr>
        <w:spacing w:after="0" w:line="165"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color w:val="auto"/>
        </w:rPr>
        <w:t>Investing in our securities involves risks that are described in the “Risk Factors” section beginning on page 4 of this prospectus supplement and similar sections contained in the documents incorporated by reference into this prospectus supplement.</w:t>
      </w:r>
    </w:p>
    <w:p>
      <w:pPr>
        <w:spacing w:after="0" w:line="167"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October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71335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8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98"/>
              </w:rPr>
              <w:t>TABLE OF CONTENTS</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8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87"/>
              </w:rPr>
              <w:t>Prospectus Supplement</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00" w:type="dxa"/>
            <w:vAlign w:val="bottom"/>
            <w:tcBorders>
              <w:bottom w:val="single" w:sz="8" w:color="0000EE"/>
            </w:tcBorders>
            <w:gridSpan w:val="14"/>
            <w:shd w:val="clear" w:color="auto" w:fill="CCEEFF"/>
          </w:tcPr>
          <w:p>
            <w:pPr>
              <w:spacing w:after="0" w:line="175" w:lineRule="exact"/>
              <w:rPr>
                <w:sz w:val="20"/>
                <w:szCs w:val="20"/>
                <w:color w:val="auto"/>
              </w:rPr>
            </w:pPr>
            <w:r>
              <w:rPr>
                <w:rFonts w:ascii="Arial" w:cs="Arial" w:eastAsia="Arial" w:hAnsi="Arial"/>
                <w:sz w:val="18"/>
                <w:szCs w:val="18"/>
                <w:color w:val="0000EE"/>
                <w:w w:val="92"/>
              </w:rPr>
              <w:t>ABOUT THIS PROSPECTUS SUPPLEMENT</w:t>
            </w:r>
          </w:p>
        </w:tc>
        <w:tc>
          <w:tcPr>
            <w:tcW w:w="5180" w:type="dxa"/>
            <w:vAlign w:val="bottom"/>
            <w:tcBorders>
              <w:bottom w:val="single" w:sz="8" w:color="CCEEFF"/>
            </w:tcBorders>
            <w:gridSpan w:val="5"/>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jc w:val="center"/>
              <w:ind w:left="1651"/>
              <w:spacing w:after="0" w:line="175"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80" w:type="dxa"/>
            <w:vAlign w:val="bottom"/>
            <w:gridSpan w:val="19"/>
          </w:tcPr>
          <w:p>
            <w:pPr>
              <w:spacing w:after="0" w:line="175" w:lineRule="exact"/>
              <w:rPr>
                <w:sz w:val="20"/>
                <w:szCs w:val="20"/>
                <w:color w:val="auto"/>
              </w:rPr>
            </w:pPr>
            <w:r>
              <w:rPr>
                <w:rFonts w:ascii="Arial" w:cs="Arial" w:eastAsia="Arial" w:hAnsi="Arial"/>
                <w:sz w:val="18"/>
                <w:szCs w:val="18"/>
                <w:color w:val="0000EE"/>
              </w:rPr>
              <w:t>TRADEMARKS</w:t>
            </w:r>
          </w:p>
        </w:tc>
        <w:tc>
          <w:tcPr>
            <w:tcW w:w="2640" w:type="dxa"/>
            <w:vAlign w:val="bottom"/>
          </w:tcPr>
          <w:p>
            <w:pPr>
              <w:jc w:val="center"/>
              <w:ind w:left="1651"/>
              <w:spacing w:after="0" w:line="175" w:lineRule="exact"/>
              <w:rPr>
                <w:sz w:val="20"/>
                <w:szCs w:val="20"/>
                <w:color w:val="auto"/>
              </w:rPr>
            </w:pPr>
            <w:r>
              <w:rPr>
                <w:rFonts w:ascii="Arial" w:cs="Arial" w:eastAsia="Arial" w:hAnsi="Arial"/>
                <w:sz w:val="18"/>
                <w:szCs w:val="18"/>
                <w:color w:val="auto"/>
                <w:w w:val="92"/>
              </w:rPr>
              <w:t>S-2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8580" w:type="dxa"/>
            <w:vAlign w:val="bottom"/>
            <w:gridSpan w:val="19"/>
            <w:shd w:val="clear" w:color="auto" w:fill="CCEEFF"/>
          </w:tcPr>
          <w:p>
            <w:pPr>
              <w:spacing w:after="0" w:line="175" w:lineRule="exact"/>
              <w:rPr>
                <w:sz w:val="20"/>
                <w:szCs w:val="20"/>
                <w:color w:val="auto"/>
              </w:rPr>
            </w:pPr>
            <w:r>
              <w:rPr>
                <w:rFonts w:ascii="Arial" w:cs="Arial" w:eastAsia="Arial" w:hAnsi="Arial"/>
                <w:sz w:val="18"/>
                <w:szCs w:val="18"/>
                <w:color w:val="0000EE"/>
              </w:rPr>
              <w:t>CAUTIONARY STATEMENT REGARDING FORWARD-LOOKING STATEMENTS</w:t>
            </w:r>
          </w:p>
        </w:tc>
        <w:tc>
          <w:tcPr>
            <w:tcW w:w="2640" w:type="dxa"/>
            <w:vAlign w:val="bottom"/>
            <w:shd w:val="clear" w:color="auto" w:fill="CCEEFF"/>
          </w:tcPr>
          <w:p>
            <w:pPr>
              <w:jc w:val="center"/>
              <w:ind w:left="1651"/>
              <w:spacing w:after="0" w:line="175" w:lineRule="exact"/>
              <w:rPr>
                <w:sz w:val="20"/>
                <w:szCs w:val="20"/>
                <w:color w:val="auto"/>
              </w:rPr>
            </w:pPr>
            <w:r>
              <w:rPr>
                <w:rFonts w:ascii="Arial" w:cs="Arial" w:eastAsia="Arial" w:hAnsi="Arial"/>
                <w:sz w:val="18"/>
                <w:szCs w:val="18"/>
                <w:color w:val="auto"/>
                <w:w w:val="92"/>
              </w:rPr>
              <w:t>S-2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tcBorders>
              <w:top w:val="single" w:sz="8" w:color="0000EE"/>
            </w:tcBorders>
            <w:gridSpan w:val="18"/>
          </w:tcPr>
          <w:p>
            <w:pPr>
              <w:spacing w:after="0" w:line="175" w:lineRule="exact"/>
              <w:rPr>
                <w:sz w:val="20"/>
                <w:szCs w:val="20"/>
                <w:color w:val="auto"/>
              </w:rPr>
            </w:pPr>
            <w:r>
              <w:rPr>
                <w:rFonts w:ascii="Arial" w:cs="Arial" w:eastAsia="Arial" w:hAnsi="Arial"/>
                <w:sz w:val="18"/>
                <w:szCs w:val="18"/>
                <w:color w:val="0000EE"/>
              </w:rPr>
              <w:t>SUMMARY OF PROSPECTUS</w:t>
            </w:r>
          </w:p>
        </w:tc>
        <w:tc>
          <w:tcPr>
            <w:tcW w:w="2300" w:type="dxa"/>
            <w:vAlign w:val="bottom"/>
            <w:tcBorders>
              <w:top w:val="single" w:sz="8" w:color="CCEEFF"/>
            </w:tcBorders>
          </w:tcPr>
          <w:p>
            <w:pPr>
              <w:spacing w:after="0"/>
              <w:rPr>
                <w:sz w:val="15"/>
                <w:szCs w:val="15"/>
                <w:color w:val="auto"/>
              </w:rPr>
            </w:pPr>
          </w:p>
        </w:tc>
        <w:tc>
          <w:tcPr>
            <w:tcW w:w="2640" w:type="dxa"/>
            <w:vAlign w:val="bottom"/>
            <w:tcBorders>
              <w:top w:val="single" w:sz="8" w:color="CCEEFF"/>
            </w:tcBorders>
          </w:tcPr>
          <w:p>
            <w:pPr>
              <w:jc w:val="center"/>
              <w:ind w:left="1651"/>
              <w:spacing w:after="0" w:line="175" w:lineRule="exact"/>
              <w:rPr>
                <w:sz w:val="20"/>
                <w:szCs w:val="20"/>
                <w:color w:val="auto"/>
              </w:rPr>
            </w:pPr>
            <w:r>
              <w:rPr>
                <w:rFonts w:ascii="Arial" w:cs="Arial" w:eastAsia="Arial" w:hAnsi="Arial"/>
                <w:sz w:val="18"/>
                <w:szCs w:val="18"/>
                <w:color w:val="auto"/>
                <w:w w:val="92"/>
              </w:rPr>
              <w:t>S-3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8580" w:type="dxa"/>
            <w:vAlign w:val="bottom"/>
            <w:gridSpan w:val="19"/>
            <w:shd w:val="clear" w:color="auto" w:fill="CCEEFF"/>
          </w:tcPr>
          <w:p>
            <w:pPr>
              <w:spacing w:after="0" w:line="175" w:lineRule="exact"/>
              <w:rPr>
                <w:sz w:val="20"/>
                <w:szCs w:val="20"/>
                <w:color w:val="auto"/>
              </w:rPr>
            </w:pPr>
            <w:r>
              <w:rPr>
                <w:rFonts w:ascii="Arial" w:cs="Arial" w:eastAsia="Arial" w:hAnsi="Arial"/>
                <w:sz w:val="18"/>
                <w:szCs w:val="18"/>
                <w:color w:val="0000EE"/>
              </w:rPr>
              <w:t>RISK FACTORS</w:t>
            </w:r>
          </w:p>
        </w:tc>
        <w:tc>
          <w:tcPr>
            <w:tcW w:w="2640" w:type="dxa"/>
            <w:vAlign w:val="bottom"/>
            <w:shd w:val="clear" w:color="auto" w:fill="CCEEFF"/>
          </w:tcPr>
          <w:p>
            <w:pPr>
              <w:jc w:val="center"/>
              <w:ind w:left="1651"/>
              <w:spacing w:after="0" w:line="175" w:lineRule="exact"/>
              <w:rPr>
                <w:sz w:val="20"/>
                <w:szCs w:val="20"/>
                <w:color w:val="auto"/>
              </w:rPr>
            </w:pPr>
            <w:r>
              <w:rPr>
                <w:rFonts w:ascii="Arial" w:cs="Arial" w:eastAsia="Arial" w:hAnsi="Arial"/>
                <w:sz w:val="18"/>
                <w:szCs w:val="18"/>
                <w:color w:val="auto"/>
                <w:w w:val="92"/>
              </w:rPr>
              <w:t>S-4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8580" w:type="dxa"/>
            <w:vAlign w:val="bottom"/>
            <w:gridSpan w:val="19"/>
          </w:tcPr>
          <w:p>
            <w:pPr>
              <w:spacing w:after="0" w:line="175" w:lineRule="exact"/>
              <w:rPr>
                <w:sz w:val="20"/>
                <w:szCs w:val="20"/>
                <w:color w:val="auto"/>
              </w:rPr>
            </w:pPr>
            <w:r>
              <w:rPr>
                <w:rFonts w:ascii="Arial" w:cs="Arial" w:eastAsia="Arial" w:hAnsi="Arial"/>
                <w:sz w:val="18"/>
                <w:szCs w:val="18"/>
                <w:color w:val="0000EE"/>
              </w:rPr>
              <w:t>USE OF PROCEEDS</w:t>
            </w:r>
          </w:p>
        </w:tc>
        <w:tc>
          <w:tcPr>
            <w:tcW w:w="2640" w:type="dxa"/>
            <w:vAlign w:val="bottom"/>
          </w:tcPr>
          <w:p>
            <w:pPr>
              <w:jc w:val="center"/>
              <w:ind w:left="1651"/>
              <w:spacing w:after="0" w:line="175" w:lineRule="exact"/>
              <w:rPr>
                <w:sz w:val="20"/>
                <w:szCs w:val="20"/>
                <w:color w:val="auto"/>
              </w:rPr>
            </w:pPr>
            <w:r>
              <w:rPr>
                <w:rFonts w:ascii="Arial" w:cs="Arial" w:eastAsia="Arial" w:hAnsi="Arial"/>
                <w:sz w:val="18"/>
                <w:szCs w:val="18"/>
                <w:color w:val="auto"/>
                <w:w w:val="92"/>
              </w:rPr>
              <w:t>S-5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040" w:type="dxa"/>
            <w:vAlign w:val="bottom"/>
            <w:tcBorders>
              <w:bottom w:val="single" w:sz="8" w:color="0000EE"/>
            </w:tcBorders>
            <w:gridSpan w:val="17"/>
            <w:shd w:val="clear" w:color="auto" w:fill="CCEEFF"/>
          </w:tcPr>
          <w:p>
            <w:pPr>
              <w:spacing w:after="0" w:line="175" w:lineRule="exact"/>
              <w:rPr>
                <w:sz w:val="20"/>
                <w:szCs w:val="20"/>
                <w:color w:val="auto"/>
              </w:rPr>
            </w:pPr>
            <w:r>
              <w:rPr>
                <w:rFonts w:ascii="Arial" w:cs="Arial" w:eastAsia="Arial" w:hAnsi="Arial"/>
                <w:sz w:val="18"/>
                <w:szCs w:val="18"/>
                <w:color w:val="0000EE"/>
                <w:w w:val="93"/>
              </w:rPr>
              <w:t>DESCRIPTION OF COMMON STOCK AND PREFERRED STOCK</w:t>
            </w:r>
          </w:p>
        </w:tc>
        <w:tc>
          <w:tcPr>
            <w:tcW w:w="3540" w:type="dxa"/>
            <w:vAlign w:val="bottom"/>
            <w:tcBorders>
              <w:bottom w:val="single" w:sz="8" w:color="CCEEFF"/>
            </w:tcBorders>
            <w:gridSpan w:val="2"/>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jc w:val="center"/>
              <w:ind w:left="1651"/>
              <w:spacing w:after="0" w:line="175" w:lineRule="exact"/>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80" w:type="dxa"/>
            <w:vAlign w:val="bottom"/>
            <w:gridSpan w:val="19"/>
          </w:tcPr>
          <w:p>
            <w:pPr>
              <w:spacing w:after="0" w:line="175" w:lineRule="exact"/>
              <w:rPr>
                <w:sz w:val="20"/>
                <w:szCs w:val="20"/>
                <w:color w:val="auto"/>
              </w:rPr>
            </w:pPr>
            <w:r>
              <w:rPr>
                <w:rFonts w:ascii="Arial" w:cs="Arial" w:eastAsia="Arial" w:hAnsi="Arial"/>
                <w:sz w:val="18"/>
                <w:szCs w:val="18"/>
                <w:color w:val="0000EE"/>
              </w:rPr>
              <w:t>DESCRIPTION OF WARRANTS</w:t>
            </w:r>
          </w:p>
        </w:tc>
        <w:tc>
          <w:tcPr>
            <w:tcW w:w="2640" w:type="dxa"/>
            <w:vAlign w:val="bottom"/>
          </w:tcPr>
          <w:p>
            <w:pPr>
              <w:jc w:val="center"/>
              <w:ind w:left="1651"/>
              <w:spacing w:after="0" w:line="175"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80" w:type="dxa"/>
            <w:vAlign w:val="bottom"/>
            <w:tcBorders>
              <w:bottom w:val="single" w:sz="8" w:color="0000EE"/>
            </w:tcBorders>
            <w:gridSpan w:val="12"/>
            <w:shd w:val="clear" w:color="auto" w:fill="CCEEFF"/>
          </w:tcPr>
          <w:p>
            <w:pPr>
              <w:spacing w:after="0" w:line="175" w:lineRule="exact"/>
              <w:rPr>
                <w:sz w:val="20"/>
                <w:szCs w:val="20"/>
                <w:color w:val="auto"/>
              </w:rPr>
            </w:pPr>
            <w:r>
              <w:rPr>
                <w:rFonts w:ascii="Arial" w:cs="Arial" w:eastAsia="Arial" w:hAnsi="Arial"/>
                <w:sz w:val="18"/>
                <w:szCs w:val="18"/>
                <w:color w:val="0000EE"/>
                <w:w w:val="94"/>
              </w:rPr>
              <w:t>SELLING SECURITYHOLDERS</w:t>
            </w:r>
          </w:p>
        </w:tc>
        <w:tc>
          <w:tcPr>
            <w:tcW w:w="6100" w:type="dxa"/>
            <w:vAlign w:val="bottom"/>
            <w:tcBorders>
              <w:bottom w:val="single" w:sz="8" w:color="CCEEFF"/>
            </w:tcBorders>
            <w:gridSpan w:val="7"/>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jc w:val="center"/>
              <w:ind w:left="1651"/>
              <w:spacing w:after="0" w:line="175" w:lineRule="exact"/>
              <w:rPr>
                <w:sz w:val="20"/>
                <w:szCs w:val="20"/>
                <w:color w:val="auto"/>
              </w:rPr>
            </w:pPr>
            <w:r>
              <w:rPr>
                <w:rFonts w:ascii="Arial" w:cs="Arial" w:eastAsia="Arial" w:hAnsi="Arial"/>
                <w:sz w:val="18"/>
                <w:szCs w:val="18"/>
                <w:color w:val="auto"/>
                <w:w w:val="92"/>
              </w:rPr>
              <w:t>S-8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80" w:type="dxa"/>
            <w:vAlign w:val="bottom"/>
            <w:gridSpan w:val="19"/>
          </w:tcPr>
          <w:p>
            <w:pPr>
              <w:spacing w:after="0" w:line="175" w:lineRule="exact"/>
              <w:rPr>
                <w:sz w:val="20"/>
                <w:szCs w:val="20"/>
                <w:color w:val="auto"/>
              </w:rPr>
            </w:pPr>
            <w:r>
              <w:rPr>
                <w:rFonts w:ascii="Arial" w:cs="Arial" w:eastAsia="Arial" w:hAnsi="Arial"/>
                <w:sz w:val="18"/>
                <w:szCs w:val="18"/>
                <w:color w:val="0000EE"/>
              </w:rPr>
              <w:t>PLAN OF DISTRIBUTION</w:t>
            </w:r>
          </w:p>
        </w:tc>
        <w:tc>
          <w:tcPr>
            <w:tcW w:w="2640" w:type="dxa"/>
            <w:vAlign w:val="bottom"/>
          </w:tcPr>
          <w:p>
            <w:pPr>
              <w:jc w:val="center"/>
              <w:ind w:left="1651"/>
              <w:spacing w:after="0" w:line="175"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1440" w:type="dxa"/>
            <w:vAlign w:val="bottom"/>
            <w:tcBorders>
              <w:bottom w:val="single" w:sz="8" w:color="0000EE"/>
            </w:tcBorders>
            <w:gridSpan w:val="3"/>
            <w:shd w:val="clear" w:color="auto" w:fill="CCEEFF"/>
          </w:tcPr>
          <w:p>
            <w:pPr>
              <w:spacing w:after="0" w:line="175" w:lineRule="exact"/>
              <w:rPr>
                <w:sz w:val="20"/>
                <w:szCs w:val="20"/>
                <w:color w:val="auto"/>
              </w:rPr>
            </w:pPr>
            <w:r>
              <w:rPr>
                <w:rFonts w:ascii="Arial" w:cs="Arial" w:eastAsia="Arial" w:hAnsi="Arial"/>
                <w:sz w:val="18"/>
                <w:szCs w:val="18"/>
                <w:color w:val="0000EE"/>
                <w:w w:val="95"/>
              </w:rPr>
              <w:t>LEGAL MATTERS</w:t>
            </w:r>
          </w:p>
        </w:tc>
        <w:tc>
          <w:tcPr>
            <w:tcW w:w="7140" w:type="dxa"/>
            <w:vAlign w:val="bottom"/>
            <w:tcBorders>
              <w:bottom w:val="single" w:sz="8" w:color="CCEEFF"/>
            </w:tcBorders>
            <w:gridSpan w:val="16"/>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jc w:val="center"/>
              <w:ind w:left="1651"/>
              <w:spacing w:after="0" w:line="175"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80" w:type="dxa"/>
            <w:vAlign w:val="bottom"/>
            <w:gridSpan w:val="19"/>
          </w:tcPr>
          <w:p>
            <w:pPr>
              <w:spacing w:after="0" w:line="175" w:lineRule="exact"/>
              <w:rPr>
                <w:sz w:val="20"/>
                <w:szCs w:val="20"/>
                <w:color w:val="auto"/>
              </w:rPr>
            </w:pPr>
            <w:r>
              <w:rPr>
                <w:rFonts w:ascii="Arial" w:cs="Arial" w:eastAsia="Arial" w:hAnsi="Arial"/>
                <w:sz w:val="18"/>
                <w:szCs w:val="18"/>
                <w:color w:val="0000EE"/>
              </w:rPr>
              <w:t>EXPERTS</w:t>
            </w:r>
          </w:p>
        </w:tc>
        <w:tc>
          <w:tcPr>
            <w:tcW w:w="2640" w:type="dxa"/>
            <w:vAlign w:val="bottom"/>
          </w:tcPr>
          <w:p>
            <w:pPr>
              <w:jc w:val="center"/>
              <w:ind w:left="1651"/>
              <w:spacing w:after="0" w:line="175"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80" w:type="dxa"/>
            <w:vAlign w:val="bottom"/>
            <w:tcBorders>
              <w:bottom w:val="single" w:sz="8" w:color="0000EE"/>
            </w:tcBorders>
            <w:gridSpan w:val="15"/>
            <w:shd w:val="clear" w:color="auto" w:fill="CCEEFF"/>
          </w:tcPr>
          <w:p>
            <w:pPr>
              <w:spacing w:after="0" w:line="175" w:lineRule="exact"/>
              <w:rPr>
                <w:sz w:val="20"/>
                <w:szCs w:val="20"/>
                <w:color w:val="auto"/>
              </w:rPr>
            </w:pPr>
            <w:r>
              <w:rPr>
                <w:rFonts w:ascii="Arial" w:cs="Arial" w:eastAsia="Arial" w:hAnsi="Arial"/>
                <w:sz w:val="18"/>
                <w:szCs w:val="18"/>
                <w:color w:val="0000EE"/>
                <w:w w:val="96"/>
              </w:rPr>
              <w:t>WHERE YOU CAN FIND MORE INFORMATION</w:t>
            </w:r>
          </w:p>
        </w:tc>
        <w:tc>
          <w:tcPr>
            <w:tcW w:w="4800" w:type="dxa"/>
            <w:vAlign w:val="bottom"/>
            <w:tcBorders>
              <w:bottom w:val="single" w:sz="8" w:color="CCEEFF"/>
            </w:tcBorders>
            <w:gridSpan w:val="4"/>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jc w:val="center"/>
              <w:ind w:left="1651"/>
              <w:spacing w:after="0" w:line="175" w:lineRule="exact"/>
              <w:rPr>
                <w:sz w:val="20"/>
                <w:szCs w:val="20"/>
                <w:color w:val="auto"/>
              </w:rPr>
            </w:pPr>
            <w:r>
              <w:rPr>
                <w:rFonts w:ascii="Arial" w:cs="Arial" w:eastAsia="Arial" w:hAnsi="Arial"/>
                <w:sz w:val="18"/>
                <w:szCs w:val="18"/>
                <w:color w:val="auto"/>
                <w:w w:val="89"/>
              </w:rPr>
              <w:t>S-18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80" w:type="dxa"/>
            <w:vAlign w:val="bottom"/>
            <w:gridSpan w:val="19"/>
          </w:tcPr>
          <w:p>
            <w:pPr>
              <w:spacing w:after="0" w:line="175" w:lineRule="exact"/>
              <w:rPr>
                <w:sz w:val="20"/>
                <w:szCs w:val="20"/>
                <w:color w:val="auto"/>
              </w:rPr>
            </w:pPr>
            <w:r>
              <w:rPr>
                <w:rFonts w:ascii="Arial" w:cs="Arial" w:eastAsia="Arial" w:hAnsi="Arial"/>
                <w:sz w:val="18"/>
                <w:szCs w:val="18"/>
                <w:color w:val="0000EE"/>
              </w:rPr>
              <w:t>INDEMNIFICATION FOR SECURITIES ACT LIABILITIES</w:t>
            </w:r>
          </w:p>
        </w:tc>
        <w:tc>
          <w:tcPr>
            <w:tcW w:w="2640" w:type="dxa"/>
            <w:vAlign w:val="bottom"/>
          </w:tcPr>
          <w:p>
            <w:pPr>
              <w:jc w:val="center"/>
              <w:ind w:left="1651"/>
              <w:spacing w:after="0" w:line="175" w:lineRule="exact"/>
              <w:rPr>
                <w:sz w:val="20"/>
                <w:szCs w:val="20"/>
                <w:color w:val="auto"/>
              </w:rPr>
            </w:pPr>
            <w:r>
              <w:rPr>
                <w:rFonts w:ascii="Arial" w:cs="Arial" w:eastAsia="Arial" w:hAnsi="Arial"/>
                <w:sz w:val="18"/>
                <w:szCs w:val="18"/>
                <w:color w:val="auto"/>
                <w:w w:val="89"/>
              </w:rPr>
              <w:t>S-18</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3540" w:type="dxa"/>
            <w:vAlign w:val="bottom"/>
            <w:gridSpan w:val="2"/>
          </w:tcPr>
          <w:p>
            <w:pPr>
              <w:jc w:val="center"/>
              <w:ind w:right="2420"/>
              <w:spacing w:after="0"/>
              <w:rPr>
                <w:sz w:val="20"/>
                <w:szCs w:val="20"/>
                <w:color w:val="auto"/>
              </w:rPr>
            </w:pPr>
            <w:r>
              <w:rPr>
                <w:rFonts w:ascii="Arial" w:cs="Arial" w:eastAsia="Arial" w:hAnsi="Arial"/>
                <w:sz w:val="18"/>
                <w:szCs w:val="18"/>
                <w:b w:val="1"/>
                <w:bCs w:val="1"/>
                <w:color w:val="auto"/>
                <w:w w:val="85"/>
              </w:rPr>
              <w:t>Prospectus</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580" w:type="dxa"/>
            <w:vAlign w:val="bottom"/>
            <w:gridSpan w:val="19"/>
            <w:shd w:val="clear" w:color="auto" w:fill="CCEEFF"/>
          </w:tcPr>
          <w:p>
            <w:pPr>
              <w:spacing w:after="0" w:line="175" w:lineRule="exact"/>
              <w:rPr>
                <w:sz w:val="20"/>
                <w:szCs w:val="20"/>
                <w:color w:val="auto"/>
              </w:rPr>
            </w:pPr>
            <w:r>
              <w:rPr>
                <w:rFonts w:ascii="Arial" w:cs="Arial" w:eastAsia="Arial" w:hAnsi="Arial"/>
                <w:sz w:val="18"/>
                <w:szCs w:val="18"/>
                <w:color w:val="0000EE"/>
              </w:rPr>
              <w:t>ABOUT THIS PROSPECTUS</w:t>
            </w:r>
          </w:p>
        </w:tc>
        <w:tc>
          <w:tcPr>
            <w:tcW w:w="2640" w:type="dxa"/>
            <w:vAlign w:val="bottom"/>
            <w:shd w:val="clear" w:color="auto" w:fill="CCEEFF"/>
          </w:tcPr>
          <w:p>
            <w:pPr>
              <w:jc w:val="center"/>
              <w:ind w:left="1551"/>
              <w:spacing w:after="0" w:line="175"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Borders>
              <w:top w:val="single" w:sz="8" w:color="0000EE"/>
            </w:tcBorders>
            <w:gridSpan w:val="9"/>
          </w:tcPr>
          <w:p>
            <w:pPr>
              <w:spacing w:after="0" w:line="175" w:lineRule="exact"/>
              <w:rPr>
                <w:sz w:val="20"/>
                <w:szCs w:val="20"/>
                <w:color w:val="auto"/>
              </w:rPr>
            </w:pPr>
            <w:r>
              <w:rPr>
                <w:rFonts w:ascii="Arial" w:cs="Arial" w:eastAsia="Arial" w:hAnsi="Arial"/>
                <w:sz w:val="18"/>
                <w:szCs w:val="18"/>
                <w:color w:val="0000EE"/>
              </w:rPr>
              <w:t>TRADEMARKS</w:t>
            </w:r>
          </w:p>
        </w:tc>
        <w:tc>
          <w:tcPr>
            <w:tcW w:w="6380" w:type="dxa"/>
            <w:vAlign w:val="bottom"/>
            <w:tcBorders>
              <w:top w:val="single" w:sz="8" w:color="CCEEFF"/>
            </w:tcBorders>
            <w:gridSpan w:val="10"/>
          </w:tcPr>
          <w:p>
            <w:pPr>
              <w:spacing w:after="0"/>
              <w:rPr>
                <w:sz w:val="15"/>
                <w:szCs w:val="15"/>
                <w:color w:val="auto"/>
              </w:rPr>
            </w:pPr>
          </w:p>
        </w:tc>
        <w:tc>
          <w:tcPr>
            <w:tcW w:w="2640" w:type="dxa"/>
            <w:vAlign w:val="bottom"/>
            <w:tcBorders>
              <w:top w:val="single" w:sz="8" w:color="CCEEFF"/>
            </w:tcBorders>
          </w:tcPr>
          <w:p>
            <w:pPr>
              <w:jc w:val="center"/>
              <w:ind w:left="1551"/>
              <w:spacing w:after="0" w:line="175"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8580" w:type="dxa"/>
            <w:vAlign w:val="bottom"/>
            <w:gridSpan w:val="19"/>
            <w:shd w:val="clear" w:color="auto" w:fill="CCEEFF"/>
          </w:tcPr>
          <w:p>
            <w:pPr>
              <w:spacing w:after="0" w:line="175" w:lineRule="exact"/>
              <w:rPr>
                <w:sz w:val="20"/>
                <w:szCs w:val="20"/>
                <w:color w:val="auto"/>
              </w:rPr>
            </w:pPr>
            <w:r>
              <w:rPr>
                <w:rFonts w:ascii="Arial" w:cs="Arial" w:eastAsia="Arial" w:hAnsi="Arial"/>
                <w:sz w:val="18"/>
                <w:szCs w:val="18"/>
                <w:color w:val="0000EE"/>
              </w:rPr>
              <w:t>CAUTIONARY STATEMENT REGARDING FORWARD-LOOKING STATEMENTS</w:t>
            </w:r>
          </w:p>
        </w:tc>
        <w:tc>
          <w:tcPr>
            <w:tcW w:w="2640" w:type="dxa"/>
            <w:vAlign w:val="bottom"/>
            <w:shd w:val="clear" w:color="auto" w:fill="CCEEFF"/>
          </w:tcPr>
          <w:p>
            <w:pPr>
              <w:jc w:val="center"/>
              <w:ind w:left="1551"/>
              <w:spacing w:after="0" w:line="175"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tcBorders>
              <w:top w:val="single" w:sz="8" w:color="0000EE"/>
            </w:tcBorders>
            <w:gridSpan w:val="18"/>
          </w:tcPr>
          <w:p>
            <w:pPr>
              <w:spacing w:after="0" w:line="175" w:lineRule="exact"/>
              <w:rPr>
                <w:sz w:val="20"/>
                <w:szCs w:val="20"/>
                <w:color w:val="auto"/>
              </w:rPr>
            </w:pPr>
            <w:r>
              <w:rPr>
                <w:rFonts w:ascii="Arial" w:cs="Arial" w:eastAsia="Arial" w:hAnsi="Arial"/>
                <w:sz w:val="18"/>
                <w:szCs w:val="18"/>
                <w:color w:val="0000EE"/>
              </w:rPr>
              <w:t>SUMMARY OF PROSPECTUS</w:t>
            </w:r>
          </w:p>
        </w:tc>
        <w:tc>
          <w:tcPr>
            <w:tcW w:w="2300" w:type="dxa"/>
            <w:vAlign w:val="bottom"/>
            <w:tcBorders>
              <w:top w:val="single" w:sz="8" w:color="CCEEFF"/>
            </w:tcBorders>
          </w:tcPr>
          <w:p>
            <w:pPr>
              <w:spacing w:after="0"/>
              <w:rPr>
                <w:sz w:val="15"/>
                <w:szCs w:val="15"/>
                <w:color w:val="auto"/>
              </w:rPr>
            </w:pPr>
          </w:p>
        </w:tc>
        <w:tc>
          <w:tcPr>
            <w:tcW w:w="2640" w:type="dxa"/>
            <w:vAlign w:val="bottom"/>
            <w:tcBorders>
              <w:top w:val="single" w:sz="8" w:color="CCEEFF"/>
            </w:tcBorders>
          </w:tcPr>
          <w:p>
            <w:pPr>
              <w:jc w:val="center"/>
              <w:ind w:left="1551"/>
              <w:spacing w:after="0" w:line="175"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8580" w:type="dxa"/>
            <w:vAlign w:val="bottom"/>
            <w:gridSpan w:val="19"/>
            <w:shd w:val="clear" w:color="auto" w:fill="CCEEFF"/>
          </w:tcPr>
          <w:p>
            <w:pPr>
              <w:spacing w:after="0" w:line="175" w:lineRule="exact"/>
              <w:rPr>
                <w:sz w:val="20"/>
                <w:szCs w:val="20"/>
                <w:color w:val="auto"/>
              </w:rPr>
            </w:pPr>
            <w:r>
              <w:rPr>
                <w:rFonts w:ascii="Arial" w:cs="Arial" w:eastAsia="Arial" w:hAnsi="Arial"/>
                <w:sz w:val="18"/>
                <w:szCs w:val="18"/>
                <w:color w:val="0000EE"/>
              </w:rPr>
              <w:t>RISK FACTORS</w:t>
            </w:r>
          </w:p>
        </w:tc>
        <w:tc>
          <w:tcPr>
            <w:tcW w:w="2640" w:type="dxa"/>
            <w:vAlign w:val="bottom"/>
            <w:shd w:val="clear" w:color="auto" w:fill="CCEEFF"/>
          </w:tcPr>
          <w:p>
            <w:pPr>
              <w:jc w:val="center"/>
              <w:ind w:left="1551"/>
              <w:spacing w:after="0" w:line="175"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8580" w:type="dxa"/>
            <w:vAlign w:val="bottom"/>
            <w:gridSpan w:val="19"/>
          </w:tcPr>
          <w:p>
            <w:pPr>
              <w:spacing w:after="0" w:line="175" w:lineRule="exact"/>
              <w:rPr>
                <w:sz w:val="20"/>
                <w:szCs w:val="20"/>
                <w:color w:val="auto"/>
              </w:rPr>
            </w:pPr>
            <w:r>
              <w:rPr>
                <w:rFonts w:ascii="Arial" w:cs="Arial" w:eastAsia="Arial" w:hAnsi="Arial"/>
                <w:sz w:val="18"/>
                <w:szCs w:val="18"/>
                <w:color w:val="0000EE"/>
              </w:rPr>
              <w:t>USE OF PROCEEDS</w:t>
            </w:r>
          </w:p>
        </w:tc>
        <w:tc>
          <w:tcPr>
            <w:tcW w:w="2640" w:type="dxa"/>
            <w:vAlign w:val="bottom"/>
          </w:tcPr>
          <w:p>
            <w:pPr>
              <w:jc w:val="center"/>
              <w:ind w:left="1551"/>
              <w:spacing w:after="0" w:line="175"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040" w:type="dxa"/>
            <w:vAlign w:val="bottom"/>
            <w:tcBorders>
              <w:bottom w:val="single" w:sz="8" w:color="0000EE"/>
            </w:tcBorders>
            <w:gridSpan w:val="17"/>
            <w:shd w:val="clear" w:color="auto" w:fill="CCEEFF"/>
          </w:tcPr>
          <w:p>
            <w:pPr>
              <w:spacing w:after="0" w:line="175" w:lineRule="exact"/>
              <w:rPr>
                <w:sz w:val="20"/>
                <w:szCs w:val="20"/>
                <w:color w:val="auto"/>
              </w:rPr>
            </w:pPr>
            <w:r>
              <w:rPr>
                <w:rFonts w:ascii="Arial" w:cs="Arial" w:eastAsia="Arial" w:hAnsi="Arial"/>
                <w:sz w:val="18"/>
                <w:szCs w:val="18"/>
                <w:color w:val="0000EE"/>
                <w:w w:val="93"/>
              </w:rPr>
              <w:t>DESCRIPTION OF COMMON STOCK AND PREFERRED STOCK</w:t>
            </w:r>
          </w:p>
        </w:tc>
        <w:tc>
          <w:tcPr>
            <w:tcW w:w="3540" w:type="dxa"/>
            <w:vAlign w:val="bottom"/>
            <w:tcBorders>
              <w:bottom w:val="single" w:sz="8" w:color="CCEEFF"/>
            </w:tcBorders>
            <w:gridSpan w:val="2"/>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jc w:val="center"/>
              <w:ind w:left="1551"/>
              <w:spacing w:after="0" w:line="175"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80" w:type="dxa"/>
            <w:vAlign w:val="bottom"/>
            <w:gridSpan w:val="19"/>
          </w:tcPr>
          <w:p>
            <w:pPr>
              <w:spacing w:after="0" w:line="175" w:lineRule="exact"/>
              <w:rPr>
                <w:sz w:val="20"/>
                <w:szCs w:val="20"/>
                <w:color w:val="auto"/>
              </w:rPr>
            </w:pPr>
            <w:r>
              <w:rPr>
                <w:rFonts w:ascii="Arial" w:cs="Arial" w:eastAsia="Arial" w:hAnsi="Arial"/>
                <w:sz w:val="18"/>
                <w:szCs w:val="18"/>
                <w:color w:val="0000EE"/>
              </w:rPr>
              <w:t>DESCRIPTION OF DEBT SECURITIES</w:t>
            </w:r>
          </w:p>
        </w:tc>
        <w:tc>
          <w:tcPr>
            <w:tcW w:w="2640" w:type="dxa"/>
            <w:vAlign w:val="bottom"/>
          </w:tcPr>
          <w:p>
            <w:pPr>
              <w:jc w:val="center"/>
              <w:ind w:left="1551"/>
              <w:spacing w:after="0" w:line="175"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8580" w:type="dxa"/>
            <w:vAlign w:val="bottom"/>
            <w:gridSpan w:val="19"/>
            <w:shd w:val="clear" w:color="auto" w:fill="CCEEFF"/>
          </w:tcPr>
          <w:p>
            <w:pPr>
              <w:spacing w:after="0" w:line="175" w:lineRule="exact"/>
              <w:rPr>
                <w:sz w:val="20"/>
                <w:szCs w:val="20"/>
                <w:color w:val="auto"/>
              </w:rPr>
            </w:pPr>
            <w:r>
              <w:rPr>
                <w:rFonts w:ascii="Arial" w:cs="Arial" w:eastAsia="Arial" w:hAnsi="Arial"/>
                <w:sz w:val="18"/>
                <w:szCs w:val="18"/>
                <w:color w:val="0000EE"/>
              </w:rPr>
              <w:t>DESCRIPTION OF WARRANTS</w:t>
            </w:r>
          </w:p>
        </w:tc>
        <w:tc>
          <w:tcPr>
            <w:tcW w:w="264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Borders>
              <w:top w:val="single" w:sz="8" w:color="0000EE"/>
            </w:tcBorders>
            <w:gridSpan w:val="11"/>
          </w:tcPr>
          <w:p>
            <w:pPr>
              <w:spacing w:after="0" w:line="175" w:lineRule="exact"/>
              <w:rPr>
                <w:sz w:val="20"/>
                <w:szCs w:val="20"/>
                <w:color w:val="auto"/>
              </w:rPr>
            </w:pPr>
            <w:r>
              <w:rPr>
                <w:rFonts w:ascii="Arial" w:cs="Arial" w:eastAsia="Arial" w:hAnsi="Arial"/>
                <w:sz w:val="18"/>
                <w:szCs w:val="18"/>
                <w:color w:val="0000EE"/>
              </w:rPr>
              <w:t>DESCRIPTION OF RIGHTS</w:t>
            </w:r>
          </w:p>
        </w:tc>
        <w:tc>
          <w:tcPr>
            <w:tcW w:w="6140" w:type="dxa"/>
            <w:vAlign w:val="bottom"/>
            <w:tcBorders>
              <w:top w:val="single" w:sz="8" w:color="CCEEFF"/>
            </w:tcBorders>
            <w:gridSpan w:val="8"/>
          </w:tcPr>
          <w:p>
            <w:pPr>
              <w:spacing w:after="0"/>
              <w:rPr>
                <w:sz w:val="15"/>
                <w:szCs w:val="15"/>
                <w:color w:val="auto"/>
              </w:rPr>
            </w:pPr>
          </w:p>
        </w:tc>
        <w:tc>
          <w:tcPr>
            <w:tcW w:w="2640" w:type="dxa"/>
            <w:vAlign w:val="bottom"/>
            <w:tcBorders>
              <w:top w:val="single" w:sz="8" w:color="CCEEFF"/>
            </w:tcBorders>
          </w:tcPr>
          <w:p>
            <w:pPr>
              <w:jc w:val="center"/>
              <w:ind w:left="1531"/>
              <w:spacing w:after="0" w:line="175"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000" w:type="dxa"/>
            <w:vAlign w:val="bottom"/>
            <w:tcBorders>
              <w:bottom w:val="single" w:sz="8" w:color="0000EE"/>
            </w:tcBorders>
            <w:gridSpan w:val="6"/>
            <w:shd w:val="clear" w:color="auto" w:fill="CCEEFF"/>
          </w:tcPr>
          <w:p>
            <w:pPr>
              <w:spacing w:after="0" w:line="175" w:lineRule="exact"/>
              <w:rPr>
                <w:sz w:val="20"/>
                <w:szCs w:val="20"/>
                <w:color w:val="auto"/>
              </w:rPr>
            </w:pPr>
            <w:r>
              <w:rPr>
                <w:rFonts w:ascii="Arial" w:cs="Arial" w:eastAsia="Arial" w:hAnsi="Arial"/>
                <w:sz w:val="18"/>
                <w:szCs w:val="18"/>
                <w:color w:val="0000EE"/>
                <w:w w:val="93"/>
              </w:rPr>
              <w:t>DESCRIPTION OF UNITS</w:t>
            </w:r>
          </w:p>
        </w:tc>
        <w:tc>
          <w:tcPr>
            <w:tcW w:w="6580" w:type="dxa"/>
            <w:vAlign w:val="bottom"/>
            <w:tcBorders>
              <w:bottom w:val="single" w:sz="8" w:color="CCEEFF"/>
            </w:tcBorders>
            <w:gridSpan w:val="13"/>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80" w:type="dxa"/>
            <w:vAlign w:val="bottom"/>
            <w:gridSpan w:val="19"/>
          </w:tcPr>
          <w:p>
            <w:pPr>
              <w:spacing w:after="0" w:line="175" w:lineRule="exact"/>
              <w:rPr>
                <w:sz w:val="20"/>
                <w:szCs w:val="20"/>
                <w:color w:val="auto"/>
              </w:rPr>
            </w:pPr>
            <w:r>
              <w:rPr>
                <w:rFonts w:ascii="Arial" w:cs="Arial" w:eastAsia="Arial" w:hAnsi="Arial"/>
                <w:sz w:val="18"/>
                <w:szCs w:val="18"/>
                <w:color w:val="0000EE"/>
              </w:rPr>
              <w:t>GLOBAL SECURITIES</w:t>
            </w:r>
          </w:p>
        </w:tc>
        <w:tc>
          <w:tcPr>
            <w:tcW w:w="2640" w:type="dxa"/>
            <w:vAlign w:val="bottom"/>
          </w:tcPr>
          <w:p>
            <w:pPr>
              <w:jc w:val="center"/>
              <w:ind w:left="1531"/>
              <w:spacing w:after="0" w:line="175"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80" w:type="dxa"/>
            <w:vAlign w:val="bottom"/>
            <w:tcBorders>
              <w:bottom w:val="single" w:sz="8" w:color="0000EE"/>
            </w:tcBorders>
            <w:gridSpan w:val="12"/>
            <w:shd w:val="clear" w:color="auto" w:fill="CCEEFF"/>
          </w:tcPr>
          <w:p>
            <w:pPr>
              <w:spacing w:after="0" w:line="175" w:lineRule="exact"/>
              <w:rPr>
                <w:sz w:val="20"/>
                <w:szCs w:val="20"/>
                <w:color w:val="auto"/>
              </w:rPr>
            </w:pPr>
            <w:r>
              <w:rPr>
                <w:rFonts w:ascii="Arial" w:cs="Arial" w:eastAsia="Arial" w:hAnsi="Arial"/>
                <w:sz w:val="18"/>
                <w:szCs w:val="18"/>
                <w:color w:val="0000EE"/>
                <w:w w:val="94"/>
              </w:rPr>
              <w:t>SELLING SECURITYHOLDERS</w:t>
            </w:r>
          </w:p>
        </w:tc>
        <w:tc>
          <w:tcPr>
            <w:tcW w:w="6100" w:type="dxa"/>
            <w:vAlign w:val="bottom"/>
            <w:tcBorders>
              <w:bottom w:val="single" w:sz="8" w:color="CCEEFF"/>
            </w:tcBorders>
            <w:gridSpan w:val="7"/>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80" w:type="dxa"/>
            <w:vAlign w:val="bottom"/>
            <w:gridSpan w:val="19"/>
          </w:tcPr>
          <w:p>
            <w:pPr>
              <w:spacing w:after="0" w:line="175" w:lineRule="exact"/>
              <w:rPr>
                <w:sz w:val="20"/>
                <w:szCs w:val="20"/>
                <w:color w:val="auto"/>
              </w:rPr>
            </w:pPr>
            <w:r>
              <w:rPr>
                <w:rFonts w:ascii="Arial" w:cs="Arial" w:eastAsia="Arial" w:hAnsi="Arial"/>
                <w:sz w:val="18"/>
                <w:szCs w:val="18"/>
                <w:color w:val="0000EE"/>
              </w:rPr>
              <w:t>PLAN OF DISTRIBUTION</w:t>
            </w:r>
          </w:p>
        </w:tc>
        <w:tc>
          <w:tcPr>
            <w:tcW w:w="2640" w:type="dxa"/>
            <w:vAlign w:val="bottom"/>
          </w:tcPr>
          <w:p>
            <w:pPr>
              <w:jc w:val="center"/>
              <w:ind w:left="1531"/>
              <w:spacing w:after="0" w:line="175"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1440" w:type="dxa"/>
            <w:vAlign w:val="bottom"/>
            <w:tcBorders>
              <w:bottom w:val="single" w:sz="8" w:color="0000EE"/>
            </w:tcBorders>
            <w:gridSpan w:val="3"/>
            <w:shd w:val="clear" w:color="auto" w:fill="CCEEFF"/>
          </w:tcPr>
          <w:p>
            <w:pPr>
              <w:spacing w:after="0" w:line="175" w:lineRule="exact"/>
              <w:rPr>
                <w:sz w:val="20"/>
                <w:szCs w:val="20"/>
                <w:color w:val="auto"/>
              </w:rPr>
            </w:pPr>
            <w:r>
              <w:rPr>
                <w:rFonts w:ascii="Arial" w:cs="Arial" w:eastAsia="Arial" w:hAnsi="Arial"/>
                <w:sz w:val="18"/>
                <w:szCs w:val="18"/>
                <w:color w:val="0000EE"/>
                <w:w w:val="95"/>
              </w:rPr>
              <w:t>LEGAL MATTERS</w:t>
            </w:r>
          </w:p>
        </w:tc>
        <w:tc>
          <w:tcPr>
            <w:tcW w:w="7140" w:type="dxa"/>
            <w:vAlign w:val="bottom"/>
            <w:tcBorders>
              <w:bottom w:val="single" w:sz="8" w:color="CCEEFF"/>
            </w:tcBorders>
            <w:gridSpan w:val="16"/>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80" w:type="dxa"/>
            <w:vAlign w:val="bottom"/>
            <w:gridSpan w:val="19"/>
          </w:tcPr>
          <w:p>
            <w:pPr>
              <w:spacing w:after="0" w:line="175" w:lineRule="exact"/>
              <w:rPr>
                <w:sz w:val="20"/>
                <w:szCs w:val="20"/>
                <w:color w:val="auto"/>
              </w:rPr>
            </w:pPr>
            <w:r>
              <w:rPr>
                <w:rFonts w:ascii="Arial" w:cs="Arial" w:eastAsia="Arial" w:hAnsi="Arial"/>
                <w:sz w:val="18"/>
                <w:szCs w:val="18"/>
                <w:color w:val="0000EE"/>
              </w:rPr>
              <w:t>EXPERTS</w:t>
            </w:r>
          </w:p>
        </w:tc>
        <w:tc>
          <w:tcPr>
            <w:tcW w:w="2640" w:type="dxa"/>
            <w:vAlign w:val="bottom"/>
          </w:tcPr>
          <w:p>
            <w:pPr>
              <w:jc w:val="center"/>
              <w:ind w:left="1531"/>
              <w:spacing w:after="0" w:line="175"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80" w:type="dxa"/>
            <w:vAlign w:val="bottom"/>
            <w:tcBorders>
              <w:bottom w:val="single" w:sz="8" w:color="0000EE"/>
            </w:tcBorders>
            <w:gridSpan w:val="15"/>
            <w:shd w:val="clear" w:color="auto" w:fill="CCEEFF"/>
          </w:tcPr>
          <w:p>
            <w:pPr>
              <w:spacing w:after="0" w:line="175" w:lineRule="exact"/>
              <w:rPr>
                <w:sz w:val="20"/>
                <w:szCs w:val="20"/>
                <w:color w:val="auto"/>
              </w:rPr>
            </w:pPr>
            <w:r>
              <w:rPr>
                <w:rFonts w:ascii="Arial" w:cs="Arial" w:eastAsia="Arial" w:hAnsi="Arial"/>
                <w:sz w:val="18"/>
                <w:szCs w:val="18"/>
                <w:color w:val="0000EE"/>
                <w:w w:val="96"/>
              </w:rPr>
              <w:t>WHERE YOU CAN FIND MORE INFORMATION</w:t>
            </w:r>
          </w:p>
        </w:tc>
        <w:tc>
          <w:tcPr>
            <w:tcW w:w="4800" w:type="dxa"/>
            <w:vAlign w:val="bottom"/>
            <w:tcBorders>
              <w:bottom w:val="single" w:sz="8" w:color="CCEEFF"/>
            </w:tcBorders>
            <w:gridSpan w:val="4"/>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74"/>
        </w:trPr>
        <w:tc>
          <w:tcPr>
            <w:tcW w:w="20" w:type="dxa"/>
            <w:vAlign w:val="bottom"/>
            <w:tcBorders>
              <w:bottom w:val="single" w:sz="8" w:color="0000EE"/>
            </w:tcBorders>
          </w:tcPr>
          <w:p>
            <w:pPr>
              <w:spacing w:after="0"/>
              <w:rPr>
                <w:sz w:val="15"/>
                <w:szCs w:val="15"/>
                <w:color w:val="auto"/>
              </w:rPr>
            </w:pPr>
          </w:p>
        </w:tc>
        <w:tc>
          <w:tcPr>
            <w:tcW w:w="4500" w:type="dxa"/>
            <w:vAlign w:val="bottom"/>
            <w:tcBorders>
              <w:bottom w:val="single" w:sz="8" w:color="0000EE"/>
            </w:tcBorders>
            <w:gridSpan w:val="16"/>
          </w:tcPr>
          <w:p>
            <w:pPr>
              <w:spacing w:after="0" w:line="175" w:lineRule="exact"/>
              <w:rPr>
                <w:sz w:val="20"/>
                <w:szCs w:val="20"/>
                <w:color w:val="auto"/>
              </w:rPr>
            </w:pPr>
            <w:r>
              <w:rPr>
                <w:rFonts w:ascii="Arial" w:cs="Arial" w:eastAsia="Arial" w:hAnsi="Arial"/>
                <w:sz w:val="18"/>
                <w:szCs w:val="18"/>
                <w:color w:val="0000EE"/>
                <w:w w:val="97"/>
              </w:rPr>
              <w:t>INDEMNIFICATION FOR SECURITIES ACT LIABILITIES</w:t>
            </w:r>
          </w:p>
        </w:tc>
        <w:tc>
          <w:tcPr>
            <w:tcW w:w="4080" w:type="dxa"/>
            <w:vAlign w:val="bottom"/>
            <w:gridSpan w:val="3"/>
          </w:tcPr>
          <w:p>
            <w:pPr>
              <w:spacing w:after="0"/>
              <w:rPr>
                <w:sz w:val="15"/>
                <w:szCs w:val="15"/>
                <w:color w:val="auto"/>
              </w:rPr>
            </w:pPr>
          </w:p>
        </w:tc>
        <w:tc>
          <w:tcPr>
            <w:tcW w:w="2640" w:type="dxa"/>
            <w:vAlign w:val="bottom"/>
          </w:tcPr>
          <w:p>
            <w:pPr>
              <w:jc w:val="center"/>
              <w:ind w:left="1531"/>
              <w:spacing w:after="0" w:line="17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and the accompanying prospectus. No one has been authorized to provide you with different information. This prospectus supplement is dated as of the date set forth on the cover hereof. You should not assume that the information contained in this prospectus supplement, the accompanying prospectus or any document incorporated by reference is accurate as of any date other than that date of the applicable document.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prospectus supplement and the accompanying prospectus form part of a registration statement on Form S-3 that we filed with the Securities and Exchange Commission (the “SEC”), using a “shelf” registration process. This document contains two parts. The first part is this prospectus supplement, which describes the specific terms of this offering of shares of our common stock. The second part is the accompanying prospectus, which gives more general information, some of which may not apply to this offering of shares of our common stock. Generally, when we refer only to the “prospectus,” we are referring to both parts combined. In this prospectus supplement, as permitted by law, we “incorporate by reference” information from other documents that we file with the SEC. This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included or incorporated by reference in this prospectus supplement is considered to be automatically updated and superseded. In other words, in case of a conflict or inconsistency between information contained in this prospectus supplement and information in the accompanying prospectus or incorporated by reference into this prospectus supplement, you should rely on the information contained in the document that was filed later. Our business, financial condition, results of operations and prospects may have changed since those dates. See “Where You Can Find More Information.”</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use this prospectus supplement to offer and sell up to 16,823,660 shares of common stock, par value $0.0001 per share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Neither we nor the Selling Securityholders have authorized anyone to provide any information or to make any representations other than those contained in or incorporated by reference in this prospectus supplement, the accompanying prospectus or in any free writing prospectus that we have prepared. The Selling Securityholders take no responsibility for, and can provide no assurance as to the reliability of, any other information that others may give you. This prospectus supplement is an offer to sell only the securities offered hereby and only under circumstances and in jurisdictions where it is lawful to do so. No dealer, salesperson or other person is authorized to give any information or to represent anything not contained in this prospectus supplement, the accompanying prospectus or any related free writing prospectus. This prospectus supplement is not an offer to sell securities, and it is not soliciting an offer to buy securities, in any jurisdiction where the offer or sale is not permitted.</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TRADEMARKS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document contains references to trademarks and service marks belonging to other entities. Solely for convenience, trademarks and trade names referred to in this prospectus supplement and the accompanying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prospectus supplement and the accompanying prospectus, including the documents incorporated herein by reference into this prospectus supplement and the accompanying prospectus, contain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supplement and the accompanying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18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448310</wp:posOffset>
            </wp:positionV>
            <wp:extent cx="7129145" cy="4796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9145" cy="4796790"/>
                    </a:xfrm>
                    <a:prstGeom prst="rect">
                      <a:avLst/>
                    </a:prstGeom>
                    <a:noFill/>
                  </pic:spPr>
                </pic:pic>
              </a:graphicData>
            </a:graphic>
          </wp:anchor>
        </w:drawing>
        <w:t>SUMMARY OF THE PROSPECTUS SUPPLEMENT</w:t>
      </w:r>
    </w:p>
    <w:p>
      <w:pPr>
        <w:spacing w:after="0" w:line="2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This summary highlights selected information contained in this prospectus supplement, the accompanying prospectus, and the documents we incorporate by reference and may not contain all of the information that is important to you in making an investment decision. Before investing in our securities, you should carefully read this entire prospectus supplement and the accompanying prospectus, including the documents incorporated herein by reference in this prospectus supplement and the accompanying prospectus, especially the risk factors, management’s discussion and analysis of financial condition and results of operations, and consolidated financial statements and the related notes. </w:t>
      </w:r>
      <w:r>
        <w:rPr>
          <w:rFonts w:ascii="Arial" w:cs="Arial" w:eastAsia="Arial" w:hAnsi="Arial"/>
          <w:sz w:val="16"/>
          <w:szCs w:val="16"/>
          <w:color w:val="auto"/>
          <w:highlight w:val="white"/>
        </w:rPr>
        <w:t>See the section titled “Where You Can Find More Information.”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principal executive office is located at 985 Industrial Road, San Carlos, CA 94070. Our telephone number is (650) 817-9012. Our website address is www.presto.com. Information contained on our website is not a part of this prospectus supplement or the accompanying prospectus, and the inclusion of our website address in this prospectus supplement is an inactive textual reference only.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13970</wp:posOffset>
            </wp:positionV>
            <wp:extent cx="7133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980"/>
          </w:cols>
          <w:pgMar w:left="460" w:top="925" w:right="4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investment in any securities offered pursuant to this prospectus supplement and the accompanying prospectus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supplement and the accompanying prospectus, as updated by our subsequent filings under the Exchange Act, and the risk factors and other information contained in any applicable prospectus supplement. For more information, see “Where You Can Find More Information.”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supplement,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We intend to use the net proceeds from the exercise of such Warrants for general corporate purposes which may include acquisitions or other strategic investments or repayment of outstanding indebtedness.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supplement, including, without limitation, all registration and filing fees, Nasdaq listing fees and fees and expenses of our counsel and our independent registered public accountants.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 description of our Common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 description of our Warrants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prospectus supplement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spacing w:after="0" w:line="192" w:lineRule="exact"/>
        <w:rPr>
          <w:sz w:val="20"/>
          <w:szCs w:val="20"/>
          <w:color w:val="auto"/>
        </w:rPr>
      </w:pPr>
    </w:p>
    <w:p>
      <w:pPr>
        <w:ind w:left="980" w:hanging="651"/>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4,312,500 Founder Shares;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7,143,687 Business Combination PIPE Shares;</w:t>
      </w:r>
    </w:p>
    <w:p>
      <w:pPr>
        <w:spacing w:after="0" w:line="221"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174" w:lineRule="exact"/>
        <w:rPr>
          <w:rFonts w:ascii="Arial" w:cs="Arial" w:eastAsia="Arial" w:hAnsi="Arial"/>
          <w:sz w:val="18"/>
          <w:szCs w:val="18"/>
          <w:color w:val="auto"/>
        </w:rPr>
      </w:pPr>
    </w:p>
    <w:p>
      <w:pPr>
        <w:jc w:val="both"/>
        <w:ind w:left="980" w:right="20" w:hanging="651"/>
        <w:spacing w:after="0" w:line="26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85" w:lineRule="exact"/>
        <w:rPr>
          <w:rFonts w:ascii="Arial" w:cs="Arial" w:eastAsia="Arial" w:hAnsi="Arial"/>
          <w:sz w:val="18"/>
          <w:szCs w:val="18"/>
          <w:color w:val="auto"/>
        </w:rPr>
      </w:pPr>
    </w:p>
    <w:p>
      <w:pPr>
        <w:jc w:val="both"/>
        <w:ind w:left="980" w:hanging="651"/>
        <w:spacing w:after="0" w:line="282"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68" w:lineRule="exact"/>
        <w:rPr>
          <w:rFonts w:ascii="Arial" w:cs="Arial" w:eastAsia="Arial" w:hAnsi="Arial"/>
          <w:sz w:val="17"/>
          <w:szCs w:val="17"/>
          <w:color w:val="auto"/>
        </w:rPr>
      </w:pPr>
    </w:p>
    <w:p>
      <w:pPr>
        <w:jc w:val="both"/>
        <w:ind w:left="980" w:hanging="651"/>
        <w:spacing w:after="0" w:line="256"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p>
      <w:pPr>
        <w:spacing w:after="0" w:line="189" w:lineRule="exact"/>
        <w:rPr>
          <w:rFonts w:ascii="Arial" w:cs="Arial" w:eastAsia="Arial" w:hAnsi="Arial"/>
          <w:sz w:val="18"/>
          <w:szCs w:val="18"/>
          <w:color w:val="auto"/>
        </w:rPr>
      </w:pPr>
    </w:p>
    <w:p>
      <w:pPr>
        <w:ind w:left="980" w:hanging="651"/>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4,760,500 June 2023 PIPE Shares;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1,500,000 October 2023 PIPE Shares; and</w:t>
      </w:r>
    </w:p>
    <w:p>
      <w:pPr>
        <w:spacing w:after="0" w:line="221" w:lineRule="exact"/>
        <w:rPr>
          <w:rFonts w:ascii="Arial" w:cs="Arial" w:eastAsia="Arial" w:hAnsi="Arial"/>
          <w:sz w:val="18"/>
          <w:szCs w:val="18"/>
          <w:color w:val="auto"/>
        </w:rPr>
      </w:pPr>
    </w:p>
    <w:p>
      <w:pPr>
        <w:ind w:left="980" w:hanging="651"/>
        <w:spacing w:after="0" w:line="302"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5,925,000 shares of Common Stock issuable upon the exercise of warrants to purchase shares of our Common Stock by Metropolitan and the Metropolitan Entities (all warrants listed below are referred to herein as the “penny warrants”), which consist of:</w:t>
      </w:r>
    </w:p>
    <w:p>
      <w:pPr>
        <w:spacing w:after="0" w:line="151" w:lineRule="exact"/>
        <w:rPr>
          <w:rFonts w:ascii="Arial" w:cs="Arial" w:eastAsia="Arial" w:hAnsi="Arial"/>
          <w:sz w:val="17"/>
          <w:szCs w:val="17"/>
          <w:color w:val="auto"/>
        </w:rPr>
      </w:pPr>
    </w:p>
    <w:p>
      <w:pPr>
        <w:ind w:left="1620" w:hanging="648"/>
        <w:spacing w:after="0" w:line="302" w:lineRule="auto"/>
        <w:tabs>
          <w:tab w:leader="none" w:pos="1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400,000 shares of Common Stock issuable upon the exercise of warrants to purchase shares of our Common Stock, at an exercise price of $0.01 per share, subject to adjustment (the “May 2023 Resale Warrants”), held by the Selling Securityholders;</w:t>
      </w:r>
    </w:p>
    <w:p>
      <w:pPr>
        <w:spacing w:after="0" w:line="151" w:lineRule="exact"/>
        <w:rPr>
          <w:rFonts w:ascii="Arial" w:cs="Arial" w:eastAsia="Arial" w:hAnsi="Arial"/>
          <w:sz w:val="17"/>
          <w:szCs w:val="17"/>
          <w:color w:val="auto"/>
        </w:rPr>
      </w:pPr>
    </w:p>
    <w:p>
      <w:pPr>
        <w:jc w:val="both"/>
        <w:ind w:left="1620" w:hanging="648"/>
        <w:spacing w:after="0" w:line="260"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p>
      <w:pPr>
        <w:spacing w:after="0" w:line="185" w:lineRule="exact"/>
        <w:rPr>
          <w:rFonts w:ascii="Arial" w:cs="Arial" w:eastAsia="Arial" w:hAnsi="Arial"/>
          <w:sz w:val="18"/>
          <w:szCs w:val="18"/>
          <w:color w:val="auto"/>
        </w:rPr>
      </w:pPr>
    </w:p>
    <w:p>
      <w:pPr>
        <w:jc w:val="both"/>
        <w:ind w:left="1620" w:hanging="648"/>
        <w:spacing w:after="0" w:line="260"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p>
      <w:pPr>
        <w:spacing w:after="0" w:line="185" w:lineRule="exact"/>
        <w:rPr>
          <w:rFonts w:ascii="Arial" w:cs="Arial" w:eastAsia="Arial" w:hAnsi="Arial"/>
          <w:sz w:val="18"/>
          <w:szCs w:val="18"/>
          <w:color w:val="auto"/>
        </w:rPr>
      </w:pPr>
    </w:p>
    <w:p>
      <w:pPr>
        <w:jc w:val="both"/>
        <w:ind w:left="1620" w:hanging="648"/>
        <w:spacing w:after="0" w:line="260"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p>
      <w:pPr>
        <w:spacing w:after="0" w:line="185" w:lineRule="exact"/>
        <w:rPr>
          <w:rFonts w:ascii="Arial" w:cs="Arial" w:eastAsia="Arial" w:hAnsi="Arial"/>
          <w:sz w:val="18"/>
          <w:szCs w:val="18"/>
          <w:color w:val="auto"/>
        </w:rPr>
      </w:pPr>
    </w:p>
    <w:p>
      <w:pPr>
        <w:jc w:val="both"/>
        <w:ind w:left="1620" w:hanging="648"/>
        <w:spacing w:after="0" w:line="260"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 w:name="page13"/>
    <w:bookmarkEnd w:id="12"/>
    <w:p>
      <w:pPr>
        <w:jc w:val="both"/>
        <w:spacing w:after="0" w:line="287" w:lineRule="auto"/>
        <w:rPr>
          <w:sz w:val="20"/>
          <w:szCs w:val="20"/>
          <w:color w:val="auto"/>
        </w:rPr>
      </w:pPr>
      <w:r>
        <w:rPr>
          <w:rFonts w:ascii="Arial" w:cs="Arial" w:eastAsia="Arial" w:hAnsi="Arial"/>
          <w:sz w:val="16"/>
          <w:szCs w:val="16"/>
          <w:color w:val="auto"/>
        </w:rPr>
        <w:t>The Selling Securityholders may from time to time offer and sell any or all of the shares of Common Stock set forth below pursuant to this prospectus supplement and the accompanying prospectus. When we refer to the “Selling Securityholders” in this prospectus supplement,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supplement. For purposes of this table, we have assumed that all of the earnout shares have been issued in accordance with the terms of the Business Combination Agreement and the Selling Securityholders will have sold all of the securities covered by this prospectus supplement upon the completion of the offering.</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supplement and the number of shares of Common Stock beneficially owned by the Selling Securityholders after the sale of the securities offered hereby.</w:t>
      </w:r>
    </w:p>
    <w:p>
      <w:pPr>
        <w:spacing w:after="0" w:line="1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supplement. Any prospectus supplement may add, update, substitute, or change the information contained in this prospectus supplement, including the identity of each Selling Securityholder and the number of shares registered on its behalf. A Selling Securityholder may sell or otherwise transfer all, some or none of such shares in this offering. See “Plan of Distribution.”</w:t>
      </w:r>
    </w:p>
    <w:p>
      <w:pPr>
        <w:spacing w:after="0" w:line="1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3" w:name="page14"/>
    <w:bookmarkEnd w:id="13"/>
    <w:p>
      <w:pPr>
        <w:spacing w:after="0" w:line="272" w:lineRule="auto"/>
        <w:rPr>
          <w:sz w:val="20"/>
          <w:szCs w:val="20"/>
          <w:color w:val="auto"/>
        </w:rPr>
      </w:pPr>
      <w:r>
        <w:rPr>
          <w:rFonts w:ascii="Arial" w:cs="Arial" w:eastAsia="Arial" w:hAnsi="Arial"/>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6"/>
            <w:vMerge w:val="restart"/>
          </w:tcPr>
          <w:p>
            <w:pPr>
              <w:jc w:val="center"/>
              <w:ind w:right="100"/>
              <w:spacing w:after="0"/>
              <w:rPr>
                <w:sz w:val="20"/>
                <w:szCs w:val="20"/>
                <w:color w:val="auto"/>
              </w:rPr>
            </w:pPr>
            <w:r>
              <w:rPr>
                <w:rFonts w:ascii="Arial" w:cs="Arial" w:eastAsia="Arial" w:hAnsi="Arial"/>
                <w:sz w:val="16"/>
                <w:szCs w:val="16"/>
                <w:b w:val="1"/>
                <w:bCs w:val="1"/>
                <w:color w:val="auto"/>
                <w:w w:val="90"/>
              </w:rPr>
              <w:t>Beneficially Owned Before the Offering</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7"/>
                <w:szCs w:val="17"/>
                <w:color w:val="auto"/>
              </w:rPr>
            </w:pPr>
          </w:p>
        </w:tc>
        <w:tc>
          <w:tcPr>
            <w:tcW w:w="3180" w:type="dxa"/>
            <w:vAlign w:val="bottom"/>
            <w:gridSpan w:val="6"/>
            <w:vMerge w:val="restart"/>
          </w:tcPr>
          <w:p>
            <w:pPr>
              <w:jc w:val="center"/>
              <w:ind w:right="120"/>
              <w:spacing w:after="0"/>
              <w:rPr>
                <w:sz w:val="20"/>
                <w:szCs w:val="20"/>
                <w:color w:val="auto"/>
              </w:rPr>
            </w:pPr>
            <w:r>
              <w:rPr>
                <w:rFonts w:ascii="Arial" w:cs="Arial" w:eastAsia="Arial" w:hAnsi="Arial"/>
                <w:sz w:val="16"/>
                <w:szCs w:val="16"/>
                <w:b w:val="1"/>
                <w:bCs w:val="1"/>
                <w:color w:val="auto"/>
                <w:w w:val="92"/>
              </w:rPr>
              <w:t>Beneficially Owned After the Offering</w:t>
            </w: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6"/>
            <w:vMerge w:val="continue"/>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Shares of</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Private</w:t>
            </w:r>
          </w:p>
        </w:tc>
        <w:tc>
          <w:tcPr>
            <w:tcW w:w="120" w:type="dxa"/>
            <w:vAlign w:val="bottom"/>
          </w:tcPr>
          <w:p>
            <w:pPr>
              <w:spacing w:after="0"/>
              <w:rPr>
                <w:sz w:val="18"/>
                <w:szCs w:val="18"/>
                <w:color w:val="auto"/>
              </w:rPr>
            </w:pPr>
          </w:p>
        </w:tc>
        <w:tc>
          <w:tcPr>
            <w:tcW w:w="31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7"/>
              </w:rPr>
              <w:t>Shares of</w:t>
            </w: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Placement</w:t>
            </w:r>
          </w:p>
        </w:tc>
        <w:tc>
          <w:tcPr>
            <w:tcW w:w="120" w:type="dxa"/>
            <w:vAlign w:val="bottom"/>
          </w:tcPr>
          <w:p>
            <w:pPr>
              <w:spacing w:after="0"/>
              <w:rPr>
                <w:sz w:val="16"/>
                <w:szCs w:val="16"/>
                <w:color w:val="auto"/>
              </w:rPr>
            </w:pPr>
          </w:p>
        </w:tc>
        <w:tc>
          <w:tcPr>
            <w:tcW w:w="9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20" w:type="dxa"/>
            <w:vAlign w:val="bottom"/>
            <w:gridSpan w:val="2"/>
          </w:tcPr>
          <w:p>
            <w:pPr>
              <w:jc w:val="center"/>
              <w:ind w:right="80"/>
              <w:spacing w:after="0" w:line="161" w:lineRule="exact"/>
              <w:rPr>
                <w:sz w:val="20"/>
                <w:szCs w:val="20"/>
                <w:color w:val="auto"/>
              </w:rPr>
            </w:pPr>
            <w:r>
              <w:rPr>
                <w:rFonts w:ascii="Arial" w:cs="Arial" w:eastAsia="Arial" w:hAnsi="Arial"/>
                <w:sz w:val="16"/>
                <w:szCs w:val="16"/>
                <w:b w:val="1"/>
                <w:bCs w:val="1"/>
                <w:color w:val="auto"/>
              </w:rPr>
              <w:t>% of</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93"/>
              </w:rPr>
              <w:t>Private</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87"/>
              </w:rPr>
              <w:t>Stock</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95"/>
              </w:rPr>
              <w:t>Warrants</w:t>
            </w:r>
          </w:p>
        </w:tc>
        <w:tc>
          <w:tcPr>
            <w:tcW w:w="120" w:type="dxa"/>
            <w:vAlign w:val="bottom"/>
          </w:tcPr>
          <w:p>
            <w:pPr>
              <w:spacing w:after="0"/>
              <w:rPr>
                <w:sz w:val="14"/>
                <w:szCs w:val="14"/>
                <w:color w:val="auto"/>
              </w:rPr>
            </w:pPr>
          </w:p>
        </w:tc>
        <w:tc>
          <w:tcPr>
            <w:tcW w:w="98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87"/>
              </w:rPr>
              <w:t>Shares of</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 of</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93"/>
              </w:rPr>
              <w:t>Private</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Common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Placement</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Being</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Being</w:t>
            </w: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Common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Common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Placement</w:t>
            </w:r>
          </w:p>
        </w:tc>
        <w:tc>
          <w:tcPr>
            <w:tcW w:w="0" w:type="dxa"/>
            <w:vAlign w:val="bottom"/>
          </w:tcPr>
          <w:p>
            <w:pPr>
              <w:spacing w:after="0"/>
              <w:rPr>
                <w:sz w:val="1"/>
                <w:szCs w:val="1"/>
                <w:color w:val="auto"/>
              </w:rPr>
            </w:pPr>
          </w:p>
        </w:tc>
      </w:tr>
      <w:tr>
        <w:trPr>
          <w:trHeight w:val="261"/>
        </w:trPr>
        <w:tc>
          <w:tcPr>
            <w:tcW w:w="226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Selling Securityholder</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line="253" w:lineRule="exact"/>
              <w:rPr>
                <w:sz w:val="20"/>
                <w:szCs w:val="20"/>
                <w:color w:val="auto"/>
              </w:rPr>
            </w:pPr>
            <w:r>
              <w:rPr>
                <w:rFonts w:ascii="Arial" w:cs="Arial" w:eastAsia="Arial" w:hAnsi="Arial"/>
                <w:sz w:val="16"/>
                <w:szCs w:val="16"/>
                <w:b w:val="1"/>
                <w:bCs w:val="1"/>
                <w:color w:val="auto"/>
                <w:w w:val="83"/>
              </w:rPr>
              <w:t>Stock</w:t>
            </w:r>
            <w:r>
              <w:rPr>
                <w:rFonts w:ascii="Arial" w:cs="Arial" w:eastAsia="Arial" w:hAnsi="Arial"/>
                <w:sz w:val="26"/>
                <w:szCs w:val="26"/>
                <w:b w:val="1"/>
                <w:bCs w:val="1"/>
                <w:color w:val="auto"/>
                <w:w w:val="83"/>
                <w:vertAlign w:val="superscript"/>
              </w:rPr>
              <w:t>(1)</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87"/>
              </w:rPr>
              <w:t>Stock</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4"/>
              </w:rPr>
              <w:t>Offered</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4"/>
              </w:rPr>
              <w:t>Offered</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260" w:type="dxa"/>
            <w:vAlign w:val="bottom"/>
            <w:gridSpan w:val="3"/>
            <w:shd w:val="clear" w:color="auto" w:fill="CCEEFF"/>
          </w:tcPr>
          <w:p>
            <w:pPr>
              <w:spacing w:after="0" w:line="241" w:lineRule="exact"/>
              <w:rPr>
                <w:sz w:val="20"/>
                <w:szCs w:val="20"/>
                <w:color w:val="auto"/>
              </w:rPr>
            </w:pPr>
            <w:r>
              <w:rPr>
                <w:rFonts w:ascii="Arial" w:cs="Arial" w:eastAsia="Arial" w:hAnsi="Arial"/>
                <w:sz w:val="16"/>
                <w:szCs w:val="16"/>
                <w:color w:val="auto"/>
              </w:rPr>
              <w:t>80Five LLC</w:t>
            </w:r>
            <w:r>
              <w:rPr>
                <w:rFonts w:ascii="Arial" w:cs="Arial" w:eastAsia="Arial" w:hAnsi="Arial"/>
                <w:sz w:val="26"/>
                <w:szCs w:val="26"/>
                <w:color w:val="auto"/>
                <w:vertAlign w:val="superscript"/>
              </w:rPr>
              <w:t>(3)</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Arial" w:cs="Arial" w:eastAsia="Arial" w:hAnsi="Arial"/>
                <w:sz w:val="16"/>
                <w:szCs w:val="16"/>
                <w:color w:val="auto"/>
              </w:rPr>
              <w:t>Acadia Woods Partners,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00" w:type="dxa"/>
            <w:vAlign w:val="bottom"/>
            <w:gridSpan w:val="2"/>
          </w:tcPr>
          <w:p>
            <w:pPr>
              <w:ind w:left="160"/>
              <w:spacing w:after="0" w:line="252" w:lineRule="exact"/>
              <w:rPr>
                <w:sz w:val="20"/>
                <w:szCs w:val="20"/>
                <w:color w:val="auto"/>
              </w:rPr>
            </w:pPr>
            <w:r>
              <w:rPr>
                <w:rFonts w:ascii="Arial" w:cs="Arial" w:eastAsia="Arial" w:hAnsi="Arial"/>
                <w:sz w:val="16"/>
                <w:szCs w:val="16"/>
                <w:color w:val="auto"/>
              </w:rPr>
              <w:t>LLC</w:t>
            </w:r>
            <w:r>
              <w:rPr>
                <w:rFonts w:ascii="Arial" w:cs="Arial" w:eastAsia="Arial" w:hAnsi="Arial"/>
                <w:sz w:val="26"/>
                <w:szCs w:val="26"/>
                <w:color w:val="auto"/>
                <w:vertAlign w:val="superscript"/>
              </w:rPr>
              <w:t>(4)</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31,250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31,250</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Adam Eskin</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44,866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Adam Feil</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6,250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Al Marjan Limited</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Alexander Nevinskiy</w:t>
            </w:r>
            <w:r>
              <w:rPr>
                <w:rFonts w:ascii="Arial" w:cs="Arial" w:eastAsia="Arial" w:hAnsi="Arial"/>
                <w:sz w:val="26"/>
                <w:szCs w:val="26"/>
                <w:color w:val="auto"/>
                <w:vertAlign w:val="superscript"/>
              </w:rPr>
              <w:t>(30)(32)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250,000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Aloha Partners, LLC</w:t>
            </w:r>
            <w:r>
              <w:rPr>
                <w:rFonts w:ascii="Arial" w:cs="Arial" w:eastAsia="Arial" w:hAnsi="Arial"/>
                <w:sz w:val="26"/>
                <w:szCs w:val="26"/>
                <w:color w:val="auto"/>
                <w:vertAlign w:val="superscript"/>
              </w:rPr>
              <w:t>(5)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Amir Ali Mithani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Amy Doshi &amp; Sarin Swami</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400" w:type="dxa"/>
            <w:vAlign w:val="bottom"/>
          </w:tcPr>
          <w:p>
            <w:pPr>
              <w:spacing w:after="0"/>
              <w:rPr>
                <w:sz w:val="20"/>
                <w:szCs w:val="20"/>
                <w:color w:val="auto"/>
              </w:rPr>
            </w:pPr>
            <w:r>
              <w:rPr>
                <w:rFonts w:ascii="Arial" w:cs="Arial" w:eastAsia="Arial" w:hAnsi="Arial"/>
                <w:sz w:val="16"/>
                <w:szCs w:val="16"/>
                <w:color w:val="auto"/>
                <w:w w:val="99"/>
              </w:rPr>
              <w:t>Arbat​</w:t>
            </w:r>
          </w:p>
        </w:tc>
        <w:tc>
          <w:tcPr>
            <w:tcW w:w="1980" w:type="dxa"/>
            <w:vAlign w:val="bottom"/>
            <w:gridSpan w:val="3"/>
          </w:tcPr>
          <w:p>
            <w:pPr>
              <w:jc w:val="center"/>
              <w:ind w:right="280"/>
              <w:spacing w:after="0" w:line="241" w:lineRule="exact"/>
              <w:rPr>
                <w:sz w:val="20"/>
                <w:szCs w:val="20"/>
                <w:color w:val="auto"/>
              </w:rPr>
            </w:pPr>
            <w:r>
              <w:rPr>
                <w:rFonts w:ascii="Arial" w:cs="Arial" w:eastAsia="Arial" w:hAnsi="Arial"/>
                <w:sz w:val="16"/>
                <w:szCs w:val="16"/>
                <w:color w:val="auto"/>
                <w:w w:val="86"/>
              </w:rPr>
              <w:t>Capital Group Ltd</w:t>
            </w:r>
            <w:r>
              <w:rPr>
                <w:rFonts w:ascii="Arial" w:cs="Arial" w:eastAsia="Arial" w:hAnsi="Arial"/>
                <w:sz w:val="26"/>
                <w:szCs w:val="26"/>
                <w:color w:val="auto"/>
                <w:w w:val="86"/>
                <w:vertAlign w:val="superscript"/>
              </w:rPr>
              <w:t>.(29)(30)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201,100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101,100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Art Spigel</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Biren Gosalia</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10,500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10,500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Blind 1212, LLC</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447,274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288,616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447,274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Brock Strasbourger</w:t>
            </w:r>
            <w:r>
              <w:rPr>
                <w:rFonts w:ascii="Arial" w:cs="Arial" w:eastAsia="Arial" w:hAnsi="Arial"/>
                <w:sz w:val="26"/>
                <w:szCs w:val="26"/>
                <w:color w:val="auto"/>
                <w:vertAlign w:val="superscript"/>
              </w:rPr>
              <w:t>(3)(34)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390,905</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269,850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390,905</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269,850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Cabbaj Capital Ltd.</w:t>
            </w:r>
            <w:r>
              <w:rPr>
                <w:rFonts w:ascii="Arial" w:cs="Arial" w:eastAsia="Arial" w:hAnsi="Arial"/>
                <w:sz w:val="26"/>
                <w:szCs w:val="26"/>
                <w:color w:val="auto"/>
                <w:vertAlign w:val="superscript"/>
              </w:rPr>
              <w:t>(7)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Cartoris Limited</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252,687</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167,687</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CEOF Holdings LP</w:t>
            </w:r>
            <w:r>
              <w:rPr>
                <w:rFonts w:ascii="Arial" w:cs="Arial" w:eastAsia="Arial" w:hAnsi="Arial"/>
                <w:sz w:val="26"/>
                <w:szCs w:val="26"/>
                <w:color w:val="auto"/>
                <w:vertAlign w:val="superscript"/>
              </w:rPr>
              <w:t>(21)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1,021,457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w:t>
            </w: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190,909</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1,021,457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Arial" w:cs="Arial" w:eastAsia="Arial" w:hAnsi="Arial"/>
                <w:sz w:val="16"/>
                <w:szCs w:val="16"/>
                <w:color w:val="auto"/>
              </w:rPr>
              <w:t>Chardan Capital Markets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00" w:type="dxa"/>
            <w:vAlign w:val="bottom"/>
            <w:gridSpan w:val="2"/>
          </w:tcPr>
          <w:p>
            <w:pPr>
              <w:ind w:left="160"/>
              <w:spacing w:after="0" w:line="252" w:lineRule="exact"/>
              <w:rPr>
                <w:sz w:val="20"/>
                <w:szCs w:val="20"/>
                <w:color w:val="auto"/>
              </w:rPr>
            </w:pPr>
            <w:r>
              <w:rPr>
                <w:rFonts w:ascii="Arial" w:cs="Arial" w:eastAsia="Arial" w:hAnsi="Arial"/>
                <w:sz w:val="29"/>
                <w:szCs w:val="29"/>
                <w:color w:val="auto"/>
                <w:w w:val="88"/>
                <w:vertAlign w:val="subscript"/>
              </w:rPr>
              <w:t>LLC</w:t>
            </w:r>
            <w:r>
              <w:rPr>
                <w:rFonts w:ascii="Arial" w:cs="Arial" w:eastAsia="Arial" w:hAnsi="Arial"/>
                <w:sz w:val="13"/>
                <w:szCs w:val="13"/>
                <w:color w:val="auto"/>
                <w:w w:val="88"/>
              </w:rPr>
              <w:t>(23)</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350,000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350,000</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Chardan International</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380" w:type="dxa"/>
            <w:vAlign w:val="bottom"/>
            <w:gridSpan w:val="4"/>
            <w:shd w:val="clear" w:color="auto" w:fill="CCEEFF"/>
          </w:tcPr>
          <w:p>
            <w:pPr>
              <w:ind w:left="160"/>
              <w:spacing w:after="0" w:line="252" w:lineRule="exact"/>
              <w:rPr>
                <w:sz w:val="20"/>
                <w:szCs w:val="20"/>
                <w:color w:val="auto"/>
              </w:rPr>
            </w:pPr>
            <w:r>
              <w:rPr>
                <w:rFonts w:ascii="Arial" w:cs="Arial" w:eastAsia="Arial" w:hAnsi="Arial"/>
                <w:sz w:val="16"/>
                <w:szCs w:val="16"/>
                <w:color w:val="auto"/>
              </w:rPr>
              <w:t>Investments, LLC</w:t>
            </w:r>
            <w:r>
              <w:rPr>
                <w:rFonts w:ascii="Arial" w:cs="Arial" w:eastAsia="Arial" w:hAnsi="Arial"/>
                <w:sz w:val="26"/>
                <w:szCs w:val="26"/>
                <w:color w:val="auto"/>
                <w:vertAlign w:val="superscript"/>
              </w:rPr>
              <w:t>(23)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2,983,171</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1,875,000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2,983,171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Chris Ahrens</w:t>
            </w:r>
            <w:r>
              <w:rPr>
                <w:rFonts w:ascii="Arial" w:cs="Arial" w:eastAsia="Arial" w:hAnsi="Arial"/>
                <w:sz w:val="26"/>
                <w:szCs w:val="26"/>
                <w:color w:val="auto"/>
                <w:vertAlign w:val="superscript"/>
              </w:rPr>
              <w:t>(3)(38)</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61,116</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61,116</w:t>
            </w:r>
          </w:p>
        </w:tc>
        <w:tc>
          <w:tcPr>
            <w:tcW w:w="1000" w:type="dxa"/>
            <w:vAlign w:val="bottom"/>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Cindat USA LLC</w:t>
            </w:r>
            <w:r>
              <w:rPr>
                <w:rFonts w:ascii="Arial" w:cs="Arial" w:eastAsia="Arial" w:hAnsi="Arial"/>
                <w:sz w:val="26"/>
                <w:szCs w:val="26"/>
                <w:color w:val="auto"/>
                <w:vertAlign w:val="superscript"/>
              </w:rPr>
              <w:t>(17)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1,374,148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918,387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1,374,148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918,387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700" w:type="dxa"/>
            <w:vAlign w:val="bottom"/>
            <w:gridSpan w:val="2"/>
          </w:tcPr>
          <w:p>
            <w:pPr>
              <w:spacing w:after="0"/>
              <w:rPr>
                <w:sz w:val="20"/>
                <w:szCs w:val="20"/>
                <w:color w:val="auto"/>
              </w:rPr>
            </w:pPr>
            <w:r>
              <w:rPr>
                <w:rFonts w:ascii="Arial" w:cs="Arial" w:eastAsia="Arial" w:hAnsi="Arial"/>
                <w:sz w:val="16"/>
                <w:szCs w:val="16"/>
                <w:color w:val="auto"/>
                <w:w w:val="95"/>
              </w:rPr>
              <w:t>Cleveland​</w:t>
            </w:r>
          </w:p>
        </w:tc>
        <w:tc>
          <w:tcPr>
            <w:tcW w:w="1680" w:type="dxa"/>
            <w:vAlign w:val="bottom"/>
            <w:gridSpan w:val="2"/>
          </w:tcPr>
          <w:p>
            <w:pPr>
              <w:jc w:val="center"/>
              <w:ind w:right="620"/>
              <w:spacing w:after="0" w:line="241" w:lineRule="exact"/>
              <w:rPr>
                <w:sz w:val="20"/>
                <w:szCs w:val="20"/>
                <w:color w:val="auto"/>
              </w:rPr>
            </w:pPr>
            <w:r>
              <w:rPr>
                <w:rFonts w:ascii="Arial" w:cs="Arial" w:eastAsia="Arial" w:hAnsi="Arial"/>
                <w:sz w:val="16"/>
                <w:szCs w:val="16"/>
                <w:color w:val="auto"/>
                <w:w w:val="89"/>
              </w:rPr>
              <w:t>Avenue LLC</w:t>
            </w:r>
            <w:r>
              <w:rPr>
                <w:rFonts w:ascii="Arial" w:cs="Arial" w:eastAsia="Arial" w:hAnsi="Arial"/>
                <w:sz w:val="26"/>
                <w:szCs w:val="26"/>
                <w:color w:val="auto"/>
                <w:w w:val="89"/>
                <w:vertAlign w:val="superscript"/>
              </w:rPr>
              <w:t>(33)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10,000,000</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17.3%</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Cliff Moskowitz</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44,866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Arial" w:cs="Arial" w:eastAsia="Arial" w:hAnsi="Arial"/>
                <w:sz w:val="16"/>
                <w:szCs w:val="16"/>
                <w:color w:val="auto"/>
              </w:rPr>
              <w:t>Connective Capital Emerging</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380" w:type="dxa"/>
            <w:vAlign w:val="bottom"/>
            <w:gridSpan w:val="4"/>
          </w:tcPr>
          <w:p>
            <w:pPr>
              <w:ind w:left="160"/>
              <w:spacing w:after="0" w:line="252" w:lineRule="exact"/>
              <w:rPr>
                <w:sz w:val="20"/>
                <w:szCs w:val="20"/>
                <w:color w:val="auto"/>
              </w:rPr>
            </w:pPr>
            <w:r>
              <w:rPr>
                <w:rFonts w:ascii="Arial" w:cs="Arial" w:eastAsia="Arial" w:hAnsi="Arial"/>
                <w:sz w:val="16"/>
                <w:szCs w:val="16"/>
                <w:color w:val="auto"/>
              </w:rPr>
              <w:t>Energy QP, LP</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68,137</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68,137</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Connective Capital I QP, LP</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31,863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31,863</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Cosme Fagundo</w:t>
            </w:r>
            <w:r>
              <w:rPr>
                <w:rFonts w:ascii="Arial" w:cs="Arial" w:eastAsia="Arial" w:hAnsi="Arial"/>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Dan Bordessa</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David Allan DeHorn</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Dentons US LLP</w:t>
            </w:r>
            <w:r>
              <w:rPr>
                <w:rFonts w:ascii="Arial" w:cs="Arial" w:eastAsia="Arial" w:hAnsi="Arial"/>
                <w:sz w:val="26"/>
                <w:szCs w:val="26"/>
                <w:color w:val="auto"/>
                <w:vertAlign w:val="superscript"/>
              </w:rPr>
              <w:t>(13)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Dhari Albader</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247,500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147,500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Dipan Desai</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Ed Scheetz</w:t>
            </w:r>
            <w:r>
              <w:rPr>
                <w:rFonts w:ascii="Arial" w:cs="Arial" w:eastAsia="Arial" w:hAnsi="Arial"/>
                <w:sz w:val="26"/>
                <w:szCs w:val="26"/>
                <w:color w:val="auto"/>
                <w:vertAlign w:val="superscript"/>
              </w:rPr>
              <w:t>(3)(11)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1,321,389</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1000" w:type="dxa"/>
            <w:vAlign w:val="bottom"/>
          </w:tcPr>
          <w:p>
            <w:pPr>
              <w:jc w:val="right"/>
              <w:spacing w:after="0"/>
              <w:rPr>
                <w:sz w:val="20"/>
                <w:szCs w:val="20"/>
                <w:color w:val="auto"/>
              </w:rPr>
            </w:pPr>
            <w:r>
              <w:rPr>
                <w:rFonts w:ascii="Arial" w:cs="Arial" w:eastAsia="Arial" w:hAnsi="Arial"/>
                <w:sz w:val="16"/>
                <w:szCs w:val="16"/>
                <w:color w:val="auto"/>
              </w:rPr>
              <w:t>705,762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1,032,464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705,762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EJK Investments LLC</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Georgia Sgardeli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Greg Flynn</w:t>
            </w:r>
            <w:r>
              <w:rPr>
                <w:rFonts w:ascii="Arial" w:cs="Arial" w:eastAsia="Arial" w:hAnsi="Arial"/>
                <w:sz w:val="26"/>
                <w:szCs w:val="26"/>
                <w:color w:val="auto"/>
                <w:vertAlign w:val="superscript"/>
              </w:rPr>
              <w:t>(18)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HighSage Ventures LLC</w:t>
            </w:r>
            <w:r>
              <w:rPr>
                <w:rFonts w:ascii="Arial" w:cs="Arial" w:eastAsia="Arial" w:hAnsi="Arial"/>
                <w:sz w:val="26"/>
                <w:szCs w:val="26"/>
                <w:color w:val="auto"/>
                <w:vertAlign w:val="superscript"/>
              </w:rPr>
              <w:t>(19)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I2BF Global Investments</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00" w:type="dxa"/>
            <w:vAlign w:val="bottom"/>
            <w:gridSpan w:val="2"/>
            <w:shd w:val="clear" w:color="auto" w:fill="CCEEFF"/>
          </w:tcPr>
          <w:p>
            <w:pPr>
              <w:ind w:left="160"/>
              <w:spacing w:after="0" w:line="252" w:lineRule="exact"/>
              <w:rPr>
                <w:sz w:val="20"/>
                <w:szCs w:val="20"/>
                <w:color w:val="auto"/>
              </w:rPr>
            </w:pPr>
            <w:r>
              <w:rPr>
                <w:rFonts w:ascii="Arial" w:cs="Arial" w:eastAsia="Arial" w:hAnsi="Arial"/>
                <w:sz w:val="16"/>
                <w:szCs w:val="16"/>
                <w:color w:val="auto"/>
              </w:rPr>
              <w:t>Ltd.</w:t>
            </w:r>
            <w:r>
              <w:rPr>
                <w:rFonts w:ascii="Arial" w:cs="Arial" w:eastAsia="Arial" w:hAnsi="Arial"/>
                <w:sz w:val="26"/>
                <w:szCs w:val="26"/>
                <w:color w:val="auto"/>
                <w:vertAlign w:val="superscript"/>
              </w:rPr>
              <w:t>(6)</w:t>
            </w: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5,682,225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5,682,225</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Jameson Weber</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Jasminder Singh</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115,848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78,714</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115,848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 w:name="page15"/>
    <w:bookmarkEnd w:id="14"/>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6"/>
          </w:tcPr>
          <w:p>
            <w:pPr>
              <w:jc w:val="center"/>
              <w:ind w:right="20"/>
              <w:spacing w:after="0"/>
              <w:rPr>
                <w:sz w:val="20"/>
                <w:szCs w:val="20"/>
                <w:color w:val="auto"/>
              </w:rPr>
            </w:pPr>
            <w:r>
              <w:rPr>
                <w:rFonts w:ascii="Arial" w:cs="Arial" w:eastAsia="Arial" w:hAnsi="Arial"/>
                <w:sz w:val="16"/>
                <w:szCs w:val="16"/>
                <w:b w:val="1"/>
                <w:bCs w:val="1"/>
                <w:color w:val="auto"/>
                <w:w w:val="91"/>
              </w:rPr>
              <w:t>Beneficially Owned Before the Offering</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7"/>
              </w:rPr>
              <w:t>Shares of</w:t>
            </w: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4"/>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gridSpan w:val="2"/>
          </w:tcPr>
          <w:p>
            <w:pPr>
              <w:jc w:val="center"/>
              <w:ind w:right="40"/>
              <w:spacing w:after="0" w:line="161" w:lineRule="exact"/>
              <w:rPr>
                <w:sz w:val="20"/>
                <w:szCs w:val="20"/>
                <w:color w:val="auto"/>
              </w:rPr>
            </w:pPr>
            <w:r>
              <w:rPr>
                <w:rFonts w:ascii="Arial" w:cs="Arial" w:eastAsia="Arial" w:hAnsi="Arial"/>
                <w:sz w:val="16"/>
                <w:szCs w:val="16"/>
                <w:b w:val="1"/>
                <w:bCs w:val="1"/>
                <w:color w:val="auto"/>
              </w:rPr>
              <w:t>% of</w:t>
            </w:r>
          </w:p>
        </w:tc>
        <w:tc>
          <w:tcPr>
            <w:tcW w:w="1040" w:type="dxa"/>
            <w:vAlign w:val="bottom"/>
            <w:gridSpan w:val="2"/>
          </w:tcPr>
          <w:p>
            <w:pPr>
              <w:jc w:val="center"/>
              <w:ind w:left="20"/>
              <w:spacing w:after="0" w:line="161" w:lineRule="exact"/>
              <w:rPr>
                <w:sz w:val="20"/>
                <w:szCs w:val="20"/>
                <w:color w:val="auto"/>
              </w:rPr>
            </w:pPr>
            <w:r>
              <w:rPr>
                <w:rFonts w:ascii="Arial" w:cs="Arial" w:eastAsia="Arial" w:hAnsi="Arial"/>
                <w:sz w:val="16"/>
                <w:szCs w:val="16"/>
                <w:b w:val="1"/>
                <w:bCs w:val="1"/>
                <w:color w:val="auto"/>
                <w:w w:val="93"/>
              </w:rPr>
              <w:t>Private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1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Common</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Placement</w:t>
            </w:r>
          </w:p>
        </w:tc>
        <w:tc>
          <w:tcPr>
            <w:tcW w:w="0" w:type="dxa"/>
            <w:vAlign w:val="bottom"/>
          </w:tcPr>
          <w:p>
            <w:pPr>
              <w:spacing w:after="0"/>
              <w:rPr>
                <w:sz w:val="1"/>
                <w:szCs w:val="1"/>
                <w:color w:val="auto"/>
              </w:rPr>
            </w:pPr>
          </w:p>
        </w:tc>
      </w:tr>
      <w:tr>
        <w:trPr>
          <w:trHeight w:val="254"/>
        </w:trPr>
        <w:tc>
          <w:tcPr>
            <w:tcW w:w="2380" w:type="dxa"/>
            <w:vAlign w:val="bottom"/>
            <w:gridSpan w:val="3"/>
          </w:tcPr>
          <w:p>
            <w:pPr>
              <w:spacing w:after="0"/>
              <w:rPr>
                <w:sz w:val="20"/>
                <w:szCs w:val="20"/>
                <w:color w:val="auto"/>
              </w:rPr>
            </w:pPr>
            <w:r>
              <w:rPr>
                <w:rFonts w:ascii="Arial" w:cs="Arial" w:eastAsia="Arial" w:hAnsi="Arial"/>
                <w:sz w:val="16"/>
                <w:szCs w:val="16"/>
                <w:b w:val="1"/>
                <w:bCs w:val="1"/>
                <w:color w:val="auto"/>
              </w:rPr>
              <w:t>Selling Securityholder</w:t>
            </w:r>
          </w:p>
        </w:tc>
        <w:tc>
          <w:tcPr>
            <w:tcW w:w="1040" w:type="dxa"/>
            <w:vAlign w:val="bottom"/>
            <w:gridSpan w:val="2"/>
          </w:tcPr>
          <w:p>
            <w:pPr>
              <w:jc w:val="center"/>
              <w:ind w:right="140"/>
              <w:spacing w:after="0" w:line="253" w:lineRule="exact"/>
              <w:rPr>
                <w:sz w:val="20"/>
                <w:szCs w:val="20"/>
                <w:color w:val="auto"/>
              </w:rPr>
            </w:pPr>
            <w:r>
              <w:rPr>
                <w:rFonts w:ascii="Arial" w:cs="Arial" w:eastAsia="Arial" w:hAnsi="Arial"/>
                <w:sz w:val="16"/>
                <w:szCs w:val="16"/>
                <w:b w:val="1"/>
                <w:bCs w:val="1"/>
                <w:color w:val="auto"/>
                <w:w w:val="83"/>
              </w:rPr>
              <w:t>Stock</w:t>
            </w:r>
            <w:r>
              <w:rPr>
                <w:rFonts w:ascii="Arial" w:cs="Arial" w:eastAsia="Arial" w:hAnsi="Arial"/>
                <w:sz w:val="26"/>
                <w:szCs w:val="26"/>
                <w:b w:val="1"/>
                <w:bCs w:val="1"/>
                <w:color w:val="auto"/>
                <w:w w:val="83"/>
                <w:vertAlign w:val="superscript"/>
              </w:rPr>
              <w:t>(1)</w:t>
            </w:r>
          </w:p>
        </w:tc>
        <w:tc>
          <w:tcPr>
            <w:tcW w:w="11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7"/>
              </w:rPr>
              <w:t>Stock</w:t>
            </w:r>
          </w:p>
        </w:tc>
        <w:tc>
          <w:tcPr>
            <w:tcW w:w="10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5"/>
              </w:rPr>
              <w:t>Warrants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2240" w:type="dxa"/>
            <w:vAlign w:val="bottom"/>
          </w:tcPr>
          <w:p>
            <w:pPr>
              <w:spacing w:after="0" w:line="231" w:lineRule="exact"/>
              <w:rPr>
                <w:sz w:val="20"/>
                <w:szCs w:val="20"/>
                <w:color w:val="auto"/>
              </w:rPr>
            </w:pPr>
            <w:r>
              <w:rPr>
                <w:rFonts w:ascii="Arial" w:cs="Arial" w:eastAsia="Arial" w:hAnsi="Arial"/>
                <w:sz w:val="16"/>
                <w:szCs w:val="16"/>
                <w:color w:val="auto"/>
              </w:rPr>
              <w:t>Jay Lidell</w:t>
            </w:r>
            <w:r>
              <w:rPr>
                <w:rFonts w:ascii="Arial" w:cs="Arial" w:eastAsia="Arial" w:hAnsi="Arial"/>
                <w:sz w:val="26"/>
                <w:szCs w:val="26"/>
                <w:color w:val="auto"/>
                <w:vertAlign w:val="superscript"/>
              </w:rPr>
              <w:t>(3)</w:t>
            </w:r>
          </w:p>
        </w:tc>
        <w:tc>
          <w:tcPr>
            <w:tcW w:w="120" w:type="dxa"/>
            <w:vAlign w:val="bottom"/>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Jeff Jones</w:t>
            </w:r>
            <w:r>
              <w:rPr>
                <w:rFonts w:ascii="Arial" w:cs="Arial" w:eastAsia="Arial" w:hAnsi="Arial"/>
                <w:sz w:val="26"/>
                <w:szCs w:val="26"/>
                <w:color w:val="auto"/>
                <w:vertAlign w:val="superscript"/>
              </w:rPr>
              <w:t>(20)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Jefferies LLC</w:t>
            </w:r>
            <w:r>
              <w:rPr>
                <w:rFonts w:ascii="Arial" w:cs="Arial" w:eastAsia="Arial" w:hAnsi="Arial"/>
                <w:sz w:val="26"/>
                <w:szCs w:val="26"/>
                <w:color w:val="auto"/>
                <w:vertAlign w:val="superscript"/>
              </w:rPr>
              <w:t>(24)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Julie Atkinson</w:t>
            </w:r>
            <w:r>
              <w:rPr>
                <w:rFonts w:ascii="Arial" w:cs="Arial" w:eastAsia="Arial" w:hAnsi="Arial"/>
                <w:sz w:val="26"/>
                <w:szCs w:val="26"/>
                <w:color w:val="auto"/>
                <w:vertAlign w:val="superscript"/>
              </w:rPr>
              <w:t>(3)(35)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37,946</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10,495</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Kali Invest LLC</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w w:val="94"/>
              </w:rPr>
              <w:t>Kepos Alpha Master Fund L.P.</w:t>
            </w:r>
            <w:r>
              <w:rPr>
                <w:rFonts w:ascii="Arial" w:cs="Arial" w:eastAsia="Arial" w:hAnsi="Arial"/>
                <w:sz w:val="26"/>
                <w:szCs w:val="26"/>
                <w:color w:val="auto"/>
                <w:w w:val="94"/>
                <w:vertAlign w:val="superscript"/>
              </w:rPr>
              <w:t>(30)</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500,000</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260" w:type="dxa"/>
            <w:vAlign w:val="bottom"/>
            <w:gridSpan w:val="2"/>
          </w:tcPr>
          <w:p>
            <w:pPr>
              <w:ind w:left="160"/>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Kim Lopdrup</w:t>
            </w:r>
            <w:r>
              <w:rPr>
                <w:rFonts w:ascii="Arial" w:cs="Arial" w:eastAsia="Arial" w:hAnsi="Arial"/>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Lago Innovation</w:t>
            </w:r>
            <w:r>
              <w:rPr>
                <w:rFonts w:ascii="Arial" w:cs="Arial" w:eastAsia="Arial" w:hAnsi="Arial"/>
                <w:sz w:val="26"/>
                <w:szCs w:val="26"/>
                <w:color w:val="auto"/>
                <w:vertAlign w:val="superscript"/>
              </w:rPr>
              <w:t>(25)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156,233</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Matt Armstrong</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52,476</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Matt MacDonald</w:t>
            </w:r>
            <w:r>
              <w:rPr>
                <w:rFonts w:ascii="Arial" w:cs="Arial" w:eastAsia="Arial" w:hAnsi="Arial"/>
                <w:sz w:val="26"/>
                <w:szCs w:val="26"/>
                <w:color w:val="auto"/>
                <w:vertAlign w:val="superscript"/>
              </w:rPr>
              <w:t>(3)(11)(36)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1,036,253</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512,024</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Metropolitan Partners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gridSpan w:val="2"/>
          </w:tcPr>
          <w:p>
            <w:pPr>
              <w:ind w:left="140"/>
              <w:spacing w:after="0" w:line="242" w:lineRule="exact"/>
              <w:rPr>
                <w:sz w:val="20"/>
                <w:szCs w:val="20"/>
                <w:color w:val="auto"/>
              </w:rPr>
            </w:pPr>
            <w:r>
              <w:rPr>
                <w:rFonts w:ascii="Arial" w:cs="Arial" w:eastAsia="Arial" w:hAnsi="Arial"/>
                <w:sz w:val="16"/>
                <w:szCs w:val="16"/>
                <w:color w:val="auto"/>
              </w:rPr>
              <w:t>Group</w:t>
            </w:r>
            <w:r>
              <w:rPr>
                <w:rFonts w:ascii="Arial" w:cs="Arial" w:eastAsia="Arial" w:hAnsi="Arial"/>
                <w:sz w:val="26"/>
                <w:szCs w:val="26"/>
                <w:color w:val="auto"/>
                <w:vertAlign w:val="superscript"/>
              </w:rPr>
              <w:t>(22)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7,003,544</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12.1%</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w w:val="97"/>
              </w:rPr>
              <w:t>Monil Gandhi Personal Revocable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Trust</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12,500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Nadir Noorani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75,000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w w:val="99"/>
              </w:rPr>
              <w:t>Nexxus Capital Management Pte.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27"/>
                <w:szCs w:val="27"/>
                <w:color w:val="auto"/>
                <w:vertAlign w:val="subscript"/>
              </w:rPr>
              <w:t>Ltd.</w:t>
            </w:r>
            <w:r>
              <w:rPr>
                <w:rFonts w:ascii="Arial" w:cs="Arial" w:eastAsia="Arial" w:hAnsi="Arial"/>
                <w:sz w:val="12"/>
                <w:szCs w:val="12"/>
                <w:color w:val="auto"/>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42,029</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Paresh Doshi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Paul Liberman</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38,616</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26,238</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Prasad Phatak</w:t>
            </w:r>
            <w:r>
              <w:rPr>
                <w:rFonts w:ascii="Arial" w:cs="Arial" w:eastAsia="Arial" w:hAnsi="Arial"/>
                <w:sz w:val="26"/>
                <w:szCs w:val="26"/>
                <w:color w:val="auto"/>
                <w:vertAlign w:val="superscript"/>
              </w:rPr>
              <w:t>(3)(37)</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604,758</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415,154</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Rajat Suri</w:t>
            </w:r>
            <w:r>
              <w:rPr>
                <w:rFonts w:ascii="Arial" w:cs="Arial" w:eastAsia="Arial" w:hAnsi="Arial"/>
                <w:sz w:val="26"/>
                <w:szCs w:val="26"/>
                <w:color w:val="auto"/>
                <w:vertAlign w:val="superscript"/>
              </w:rPr>
              <w:t>(2)(15)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8,623,814</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14.9%</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Richard Hoon Thye Woei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28,926</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Robert Martin</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52,476</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Romulus Capital</w:t>
            </w:r>
            <w:r>
              <w:rPr>
                <w:rFonts w:ascii="Arial" w:cs="Arial" w:eastAsia="Arial" w:hAnsi="Arial"/>
                <w:sz w:val="26"/>
                <w:szCs w:val="26"/>
                <w:color w:val="auto"/>
                <w:vertAlign w:val="superscript"/>
              </w:rPr>
              <w:t>(9)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18,111,939</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31.3%</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Sasha Hoffman</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w w:val="97"/>
              </w:rPr>
              <w:t>Schechter Private Capital I, LLC –</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Series V</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1,932,773</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Shamsuddin Charania</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262,069</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Sheel Tyle</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Shehzaan Chunara</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87,500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Silver Rock Capital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Partners</w:t>
            </w:r>
            <w:r>
              <w:rPr>
                <w:rFonts w:ascii="Arial" w:cs="Arial" w:eastAsia="Arial" w:hAnsi="Arial"/>
                <w:sz w:val="26"/>
                <w:szCs w:val="26"/>
                <w:color w:val="auto"/>
                <w:vertAlign w:val="superscript"/>
              </w:rPr>
              <w:t>(10)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Tan Chin Nam</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13,926</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The Rebecca P. Samberg 2018</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revocable Trust</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409,640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Thomas P Botts</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115,848</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78,714</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Trinity Capital Fund II, L.P.,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gridSpan w:val="2"/>
          </w:tcPr>
          <w:p>
            <w:pPr>
              <w:ind w:left="140"/>
              <w:spacing w:after="0" w:line="242" w:lineRule="exact"/>
              <w:rPr>
                <w:sz w:val="20"/>
                <w:szCs w:val="20"/>
                <w:color w:val="auto"/>
              </w:rPr>
            </w:pPr>
            <w:r>
              <w:rPr>
                <w:rFonts w:ascii="Arial" w:cs="Arial" w:eastAsia="Arial" w:hAnsi="Arial"/>
                <w:sz w:val="28"/>
                <w:szCs w:val="28"/>
                <w:color w:val="auto"/>
                <w:vertAlign w:val="subscript"/>
              </w:rPr>
              <w:t>LLC</w:t>
            </w:r>
            <w:r>
              <w:rPr>
                <w:rFonts w:ascii="Arial" w:cs="Arial" w:eastAsia="Arial" w:hAnsi="Arial"/>
                <w:sz w:val="12"/>
                <w:szCs w:val="12"/>
                <w:color w:val="auto"/>
              </w:rPr>
              <w:t>(39)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573,660</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Ventoux Acquisition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Holdings LLC</w:t>
            </w:r>
            <w:r>
              <w:rPr>
                <w:rFonts w:ascii="Arial" w:cs="Arial" w:eastAsia="Arial" w:hAnsi="Arial"/>
                <w:sz w:val="26"/>
                <w:szCs w:val="26"/>
                <w:color w:val="auto"/>
                <w:vertAlign w:val="superscript"/>
              </w:rPr>
              <w:t>(3)(16)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288,925</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White &amp; Case LLP</w:t>
            </w:r>
            <w:r>
              <w:rPr>
                <w:rFonts w:ascii="Arial" w:cs="Arial" w:eastAsia="Arial" w:hAnsi="Arial"/>
                <w:sz w:val="26"/>
                <w:szCs w:val="26"/>
                <w:color w:val="auto"/>
                <w:vertAlign w:val="superscript"/>
              </w:rPr>
              <w:t>(12)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110,000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William (Bill) Healey</w:t>
            </w:r>
            <w:r>
              <w:rPr>
                <w:rFonts w:ascii="Arial" w:cs="Arial" w:eastAsia="Arial" w:hAnsi="Arial"/>
                <w:sz w:val="26"/>
                <w:szCs w:val="26"/>
                <w:color w:val="auto"/>
                <w:vertAlign w:val="superscript"/>
              </w:rPr>
              <w:t>(2)(26)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307,318</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William Souillard-Mandar</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375,000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Wilton Trustees (IOM) Limited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ATO Dalmia Trust</w:t>
            </w:r>
            <w:r>
              <w:rPr>
                <w:rFonts w:ascii="Arial" w:cs="Arial" w:eastAsia="Arial" w:hAnsi="Arial"/>
                <w:sz w:val="26"/>
                <w:szCs w:val="26"/>
                <w:color w:val="auto"/>
                <w:vertAlign w:val="superscript"/>
              </w:rPr>
              <w:t>(15)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1"/>
        </w:trPr>
        <w:tc>
          <w:tcPr>
            <w:tcW w:w="2380" w:type="dxa"/>
            <w:vAlign w:val="bottom"/>
            <w:gridSpan w:val="3"/>
          </w:tcPr>
          <w:p>
            <w:pPr>
              <w:spacing w:after="0"/>
              <w:rPr>
                <w:sz w:val="20"/>
                <w:szCs w:val="20"/>
                <w:color w:val="auto"/>
              </w:rPr>
            </w:pPr>
            <w:r>
              <w:rPr>
                <w:rFonts w:ascii="Arial" w:cs="Arial" w:eastAsia="Arial" w:hAnsi="Arial"/>
                <w:sz w:val="16"/>
                <w:szCs w:val="16"/>
                <w:color w:val="auto"/>
              </w:rPr>
              <w:t>Woolery &amp; Co PLLC</w:t>
            </w:r>
            <w:r>
              <w:rPr>
                <w:rFonts w:ascii="Arial" w:cs="Arial" w:eastAsia="Arial" w:hAnsi="Arial"/>
                <w:sz w:val="26"/>
                <w:szCs w:val="26"/>
                <w:color w:val="auto"/>
                <w:vertAlign w:val="superscript"/>
              </w:rPr>
              <w:t>(14)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-7007860</wp:posOffset>
            </wp:positionV>
            <wp:extent cx="7133590" cy="161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61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-6692900</wp:posOffset>
            </wp:positionV>
            <wp:extent cx="7133590" cy="153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-6386830</wp:posOffset>
            </wp:positionV>
            <wp:extent cx="7133590" cy="153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-5960745</wp:posOffset>
            </wp:positionV>
            <wp:extent cx="7133590" cy="153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-5654675</wp:posOffset>
            </wp:positionV>
            <wp:extent cx="7133590" cy="153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-5347970</wp:posOffset>
            </wp:positionV>
            <wp:extent cx="7133590" cy="280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-4785995</wp:posOffset>
            </wp:positionV>
            <wp:extent cx="7133590" cy="153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-4352290</wp:posOffset>
            </wp:positionV>
            <wp:extent cx="7133590" cy="153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-4045585</wp:posOffset>
            </wp:positionV>
            <wp:extent cx="7133590" cy="153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-3739515</wp:posOffset>
            </wp:positionV>
            <wp:extent cx="7133590" cy="153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-3432810</wp:posOffset>
            </wp:positionV>
            <wp:extent cx="7133590" cy="153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-3126105</wp:posOffset>
            </wp:positionV>
            <wp:extent cx="7133590" cy="280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-2692400</wp:posOffset>
            </wp:positionV>
            <wp:extent cx="7133590" cy="153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-2385695</wp:posOffset>
            </wp:positionV>
            <wp:extent cx="7133590" cy="280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-1951355</wp:posOffset>
            </wp:positionV>
            <wp:extent cx="7133590" cy="280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-1517650</wp:posOffset>
            </wp:positionV>
            <wp:extent cx="7133590" cy="280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-955675</wp:posOffset>
            </wp:positionV>
            <wp:extent cx="7133590" cy="153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-648970</wp:posOffset>
            </wp:positionV>
            <wp:extent cx="7133590" cy="153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-215265</wp:posOffset>
            </wp:positionV>
            <wp:extent cx="7133590" cy="153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90805</wp:posOffset>
            </wp:positionV>
            <wp:extent cx="17875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7"/>
                <w:szCs w:val="17"/>
                <w:color w:val="auto"/>
              </w:rPr>
            </w:pPr>
          </w:p>
        </w:tc>
        <w:tc>
          <w:tcPr>
            <w:tcW w:w="3140" w:type="dxa"/>
            <w:vAlign w:val="bottom"/>
            <w:gridSpan w:val="6"/>
            <w:vMerge w:val="restart"/>
          </w:tcPr>
          <w:p>
            <w:pPr>
              <w:jc w:val="center"/>
              <w:ind w:right="20"/>
              <w:spacing w:after="0"/>
              <w:rPr>
                <w:sz w:val="20"/>
                <w:szCs w:val="20"/>
                <w:color w:val="auto"/>
              </w:rPr>
            </w:pPr>
            <w:r>
              <w:rPr>
                <w:rFonts w:ascii="Arial" w:cs="Arial" w:eastAsia="Arial" w:hAnsi="Arial"/>
                <w:sz w:val="16"/>
                <w:szCs w:val="16"/>
                <w:b w:val="1"/>
                <w:bCs w:val="1"/>
                <w:color w:val="auto"/>
                <w:w w:val="93"/>
              </w:rPr>
              <w:t>Beneficially Owned After the Offering</w:t>
            </w:r>
          </w:p>
        </w:tc>
        <w:tc>
          <w:tcPr>
            <w:tcW w:w="0" w:type="dxa"/>
            <w:vAlign w:val="bottom"/>
          </w:tcPr>
          <w:p>
            <w:pPr>
              <w:spacing w:after="0"/>
              <w:rPr>
                <w:sz w:val="1"/>
                <w:szCs w:val="1"/>
                <w:color w:val="auto"/>
              </w:rPr>
            </w:pPr>
          </w:p>
        </w:tc>
      </w:tr>
      <w:tr>
        <w:trPr>
          <w:trHeight w:val="208"/>
        </w:trPr>
        <w:tc>
          <w:tcPr>
            <w:tcW w:w="11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7"/>
              </w:rPr>
              <w:t>Shares of</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Private</w:t>
            </w:r>
          </w:p>
        </w:tc>
        <w:tc>
          <w:tcPr>
            <w:tcW w:w="100" w:type="dxa"/>
            <w:vAlign w:val="bottom"/>
          </w:tcPr>
          <w:p>
            <w:pPr>
              <w:spacing w:after="0"/>
              <w:rPr>
                <w:sz w:val="18"/>
                <w:szCs w:val="18"/>
                <w:color w:val="auto"/>
              </w:rPr>
            </w:pPr>
          </w:p>
        </w:tc>
        <w:tc>
          <w:tcPr>
            <w:tcW w:w="31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Common</w:t>
            </w:r>
          </w:p>
        </w:tc>
        <w:tc>
          <w:tcPr>
            <w:tcW w:w="11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2"/>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Stock</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of</w:t>
            </w:r>
          </w:p>
        </w:tc>
        <w:tc>
          <w:tcPr>
            <w:tcW w:w="11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 of</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Private</w:t>
            </w:r>
          </w:p>
        </w:tc>
        <w:tc>
          <w:tcPr>
            <w:tcW w:w="0" w:type="dxa"/>
            <w:vAlign w:val="bottom"/>
          </w:tcPr>
          <w:p>
            <w:pPr>
              <w:spacing w:after="0"/>
              <w:rPr>
                <w:sz w:val="1"/>
                <w:szCs w:val="1"/>
                <w:color w:val="auto"/>
              </w:rPr>
            </w:pPr>
          </w:p>
        </w:tc>
      </w:tr>
      <w:tr>
        <w:trPr>
          <w:trHeight w:val="201"/>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Being</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Being</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1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Common</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Placement</w:t>
            </w:r>
          </w:p>
        </w:tc>
        <w:tc>
          <w:tcPr>
            <w:tcW w:w="0" w:type="dxa"/>
            <w:vAlign w:val="bottom"/>
          </w:tcPr>
          <w:p>
            <w:pPr>
              <w:spacing w:after="0"/>
              <w:rPr>
                <w:sz w:val="1"/>
                <w:szCs w:val="1"/>
                <w:color w:val="auto"/>
              </w:rPr>
            </w:pPr>
          </w:p>
        </w:tc>
      </w:tr>
      <w:tr>
        <w:trPr>
          <w:trHeight w:val="222"/>
        </w:trPr>
        <w:tc>
          <w:tcPr>
            <w:tcW w:w="98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94"/>
              </w:rPr>
              <w:t>Offered</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94"/>
              </w:rPr>
              <w:t>Offered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9"/>
                <w:szCs w:val="19"/>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5"/>
              </w:rPr>
              <w:t>Warrants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80" w:type="dxa"/>
            <w:vAlign w:val="bottom"/>
          </w:tcPr>
          <w:p>
            <w:pPr>
              <w:jc w:val="right"/>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37,946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29"/>
        </w:trPr>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156,233</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77,232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747,328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7,003</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12,500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39,529</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38,616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26,238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604,758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415,154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4,386,655</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8,926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77,232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18,111,939</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1,432,773</w:t>
            </w: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87,500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174,569</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87,500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8,926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284,640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115,848</w:t>
            </w:r>
          </w:p>
        </w:tc>
        <w:tc>
          <w:tcPr>
            <w:tcW w:w="980" w:type="dxa"/>
            <w:vAlign w:val="bottom"/>
          </w:tcPr>
          <w:p>
            <w:pPr>
              <w:jc w:val="right"/>
              <w:spacing w:after="0"/>
              <w:rPr>
                <w:sz w:val="20"/>
                <w:szCs w:val="20"/>
                <w:color w:val="auto"/>
              </w:rPr>
            </w:pPr>
            <w:r>
              <w:rPr>
                <w:rFonts w:ascii="Arial" w:cs="Arial" w:eastAsia="Arial" w:hAnsi="Arial"/>
                <w:sz w:val="16"/>
                <w:szCs w:val="16"/>
                <w:color w:val="auto"/>
              </w:rPr>
              <w:t>78,714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288,925</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288,925</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110,000</w:t>
            </w: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307,318</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375,000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73" w:lineRule="exact"/>
        <w:rPr>
          <w:sz w:val="20"/>
          <w:szCs w:val="20"/>
          <w:color w:val="auto"/>
        </w:rPr>
      </w:pPr>
    </w:p>
    <w:p>
      <w:pPr>
        <w:sectPr>
          <w:pgSz w:w="11900" w:h="16838" w:orient="portrait"/>
          <w:cols w:equalWidth="0" w:num="2">
            <w:col w:w="5620" w:space="100"/>
            <w:col w:w="5520"/>
          </w:cols>
          <w:pgMar w:left="320" w:top="890" w:right="339" w:bottom="1440" w:gutter="0" w:footer="0" w:header="0"/>
        </w:sectPr>
      </w:pPr>
    </w:p>
    <w:p>
      <w:pPr>
        <w:ind w:left="660" w:hanging="65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beneficial ownership of less than 1%.</w:t>
      </w:r>
    </w:p>
    <w:p>
      <w:pPr>
        <w:spacing w:after="0" w:line="249" w:lineRule="exact"/>
        <w:rPr>
          <w:sz w:val="20"/>
          <w:szCs w:val="20"/>
          <w:color w:val="auto"/>
        </w:rPr>
      </w:pPr>
    </w:p>
    <w:p>
      <w:pPr>
        <w:ind w:left="660" w:hanging="653"/>
        <w:spacing w:after="0" w:line="27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such number of shares of Presto Common Stock underlying the Private Placement Warrants, Financing Warrants, Trinity Warrants and penny warrants registered hereby as such warrants are currently exercisable.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5" w:name="page16"/>
    <w:bookmarkEnd w:id="15"/>
    <w:p>
      <w:pPr>
        <w:ind w:left="660" w:hanging="653"/>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Unless otherwise noted, the business address of these securityholders is c/o Presto Automation Inc., 985 Industrial Road, San Carlos, CA 94070.</w:t>
      </w:r>
    </w:p>
    <w:p>
      <w:pPr>
        <w:spacing w:after="0" w:line="271" w:lineRule="exact"/>
        <w:rPr>
          <w:rFonts w:ascii="Arial" w:cs="Arial" w:eastAsia="Arial" w:hAnsi="Arial"/>
          <w:sz w:val="16"/>
          <w:szCs w:val="16"/>
          <w:color w:val="auto"/>
        </w:rPr>
      </w:pPr>
    </w:p>
    <w:p>
      <w:pPr>
        <w:ind w:left="660" w:hanging="653"/>
        <w:spacing w:after="0" w:line="27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business address of each of these securityholders is c/o Ventoux Acquisition Holdings LLC, 1 East Putnam Avenue, Floor 4, Greenwich, CT 06830.</w:t>
      </w:r>
    </w:p>
    <w:p>
      <w:pPr>
        <w:spacing w:after="0" w:line="201" w:lineRule="exact"/>
        <w:rPr>
          <w:rFonts w:ascii="Arial" w:cs="Arial" w:eastAsia="Arial" w:hAnsi="Arial"/>
          <w:sz w:val="18"/>
          <w:szCs w:val="18"/>
          <w:color w:val="auto"/>
        </w:rPr>
      </w:pPr>
    </w:p>
    <w:p>
      <w:pPr>
        <w:ind w:left="660" w:hanging="65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business address of Acadia Woods Partners, LLC is c/o Hawkes Financial LLC, 77 Bedford Road, Katonah, NY 10536.</w:t>
      </w:r>
    </w:p>
    <w:p>
      <w:pPr>
        <w:spacing w:after="0" w:line="248" w:lineRule="exact"/>
        <w:rPr>
          <w:rFonts w:ascii="Arial" w:cs="Arial" w:eastAsia="Arial" w:hAnsi="Arial"/>
          <w:sz w:val="18"/>
          <w:szCs w:val="18"/>
          <w:color w:val="auto"/>
        </w:rPr>
      </w:pPr>
    </w:p>
    <w:p>
      <w:pPr>
        <w:ind w:left="660" w:hanging="65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business address of Aloha Partners, LLC is c/o Hawkes Financial LLC 77 Bedford Road, Omaha, NE 68127.</w:t>
      </w:r>
    </w:p>
    <w:p>
      <w:pPr>
        <w:spacing w:after="0" w:line="248" w:lineRule="exact"/>
        <w:rPr>
          <w:rFonts w:ascii="Arial" w:cs="Arial" w:eastAsia="Arial" w:hAnsi="Arial"/>
          <w:sz w:val="18"/>
          <w:szCs w:val="18"/>
          <w:color w:val="auto"/>
        </w:rPr>
      </w:pPr>
    </w:p>
    <w:p>
      <w:pPr>
        <w:jc w:val="both"/>
        <w:ind w:left="660" w:hanging="653"/>
        <w:spacing w:after="0" w:line="298"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p>
      <w:pPr>
        <w:spacing w:after="0" w:line="185" w:lineRule="exact"/>
        <w:rPr>
          <w:rFonts w:ascii="Arial" w:cs="Arial" w:eastAsia="Arial" w:hAnsi="Arial"/>
          <w:sz w:val="16"/>
          <w:szCs w:val="16"/>
          <w:color w:val="auto"/>
        </w:rPr>
      </w:pPr>
    </w:p>
    <w:p>
      <w:pPr>
        <w:ind w:left="660" w:hanging="65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business address of Cabbaj Capital Ltd. is Georgiou Katsounotou, 6, 3026, Limassol, Cyprus.</w:t>
      </w:r>
    </w:p>
    <w:p>
      <w:pPr>
        <w:spacing w:after="0" w:line="248" w:lineRule="exact"/>
        <w:rPr>
          <w:rFonts w:ascii="Arial" w:cs="Arial" w:eastAsia="Arial" w:hAnsi="Arial"/>
          <w:sz w:val="18"/>
          <w:szCs w:val="18"/>
          <w:color w:val="auto"/>
        </w:rPr>
      </w:pPr>
    </w:p>
    <w:p>
      <w:pPr>
        <w:jc w:val="both"/>
        <w:ind w:left="660" w:hanging="653"/>
        <w:spacing w:after="0" w:line="289"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191" w:lineRule="exact"/>
        <w:rPr>
          <w:rFonts w:ascii="Arial" w:cs="Arial" w:eastAsia="Arial" w:hAnsi="Arial"/>
          <w:sz w:val="16"/>
          <w:szCs w:val="16"/>
          <w:color w:val="auto"/>
        </w:rPr>
      </w:pPr>
    </w:p>
    <w:p>
      <w:pPr>
        <w:jc w:val="both"/>
        <w:ind w:left="660" w:hanging="653"/>
        <w:spacing w:after="0" w:line="28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p>
      <w:pPr>
        <w:spacing w:after="0" w:line="199" w:lineRule="exact"/>
        <w:rPr>
          <w:rFonts w:ascii="Arial" w:cs="Arial" w:eastAsia="Arial" w:hAnsi="Arial"/>
          <w:sz w:val="16"/>
          <w:szCs w:val="16"/>
          <w:color w:val="auto"/>
        </w:rPr>
      </w:pPr>
    </w:p>
    <w:p>
      <w:pPr>
        <w:jc w:val="both"/>
        <w:ind w:left="660" w:hanging="653"/>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spacing w:after="0" w:line="212" w:lineRule="exact"/>
        <w:rPr>
          <w:rFonts w:ascii="Arial" w:cs="Arial" w:eastAsia="Arial" w:hAnsi="Arial"/>
          <w:sz w:val="18"/>
          <w:szCs w:val="18"/>
          <w:color w:val="auto"/>
        </w:rPr>
      </w:pPr>
    </w:p>
    <w:p>
      <w:pPr>
        <w:ind w:left="660" w:right="20" w:hanging="653"/>
        <w:spacing w:after="0" w:line="30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shares owned by Ventoux Acquisition Holdings LLC, for which Edward Scheetz and Matt MacDonald are the managing members and have voting and/or dispositive powers with respect to such shares. Edward Sheetz currently serves as a director of the Company.</w:t>
      </w:r>
    </w:p>
    <w:p>
      <w:pPr>
        <w:spacing w:after="0" w:line="178" w:lineRule="exact"/>
        <w:rPr>
          <w:rFonts w:ascii="Arial" w:cs="Arial" w:eastAsia="Arial" w:hAnsi="Arial"/>
          <w:sz w:val="17"/>
          <w:szCs w:val="17"/>
          <w:color w:val="auto"/>
        </w:rPr>
      </w:pPr>
    </w:p>
    <w:p>
      <w:pPr>
        <w:ind w:left="660" w:hanging="653"/>
        <w:spacing w:after="0" w:line="27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business address of White &amp; Case LLP is 1221 Avenue of the Americas New York, NY 10020. White &amp; Case LLP served as counsel to Legacy Presto in connection with the Business Combination.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6" w:name="page17"/>
    <w:bookmarkEnd w:id="16"/>
    <w:p>
      <w:pPr>
        <w:ind w:left="660" w:hanging="653"/>
        <w:spacing w:after="0" w:line="27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business address of Dentons US LLP is 233 South Wacker Drive, Suite 5900, Chicago, IL 60606. Dentons US LLP served as co-counsel to VTAQ in connection with the Business Combination.</w:t>
      </w:r>
    </w:p>
    <w:p>
      <w:pPr>
        <w:spacing w:after="0" w:line="204" w:lineRule="exact"/>
        <w:rPr>
          <w:rFonts w:ascii="Arial" w:cs="Arial" w:eastAsia="Arial" w:hAnsi="Arial"/>
          <w:sz w:val="18"/>
          <w:szCs w:val="18"/>
          <w:color w:val="auto"/>
        </w:rPr>
      </w:pPr>
    </w:p>
    <w:p>
      <w:pPr>
        <w:ind w:left="660" w:hanging="653"/>
        <w:spacing w:after="0" w:line="184" w:lineRule="auto"/>
        <w:tabs>
          <w:tab w:leader="none" w:pos="66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The business address of Woolery &amp; Co. PLLC is 1 Pier 76, 408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 New York, NY 10018. Woolery &amp; Co. PLLC served as co-counsel to VTAQ in connection with the Business Combination.</w:t>
      </w:r>
    </w:p>
    <w:p>
      <w:pPr>
        <w:spacing w:after="0" w:line="230" w:lineRule="exact"/>
        <w:rPr>
          <w:rFonts w:ascii="Arial" w:cs="Arial" w:eastAsia="Arial" w:hAnsi="Arial"/>
          <w:sz w:val="36"/>
          <w:szCs w:val="36"/>
          <w:color w:val="auto"/>
          <w:vertAlign w:val="superscript"/>
        </w:rPr>
      </w:pPr>
    </w:p>
    <w:p>
      <w:pPr>
        <w:jc w:val="both"/>
        <w:ind w:left="660" w:hanging="653"/>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 supplement.</w:t>
      </w:r>
    </w:p>
    <w:p>
      <w:pPr>
        <w:spacing w:after="0" w:line="218" w:lineRule="exact"/>
        <w:rPr>
          <w:rFonts w:ascii="Arial" w:cs="Arial" w:eastAsia="Arial" w:hAnsi="Arial"/>
          <w:sz w:val="18"/>
          <w:szCs w:val="18"/>
          <w:color w:val="auto"/>
        </w:rPr>
      </w:pPr>
    </w:p>
    <w:p>
      <w:pPr>
        <w:ind w:left="660" w:hanging="653"/>
        <w:spacing w:after="0" w:line="27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288,925 shares of Presto Common Stock that are subject to vesting based upon achievement of certain stock price thresholds in accordance with the terms of the Merger Agreement. VTAQ was the corporate predecessor of the Company.</w:t>
      </w:r>
    </w:p>
    <w:p>
      <w:pPr>
        <w:spacing w:after="0" w:line="201" w:lineRule="exact"/>
        <w:rPr>
          <w:rFonts w:ascii="Arial" w:cs="Arial" w:eastAsia="Arial" w:hAnsi="Arial"/>
          <w:sz w:val="18"/>
          <w:szCs w:val="18"/>
          <w:color w:val="auto"/>
        </w:rPr>
      </w:pPr>
    </w:p>
    <w:p>
      <w:pPr>
        <w:ind w:left="660" w:hanging="65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business address of Cindat USA LLC is Beijing Yintai Center, Tower C, Suite 5101, 2 Jianwai Avenue, Beijing 100022, PRC.</w:t>
      </w:r>
    </w:p>
    <w:p>
      <w:pPr>
        <w:spacing w:after="0" w:line="248" w:lineRule="exact"/>
        <w:rPr>
          <w:rFonts w:ascii="Arial" w:cs="Arial" w:eastAsia="Arial" w:hAnsi="Arial"/>
          <w:sz w:val="18"/>
          <w:szCs w:val="18"/>
          <w:color w:val="auto"/>
        </w:rPr>
      </w:pPr>
    </w:p>
    <w:p>
      <w:pPr>
        <w:ind w:left="660" w:hanging="65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business address of Greg Flynn is 225 Bush Street, Suite 1800, San Francisco, CA 94104.</w:t>
      </w:r>
    </w:p>
    <w:p>
      <w:pPr>
        <w:spacing w:after="0" w:line="226" w:lineRule="exact"/>
        <w:rPr>
          <w:rFonts w:ascii="Arial" w:cs="Arial" w:eastAsia="Arial" w:hAnsi="Arial"/>
          <w:sz w:val="18"/>
          <w:szCs w:val="18"/>
          <w:color w:val="auto"/>
        </w:rPr>
      </w:pPr>
    </w:p>
    <w:p>
      <w:pPr>
        <w:ind w:left="660" w:hanging="653"/>
        <w:spacing w:after="0"/>
        <w:tabs>
          <w:tab w:leader="none" w:pos="66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The business address of HighSage Ventures, LLC is 200 Clarendon Street, 59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04" w:lineRule="exact"/>
        <w:rPr>
          <w:rFonts w:ascii="Arial" w:cs="Arial" w:eastAsia="Arial" w:hAnsi="Arial"/>
          <w:sz w:val="36"/>
          <w:szCs w:val="36"/>
          <w:color w:val="auto"/>
          <w:vertAlign w:val="superscript"/>
        </w:rPr>
      </w:pPr>
    </w:p>
    <w:p>
      <w:pPr>
        <w:ind w:left="660" w:hanging="65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business address of Jeff Jones is 1180 NW Maple St Ste 105, Issaquah, WA 98027.</w:t>
      </w:r>
    </w:p>
    <w:p>
      <w:pPr>
        <w:spacing w:after="0" w:line="248" w:lineRule="exact"/>
        <w:rPr>
          <w:rFonts w:ascii="Arial" w:cs="Arial" w:eastAsia="Arial" w:hAnsi="Arial"/>
          <w:sz w:val="18"/>
          <w:szCs w:val="18"/>
          <w:color w:val="auto"/>
        </w:rPr>
      </w:pPr>
    </w:p>
    <w:p>
      <w:pPr>
        <w:jc w:val="both"/>
        <w:ind w:left="660" w:hanging="653"/>
        <w:spacing w:after="0" w:line="22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New York 10022. Mr. Bergstrom disclaims beneficial ownership of shares held by CEOF. CEOF is a lender under the Credit Agreement.</w:t>
      </w:r>
    </w:p>
    <w:p>
      <w:pPr>
        <w:spacing w:after="0" w:line="228" w:lineRule="exact"/>
        <w:rPr>
          <w:rFonts w:ascii="Arial" w:cs="Arial" w:eastAsia="Arial" w:hAnsi="Arial"/>
          <w:sz w:val="18"/>
          <w:szCs w:val="18"/>
          <w:color w:val="auto"/>
        </w:rPr>
      </w:pPr>
    </w:p>
    <w:p>
      <w:pPr>
        <w:jc w:val="both"/>
        <w:ind w:left="660" w:hanging="653"/>
        <w:spacing w:after="0" w:line="24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10022. Metropolitan Levered Partners Fund VII, LP, Metropolitan Partners Fund VII, LP, Metropolitan Offshore Partners Fund VII, LP are lenders under the Credit Agreement.</w:t>
      </w:r>
    </w:p>
    <w:p>
      <w:pPr>
        <w:spacing w:after="0" w:line="220" w:lineRule="exact"/>
        <w:rPr>
          <w:rFonts w:ascii="Arial" w:cs="Arial" w:eastAsia="Arial" w:hAnsi="Arial"/>
          <w:sz w:val="17"/>
          <w:szCs w:val="17"/>
          <w:color w:val="auto"/>
        </w:rPr>
      </w:pPr>
    </w:p>
    <w:p>
      <w:pPr>
        <w:jc w:val="both"/>
        <w:ind w:left="660" w:hanging="653"/>
        <w:spacing w:after="0" w:line="269"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Floor, New York, NY 10004. Chardan Capital Markets, LLC served as an advisor to Legacy Presto in connection with the Business Combination</w:t>
      </w:r>
    </w:p>
    <w:p>
      <w:pPr>
        <w:spacing w:after="0" w:line="197" w:lineRule="exact"/>
        <w:rPr>
          <w:rFonts w:ascii="Arial" w:cs="Arial" w:eastAsia="Arial" w:hAnsi="Arial"/>
          <w:sz w:val="16"/>
          <w:szCs w:val="16"/>
          <w:color w:val="auto"/>
        </w:rPr>
      </w:pPr>
    </w:p>
    <w:p>
      <w:pPr>
        <w:ind w:left="660" w:hanging="653"/>
        <w:spacing w:after="0" w:line="184" w:lineRule="auto"/>
        <w:tabs>
          <w:tab w:leader="none" w:pos="66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The business address of Jefferies LLC is 520 Madison Avenue,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10022. Jefferies LLC served as financial advisor to Legacy Presto in connection with the Business Combination.</w:t>
      </w:r>
    </w:p>
    <w:p>
      <w:pPr>
        <w:spacing w:after="0" w:line="230" w:lineRule="exact"/>
        <w:rPr>
          <w:rFonts w:ascii="Arial" w:cs="Arial" w:eastAsia="Arial" w:hAnsi="Arial"/>
          <w:sz w:val="36"/>
          <w:szCs w:val="36"/>
          <w:color w:val="auto"/>
          <w:vertAlign w:val="superscript"/>
        </w:rPr>
      </w:pPr>
    </w:p>
    <w:p>
      <w:pPr>
        <w:jc w:val="both"/>
        <w:ind w:left="660" w:hanging="653"/>
        <w:spacing w:after="0" w:line="30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spacing w:after="0" w:line="178" w:lineRule="exact"/>
        <w:rPr>
          <w:rFonts w:ascii="Arial" w:cs="Arial" w:eastAsia="Arial" w:hAnsi="Arial"/>
          <w:sz w:val="16"/>
          <w:szCs w:val="16"/>
          <w:color w:val="auto"/>
        </w:rPr>
      </w:pPr>
    </w:p>
    <w:p>
      <w:pPr>
        <w:ind w:left="660" w:right="20" w:hanging="653"/>
        <w:spacing w:after="0" w:line="27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266,822 Earnout Shares that may be issued from time to time upon achievement of certain stock price thresholds in accordance with the terms of the Merger Agreement.</w:t>
      </w:r>
    </w:p>
    <w:p>
      <w:pPr>
        <w:spacing w:after="0" w:line="201" w:lineRule="exact"/>
        <w:rPr>
          <w:rFonts w:ascii="Arial" w:cs="Arial" w:eastAsia="Arial" w:hAnsi="Arial"/>
          <w:sz w:val="18"/>
          <w:szCs w:val="18"/>
          <w:color w:val="auto"/>
        </w:rPr>
      </w:pPr>
    </w:p>
    <w:p>
      <w:pPr>
        <w:ind w:left="660" w:hanging="653"/>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business address of Wilton Trustees (IOM) Limited ATO Dalmia Trust is Grosvenor House 66-67 Athol Street, Isle of Man IM1 IJE.</w:t>
      </w:r>
    </w:p>
    <w:p>
      <w:pPr>
        <w:spacing w:after="0" w:line="260" w:lineRule="exact"/>
        <w:rPr>
          <w:rFonts w:ascii="Arial" w:cs="Arial" w:eastAsia="Arial" w:hAnsi="Arial"/>
          <w:sz w:val="17"/>
          <w:szCs w:val="17"/>
          <w:color w:val="auto"/>
        </w:rPr>
      </w:pPr>
    </w:p>
    <w:p>
      <w:pPr>
        <w:ind w:left="660" w:hanging="65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business address of Cosme Fagundo is 711 Calle Artis San Jose, CA 95131.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7" w:name="page18"/>
    <w:bookmarkEnd w:id="17"/>
    <w:p>
      <w:pPr>
        <w:jc w:val="both"/>
        <w:ind w:left="660" w:hanging="653"/>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Common Stock to be sold pursuant to this prospectus supplement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pacing w:after="0" w:line="219" w:lineRule="exact"/>
        <w:rPr>
          <w:rFonts w:ascii="Arial" w:cs="Arial" w:eastAsia="Arial" w:hAnsi="Arial"/>
          <w:sz w:val="18"/>
          <w:szCs w:val="18"/>
          <w:color w:val="auto"/>
        </w:rPr>
      </w:pPr>
    </w:p>
    <w:p>
      <w:pPr>
        <w:ind w:left="660" w:hanging="653"/>
        <w:spacing w:after="0" w:line="27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otherwise noted, the shares of Common Stock to be sold pursuant to this prospectus supplement represent June 2023 PIPE Shares held by the securityholders.</w:t>
      </w:r>
    </w:p>
    <w:p>
      <w:pPr>
        <w:spacing w:after="0" w:line="201" w:lineRule="exact"/>
        <w:rPr>
          <w:rFonts w:ascii="Arial" w:cs="Arial" w:eastAsia="Arial" w:hAnsi="Arial"/>
          <w:sz w:val="18"/>
          <w:szCs w:val="18"/>
          <w:color w:val="auto"/>
        </w:rPr>
      </w:pPr>
    </w:p>
    <w:p>
      <w:pPr>
        <w:jc w:val="both"/>
        <w:ind w:left="660" w:hanging="653"/>
        <w:spacing w:after="0" w:line="294"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Shares of Common Stock to be sold pursuant to this prospectus supplement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10036.</w:t>
      </w:r>
    </w:p>
    <w:p>
      <w:pPr>
        <w:spacing w:after="0" w:line="64" w:lineRule="exact"/>
        <w:rPr>
          <w:rFonts w:ascii="Arial" w:cs="Arial" w:eastAsia="Arial" w:hAnsi="Arial"/>
          <w:sz w:val="16"/>
          <w:szCs w:val="16"/>
          <w:color w:val="auto"/>
        </w:rPr>
      </w:pPr>
    </w:p>
    <w:p>
      <w:pPr>
        <w:jc w:val="both"/>
        <w:ind w:left="660" w:hanging="653"/>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Common Stock to be sold pursuant to this prospectus supplement represent 250,000 June 2023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212" w:lineRule="exact"/>
        <w:rPr>
          <w:rFonts w:ascii="Arial" w:cs="Arial" w:eastAsia="Arial" w:hAnsi="Arial"/>
          <w:sz w:val="18"/>
          <w:szCs w:val="18"/>
          <w:color w:val="auto"/>
        </w:rPr>
      </w:pPr>
    </w:p>
    <w:p>
      <w:pPr>
        <w:jc w:val="both"/>
        <w:ind w:left="660" w:hanging="653"/>
        <w:spacing w:after="0" w:line="26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of Common Stock to be sold pursuant to this prospectus supplement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0" w:lineRule="exact"/>
        <w:rPr>
          <w:rFonts w:ascii="Arial" w:cs="Arial" w:eastAsia="Arial" w:hAnsi="Arial"/>
          <w:sz w:val="17"/>
          <w:szCs w:val="17"/>
          <w:color w:val="auto"/>
        </w:rPr>
      </w:pPr>
    </w:p>
    <w:p>
      <w:pPr>
        <w:ind w:left="660" w:hanging="653"/>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Prior to the Business Combination, Brock Strasbourger was the Chief Operating Officer of the Company’s corporate predecessor, VTAQ.</w:t>
      </w:r>
    </w:p>
    <w:p>
      <w:pPr>
        <w:spacing w:after="0" w:line="260" w:lineRule="exact"/>
        <w:rPr>
          <w:rFonts w:ascii="Arial" w:cs="Arial" w:eastAsia="Arial" w:hAnsi="Arial"/>
          <w:sz w:val="17"/>
          <w:szCs w:val="17"/>
          <w:color w:val="auto"/>
        </w:rPr>
      </w:pPr>
    </w:p>
    <w:p>
      <w:pPr>
        <w:ind w:left="660" w:hanging="65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the Business Combination, Julie Atkinson was a director of the Company’s corporate predecessor, VTAQ.</w:t>
      </w:r>
    </w:p>
    <w:p>
      <w:pPr>
        <w:spacing w:after="0" w:line="248" w:lineRule="exact"/>
        <w:rPr>
          <w:rFonts w:ascii="Arial" w:cs="Arial" w:eastAsia="Arial" w:hAnsi="Arial"/>
          <w:sz w:val="18"/>
          <w:szCs w:val="18"/>
          <w:color w:val="auto"/>
        </w:rPr>
      </w:pPr>
    </w:p>
    <w:p>
      <w:pPr>
        <w:ind w:left="660" w:right="20" w:hanging="653"/>
        <w:spacing w:after="0" w:line="27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the Business Combination, Matt MacDonald was the Chief Financial Officer, Secretary, and a director of the Company’s corporate predecessor, VTAQ.</w:t>
      </w:r>
    </w:p>
    <w:p>
      <w:pPr>
        <w:spacing w:after="0" w:line="201" w:lineRule="exact"/>
        <w:rPr>
          <w:rFonts w:ascii="Arial" w:cs="Arial" w:eastAsia="Arial" w:hAnsi="Arial"/>
          <w:sz w:val="18"/>
          <w:szCs w:val="18"/>
          <w:color w:val="auto"/>
        </w:rPr>
      </w:pPr>
    </w:p>
    <w:p>
      <w:pPr>
        <w:ind w:left="660" w:hanging="653"/>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Prior to the Business Combination, Prasad Phatak was the Chief Investment Officer of the Company’s corporate predecessor, VTAQ.</w:t>
      </w:r>
    </w:p>
    <w:p>
      <w:pPr>
        <w:spacing w:after="0" w:line="260" w:lineRule="exact"/>
        <w:rPr>
          <w:rFonts w:ascii="Arial" w:cs="Arial" w:eastAsia="Arial" w:hAnsi="Arial"/>
          <w:sz w:val="17"/>
          <w:szCs w:val="17"/>
          <w:color w:val="auto"/>
        </w:rPr>
      </w:pPr>
    </w:p>
    <w:p>
      <w:pPr>
        <w:ind w:left="660" w:hanging="65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the Business Combination, Chris Ahrens was a director of the Company’s corporate predecessor, VTAQ.</w:t>
      </w:r>
    </w:p>
    <w:p>
      <w:pPr>
        <w:spacing w:after="0" w:line="221" w:lineRule="exact"/>
        <w:rPr>
          <w:rFonts w:ascii="Arial" w:cs="Arial" w:eastAsia="Arial" w:hAnsi="Arial"/>
          <w:sz w:val="18"/>
          <w:szCs w:val="18"/>
          <w:color w:val="auto"/>
        </w:rPr>
      </w:pPr>
    </w:p>
    <w:p>
      <w:pPr>
        <w:ind w:left="660" w:hanging="65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business address of Trinity Capital Fund II, L.P., LLC is 2121 West Chandler Boulevard, Suite 103, Chandler, Arizona 85224.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6"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This prospectus supplement relates to from time to time (i) the offer and sale by us of up to 16,823,660 shares of Common Stock upon exercise of the Trinity Warrants, Public Warrants, Financing Warrants, and the Private Placement Warrants and (ii) the resale by certain of the Selling Securityholders named in this prospectus supplement of (a) an aggregate of 52,709,824 shares of Common Stock and (b) 7,625,000 Private Placement Warrants and Financing Warrants.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are registering the securities covered by this prospectus supplement on both our behalf and that of the Selling Securityholders. All costs, expenses and fees connected with the registration of such securities will be borne by us. Any brokerage commissions and similar expenses connected with selling such securities will be borne by the Selling Securityholders,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of the proceeds from the sale of the securities by the Selling Securityholders.</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securities beneficially owned by the Selling Securityholders covered by this prospectus supplement may be offered and sold from time to time by the Selling Securityholders. The term “Selling Securityholders” includes donees, pledgees, transferees or other successors in interest selling securities received after the date of this prospectus supplement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securities offered by this prospectus supplement on any stock exchange, market or trading facility on which the securities are traded or in private transactions.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Subject to the limitations set forth in any applicable registration rights agreement, the Selling Securityholders may use any one or more of the following methods when selling the securities offered by this prospectus supplement:</w:t>
      </w:r>
    </w:p>
    <w:p>
      <w:pPr>
        <w:spacing w:after="0" w:line="174" w:lineRule="exact"/>
        <w:rPr>
          <w:sz w:val="20"/>
          <w:szCs w:val="20"/>
          <w:color w:val="auto"/>
        </w:rPr>
      </w:pPr>
    </w:p>
    <w:p>
      <w:pPr>
        <w:ind w:left="980" w:hanging="651"/>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purchases by a broker-dealer as principal and resale by such broker-dealer for its own account pursuant to this prospectus supplement;</w:t>
      </w:r>
    </w:p>
    <w:p>
      <w:pPr>
        <w:spacing w:after="0" w:line="233" w:lineRule="exact"/>
        <w:rPr>
          <w:rFonts w:ascii="Arial" w:cs="Arial" w:eastAsia="Arial" w:hAnsi="Arial"/>
          <w:sz w:val="17"/>
          <w:szCs w:val="17"/>
          <w:color w:val="auto"/>
        </w:rPr>
      </w:pPr>
    </w:p>
    <w:p>
      <w:pPr>
        <w:ind w:left="980" w:hanging="651"/>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1"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174" w:lineRule="exact"/>
        <w:rPr>
          <w:rFonts w:ascii="Arial" w:cs="Arial" w:eastAsia="Arial" w:hAnsi="Arial"/>
          <w:sz w:val="18"/>
          <w:szCs w:val="18"/>
          <w:color w:val="auto"/>
        </w:rPr>
      </w:pPr>
    </w:p>
    <w:p>
      <w:pPr>
        <w:ind w:left="980" w:hanging="651"/>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applicable exchange;</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 supplement;</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directly to purchasers, including through a specific bidding, auction or other process or in privately negotiated transactions;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or</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 w:name="page20"/>
    <w:bookmarkEnd w:id="19"/>
    <w:p>
      <w:pPr>
        <w:jc w:val="both"/>
        <w:spacing w:after="0" w:line="254" w:lineRule="auto"/>
        <w:rPr>
          <w:sz w:val="20"/>
          <w:szCs w:val="20"/>
          <w:color w:val="auto"/>
        </w:rPr>
      </w:pPr>
      <w:r>
        <w:rPr>
          <w:rFonts w:ascii="Arial" w:cs="Arial" w:eastAsia="Arial" w:hAnsi="Arial"/>
          <w:sz w:val="18"/>
          <w:szCs w:val="18"/>
          <w:color w:val="auto"/>
        </w:rPr>
        <w:t>In addition, a Selling Securityholder that is an entity may elect to make a pro rata in-kind distribution of securities to its members, partners or stockholders pursuant to the registration statement of which this prospectus supplement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supplement to resell the securities acquired in the distribution.</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Selling Securityholders also may transfer the securities in other circumstances, in which case the transferees, pledgees or other successors-in-interest will be the selling beneficial owners for purposes of this prospectus supplement. Upon being notified by a Selling Securityholder that a donee, pledgee, transferee, other successor-in-interest intends to sell our securities, we will, to the extent required, promptly file a prospectus supplement to name specifically such person as a Selling Securityholder.</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The Selling Securityholders may also sell the securities or PIPE Shares short and deliver these securities to close out their short positions, or loan or pledge the securities or PIPE Shares to broker-dealers that in turn may sell these shares.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supplement, which shares such broker-dealer or other financial institution may resell pursuant to this prospectus supplement (as supplemented or amended to reflect such transaction). The third party in such sale transactions will be an underwriter and will be identified in the applicable prospectus supplement (or a post-effective amendment to the registration statement of which this prospectus supplement is a part).</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offering the securities covered by this prospectus supplement,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supplement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The validity of the securities to be offered hereby will be passed upon for us by White &amp; Case LLP, 1221 Avenue of the Americas, New York, New York 10020.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consolidated financial statements incorporated in this prospectus supplement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file annual, quarterly and current reports, proxy statements and other information with the SEC. We have also filed registration statements on Form S-1, including exhibits, under the Securities Act with respect to the securities offered by this prospectus supplement. This prospectus supplement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 supplement.</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192"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This prospectus supplement and the accompanying prospectus incorporate by reference the documents set forth below (excluding any portions of such documents that have been “furnished to” but not “filed with” the SEC for purposes of the Exchange Act):</w:t>
      </w:r>
    </w:p>
    <w:p>
      <w:pPr>
        <w:spacing w:after="0" w:line="174" w:lineRule="exact"/>
        <w:rPr>
          <w:sz w:val="20"/>
          <w:szCs w:val="20"/>
          <w:color w:val="auto"/>
        </w:rPr>
      </w:pPr>
    </w:p>
    <w:p>
      <w:pPr>
        <w:ind w:left="980" w:hanging="651"/>
        <w:spacing w:after="0" w:line="302"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50">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June 30, 2023, filed with the SEC on October 11, 2023, as amended by amendment no. 1 to our Annual Report for the year ended June 30, 2023 on </w:t>
      </w:r>
      <w:hyperlink r:id="rId51">
        <w:r>
          <w:rPr>
            <w:rFonts w:ascii="Arial" w:cs="Arial" w:eastAsia="Arial" w:hAnsi="Arial"/>
            <w:sz w:val="17"/>
            <w:szCs w:val="17"/>
            <w:u w:val="single" w:color="auto"/>
            <w:color w:val="0000EE"/>
          </w:rPr>
          <w:t>Form 10-K/A</w:t>
        </w:r>
      </w:hyperlink>
      <w:r>
        <w:rPr>
          <w:rFonts w:ascii="Arial" w:cs="Arial" w:eastAsia="Arial" w:hAnsi="Arial"/>
          <w:sz w:val="17"/>
          <w:szCs w:val="17"/>
          <w:color w:val="auto"/>
        </w:rPr>
        <w:t>, filed with the SEC on October 12, 2023;</w:t>
      </w:r>
    </w:p>
    <w:p>
      <w:pPr>
        <w:spacing w:after="0" w:line="151" w:lineRule="exact"/>
        <w:rPr>
          <w:rFonts w:ascii="Arial" w:cs="Arial" w:eastAsia="Arial" w:hAnsi="Arial"/>
          <w:sz w:val="17"/>
          <w:szCs w:val="17"/>
          <w:color w:val="auto"/>
        </w:rPr>
      </w:pPr>
    </w:p>
    <w:p>
      <w:pPr>
        <w:ind w:left="980" w:hanging="651"/>
        <w:spacing w:after="0" w:line="336"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information specifically incorporated by reference into our Annual Report on </w:t>
      </w:r>
      <w:hyperlink r:id="rId50">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fiscal year ended June 30, 2023, from our definitive proxy statement on </w:t>
      </w:r>
      <w:hyperlink r:id="rId52">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(other than information furnished rather than filed) filed with the SEC on October 27, 2023;</w:t>
      </w:r>
    </w:p>
    <w:p>
      <w:pPr>
        <w:spacing w:after="0" w:line="128" w:lineRule="exact"/>
        <w:rPr>
          <w:rFonts w:ascii="Arial" w:cs="Arial" w:eastAsia="Arial" w:hAnsi="Arial"/>
          <w:sz w:val="16"/>
          <w:szCs w:val="16"/>
          <w:color w:val="auto"/>
        </w:rPr>
      </w:pPr>
    </w:p>
    <w:p>
      <w:pPr>
        <w:ind w:left="980" w:hanging="651"/>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53">
        <w:r>
          <w:rPr>
            <w:rFonts w:ascii="Arial" w:cs="Arial" w:eastAsia="Arial" w:hAnsi="Arial"/>
            <w:sz w:val="17"/>
            <w:szCs w:val="17"/>
            <w:u w:val="single" w:color="auto"/>
            <w:color w:val="0000EE"/>
          </w:rPr>
          <w:t>August 2, 2023</w:t>
        </w:r>
      </w:hyperlink>
      <w:r>
        <w:rPr>
          <w:rFonts w:ascii="Arial" w:cs="Arial" w:eastAsia="Arial" w:hAnsi="Arial"/>
          <w:sz w:val="17"/>
          <w:szCs w:val="17"/>
          <w:color w:val="auto"/>
        </w:rPr>
        <w:t xml:space="preserve">, </w:t>
      </w:r>
      <w:hyperlink r:id="rId54">
        <w:r>
          <w:rPr>
            <w:rFonts w:ascii="Arial" w:cs="Arial" w:eastAsia="Arial" w:hAnsi="Arial"/>
            <w:sz w:val="17"/>
            <w:szCs w:val="17"/>
            <w:u w:val="single" w:color="auto"/>
            <w:color w:val="0000EE"/>
          </w:rPr>
          <w:t>August 31, 2023</w:t>
        </w:r>
      </w:hyperlink>
      <w:r>
        <w:rPr>
          <w:rFonts w:ascii="Arial" w:cs="Arial" w:eastAsia="Arial" w:hAnsi="Arial"/>
          <w:sz w:val="17"/>
          <w:szCs w:val="17"/>
          <w:color w:val="auto"/>
        </w:rPr>
        <w:t xml:space="preserve">, </w:t>
      </w:r>
      <w:hyperlink r:id="rId55">
        <w:r>
          <w:rPr>
            <w:rFonts w:ascii="Arial" w:cs="Arial" w:eastAsia="Arial" w:hAnsi="Arial"/>
            <w:sz w:val="17"/>
            <w:szCs w:val="17"/>
            <w:u w:val="single" w:color="auto"/>
            <w:color w:val="0000EE"/>
          </w:rPr>
          <w:t>October 11, 2023</w:t>
        </w:r>
      </w:hyperlink>
      <w:r>
        <w:rPr>
          <w:rFonts w:ascii="Arial" w:cs="Arial" w:eastAsia="Arial" w:hAnsi="Arial"/>
          <w:sz w:val="17"/>
          <w:szCs w:val="17"/>
          <w:color w:val="auto"/>
        </w:rPr>
        <w:t xml:space="preserve">, and </w:t>
      </w:r>
      <w:hyperlink r:id="rId56">
        <w:r>
          <w:rPr>
            <w:rFonts w:ascii="Arial" w:cs="Arial" w:eastAsia="Arial" w:hAnsi="Arial"/>
            <w:sz w:val="17"/>
            <w:szCs w:val="17"/>
            <w:u w:val="single" w:color="auto"/>
            <w:color w:val="0000EE"/>
          </w:rPr>
          <w:t>October 20, 2023</w:t>
        </w:r>
      </w:hyperlink>
      <w:r>
        <w:rPr>
          <w:rFonts w:ascii="Arial" w:cs="Arial" w:eastAsia="Arial" w:hAnsi="Arial"/>
          <w:sz w:val="17"/>
          <w:szCs w:val="17"/>
          <w:color w:val="auto"/>
        </w:rPr>
        <w:t>; and</w:t>
      </w:r>
    </w:p>
    <w:p>
      <w:pPr>
        <w:spacing w:after="0" w:line="233" w:lineRule="exact"/>
        <w:rPr>
          <w:rFonts w:ascii="Arial" w:cs="Arial" w:eastAsia="Arial" w:hAnsi="Arial"/>
          <w:sz w:val="17"/>
          <w:szCs w:val="17"/>
          <w:color w:val="auto"/>
        </w:rPr>
      </w:pPr>
    </w:p>
    <w:p>
      <w:pPr>
        <w:jc w:val="both"/>
        <w:ind w:left="980" w:hanging="651"/>
        <w:spacing w:after="0" w:line="26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description of our capital stock contained in our registration statement on </w:t>
      </w:r>
      <w:hyperlink r:id="rId57">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001-39830) filed on December 23, 2020, and any amendments or reports filed for the purposes of updating this description (including </w:t>
      </w:r>
      <w:hyperlink r:id="rId58">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for the year ended June 30, 2023).</w:t>
      </w:r>
    </w:p>
    <w:p>
      <w:pPr>
        <w:spacing w:after="0" w:line="185" w:lineRule="exact"/>
        <w:rPr>
          <w:rFonts w:ascii="Arial" w:cs="Arial" w:eastAsia="Arial" w:hAnsi="Arial"/>
          <w:sz w:val="18"/>
          <w:szCs w:val="18"/>
          <w:color w:val="auto"/>
        </w:rPr>
      </w:pPr>
    </w:p>
    <w:p>
      <w:pPr>
        <w:jc w:val="both"/>
        <w:spacing w:after="0" w:line="282" w:lineRule="auto"/>
        <w:rPr>
          <w:sz w:val="20"/>
          <w:szCs w:val="20"/>
          <w:color w:val="auto"/>
        </w:rPr>
      </w:pPr>
      <w:r>
        <w:rPr>
          <w:rFonts w:ascii="Arial" w:cs="Arial" w:eastAsia="Arial" w:hAnsi="Arial"/>
          <w:sz w:val="17"/>
          <w:szCs w:val="17"/>
          <w:color w:val="auto"/>
        </w:rPr>
        <w:t>All reports and other documents we subsequently file pursuant to Section 13(a), 13(c), 14 or 15(d) of Exchange Act prior to the termination of this offering, but excluding any information “furnished to,” rather than “filed with,” the SEC under the Exchange Act, will also be incorporated by reference into this prospectus supplement and deemed to be part of this prospectus supplement from the date of the filing of such reports and documents.</w:t>
      </w:r>
    </w:p>
    <w:p>
      <w:pPr>
        <w:spacing w:after="0" w:line="169" w:lineRule="exact"/>
        <w:rPr>
          <w:rFonts w:ascii="Arial" w:cs="Arial" w:eastAsia="Arial" w:hAnsi="Arial"/>
          <w:sz w:val="18"/>
          <w:szCs w:val="18"/>
          <w:color w:val="auto"/>
        </w:rPr>
      </w:pPr>
    </w:p>
    <w:p>
      <w:pPr>
        <w:jc w:val="both"/>
        <w:ind w:right="20"/>
        <w:spacing w:after="0" w:line="272" w:lineRule="auto"/>
        <w:rPr>
          <w:sz w:val="20"/>
          <w:szCs w:val="20"/>
          <w:color w:val="auto"/>
        </w:rPr>
      </w:pPr>
      <w:r>
        <w:rPr>
          <w:rFonts w:ascii="Arial" w:cs="Arial" w:eastAsia="Arial" w:hAnsi="Arial"/>
          <w:sz w:val="18"/>
          <w:szCs w:val="18"/>
          <w:color w:val="auto"/>
        </w:rPr>
        <w:t>You may request a free copy of any of the documents incorporated by reference in this prospectus supplement by writing or telephoning us at the following address:</w:t>
      </w:r>
    </w:p>
    <w:p>
      <w:pPr>
        <w:spacing w:after="0" w:line="17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Presto Automation Inc.</w:t>
      </w:r>
    </w:p>
    <w:p>
      <w:pPr>
        <w:spacing w:after="0" w:line="2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985 Industrial Road</w:t>
      </w:r>
    </w:p>
    <w:p>
      <w:pPr>
        <w:spacing w:after="0" w:line="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 Carlos, CA 94070</w:t>
      </w:r>
    </w:p>
    <w:p>
      <w:pPr>
        <w:spacing w:after="0" w:line="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Telephone: (650) 817-9012</w:t>
      </w:r>
    </w:p>
    <w:p>
      <w:pPr>
        <w:spacing w:after="0" w:line="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Xavier Casanova</w:t>
      </w:r>
    </w:p>
    <w:p>
      <w:pPr>
        <w:spacing w:after="0" w:line="209" w:lineRule="exact"/>
        <w:rPr>
          <w:rFonts w:ascii="Arial" w:cs="Arial" w:eastAsia="Arial" w:hAnsi="Arial"/>
          <w:sz w:val="18"/>
          <w:szCs w:val="18"/>
          <w:color w:val="auto"/>
        </w:rPr>
      </w:pPr>
    </w:p>
    <w:p>
      <w:pPr>
        <w:jc w:val="both"/>
        <w:spacing w:after="0" w:line="272"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supplement or the accompanying prospectus.</w:t>
      </w:r>
    </w:p>
    <w:p>
      <w:pPr>
        <w:spacing w:after="0" w:line="17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INDEMNIFICATION FOR SECURITIES ACT LIABILITIES</w:t>
      </w:r>
    </w:p>
    <w:p>
      <w:pPr>
        <w:spacing w:after="0" w:line="226" w:lineRule="exact"/>
        <w:rPr>
          <w:rFonts w:ascii="Arial" w:cs="Arial" w:eastAsia="Arial" w:hAnsi="Arial"/>
          <w:sz w:val="18"/>
          <w:szCs w:val="18"/>
          <w:color w:val="auto"/>
        </w:rPr>
      </w:pPr>
    </w:p>
    <w:p>
      <w:pPr>
        <w:jc w:val="both"/>
        <w:spacing w:after="0" w:line="260"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40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PROSPECTUS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Primary Offering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16,823,660 Shares of Common Stock Issuable Upon Exercise of Outstanding Warrants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Secondary Offering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52,709,824 Shares of Common Stock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7,625,000 Warrants to Purchase Shares of Common Stock Offered by the Selling Securityholders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spacing w:after="0" w:line="180" w:lineRule="exact"/>
        <w:rPr>
          <w:sz w:val="20"/>
          <w:szCs w:val="20"/>
          <w:color w:val="auto"/>
        </w:rPr>
      </w:pPr>
    </w:p>
    <w:p>
      <w:pPr>
        <w:jc w:val="both"/>
        <w:ind w:left="980" w:hanging="651"/>
        <w:spacing w:after="0" w:line="26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185" w:lineRule="exact"/>
        <w:rPr>
          <w:rFonts w:ascii="Arial" w:cs="Arial" w:eastAsia="Arial" w:hAnsi="Arial"/>
          <w:sz w:val="18"/>
          <w:szCs w:val="18"/>
          <w:color w:val="auto"/>
        </w:rPr>
      </w:pPr>
    </w:p>
    <w:p>
      <w:pPr>
        <w:jc w:val="both"/>
        <w:ind w:left="980" w:hanging="651"/>
        <w:spacing w:after="0" w:line="26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80" w:lineRule="exact"/>
        <w:rPr>
          <w:rFonts w:ascii="Arial" w:cs="Arial" w:eastAsia="Arial" w:hAnsi="Arial"/>
          <w:sz w:val="17"/>
          <w:szCs w:val="17"/>
          <w:color w:val="auto"/>
        </w:rPr>
      </w:pPr>
    </w:p>
    <w:p>
      <w:pPr>
        <w:ind w:left="980" w:hanging="651"/>
        <w:spacing w:after="0" w:line="27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408940</wp:posOffset>
            </wp:positionV>
            <wp:extent cx="7133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 w:name="page24"/>
    <w:bookmarkEnd w:id="23"/>
    <w:p>
      <w:pPr>
        <w:jc w:val="both"/>
        <w:ind w:left="980" w:right="20" w:hanging="651"/>
        <w:spacing w:after="0" w:line="26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85" w:lineRule="exact"/>
        <w:rPr>
          <w:rFonts w:ascii="Arial" w:cs="Arial" w:eastAsia="Arial" w:hAnsi="Arial"/>
          <w:sz w:val="18"/>
          <w:szCs w:val="18"/>
          <w:color w:val="auto"/>
        </w:rPr>
      </w:pPr>
    </w:p>
    <w:p>
      <w:pPr>
        <w:jc w:val="both"/>
        <w:ind w:left="980" w:hanging="651"/>
        <w:spacing w:after="0" w:line="282"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68" w:lineRule="exact"/>
        <w:rPr>
          <w:rFonts w:ascii="Arial" w:cs="Arial" w:eastAsia="Arial" w:hAnsi="Arial"/>
          <w:sz w:val="17"/>
          <w:szCs w:val="17"/>
          <w:color w:val="auto"/>
        </w:rPr>
      </w:pPr>
    </w:p>
    <w:p>
      <w:pPr>
        <w:jc w:val="both"/>
        <w:ind w:left="980" w:hanging="651"/>
        <w:spacing w:after="0" w:line="27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p>
      <w:pPr>
        <w:spacing w:after="0" w:line="173" w:lineRule="exact"/>
        <w:rPr>
          <w:rFonts w:ascii="Arial" w:cs="Arial" w:eastAsia="Arial" w:hAnsi="Arial"/>
          <w:sz w:val="17"/>
          <w:szCs w:val="17"/>
          <w:color w:val="auto"/>
        </w:rPr>
      </w:pPr>
    </w:p>
    <w:p>
      <w:pPr>
        <w:jc w:val="both"/>
        <w:ind w:left="980" w:hanging="651"/>
        <w:spacing w:after="0" w:line="26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p>
      <w:pPr>
        <w:spacing w:after="0" w:line="185"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p>
      <w:pPr>
        <w:spacing w:after="0" w:line="185" w:lineRule="exact"/>
        <w:rPr>
          <w:rFonts w:ascii="Arial" w:cs="Arial" w:eastAsia="Arial" w:hAnsi="Arial"/>
          <w:sz w:val="18"/>
          <w:szCs w:val="18"/>
          <w:color w:val="auto"/>
        </w:rPr>
      </w:pPr>
    </w:p>
    <w:p>
      <w:pPr>
        <w:jc w:val="both"/>
        <w:ind w:left="980" w:hanging="651"/>
        <w:spacing w:after="0" w:line="271"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p>
      <w:pPr>
        <w:spacing w:after="0" w:line="177" w:lineRule="exact"/>
        <w:rPr>
          <w:rFonts w:ascii="Arial" w:cs="Arial" w:eastAsia="Arial" w:hAnsi="Arial"/>
          <w:sz w:val="17"/>
          <w:szCs w:val="17"/>
          <w:color w:val="auto"/>
        </w:rPr>
      </w:pPr>
    </w:p>
    <w:p>
      <w:pPr>
        <w:jc w:val="both"/>
        <w:ind w:left="980" w:hanging="651"/>
        <w:spacing w:after="0" w:line="27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w:t>
      </w:r>
    </w:p>
    <w:p>
      <w:pPr>
        <w:spacing w:after="0" w:line="17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418465</wp:posOffset>
            </wp:positionV>
            <wp:extent cx="71335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4" w:name="page25"/>
    <w:bookmarkEnd w:id="24"/>
    <w:p>
      <w:pPr>
        <w:jc w:val="both"/>
        <w:spacing w:after="0" w:line="276" w:lineRule="auto"/>
        <w:rPr>
          <w:sz w:val="20"/>
          <w:szCs w:val="20"/>
          <w:color w:val="auto"/>
        </w:rPr>
      </w:pPr>
      <w:r>
        <w:rPr>
          <w:rFonts w:ascii="Arial" w:cs="Arial" w:eastAsia="Arial" w:hAnsi="Arial"/>
          <w:sz w:val="17"/>
          <w:szCs w:val="17"/>
          <w:color w:val="auto"/>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spacing w:after="0" w:line="17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Arial" w:cs="Arial" w:eastAsia="Arial" w:hAnsi="Arial"/>
          <w:sz w:val="17"/>
          <w:szCs w:val="17"/>
          <w:i w:val="1"/>
          <w:iCs w:val="1"/>
          <w:color w:val="auto"/>
        </w:rPr>
        <w:t>Risk Factors—Risks Relating to Our Common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and Warrants</w:t>
      </w:r>
      <w:r>
        <w:rPr>
          <w:rFonts w:ascii="Arial" w:cs="Arial" w:eastAsia="Arial" w:hAnsi="Arial"/>
          <w:sz w:val="17"/>
          <w:szCs w:val="17"/>
          <w:color w:val="auto"/>
        </w:rPr>
        <w:t>” in our Annual Report on Form 10-K for the fiscal year ended June 30, 2023 for more information.</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Investing in our securities involves risks that are described in the “Risk Factors” section beginning on page 4 of this prospectus and similar sections contained in the documents incorporated by reference into this prospectus.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October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71335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100" w:type="dxa"/>
            <w:vAlign w:val="bottom"/>
            <w:gridSpan w:val="3"/>
          </w:tcPr>
          <w:p>
            <w:pPr>
              <w:ind w:left="14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ABOUT THIS PROSPECTUS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TRADEMARKS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CAUTIONARY STATEMENT REGARDING FORWARD-LOOKING STATEMENTS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SUMMARY OF PROSPECTUS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RISK FACTORS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USE OF PROCEEDS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DESCRIPTION OF COMMON STOCK AND PREFERRED STOCK</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DESCRIPTION OF DEBT SECURITIES</w:t>
            </w:r>
          </w:p>
        </w:tc>
        <w:tc>
          <w:tcPr>
            <w:tcW w:w="2620" w:type="dxa"/>
            <w:vAlign w:val="bottom"/>
            <w:shd w:val="clear" w:color="auto" w:fill="CCEEFF"/>
          </w:tcPr>
          <w:p>
            <w:pPr>
              <w:jc w:val="center"/>
              <w:ind w:left="1531"/>
              <w:spacing w:after="0" w:line="175"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DESCRIPTION OF WARRANTS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DESCRIPTION OF RIGHTS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DESCRIPTION OF UNITS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GLOBAL SECURITIES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SELLING SECURITYHOLDERS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PLAN OF DISTRIBUTION</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LEGAL MATTERS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EXPERTS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WHERE YOU CAN FIND MORE INFORMATION</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8600" w:type="dxa"/>
            <w:vAlign w:val="bottom"/>
            <w:gridSpan w:val="18"/>
            <w:shd w:val="clear" w:color="auto" w:fill="CCEEFF"/>
          </w:tcPr>
          <w:p>
            <w:pPr>
              <w:spacing w:after="0" w:line="175" w:lineRule="exact"/>
              <w:rPr>
                <w:sz w:val="20"/>
                <w:szCs w:val="20"/>
                <w:color w:val="auto"/>
              </w:rPr>
            </w:pPr>
            <w:r>
              <w:rPr>
                <w:rFonts w:ascii="Arial" w:cs="Arial" w:eastAsia="Arial" w:hAnsi="Arial"/>
                <w:sz w:val="18"/>
                <w:szCs w:val="18"/>
                <w:color w:val="0000EE"/>
              </w:rPr>
              <w:t>INDEMNIFICATION FOR SECURITIES ACT LIABILITIES</w:t>
            </w:r>
          </w:p>
        </w:tc>
        <w:tc>
          <w:tcPr>
            <w:tcW w:w="2620" w:type="dxa"/>
            <w:vAlign w:val="bottom"/>
            <w:shd w:val="clear" w:color="auto" w:fill="CCEEFF"/>
          </w:tcPr>
          <w:p>
            <w:pPr>
              <w:jc w:val="center"/>
              <w:ind w:left="1511"/>
              <w:spacing w:after="0" w:line="17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TRADEMARKS</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18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448310</wp:posOffset>
            </wp:positionV>
            <wp:extent cx="7193915" cy="4754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93915" cy="4754245"/>
                    </a:xfrm>
                    <a:prstGeom prst="rect">
                      <a:avLst/>
                    </a:prstGeom>
                    <a:noFill/>
                  </pic:spPr>
                </pic:pic>
              </a:graphicData>
            </a:graphic>
          </wp:anchor>
        </w:drawing>
        <w:t>SUMMARY OF THE PROSPECTUS</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w:t>
      </w:r>
      <w:r>
        <w:rPr>
          <w:rFonts w:ascii="Arial" w:cs="Arial" w:eastAsia="Arial" w:hAnsi="Arial"/>
          <w:sz w:val="16"/>
          <w:szCs w:val="16"/>
          <w:color w:val="auto"/>
          <w:highlight w:val="white"/>
        </w:rPr>
        <w:t>See the section titled “Where You Can Find More Information.”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pacing w:after="0" w:line="40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13970</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000"/>
          </w:cols>
          <w:pgMar w:left="540" w:top="1100" w:right="3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6" w:lineRule="exact"/>
        <w:rPr>
          <w:sz w:val="20"/>
          <w:szCs w:val="20"/>
          <w:color w:val="auto"/>
        </w:rPr>
      </w:pPr>
    </w:p>
    <w:p>
      <w:pPr>
        <w:jc w:val="both"/>
        <w:spacing w:after="0" w:line="336" w:lineRule="auto"/>
        <w:rPr>
          <w:sz w:val="20"/>
          <w:szCs w:val="20"/>
          <w:color w:val="auto"/>
        </w:rPr>
      </w:pPr>
      <w:r>
        <w:rPr>
          <w:rFonts w:ascii="Arial" w:cs="Arial" w:eastAsia="Arial" w:hAnsi="Arial"/>
          <w:sz w:val="16"/>
          <w:szCs w:val="16"/>
          <w:color w:val="auto"/>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DESCRIPTION OF COMMON STOCK AND PREFERRED STOCK</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69" w:lineRule="exact"/>
        <w:rPr>
          <w:sz w:val="20"/>
          <w:szCs w:val="20"/>
          <w:color w:val="auto"/>
        </w:rPr>
      </w:pPr>
    </w:p>
    <w:p>
      <w:pPr>
        <w:ind w:left="980" w:hanging="65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1" w:lineRule="exact"/>
        <w:rPr>
          <w:rFonts w:ascii="Arial" w:cs="Arial" w:eastAsia="Arial" w:hAnsi="Arial"/>
          <w:sz w:val="18"/>
          <w:szCs w:val="18"/>
          <w:color w:val="auto"/>
        </w:rPr>
      </w:pPr>
    </w:p>
    <w:p>
      <w:pPr>
        <w:jc w:val="both"/>
        <w:ind w:left="980" w:hanging="651"/>
        <w:spacing w:after="0" w:line="25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89"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85" w:lineRule="exact"/>
        <w:rPr>
          <w:rFonts w:ascii="Arial" w:cs="Arial" w:eastAsia="Arial" w:hAnsi="Arial"/>
          <w:sz w:val="18"/>
          <w:szCs w:val="18"/>
          <w:color w:val="auto"/>
        </w:rPr>
      </w:pPr>
    </w:p>
    <w:p>
      <w:pPr>
        <w:ind w:left="980" w:hanging="651"/>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244" w:lineRule="exact"/>
        <w:rPr>
          <w:rFonts w:ascii="Arial" w:cs="Arial" w:eastAsia="Arial" w:hAnsi="Arial"/>
          <w:sz w:val="16"/>
          <w:szCs w:val="16"/>
          <w:color w:val="auto"/>
        </w:rPr>
      </w:pPr>
    </w:p>
    <w:p>
      <w:pPr>
        <w:jc w:val="both"/>
        <w:ind w:left="980" w:hanging="651"/>
        <w:spacing w:after="0" w:line="26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3" w:name="page34"/>
    <w:bookmarkEnd w:id="33"/>
    <w:p>
      <w:pPr>
        <w:ind w:left="980" w:hanging="651"/>
        <w:spacing w:after="0" w:line="27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74" w:lineRule="exact"/>
        <w:rPr>
          <w:rFonts w:ascii="Arial" w:cs="Arial" w:eastAsia="Arial" w:hAnsi="Arial"/>
          <w:sz w:val="18"/>
          <w:szCs w:val="18"/>
          <w:color w:val="auto"/>
        </w:rPr>
      </w:pPr>
    </w:p>
    <w:p>
      <w:pPr>
        <w:ind w:left="980" w:hanging="651"/>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233" w:lineRule="exact"/>
        <w:rPr>
          <w:rFonts w:ascii="Arial" w:cs="Arial" w:eastAsia="Arial" w:hAnsi="Arial"/>
          <w:sz w:val="17"/>
          <w:szCs w:val="17"/>
          <w:color w:val="auto"/>
        </w:rPr>
      </w:pPr>
    </w:p>
    <w:p>
      <w:pPr>
        <w:ind w:left="980" w:hanging="651"/>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21" w:lineRule="exact"/>
        <w:rPr>
          <w:rFonts w:ascii="Arial" w:cs="Arial" w:eastAsia="Arial" w:hAnsi="Arial"/>
          <w:sz w:val="18"/>
          <w:szCs w:val="18"/>
          <w:color w:val="auto"/>
        </w:rPr>
      </w:pPr>
    </w:p>
    <w:p>
      <w:pPr>
        <w:ind w:left="980" w:right="20" w:hanging="651"/>
        <w:spacing w:after="0" w:line="27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74"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74"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74"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85"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85" w:lineRule="exact"/>
        <w:rPr>
          <w:rFonts w:ascii="Arial" w:cs="Arial" w:eastAsia="Arial" w:hAnsi="Arial"/>
          <w:sz w:val="18"/>
          <w:szCs w:val="18"/>
          <w:color w:val="auto"/>
        </w:rPr>
      </w:pPr>
    </w:p>
    <w:p>
      <w:pPr>
        <w:ind w:left="980" w:hanging="651"/>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21" w:lineRule="exact"/>
        <w:rPr>
          <w:rFonts w:ascii="Arial" w:cs="Arial" w:eastAsia="Arial" w:hAnsi="Arial"/>
          <w:sz w:val="18"/>
          <w:szCs w:val="18"/>
          <w:color w:val="auto"/>
        </w:rPr>
      </w:pPr>
    </w:p>
    <w:p>
      <w:pPr>
        <w:ind w:left="980" w:hanging="651"/>
        <w:spacing w:after="0" w:line="336"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28" w:lineRule="exact"/>
        <w:rPr>
          <w:rFonts w:ascii="Arial" w:cs="Arial" w:eastAsia="Arial" w:hAnsi="Arial"/>
          <w:sz w:val="16"/>
          <w:szCs w:val="16"/>
          <w:color w:val="auto"/>
        </w:rPr>
      </w:pPr>
    </w:p>
    <w:p>
      <w:pPr>
        <w:ind w:left="980" w:hanging="651"/>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244" w:lineRule="exact"/>
        <w:rPr>
          <w:rFonts w:ascii="Arial" w:cs="Arial" w:eastAsia="Arial" w:hAnsi="Arial"/>
          <w:sz w:val="16"/>
          <w:szCs w:val="16"/>
          <w:color w:val="auto"/>
        </w:rPr>
      </w:pPr>
    </w:p>
    <w:p>
      <w:pPr>
        <w:ind w:left="980" w:hanging="651"/>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233" w:lineRule="exact"/>
        <w:rPr>
          <w:rFonts w:ascii="Arial" w:cs="Arial" w:eastAsia="Arial" w:hAnsi="Arial"/>
          <w:sz w:val="17"/>
          <w:szCs w:val="17"/>
          <w:color w:val="auto"/>
        </w:rPr>
      </w:pPr>
    </w:p>
    <w:p>
      <w:pPr>
        <w:jc w:val="both"/>
        <w:ind w:left="980" w:hanging="651"/>
        <w:spacing w:after="0" w:line="26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85"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85" w:lineRule="exact"/>
        <w:rPr>
          <w:rFonts w:ascii="Arial" w:cs="Arial" w:eastAsia="Arial" w:hAnsi="Arial"/>
          <w:sz w:val="18"/>
          <w:szCs w:val="18"/>
          <w:color w:val="auto"/>
        </w:rPr>
      </w:pPr>
    </w:p>
    <w:p>
      <w:pPr>
        <w:ind w:left="980" w:right="20" w:hanging="651"/>
        <w:spacing w:after="0" w:line="27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Form, Transfer and Exchange</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Certificated Debt Securities</w:t>
      </w:r>
      <w:r>
        <w:rPr>
          <w:rFonts w:ascii="Arial" w:cs="Arial" w:eastAsia="Arial" w:hAnsi="Arial"/>
          <w:sz w:val="17"/>
          <w:szCs w:val="17"/>
          <w:color w:val="auto"/>
        </w:rPr>
        <w:t>. You may transfer or exchange certificated debt securities at any office we maintain for this purpose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74" w:lineRule="exact"/>
        <w:rPr>
          <w:sz w:val="20"/>
          <w:szCs w:val="20"/>
          <w:color w:val="auto"/>
        </w:rPr>
      </w:pPr>
    </w:p>
    <w:p>
      <w:pPr>
        <w:ind w:left="980" w:hanging="651"/>
        <w:spacing w:after="0" w:line="302"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Presto) is a corporation, organized and validly existing under the laws of any U.S. domestic jurisdiction and expressly assumes our obligations on the debt securities and under the indenture; and</w:t>
      </w:r>
    </w:p>
    <w:p>
      <w:pPr>
        <w:spacing w:after="0" w:line="151" w:lineRule="exact"/>
        <w:rPr>
          <w:rFonts w:ascii="Arial" w:cs="Arial" w:eastAsia="Arial" w:hAnsi="Arial"/>
          <w:sz w:val="17"/>
          <w:szCs w:val="17"/>
          <w:color w:val="auto"/>
        </w:rPr>
      </w:pPr>
    </w:p>
    <w:p>
      <w:pPr>
        <w:ind w:right="320" w:firstLine="329"/>
        <w:spacing w:after="0" w:line="524" w:lineRule="auto"/>
        <w:tabs>
          <w:tab w:leader="none" w:pos="9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Default (as defined below) or Event of Default shall have occurred and be continuing. Notwithstanding the above, any of our subsidiaries may consolidate with, merge into or transfer all or part of its properties to us.</w:t>
      </w:r>
    </w:p>
    <w:p>
      <w:pPr>
        <w:spacing w:after="0"/>
        <w:rPr>
          <w:sz w:val="20"/>
          <w:szCs w:val="20"/>
          <w:color w:val="auto"/>
        </w:rPr>
      </w:pPr>
      <w:r>
        <w:rPr>
          <w:rFonts w:ascii="Arial" w:cs="Arial" w:eastAsia="Arial" w:hAnsi="Arial"/>
          <w:sz w:val="18"/>
          <w:szCs w:val="18"/>
          <w:b w:val="1"/>
          <w:bCs w:val="1"/>
          <w:color w:val="auto"/>
        </w:rPr>
        <w:t>Events of Default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22" w:lineRule="exact"/>
        <w:rPr>
          <w:sz w:val="20"/>
          <w:szCs w:val="20"/>
          <w:color w:val="auto"/>
        </w:rPr>
      </w:pPr>
    </w:p>
    <w:p>
      <w:pPr>
        <w:jc w:val="both"/>
        <w:ind w:left="980" w:hanging="651"/>
        <w:spacing w:after="0" w:line="26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85" w:lineRule="exact"/>
        <w:rPr>
          <w:rFonts w:ascii="Arial" w:cs="Arial" w:eastAsia="Arial" w:hAnsi="Arial"/>
          <w:sz w:val="18"/>
          <w:szCs w:val="18"/>
          <w:color w:val="auto"/>
        </w:rPr>
      </w:pPr>
    </w:p>
    <w:p>
      <w:pPr>
        <w:ind w:left="980" w:hanging="651"/>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221" w:lineRule="exact"/>
        <w:rPr>
          <w:rFonts w:ascii="Arial" w:cs="Arial" w:eastAsia="Arial" w:hAnsi="Arial"/>
          <w:sz w:val="18"/>
          <w:szCs w:val="18"/>
          <w:color w:val="auto"/>
        </w:rPr>
      </w:pPr>
    </w:p>
    <w:p>
      <w:pPr>
        <w:jc w:val="both"/>
        <w:ind w:left="980" w:hanging="651"/>
        <w:spacing w:after="0" w:line="276"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p>
      <w:pPr>
        <w:spacing w:after="0" w:line="173" w:lineRule="exact"/>
        <w:rPr>
          <w:rFonts w:ascii="Arial" w:cs="Arial" w:eastAsia="Arial" w:hAnsi="Arial"/>
          <w:sz w:val="17"/>
          <w:szCs w:val="17"/>
          <w:color w:val="auto"/>
        </w:rPr>
      </w:pPr>
    </w:p>
    <w:p>
      <w:pPr>
        <w:ind w:left="980" w:hanging="651"/>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Presto;</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debt securities of that series that is described in the applicable prospectus supplement.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2"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6" w:name="page37"/>
    <w:bookmarkEnd w:id="36"/>
    <w:p>
      <w:pPr>
        <w:jc w:val="both"/>
        <w:spacing w:after="0" w:line="284"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74" w:lineRule="exact"/>
        <w:rPr>
          <w:sz w:val="20"/>
          <w:szCs w:val="20"/>
          <w:color w:val="auto"/>
        </w:rPr>
      </w:pPr>
    </w:p>
    <w:p>
      <w:pPr>
        <w:ind w:left="980" w:hanging="651"/>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244" w:lineRule="exact"/>
        <w:rPr>
          <w:rFonts w:ascii="Arial" w:cs="Arial" w:eastAsia="Arial" w:hAnsi="Arial"/>
          <w:sz w:val="16"/>
          <w:szCs w:val="16"/>
          <w:color w:val="auto"/>
        </w:rPr>
      </w:pPr>
    </w:p>
    <w:p>
      <w:pPr>
        <w:jc w:val="both"/>
        <w:ind w:left="980" w:hanging="651"/>
        <w:spacing w:after="0" w:line="25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174" w:lineRule="exact"/>
        <w:rPr>
          <w:sz w:val="20"/>
          <w:szCs w:val="20"/>
          <w:color w:val="auto"/>
        </w:rPr>
      </w:pPr>
    </w:p>
    <w:p>
      <w:pPr>
        <w:ind w:left="980" w:hanging="651"/>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37" w:name="page38"/>
    <w:bookmarkEnd w:id="37"/>
    <w:p>
      <w:pPr>
        <w:ind w:left="980" w:hanging="651"/>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44" w:lineRule="exact"/>
        <w:rPr>
          <w:rFonts w:ascii="Arial" w:cs="Arial" w:eastAsia="Arial" w:hAnsi="Arial"/>
          <w:sz w:val="16"/>
          <w:szCs w:val="16"/>
          <w:color w:val="auto"/>
        </w:rPr>
      </w:pPr>
    </w:p>
    <w:p>
      <w:pPr>
        <w:ind w:left="980" w:hanging="651"/>
        <w:spacing w:after="0" w:line="27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74" w:lineRule="exact"/>
        <w:rPr>
          <w:rFonts w:ascii="Arial" w:cs="Arial" w:eastAsia="Arial" w:hAnsi="Arial"/>
          <w:sz w:val="18"/>
          <w:szCs w:val="18"/>
          <w:color w:val="auto"/>
        </w:rPr>
      </w:pPr>
    </w:p>
    <w:p>
      <w:pPr>
        <w:ind w:left="980" w:right="20" w:hanging="651"/>
        <w:spacing w:after="0" w:line="27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of 1939, as amended.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169" w:lineRule="exact"/>
        <w:rPr>
          <w:sz w:val="20"/>
          <w:szCs w:val="20"/>
          <w:color w:val="auto"/>
        </w:rPr>
      </w:pPr>
    </w:p>
    <w:p>
      <w:pPr>
        <w:ind w:left="980" w:hanging="651"/>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48" w:lineRule="exact"/>
        <w:rPr>
          <w:rFonts w:ascii="Arial" w:cs="Arial" w:eastAsia="Arial" w:hAnsi="Arial"/>
          <w:sz w:val="18"/>
          <w:szCs w:val="18"/>
          <w:color w:val="auto"/>
        </w:rPr>
      </w:pPr>
    </w:p>
    <w:p>
      <w:pPr>
        <w:ind w:left="980" w:hanging="651"/>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248"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201" w:lineRule="exact"/>
        <w:rPr>
          <w:rFonts w:ascii="Arial" w:cs="Arial" w:eastAsia="Arial" w:hAnsi="Arial"/>
          <w:sz w:val="18"/>
          <w:szCs w:val="18"/>
          <w:color w:val="auto"/>
        </w:rPr>
      </w:pPr>
    </w:p>
    <w:p>
      <w:pPr>
        <w:ind w:left="980" w:hanging="651"/>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48"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p>
      <w:pPr>
        <w:spacing w:after="0" w:line="212" w:lineRule="exact"/>
        <w:rPr>
          <w:rFonts w:ascii="Arial" w:cs="Arial" w:eastAsia="Arial" w:hAnsi="Arial"/>
          <w:sz w:val="18"/>
          <w:szCs w:val="18"/>
          <w:color w:val="auto"/>
        </w:rPr>
      </w:pPr>
    </w:p>
    <w:p>
      <w:pPr>
        <w:ind w:left="980" w:hanging="651"/>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248"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212" w:lineRule="exact"/>
        <w:rPr>
          <w:rFonts w:ascii="Arial" w:cs="Arial" w:eastAsia="Arial" w:hAnsi="Arial"/>
          <w:sz w:val="18"/>
          <w:szCs w:val="18"/>
          <w:color w:val="auto"/>
        </w:rPr>
      </w:pPr>
    </w:p>
    <w:p>
      <w:pPr>
        <w:ind w:left="980" w:hanging="651"/>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Legal Defeasance</w:t>
      </w:r>
      <w:r>
        <w:rPr>
          <w:rFonts w:ascii="Arial" w:cs="Arial" w:eastAsia="Arial" w:hAnsi="Arial"/>
          <w:sz w:val="16"/>
          <w:szCs w:val="16"/>
          <w:color w:val="auto"/>
        </w:rPr>
        <w:t>. The indenture will provide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38" w:name="page39"/>
    <w:bookmarkEnd w:id="38"/>
    <w:p>
      <w:pPr>
        <w:jc w:val="both"/>
        <w:spacing w:after="0" w:line="271"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will provide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174" w:lineRule="exact"/>
        <w:rPr>
          <w:sz w:val="20"/>
          <w:szCs w:val="20"/>
          <w:color w:val="auto"/>
        </w:rPr>
      </w:pPr>
    </w:p>
    <w:p>
      <w:pPr>
        <w:ind w:left="980" w:hanging="651"/>
        <w:spacing w:after="0" w:line="336"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28" w:lineRule="exact"/>
        <w:rPr>
          <w:rFonts w:ascii="Arial" w:cs="Arial" w:eastAsia="Arial" w:hAnsi="Arial"/>
          <w:sz w:val="16"/>
          <w:szCs w:val="16"/>
          <w:color w:val="auto"/>
        </w:rPr>
      </w:pPr>
    </w:p>
    <w:p>
      <w:pPr>
        <w:ind w:left="980" w:hanging="651"/>
        <w:spacing w:after="0" w:line="27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include:</w:t>
      </w:r>
    </w:p>
    <w:p>
      <w:pPr>
        <w:spacing w:after="0" w:line="222" w:lineRule="exact"/>
        <w:rPr>
          <w:sz w:val="20"/>
          <w:szCs w:val="20"/>
          <w:color w:val="auto"/>
        </w:rPr>
      </w:pPr>
    </w:p>
    <w:p>
      <w:pPr>
        <w:jc w:val="both"/>
        <w:ind w:left="980" w:hanging="651"/>
        <w:spacing w:after="0" w:line="25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92" w:lineRule="exact"/>
        <w:rPr>
          <w:rFonts w:ascii="Arial" w:cs="Arial" w:eastAsia="Arial" w:hAnsi="Arial"/>
          <w:sz w:val="18"/>
          <w:szCs w:val="18"/>
          <w:color w:val="auto"/>
        </w:rPr>
      </w:pPr>
    </w:p>
    <w:p>
      <w:pPr>
        <w:jc w:val="both"/>
        <w:ind w:left="980" w:hanging="651"/>
        <w:spacing w:after="0" w:line="256"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applicable prospectus supplement will describe the terms of any series of warrants in respect of which this prospectus is being delivered, including the following:</w:t>
      </w:r>
    </w:p>
    <w:p>
      <w:pPr>
        <w:spacing w:after="0" w:line="174" w:lineRule="exact"/>
        <w:rPr>
          <w:sz w:val="20"/>
          <w:szCs w:val="20"/>
          <w:color w:val="auto"/>
        </w:rPr>
      </w:pPr>
    </w:p>
    <w:p>
      <w:pPr>
        <w:ind w:left="980" w:hanging="6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or currencies in which the price of the warrants may be payable;</w:t>
      </w:r>
    </w:p>
    <w:p>
      <w:pPr>
        <w:spacing w:after="0" w:line="221" w:lineRule="exact"/>
        <w:rPr>
          <w:rFonts w:ascii="Arial" w:cs="Arial" w:eastAsia="Arial" w:hAnsi="Arial"/>
          <w:sz w:val="18"/>
          <w:szCs w:val="18"/>
          <w:color w:val="auto"/>
        </w:rPr>
      </w:pPr>
    </w:p>
    <w:p>
      <w:pPr>
        <w:ind w:left="980" w:right="20" w:hanging="651"/>
        <w:spacing w:after="0" w:line="27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and terms of the underlying warrant securities purchasable upon exercise of the warrants and the number of such underlying warrant securities issuable upon exercise of the warrants;</w:t>
      </w:r>
    </w:p>
    <w:p>
      <w:pPr>
        <w:spacing w:after="0" w:line="174"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including composite currencies, in which the underlying warrant securities purchasable upon exercise of the warrants may be purchased;</w:t>
      </w:r>
    </w:p>
    <w:p>
      <w:pPr>
        <w:spacing w:after="0" w:line="174" w:lineRule="exact"/>
        <w:rPr>
          <w:rFonts w:ascii="Arial" w:cs="Arial" w:eastAsia="Arial" w:hAnsi="Arial"/>
          <w:sz w:val="18"/>
          <w:szCs w:val="18"/>
          <w:color w:val="auto"/>
        </w:rPr>
      </w:pPr>
    </w:p>
    <w:p>
      <w:pPr>
        <w:ind w:left="980" w:hanging="651"/>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commence and the date on which that right will expire (subject to any extension);</w:t>
      </w:r>
    </w:p>
    <w:p>
      <w:pPr>
        <w:spacing w:after="0" w:line="233" w:lineRule="exact"/>
        <w:rPr>
          <w:rFonts w:ascii="Arial" w:cs="Arial" w:eastAsia="Arial" w:hAnsi="Arial"/>
          <w:sz w:val="17"/>
          <w:szCs w:val="17"/>
          <w:color w:val="auto"/>
        </w:rPr>
      </w:pPr>
    </w:p>
    <w:p>
      <w:pPr>
        <w:ind w:left="980" w:hanging="6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warrants will be issued in registered form or bearer form;</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which may be exercised at any one time;</w:t>
      </w:r>
    </w:p>
    <w:p>
      <w:pPr>
        <w:spacing w:after="0" w:line="221"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designation and terms of the underlying warrant securities with which the warrants are issued and the number of the warrants issued with each underlying warrant security;</w:t>
      </w:r>
    </w:p>
    <w:p>
      <w:pPr>
        <w:spacing w:after="0" w:line="174" w:lineRule="exact"/>
        <w:rPr>
          <w:rFonts w:ascii="Arial" w:cs="Arial" w:eastAsia="Arial" w:hAnsi="Arial"/>
          <w:sz w:val="18"/>
          <w:szCs w:val="18"/>
          <w:color w:val="auto"/>
        </w:rPr>
      </w:pPr>
    </w:p>
    <w:p>
      <w:pPr>
        <w:ind w:left="980" w:hanging="651"/>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applicable, the date on and after which the warrants and the related underlying warrant securities will be separately transferable;</w:t>
      </w:r>
    </w:p>
    <w:p>
      <w:pPr>
        <w:spacing w:after="0" w:line="233" w:lineRule="exact"/>
        <w:rPr>
          <w:rFonts w:ascii="Arial" w:cs="Arial" w:eastAsia="Arial" w:hAnsi="Arial"/>
          <w:sz w:val="17"/>
          <w:szCs w:val="17"/>
          <w:color w:val="auto"/>
        </w:rPr>
      </w:pPr>
    </w:p>
    <w:p>
      <w:pPr>
        <w:ind w:left="980" w:hanging="6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1"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a discussion of the material United States federal income tax considerations applicable to the issuance or exercise of the warrants; and</w:t>
      </w:r>
    </w:p>
    <w:p>
      <w:pPr>
        <w:spacing w:after="0" w:line="174" w:lineRule="exact"/>
        <w:rPr>
          <w:rFonts w:ascii="Arial" w:cs="Arial" w:eastAsia="Arial" w:hAnsi="Arial"/>
          <w:sz w:val="18"/>
          <w:szCs w:val="18"/>
          <w:color w:val="auto"/>
        </w:rPr>
      </w:pPr>
    </w:p>
    <w:p>
      <w:pPr>
        <w:ind w:left="980" w:hanging="651"/>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Warrant Agreement</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85"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The particular terms of each issue of rights, the rights agreement relating to the rights and the rights certificates representing rights will be described in the applicable prospectus supplement, including, as applicable:</w:t>
      </w:r>
    </w:p>
    <w:p>
      <w:pPr>
        <w:spacing w:after="0" w:line="174" w:lineRule="exact"/>
        <w:rPr>
          <w:sz w:val="20"/>
          <w:szCs w:val="20"/>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rights;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aggregate number of shares of common stock or preferred stock purchasable upon exercise of the rights;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if any, on and after which the rights will be separately transferable;</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 and</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other terms of the rights, including terms, procedures and limitations relating to the distribution, exchange and exercise of the rights.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 the following:</w:t>
      </w:r>
    </w:p>
    <w:p>
      <w:pPr>
        <w:spacing w:after="0" w:line="222" w:lineRule="exact"/>
        <w:rPr>
          <w:sz w:val="20"/>
          <w:szCs w:val="20"/>
          <w:color w:val="auto"/>
        </w:rPr>
      </w:pPr>
    </w:p>
    <w:p>
      <w:pPr>
        <w:ind w:left="980" w:hanging="651"/>
        <w:spacing w:after="0" w:line="272"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4" w:lineRule="exact"/>
        <w:rPr>
          <w:rFonts w:ascii="Arial" w:cs="Arial" w:eastAsia="Arial" w:hAnsi="Arial"/>
          <w:sz w:val="18"/>
          <w:szCs w:val="18"/>
          <w:color w:val="auto"/>
        </w:rPr>
      </w:pPr>
    </w:p>
    <w:p>
      <w:pPr>
        <w:ind w:left="980" w:hanging="651"/>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GLOBAL SECURITIES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DTC has advised us that it is:</w:t>
      </w:r>
    </w:p>
    <w:p>
      <w:pPr>
        <w:spacing w:after="0" w:line="222" w:lineRule="exact"/>
        <w:rPr>
          <w:sz w:val="20"/>
          <w:szCs w:val="20"/>
          <w:color w:val="auto"/>
        </w:rPr>
      </w:pPr>
    </w:p>
    <w:p>
      <w:pPr>
        <w:ind w:left="980" w:hanging="651"/>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21" w:lineRule="exact"/>
        <w:rPr>
          <w:rFonts w:ascii="Arial" w:cs="Arial" w:eastAsia="Arial" w:hAnsi="Arial"/>
          <w:sz w:val="18"/>
          <w:szCs w:val="18"/>
          <w:color w:val="auto"/>
        </w:rPr>
      </w:pPr>
    </w:p>
    <w:p>
      <w:pPr>
        <w:ind w:left="980" w:right="20" w:hanging="651"/>
        <w:spacing w:after="0" w:line="272"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Securities Exchange Act of 1934, as amended, or Exchange Act.</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9" w:lineRule="exact"/>
        <w:rPr>
          <w:sz w:val="20"/>
          <w:szCs w:val="20"/>
          <w:color w:val="auto"/>
        </w:rPr>
      </w:pPr>
    </w:p>
    <w:p>
      <w:pPr>
        <w:jc w:val="both"/>
        <w:ind w:right="20"/>
        <w:spacing w:after="0" w:line="336"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3" w:name="page44"/>
    <w:bookmarkEnd w:id="43"/>
    <w:p>
      <w:pPr>
        <w:jc w:val="both"/>
        <w:spacing w:after="0" w:line="272"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4"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174" w:lineRule="exact"/>
        <w:rPr>
          <w:sz w:val="20"/>
          <w:szCs w:val="20"/>
          <w:color w:val="auto"/>
        </w:rPr>
      </w:pPr>
    </w:p>
    <w:p>
      <w:pPr>
        <w:jc w:val="both"/>
        <w:ind w:left="980" w:hanging="651"/>
        <w:spacing w:after="0" w:line="256"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89" w:lineRule="exact"/>
        <w:rPr>
          <w:rFonts w:ascii="Arial" w:cs="Arial" w:eastAsia="Arial" w:hAnsi="Arial"/>
          <w:sz w:val="18"/>
          <w:szCs w:val="18"/>
          <w:color w:val="auto"/>
        </w:rPr>
      </w:pPr>
    </w:p>
    <w:p>
      <w:pPr>
        <w:ind w:left="980" w:hanging="651"/>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1" w:lineRule="exact"/>
        <w:rPr>
          <w:rFonts w:ascii="Arial" w:cs="Arial" w:eastAsia="Arial" w:hAnsi="Arial"/>
          <w:sz w:val="18"/>
          <w:szCs w:val="18"/>
          <w:color w:val="auto"/>
        </w:rPr>
      </w:pPr>
    </w:p>
    <w:p>
      <w:pPr>
        <w:jc w:val="both"/>
        <w:ind w:left="980" w:hanging="651"/>
        <w:spacing w:after="0" w:line="298"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5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spacing w:after="0" w:line="192" w:lineRule="exact"/>
        <w:rPr>
          <w:sz w:val="20"/>
          <w:szCs w:val="20"/>
          <w:color w:val="auto"/>
        </w:rPr>
      </w:pPr>
    </w:p>
    <w:p>
      <w:pPr>
        <w:ind w:left="980" w:hanging="651"/>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4,312,500 Founder Shares;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7,143,687 Business Combination PIPE Shares;</w:t>
      </w:r>
    </w:p>
    <w:p>
      <w:pPr>
        <w:spacing w:after="0" w:line="221"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174" w:lineRule="exact"/>
        <w:rPr>
          <w:rFonts w:ascii="Arial" w:cs="Arial" w:eastAsia="Arial" w:hAnsi="Arial"/>
          <w:sz w:val="18"/>
          <w:szCs w:val="18"/>
          <w:color w:val="auto"/>
        </w:rPr>
      </w:pPr>
    </w:p>
    <w:p>
      <w:pPr>
        <w:jc w:val="both"/>
        <w:ind w:left="980" w:right="20" w:hanging="651"/>
        <w:spacing w:after="0" w:line="26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85" w:lineRule="exact"/>
        <w:rPr>
          <w:rFonts w:ascii="Arial" w:cs="Arial" w:eastAsia="Arial" w:hAnsi="Arial"/>
          <w:sz w:val="18"/>
          <w:szCs w:val="18"/>
          <w:color w:val="auto"/>
        </w:rPr>
      </w:pPr>
    </w:p>
    <w:p>
      <w:pPr>
        <w:jc w:val="both"/>
        <w:ind w:left="980" w:hanging="651"/>
        <w:spacing w:after="0" w:line="282"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68" w:lineRule="exact"/>
        <w:rPr>
          <w:rFonts w:ascii="Arial" w:cs="Arial" w:eastAsia="Arial" w:hAnsi="Arial"/>
          <w:sz w:val="17"/>
          <w:szCs w:val="17"/>
          <w:color w:val="auto"/>
        </w:rPr>
      </w:pPr>
    </w:p>
    <w:p>
      <w:pPr>
        <w:jc w:val="both"/>
        <w:ind w:left="980" w:hanging="651"/>
        <w:spacing w:after="0" w:line="256"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p>
      <w:pPr>
        <w:spacing w:after="0" w:line="189" w:lineRule="exact"/>
        <w:rPr>
          <w:rFonts w:ascii="Arial" w:cs="Arial" w:eastAsia="Arial" w:hAnsi="Arial"/>
          <w:sz w:val="18"/>
          <w:szCs w:val="18"/>
          <w:color w:val="auto"/>
        </w:rPr>
      </w:pPr>
    </w:p>
    <w:p>
      <w:pPr>
        <w:ind w:left="980" w:hanging="651"/>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4,760,500 June 2023 PIPE Shares;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1,500,000 October 2023 PIPE Shares; and</w:t>
      </w:r>
    </w:p>
    <w:p>
      <w:pPr>
        <w:spacing w:after="0" w:line="221" w:lineRule="exact"/>
        <w:rPr>
          <w:rFonts w:ascii="Arial" w:cs="Arial" w:eastAsia="Arial" w:hAnsi="Arial"/>
          <w:sz w:val="18"/>
          <w:szCs w:val="18"/>
          <w:color w:val="auto"/>
        </w:rPr>
      </w:pPr>
    </w:p>
    <w:p>
      <w:pPr>
        <w:ind w:left="980" w:hanging="651"/>
        <w:spacing w:after="0" w:line="302"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5,925,000 shares of Common Stock issuable upon the exercise of warrants to purchase shares of our Common Stock by Metropolitan and the Metropolitan Entities (all warrants listed below are referred to herein as the “penny warrants”), which consist of:</w:t>
      </w:r>
    </w:p>
    <w:p>
      <w:pPr>
        <w:spacing w:after="0" w:line="151" w:lineRule="exact"/>
        <w:rPr>
          <w:rFonts w:ascii="Arial" w:cs="Arial" w:eastAsia="Arial" w:hAnsi="Arial"/>
          <w:sz w:val="17"/>
          <w:szCs w:val="17"/>
          <w:color w:val="auto"/>
        </w:rPr>
      </w:pPr>
    </w:p>
    <w:p>
      <w:pPr>
        <w:ind w:left="1620" w:hanging="648"/>
        <w:spacing w:after="0" w:line="302" w:lineRule="auto"/>
        <w:tabs>
          <w:tab w:leader="none" w:pos="1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400,000 shares of Common Stock issuable upon the exercise of warrants to purchase shares of our Common Stock, at an exercise price of $0.01 per share, subject to adjustment (the “May 2023 Resale Warrants”), held by the Selling Securityholders;</w:t>
      </w:r>
    </w:p>
    <w:p>
      <w:pPr>
        <w:spacing w:after="0" w:line="151" w:lineRule="exact"/>
        <w:rPr>
          <w:rFonts w:ascii="Arial" w:cs="Arial" w:eastAsia="Arial" w:hAnsi="Arial"/>
          <w:sz w:val="17"/>
          <w:szCs w:val="17"/>
          <w:color w:val="auto"/>
        </w:rPr>
      </w:pPr>
    </w:p>
    <w:p>
      <w:pPr>
        <w:jc w:val="both"/>
        <w:ind w:left="1620" w:hanging="648"/>
        <w:spacing w:after="0" w:line="260"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p>
      <w:pPr>
        <w:spacing w:after="0" w:line="185" w:lineRule="exact"/>
        <w:rPr>
          <w:rFonts w:ascii="Arial" w:cs="Arial" w:eastAsia="Arial" w:hAnsi="Arial"/>
          <w:sz w:val="18"/>
          <w:szCs w:val="18"/>
          <w:color w:val="auto"/>
        </w:rPr>
      </w:pPr>
    </w:p>
    <w:p>
      <w:pPr>
        <w:jc w:val="both"/>
        <w:ind w:left="1620" w:hanging="648"/>
        <w:spacing w:after="0" w:line="260"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p>
      <w:pPr>
        <w:spacing w:after="0" w:line="185" w:lineRule="exact"/>
        <w:rPr>
          <w:rFonts w:ascii="Arial" w:cs="Arial" w:eastAsia="Arial" w:hAnsi="Arial"/>
          <w:sz w:val="18"/>
          <w:szCs w:val="18"/>
          <w:color w:val="auto"/>
        </w:rPr>
      </w:pPr>
    </w:p>
    <w:p>
      <w:pPr>
        <w:jc w:val="both"/>
        <w:ind w:left="1620" w:hanging="648"/>
        <w:spacing w:after="0" w:line="260"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p>
      <w:pPr>
        <w:spacing w:after="0" w:line="185" w:lineRule="exact"/>
        <w:rPr>
          <w:rFonts w:ascii="Arial" w:cs="Arial" w:eastAsia="Arial" w:hAnsi="Arial"/>
          <w:sz w:val="18"/>
          <w:szCs w:val="18"/>
          <w:color w:val="auto"/>
        </w:rPr>
      </w:pPr>
    </w:p>
    <w:p>
      <w:pPr>
        <w:jc w:val="both"/>
        <w:ind w:left="1620" w:hanging="648"/>
        <w:spacing w:after="0" w:line="260"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5" w:name="page46"/>
    <w:bookmarkEnd w:id="45"/>
    <w:p>
      <w:pPr>
        <w:jc w:val="both"/>
        <w:spacing w:after="0" w:line="287" w:lineRule="auto"/>
        <w:rPr>
          <w:sz w:val="20"/>
          <w:szCs w:val="20"/>
          <w:color w:val="auto"/>
        </w:rPr>
      </w:pPr>
      <w:r>
        <w:rPr>
          <w:rFonts w:ascii="Arial" w:cs="Arial" w:eastAsia="Arial" w:hAnsi="Arial"/>
          <w:sz w:val="16"/>
          <w:szCs w:val="16"/>
          <w:color w:val="auto"/>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spacing w:after="0" w:line="1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6" w:name="page47"/>
    <w:bookmarkEnd w:id="46"/>
    <w:p>
      <w:pPr>
        <w:spacing w:after="0" w:line="272" w:lineRule="auto"/>
        <w:rPr>
          <w:sz w:val="20"/>
          <w:szCs w:val="20"/>
          <w:color w:val="auto"/>
        </w:rPr>
      </w:pPr>
      <w:r>
        <w:rPr>
          <w:rFonts w:ascii="Arial" w:cs="Arial" w:eastAsia="Arial" w:hAnsi="Arial"/>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6"/>
            <w:vMerge w:val="restart"/>
          </w:tcPr>
          <w:p>
            <w:pPr>
              <w:jc w:val="center"/>
              <w:ind w:right="100"/>
              <w:spacing w:after="0"/>
              <w:rPr>
                <w:sz w:val="20"/>
                <w:szCs w:val="20"/>
                <w:color w:val="auto"/>
              </w:rPr>
            </w:pPr>
            <w:r>
              <w:rPr>
                <w:rFonts w:ascii="Arial" w:cs="Arial" w:eastAsia="Arial" w:hAnsi="Arial"/>
                <w:sz w:val="16"/>
                <w:szCs w:val="16"/>
                <w:b w:val="1"/>
                <w:bCs w:val="1"/>
                <w:color w:val="auto"/>
                <w:w w:val="90"/>
              </w:rPr>
              <w:t>Beneficially Owned Before the Offering</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7"/>
                <w:szCs w:val="17"/>
                <w:color w:val="auto"/>
              </w:rPr>
            </w:pPr>
          </w:p>
        </w:tc>
        <w:tc>
          <w:tcPr>
            <w:tcW w:w="3180" w:type="dxa"/>
            <w:vAlign w:val="bottom"/>
            <w:gridSpan w:val="6"/>
            <w:vMerge w:val="restart"/>
          </w:tcPr>
          <w:p>
            <w:pPr>
              <w:jc w:val="center"/>
              <w:ind w:right="120"/>
              <w:spacing w:after="0"/>
              <w:rPr>
                <w:sz w:val="20"/>
                <w:szCs w:val="20"/>
                <w:color w:val="auto"/>
              </w:rPr>
            </w:pPr>
            <w:r>
              <w:rPr>
                <w:rFonts w:ascii="Arial" w:cs="Arial" w:eastAsia="Arial" w:hAnsi="Arial"/>
                <w:sz w:val="16"/>
                <w:szCs w:val="16"/>
                <w:b w:val="1"/>
                <w:bCs w:val="1"/>
                <w:color w:val="auto"/>
                <w:w w:val="92"/>
              </w:rPr>
              <w:t>Beneficially Owned After the Offering</w:t>
            </w: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6"/>
            <w:vMerge w:val="continue"/>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Shares of</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Private</w:t>
            </w:r>
          </w:p>
        </w:tc>
        <w:tc>
          <w:tcPr>
            <w:tcW w:w="120" w:type="dxa"/>
            <w:vAlign w:val="bottom"/>
          </w:tcPr>
          <w:p>
            <w:pPr>
              <w:spacing w:after="0"/>
              <w:rPr>
                <w:sz w:val="18"/>
                <w:szCs w:val="18"/>
                <w:color w:val="auto"/>
              </w:rPr>
            </w:pPr>
          </w:p>
        </w:tc>
        <w:tc>
          <w:tcPr>
            <w:tcW w:w="31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7"/>
              </w:rPr>
              <w:t>Shares of</w:t>
            </w: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Placement</w:t>
            </w:r>
          </w:p>
        </w:tc>
        <w:tc>
          <w:tcPr>
            <w:tcW w:w="120" w:type="dxa"/>
            <w:vAlign w:val="bottom"/>
          </w:tcPr>
          <w:p>
            <w:pPr>
              <w:spacing w:after="0"/>
              <w:rPr>
                <w:sz w:val="16"/>
                <w:szCs w:val="16"/>
                <w:color w:val="auto"/>
              </w:rPr>
            </w:pPr>
          </w:p>
        </w:tc>
        <w:tc>
          <w:tcPr>
            <w:tcW w:w="9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20" w:type="dxa"/>
            <w:vAlign w:val="bottom"/>
            <w:gridSpan w:val="2"/>
          </w:tcPr>
          <w:p>
            <w:pPr>
              <w:jc w:val="center"/>
              <w:ind w:right="80"/>
              <w:spacing w:after="0" w:line="161" w:lineRule="exact"/>
              <w:rPr>
                <w:sz w:val="20"/>
                <w:szCs w:val="20"/>
                <w:color w:val="auto"/>
              </w:rPr>
            </w:pPr>
            <w:r>
              <w:rPr>
                <w:rFonts w:ascii="Arial" w:cs="Arial" w:eastAsia="Arial" w:hAnsi="Arial"/>
                <w:sz w:val="16"/>
                <w:szCs w:val="16"/>
                <w:b w:val="1"/>
                <w:bCs w:val="1"/>
                <w:color w:val="auto"/>
              </w:rPr>
              <w:t>% of</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93"/>
              </w:rPr>
              <w:t>Private</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87"/>
              </w:rPr>
              <w:t>Stock</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95"/>
              </w:rPr>
              <w:t>Warrants</w:t>
            </w:r>
          </w:p>
        </w:tc>
        <w:tc>
          <w:tcPr>
            <w:tcW w:w="120" w:type="dxa"/>
            <w:vAlign w:val="bottom"/>
          </w:tcPr>
          <w:p>
            <w:pPr>
              <w:spacing w:after="0"/>
              <w:rPr>
                <w:sz w:val="14"/>
                <w:szCs w:val="14"/>
                <w:color w:val="auto"/>
              </w:rPr>
            </w:pPr>
          </w:p>
        </w:tc>
        <w:tc>
          <w:tcPr>
            <w:tcW w:w="98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87"/>
              </w:rPr>
              <w:t>Shares of</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 of</w:t>
            </w:r>
          </w:p>
        </w:tc>
        <w:tc>
          <w:tcPr>
            <w:tcW w:w="11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93"/>
              </w:rPr>
              <w:t>Private</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Common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Placement</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Being</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Being</w:t>
            </w: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Common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Common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Placement</w:t>
            </w:r>
          </w:p>
        </w:tc>
        <w:tc>
          <w:tcPr>
            <w:tcW w:w="0" w:type="dxa"/>
            <w:vAlign w:val="bottom"/>
          </w:tcPr>
          <w:p>
            <w:pPr>
              <w:spacing w:after="0"/>
              <w:rPr>
                <w:sz w:val="1"/>
                <w:szCs w:val="1"/>
                <w:color w:val="auto"/>
              </w:rPr>
            </w:pPr>
          </w:p>
        </w:tc>
      </w:tr>
      <w:tr>
        <w:trPr>
          <w:trHeight w:val="261"/>
        </w:trPr>
        <w:tc>
          <w:tcPr>
            <w:tcW w:w="226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Selling Securityholder</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line="253" w:lineRule="exact"/>
              <w:rPr>
                <w:sz w:val="20"/>
                <w:szCs w:val="20"/>
                <w:color w:val="auto"/>
              </w:rPr>
            </w:pPr>
            <w:r>
              <w:rPr>
                <w:rFonts w:ascii="Arial" w:cs="Arial" w:eastAsia="Arial" w:hAnsi="Arial"/>
                <w:sz w:val="16"/>
                <w:szCs w:val="16"/>
                <w:b w:val="1"/>
                <w:bCs w:val="1"/>
                <w:color w:val="auto"/>
                <w:w w:val="83"/>
              </w:rPr>
              <w:t>Stock</w:t>
            </w:r>
            <w:r>
              <w:rPr>
                <w:rFonts w:ascii="Arial" w:cs="Arial" w:eastAsia="Arial" w:hAnsi="Arial"/>
                <w:sz w:val="26"/>
                <w:szCs w:val="26"/>
                <w:b w:val="1"/>
                <w:bCs w:val="1"/>
                <w:color w:val="auto"/>
                <w:w w:val="83"/>
                <w:vertAlign w:val="superscript"/>
              </w:rPr>
              <w:t>(1)</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87"/>
              </w:rPr>
              <w:t>Stock</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4"/>
              </w:rPr>
              <w:t>Offered</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4"/>
              </w:rPr>
              <w:t>Offered</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260" w:type="dxa"/>
            <w:vAlign w:val="bottom"/>
            <w:gridSpan w:val="3"/>
            <w:shd w:val="clear" w:color="auto" w:fill="CCEEFF"/>
          </w:tcPr>
          <w:p>
            <w:pPr>
              <w:spacing w:after="0" w:line="241" w:lineRule="exact"/>
              <w:rPr>
                <w:sz w:val="20"/>
                <w:szCs w:val="20"/>
                <w:color w:val="auto"/>
              </w:rPr>
            </w:pPr>
            <w:r>
              <w:rPr>
                <w:rFonts w:ascii="Arial" w:cs="Arial" w:eastAsia="Arial" w:hAnsi="Arial"/>
                <w:sz w:val="16"/>
                <w:szCs w:val="16"/>
                <w:color w:val="auto"/>
              </w:rPr>
              <w:t>80Five LLC</w:t>
            </w:r>
            <w:r>
              <w:rPr>
                <w:rFonts w:ascii="Arial" w:cs="Arial" w:eastAsia="Arial" w:hAnsi="Arial"/>
                <w:sz w:val="26"/>
                <w:szCs w:val="26"/>
                <w:color w:val="auto"/>
                <w:vertAlign w:val="superscript"/>
              </w:rPr>
              <w:t>(3)</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Arial" w:cs="Arial" w:eastAsia="Arial" w:hAnsi="Arial"/>
                <w:sz w:val="16"/>
                <w:szCs w:val="16"/>
                <w:color w:val="auto"/>
              </w:rPr>
              <w:t>Acadia Woods Partners,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00" w:type="dxa"/>
            <w:vAlign w:val="bottom"/>
            <w:gridSpan w:val="2"/>
          </w:tcPr>
          <w:p>
            <w:pPr>
              <w:ind w:left="160"/>
              <w:spacing w:after="0" w:line="252" w:lineRule="exact"/>
              <w:rPr>
                <w:sz w:val="20"/>
                <w:szCs w:val="20"/>
                <w:color w:val="auto"/>
              </w:rPr>
            </w:pPr>
            <w:r>
              <w:rPr>
                <w:rFonts w:ascii="Arial" w:cs="Arial" w:eastAsia="Arial" w:hAnsi="Arial"/>
                <w:sz w:val="16"/>
                <w:szCs w:val="16"/>
                <w:color w:val="auto"/>
              </w:rPr>
              <w:t>LLC</w:t>
            </w:r>
            <w:r>
              <w:rPr>
                <w:rFonts w:ascii="Arial" w:cs="Arial" w:eastAsia="Arial" w:hAnsi="Arial"/>
                <w:sz w:val="26"/>
                <w:szCs w:val="26"/>
                <w:color w:val="auto"/>
                <w:vertAlign w:val="superscript"/>
              </w:rPr>
              <w:t>(4)</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31,250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31,250</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Adam Eskin</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44,866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Adam Feil</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6,250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Al Marjan Limited</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Alexander Nevinskiy</w:t>
            </w:r>
            <w:r>
              <w:rPr>
                <w:rFonts w:ascii="Arial" w:cs="Arial" w:eastAsia="Arial" w:hAnsi="Arial"/>
                <w:sz w:val="26"/>
                <w:szCs w:val="26"/>
                <w:color w:val="auto"/>
                <w:vertAlign w:val="superscript"/>
              </w:rPr>
              <w:t>(30)(32)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250,000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Aloha Partners, LLC</w:t>
            </w:r>
            <w:r>
              <w:rPr>
                <w:rFonts w:ascii="Arial" w:cs="Arial" w:eastAsia="Arial" w:hAnsi="Arial"/>
                <w:sz w:val="26"/>
                <w:szCs w:val="26"/>
                <w:color w:val="auto"/>
                <w:vertAlign w:val="superscript"/>
              </w:rPr>
              <w:t>(5)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Amir Ali Mithani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Amy Doshi &amp; Sarin Swami</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400" w:type="dxa"/>
            <w:vAlign w:val="bottom"/>
          </w:tcPr>
          <w:p>
            <w:pPr>
              <w:spacing w:after="0"/>
              <w:rPr>
                <w:sz w:val="20"/>
                <w:szCs w:val="20"/>
                <w:color w:val="auto"/>
              </w:rPr>
            </w:pPr>
            <w:r>
              <w:rPr>
                <w:rFonts w:ascii="Arial" w:cs="Arial" w:eastAsia="Arial" w:hAnsi="Arial"/>
                <w:sz w:val="16"/>
                <w:szCs w:val="16"/>
                <w:color w:val="auto"/>
                <w:w w:val="99"/>
              </w:rPr>
              <w:t>Arbat​</w:t>
            </w:r>
          </w:p>
        </w:tc>
        <w:tc>
          <w:tcPr>
            <w:tcW w:w="1980" w:type="dxa"/>
            <w:vAlign w:val="bottom"/>
            <w:gridSpan w:val="3"/>
          </w:tcPr>
          <w:p>
            <w:pPr>
              <w:jc w:val="center"/>
              <w:ind w:right="280"/>
              <w:spacing w:after="0" w:line="241" w:lineRule="exact"/>
              <w:rPr>
                <w:sz w:val="20"/>
                <w:szCs w:val="20"/>
                <w:color w:val="auto"/>
              </w:rPr>
            </w:pPr>
            <w:r>
              <w:rPr>
                <w:rFonts w:ascii="Arial" w:cs="Arial" w:eastAsia="Arial" w:hAnsi="Arial"/>
                <w:sz w:val="16"/>
                <w:szCs w:val="16"/>
                <w:color w:val="auto"/>
                <w:w w:val="86"/>
              </w:rPr>
              <w:t>Capital Group Ltd</w:t>
            </w:r>
            <w:r>
              <w:rPr>
                <w:rFonts w:ascii="Arial" w:cs="Arial" w:eastAsia="Arial" w:hAnsi="Arial"/>
                <w:sz w:val="26"/>
                <w:szCs w:val="26"/>
                <w:color w:val="auto"/>
                <w:w w:val="86"/>
                <w:vertAlign w:val="superscript"/>
              </w:rPr>
              <w:t>.(29)(30)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201,100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101,100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Art Spigel</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Biren Gosalia</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10,500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10,500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Blind 1212, LLC</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447,274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288,616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447,274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Brock Strasbourger</w:t>
            </w:r>
            <w:r>
              <w:rPr>
                <w:rFonts w:ascii="Arial" w:cs="Arial" w:eastAsia="Arial" w:hAnsi="Arial"/>
                <w:sz w:val="26"/>
                <w:szCs w:val="26"/>
                <w:color w:val="auto"/>
                <w:vertAlign w:val="superscript"/>
              </w:rPr>
              <w:t>(3)(34)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390,905</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269,850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390,905</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269,850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Cabbaj Capital Ltd.</w:t>
            </w:r>
            <w:r>
              <w:rPr>
                <w:rFonts w:ascii="Arial" w:cs="Arial" w:eastAsia="Arial" w:hAnsi="Arial"/>
                <w:sz w:val="26"/>
                <w:szCs w:val="26"/>
                <w:color w:val="auto"/>
                <w:vertAlign w:val="superscript"/>
              </w:rPr>
              <w:t>(7)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Cartoris Limited</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252,687</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167,687</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CEOF Holdings LP</w:t>
            </w:r>
            <w:r>
              <w:rPr>
                <w:rFonts w:ascii="Arial" w:cs="Arial" w:eastAsia="Arial" w:hAnsi="Arial"/>
                <w:sz w:val="26"/>
                <w:szCs w:val="26"/>
                <w:color w:val="auto"/>
                <w:vertAlign w:val="superscript"/>
              </w:rPr>
              <w:t>(21)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1,021,457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w:t>
            </w: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190,909</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1,021,457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Arial" w:cs="Arial" w:eastAsia="Arial" w:hAnsi="Arial"/>
                <w:sz w:val="16"/>
                <w:szCs w:val="16"/>
                <w:color w:val="auto"/>
              </w:rPr>
              <w:t>Chardan Capital Markets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00" w:type="dxa"/>
            <w:vAlign w:val="bottom"/>
            <w:gridSpan w:val="2"/>
          </w:tcPr>
          <w:p>
            <w:pPr>
              <w:ind w:left="160"/>
              <w:spacing w:after="0" w:line="252" w:lineRule="exact"/>
              <w:rPr>
                <w:sz w:val="20"/>
                <w:szCs w:val="20"/>
                <w:color w:val="auto"/>
              </w:rPr>
            </w:pPr>
            <w:r>
              <w:rPr>
                <w:rFonts w:ascii="Arial" w:cs="Arial" w:eastAsia="Arial" w:hAnsi="Arial"/>
                <w:sz w:val="29"/>
                <w:szCs w:val="29"/>
                <w:color w:val="auto"/>
                <w:w w:val="88"/>
                <w:vertAlign w:val="subscript"/>
              </w:rPr>
              <w:t>LLC</w:t>
            </w:r>
            <w:r>
              <w:rPr>
                <w:rFonts w:ascii="Arial" w:cs="Arial" w:eastAsia="Arial" w:hAnsi="Arial"/>
                <w:sz w:val="13"/>
                <w:szCs w:val="13"/>
                <w:color w:val="auto"/>
                <w:w w:val="88"/>
              </w:rPr>
              <w:t>(23)</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350,000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350,000</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Chardan International</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380" w:type="dxa"/>
            <w:vAlign w:val="bottom"/>
            <w:gridSpan w:val="4"/>
            <w:shd w:val="clear" w:color="auto" w:fill="CCEEFF"/>
          </w:tcPr>
          <w:p>
            <w:pPr>
              <w:ind w:left="160"/>
              <w:spacing w:after="0" w:line="252" w:lineRule="exact"/>
              <w:rPr>
                <w:sz w:val="20"/>
                <w:szCs w:val="20"/>
                <w:color w:val="auto"/>
              </w:rPr>
            </w:pPr>
            <w:r>
              <w:rPr>
                <w:rFonts w:ascii="Arial" w:cs="Arial" w:eastAsia="Arial" w:hAnsi="Arial"/>
                <w:sz w:val="16"/>
                <w:szCs w:val="16"/>
                <w:color w:val="auto"/>
              </w:rPr>
              <w:t>Investments, LLC</w:t>
            </w:r>
            <w:r>
              <w:rPr>
                <w:rFonts w:ascii="Arial" w:cs="Arial" w:eastAsia="Arial" w:hAnsi="Arial"/>
                <w:sz w:val="26"/>
                <w:szCs w:val="26"/>
                <w:color w:val="auto"/>
                <w:vertAlign w:val="superscript"/>
              </w:rPr>
              <w:t>(23)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2,983,171</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1,875,000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2,983,171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Chris Ahrens</w:t>
            </w:r>
            <w:r>
              <w:rPr>
                <w:rFonts w:ascii="Arial" w:cs="Arial" w:eastAsia="Arial" w:hAnsi="Arial"/>
                <w:sz w:val="26"/>
                <w:szCs w:val="26"/>
                <w:color w:val="auto"/>
                <w:vertAlign w:val="superscript"/>
              </w:rPr>
              <w:t>(3)(38)</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61,116</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61,116</w:t>
            </w:r>
          </w:p>
        </w:tc>
        <w:tc>
          <w:tcPr>
            <w:tcW w:w="1000" w:type="dxa"/>
            <w:vAlign w:val="bottom"/>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Cindat USA LLC</w:t>
            </w:r>
            <w:r>
              <w:rPr>
                <w:rFonts w:ascii="Arial" w:cs="Arial" w:eastAsia="Arial" w:hAnsi="Arial"/>
                <w:sz w:val="26"/>
                <w:szCs w:val="26"/>
                <w:color w:val="auto"/>
                <w:vertAlign w:val="superscript"/>
              </w:rPr>
              <w:t>(17)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1,374,148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918,387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1,374,148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918,387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700" w:type="dxa"/>
            <w:vAlign w:val="bottom"/>
            <w:gridSpan w:val="2"/>
          </w:tcPr>
          <w:p>
            <w:pPr>
              <w:spacing w:after="0"/>
              <w:rPr>
                <w:sz w:val="20"/>
                <w:szCs w:val="20"/>
                <w:color w:val="auto"/>
              </w:rPr>
            </w:pPr>
            <w:r>
              <w:rPr>
                <w:rFonts w:ascii="Arial" w:cs="Arial" w:eastAsia="Arial" w:hAnsi="Arial"/>
                <w:sz w:val="16"/>
                <w:szCs w:val="16"/>
                <w:color w:val="auto"/>
                <w:w w:val="95"/>
              </w:rPr>
              <w:t>Cleveland​</w:t>
            </w:r>
          </w:p>
        </w:tc>
        <w:tc>
          <w:tcPr>
            <w:tcW w:w="1680" w:type="dxa"/>
            <w:vAlign w:val="bottom"/>
            <w:gridSpan w:val="2"/>
          </w:tcPr>
          <w:p>
            <w:pPr>
              <w:jc w:val="center"/>
              <w:ind w:right="620"/>
              <w:spacing w:after="0" w:line="241" w:lineRule="exact"/>
              <w:rPr>
                <w:sz w:val="20"/>
                <w:szCs w:val="20"/>
                <w:color w:val="auto"/>
              </w:rPr>
            </w:pPr>
            <w:r>
              <w:rPr>
                <w:rFonts w:ascii="Arial" w:cs="Arial" w:eastAsia="Arial" w:hAnsi="Arial"/>
                <w:sz w:val="16"/>
                <w:szCs w:val="16"/>
                <w:color w:val="auto"/>
                <w:w w:val="89"/>
              </w:rPr>
              <w:t>Avenue LLC</w:t>
            </w:r>
            <w:r>
              <w:rPr>
                <w:rFonts w:ascii="Arial" w:cs="Arial" w:eastAsia="Arial" w:hAnsi="Arial"/>
                <w:sz w:val="26"/>
                <w:szCs w:val="26"/>
                <w:color w:val="auto"/>
                <w:w w:val="89"/>
                <w:vertAlign w:val="superscript"/>
              </w:rPr>
              <w:t>(33)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10,000,000</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17.3%</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Cliff Moskowitz</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44,866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Arial" w:cs="Arial" w:eastAsia="Arial" w:hAnsi="Arial"/>
                <w:sz w:val="16"/>
                <w:szCs w:val="16"/>
                <w:color w:val="auto"/>
              </w:rPr>
              <w:t>Connective Capital Emerging</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380" w:type="dxa"/>
            <w:vAlign w:val="bottom"/>
            <w:gridSpan w:val="4"/>
          </w:tcPr>
          <w:p>
            <w:pPr>
              <w:ind w:left="160"/>
              <w:spacing w:after="0" w:line="252" w:lineRule="exact"/>
              <w:rPr>
                <w:sz w:val="20"/>
                <w:szCs w:val="20"/>
                <w:color w:val="auto"/>
              </w:rPr>
            </w:pPr>
            <w:r>
              <w:rPr>
                <w:rFonts w:ascii="Arial" w:cs="Arial" w:eastAsia="Arial" w:hAnsi="Arial"/>
                <w:sz w:val="16"/>
                <w:szCs w:val="16"/>
                <w:color w:val="auto"/>
              </w:rPr>
              <w:t>Energy QP, LP</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68,137</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68,137</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Connective Capital I QP, LP</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31,863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31,863</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Cosme Fagundo</w:t>
            </w:r>
            <w:r>
              <w:rPr>
                <w:rFonts w:ascii="Arial" w:cs="Arial" w:eastAsia="Arial" w:hAnsi="Arial"/>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Dan Bordessa</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David Allan DeHorn</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Dentons US LLP</w:t>
            </w:r>
            <w:r>
              <w:rPr>
                <w:rFonts w:ascii="Arial" w:cs="Arial" w:eastAsia="Arial" w:hAnsi="Arial"/>
                <w:sz w:val="26"/>
                <w:szCs w:val="26"/>
                <w:color w:val="auto"/>
                <w:vertAlign w:val="superscript"/>
              </w:rPr>
              <w:t>(13)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Dhari Albader</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247,500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147,500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Dipan Desai</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Ed Scheetz</w:t>
            </w:r>
            <w:r>
              <w:rPr>
                <w:rFonts w:ascii="Arial" w:cs="Arial" w:eastAsia="Arial" w:hAnsi="Arial"/>
                <w:sz w:val="26"/>
                <w:szCs w:val="26"/>
                <w:color w:val="auto"/>
                <w:vertAlign w:val="superscript"/>
              </w:rPr>
              <w:t>(3)(11)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1,321,389</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1000" w:type="dxa"/>
            <w:vAlign w:val="bottom"/>
          </w:tcPr>
          <w:p>
            <w:pPr>
              <w:jc w:val="right"/>
              <w:spacing w:after="0"/>
              <w:rPr>
                <w:sz w:val="20"/>
                <w:szCs w:val="20"/>
                <w:color w:val="auto"/>
              </w:rPr>
            </w:pPr>
            <w:r>
              <w:rPr>
                <w:rFonts w:ascii="Arial" w:cs="Arial" w:eastAsia="Arial" w:hAnsi="Arial"/>
                <w:sz w:val="16"/>
                <w:szCs w:val="16"/>
                <w:color w:val="auto"/>
              </w:rPr>
              <w:t>705,762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1,032,464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705,762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EJK Investments LLC</w:t>
            </w:r>
            <w:r>
              <w:rPr>
                <w:rFonts w:ascii="Arial" w:cs="Arial" w:eastAsia="Arial" w:hAnsi="Arial"/>
                <w:sz w:val="26"/>
                <w:szCs w:val="26"/>
                <w:color w:val="auto"/>
                <w:vertAlign w:val="superscript"/>
              </w:rPr>
              <w:t>(30)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Georgia Sgardeli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Greg Flynn</w:t>
            </w:r>
            <w:r>
              <w:rPr>
                <w:rFonts w:ascii="Arial" w:cs="Arial" w:eastAsia="Arial" w:hAnsi="Arial"/>
                <w:sz w:val="26"/>
                <w:szCs w:val="26"/>
                <w:color w:val="auto"/>
                <w:vertAlign w:val="superscript"/>
              </w:rPr>
              <w:t>(18)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HighSage Ventures LLC</w:t>
            </w:r>
            <w:r>
              <w:rPr>
                <w:rFonts w:ascii="Arial" w:cs="Arial" w:eastAsia="Arial" w:hAnsi="Arial"/>
                <w:sz w:val="26"/>
                <w:szCs w:val="26"/>
                <w:color w:val="auto"/>
                <w:vertAlign w:val="superscript"/>
              </w:rPr>
              <w:t>(19)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I2BF Global Investments</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00" w:type="dxa"/>
            <w:vAlign w:val="bottom"/>
            <w:gridSpan w:val="2"/>
            <w:shd w:val="clear" w:color="auto" w:fill="CCEEFF"/>
          </w:tcPr>
          <w:p>
            <w:pPr>
              <w:ind w:left="160"/>
              <w:spacing w:after="0" w:line="252" w:lineRule="exact"/>
              <w:rPr>
                <w:sz w:val="20"/>
                <w:szCs w:val="20"/>
                <w:color w:val="auto"/>
              </w:rPr>
            </w:pPr>
            <w:r>
              <w:rPr>
                <w:rFonts w:ascii="Arial" w:cs="Arial" w:eastAsia="Arial" w:hAnsi="Arial"/>
                <w:sz w:val="16"/>
                <w:szCs w:val="16"/>
                <w:color w:val="auto"/>
              </w:rPr>
              <w:t>Ltd.</w:t>
            </w:r>
            <w:r>
              <w:rPr>
                <w:rFonts w:ascii="Arial" w:cs="Arial" w:eastAsia="Arial" w:hAnsi="Arial"/>
                <w:sz w:val="26"/>
                <w:szCs w:val="26"/>
                <w:color w:val="auto"/>
                <w:vertAlign w:val="superscript"/>
              </w:rPr>
              <w:t>(6)</w:t>
            </w: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5,682,225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5,682,225</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tcPr>
          <w:p>
            <w:pPr>
              <w:spacing w:after="0" w:line="241" w:lineRule="exact"/>
              <w:rPr>
                <w:sz w:val="20"/>
                <w:szCs w:val="20"/>
                <w:color w:val="auto"/>
              </w:rPr>
            </w:pPr>
            <w:r>
              <w:rPr>
                <w:rFonts w:ascii="Arial" w:cs="Arial" w:eastAsia="Arial" w:hAnsi="Arial"/>
                <w:sz w:val="16"/>
                <w:szCs w:val="16"/>
                <w:color w:val="auto"/>
              </w:rPr>
              <w:t>Jameson Weber</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77,232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4"/>
            <w:shd w:val="clear" w:color="auto" w:fill="CCEEFF"/>
          </w:tcPr>
          <w:p>
            <w:pPr>
              <w:spacing w:after="0" w:line="241" w:lineRule="exact"/>
              <w:rPr>
                <w:sz w:val="20"/>
                <w:szCs w:val="20"/>
                <w:color w:val="auto"/>
              </w:rPr>
            </w:pPr>
            <w:r>
              <w:rPr>
                <w:rFonts w:ascii="Arial" w:cs="Arial" w:eastAsia="Arial" w:hAnsi="Arial"/>
                <w:sz w:val="16"/>
                <w:szCs w:val="16"/>
                <w:color w:val="auto"/>
              </w:rPr>
              <w:t>Jasminder Singh</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115,848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78,714</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115,848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7"/>
        </w:trPr>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7" w:name="page48"/>
    <w:bookmarkEnd w:id="47"/>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6"/>
          </w:tcPr>
          <w:p>
            <w:pPr>
              <w:jc w:val="center"/>
              <w:ind w:right="20"/>
              <w:spacing w:after="0"/>
              <w:rPr>
                <w:sz w:val="20"/>
                <w:szCs w:val="20"/>
                <w:color w:val="auto"/>
              </w:rPr>
            </w:pPr>
            <w:r>
              <w:rPr>
                <w:rFonts w:ascii="Arial" w:cs="Arial" w:eastAsia="Arial" w:hAnsi="Arial"/>
                <w:sz w:val="16"/>
                <w:szCs w:val="16"/>
                <w:b w:val="1"/>
                <w:bCs w:val="1"/>
                <w:color w:val="auto"/>
                <w:w w:val="91"/>
              </w:rPr>
              <w:t>Beneficially Owned Before the Offering</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7"/>
              </w:rPr>
              <w:t>Shares of</w:t>
            </w: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4"/>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gridSpan w:val="2"/>
          </w:tcPr>
          <w:p>
            <w:pPr>
              <w:jc w:val="center"/>
              <w:ind w:right="40"/>
              <w:spacing w:after="0" w:line="161" w:lineRule="exact"/>
              <w:rPr>
                <w:sz w:val="20"/>
                <w:szCs w:val="20"/>
                <w:color w:val="auto"/>
              </w:rPr>
            </w:pPr>
            <w:r>
              <w:rPr>
                <w:rFonts w:ascii="Arial" w:cs="Arial" w:eastAsia="Arial" w:hAnsi="Arial"/>
                <w:sz w:val="16"/>
                <w:szCs w:val="16"/>
                <w:b w:val="1"/>
                <w:bCs w:val="1"/>
                <w:color w:val="auto"/>
              </w:rPr>
              <w:t>% of</w:t>
            </w:r>
          </w:p>
        </w:tc>
        <w:tc>
          <w:tcPr>
            <w:tcW w:w="1040" w:type="dxa"/>
            <w:vAlign w:val="bottom"/>
            <w:gridSpan w:val="2"/>
          </w:tcPr>
          <w:p>
            <w:pPr>
              <w:jc w:val="center"/>
              <w:ind w:left="20"/>
              <w:spacing w:after="0" w:line="161" w:lineRule="exact"/>
              <w:rPr>
                <w:sz w:val="20"/>
                <w:szCs w:val="20"/>
                <w:color w:val="auto"/>
              </w:rPr>
            </w:pPr>
            <w:r>
              <w:rPr>
                <w:rFonts w:ascii="Arial" w:cs="Arial" w:eastAsia="Arial" w:hAnsi="Arial"/>
                <w:sz w:val="16"/>
                <w:szCs w:val="16"/>
                <w:b w:val="1"/>
                <w:bCs w:val="1"/>
                <w:color w:val="auto"/>
                <w:w w:val="93"/>
              </w:rPr>
              <w:t>Private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1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Common</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Placement</w:t>
            </w:r>
          </w:p>
        </w:tc>
        <w:tc>
          <w:tcPr>
            <w:tcW w:w="0" w:type="dxa"/>
            <w:vAlign w:val="bottom"/>
          </w:tcPr>
          <w:p>
            <w:pPr>
              <w:spacing w:after="0"/>
              <w:rPr>
                <w:sz w:val="1"/>
                <w:szCs w:val="1"/>
                <w:color w:val="auto"/>
              </w:rPr>
            </w:pPr>
          </w:p>
        </w:tc>
      </w:tr>
      <w:tr>
        <w:trPr>
          <w:trHeight w:val="254"/>
        </w:trPr>
        <w:tc>
          <w:tcPr>
            <w:tcW w:w="2380" w:type="dxa"/>
            <w:vAlign w:val="bottom"/>
            <w:gridSpan w:val="3"/>
          </w:tcPr>
          <w:p>
            <w:pPr>
              <w:spacing w:after="0"/>
              <w:rPr>
                <w:sz w:val="20"/>
                <w:szCs w:val="20"/>
                <w:color w:val="auto"/>
              </w:rPr>
            </w:pPr>
            <w:r>
              <w:rPr>
                <w:rFonts w:ascii="Arial" w:cs="Arial" w:eastAsia="Arial" w:hAnsi="Arial"/>
                <w:sz w:val="16"/>
                <w:szCs w:val="16"/>
                <w:b w:val="1"/>
                <w:bCs w:val="1"/>
                <w:color w:val="auto"/>
              </w:rPr>
              <w:t>Selling Securityholder</w:t>
            </w:r>
          </w:p>
        </w:tc>
        <w:tc>
          <w:tcPr>
            <w:tcW w:w="1040" w:type="dxa"/>
            <w:vAlign w:val="bottom"/>
            <w:gridSpan w:val="2"/>
          </w:tcPr>
          <w:p>
            <w:pPr>
              <w:jc w:val="center"/>
              <w:ind w:right="140"/>
              <w:spacing w:after="0" w:line="253" w:lineRule="exact"/>
              <w:rPr>
                <w:sz w:val="20"/>
                <w:szCs w:val="20"/>
                <w:color w:val="auto"/>
              </w:rPr>
            </w:pPr>
            <w:r>
              <w:rPr>
                <w:rFonts w:ascii="Arial" w:cs="Arial" w:eastAsia="Arial" w:hAnsi="Arial"/>
                <w:sz w:val="16"/>
                <w:szCs w:val="16"/>
                <w:b w:val="1"/>
                <w:bCs w:val="1"/>
                <w:color w:val="auto"/>
                <w:w w:val="83"/>
              </w:rPr>
              <w:t>Stock</w:t>
            </w:r>
            <w:r>
              <w:rPr>
                <w:rFonts w:ascii="Arial" w:cs="Arial" w:eastAsia="Arial" w:hAnsi="Arial"/>
                <w:sz w:val="26"/>
                <w:szCs w:val="26"/>
                <w:b w:val="1"/>
                <w:bCs w:val="1"/>
                <w:color w:val="auto"/>
                <w:w w:val="83"/>
                <w:vertAlign w:val="superscript"/>
              </w:rPr>
              <w:t>(1)</w:t>
            </w:r>
          </w:p>
        </w:tc>
        <w:tc>
          <w:tcPr>
            <w:tcW w:w="11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7"/>
              </w:rPr>
              <w:t>Stock</w:t>
            </w:r>
          </w:p>
        </w:tc>
        <w:tc>
          <w:tcPr>
            <w:tcW w:w="10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5"/>
              </w:rPr>
              <w:t>Warrants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2240" w:type="dxa"/>
            <w:vAlign w:val="bottom"/>
          </w:tcPr>
          <w:p>
            <w:pPr>
              <w:spacing w:after="0" w:line="231" w:lineRule="exact"/>
              <w:rPr>
                <w:sz w:val="20"/>
                <w:szCs w:val="20"/>
                <w:color w:val="auto"/>
              </w:rPr>
            </w:pPr>
            <w:r>
              <w:rPr>
                <w:rFonts w:ascii="Arial" w:cs="Arial" w:eastAsia="Arial" w:hAnsi="Arial"/>
                <w:sz w:val="16"/>
                <w:szCs w:val="16"/>
                <w:color w:val="auto"/>
              </w:rPr>
              <w:t>Jay Lidell</w:t>
            </w:r>
            <w:r>
              <w:rPr>
                <w:rFonts w:ascii="Arial" w:cs="Arial" w:eastAsia="Arial" w:hAnsi="Arial"/>
                <w:sz w:val="26"/>
                <w:szCs w:val="26"/>
                <w:color w:val="auto"/>
                <w:vertAlign w:val="superscript"/>
              </w:rPr>
              <w:t>(3)</w:t>
            </w:r>
          </w:p>
        </w:tc>
        <w:tc>
          <w:tcPr>
            <w:tcW w:w="120" w:type="dxa"/>
            <w:vAlign w:val="bottom"/>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Jeff Jones</w:t>
            </w:r>
            <w:r>
              <w:rPr>
                <w:rFonts w:ascii="Arial" w:cs="Arial" w:eastAsia="Arial" w:hAnsi="Arial"/>
                <w:sz w:val="26"/>
                <w:szCs w:val="26"/>
                <w:color w:val="auto"/>
                <w:vertAlign w:val="superscript"/>
              </w:rPr>
              <w:t>(20)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Jefferies LLC</w:t>
            </w:r>
            <w:r>
              <w:rPr>
                <w:rFonts w:ascii="Arial" w:cs="Arial" w:eastAsia="Arial" w:hAnsi="Arial"/>
                <w:sz w:val="26"/>
                <w:szCs w:val="26"/>
                <w:color w:val="auto"/>
                <w:vertAlign w:val="superscript"/>
              </w:rPr>
              <w:t>(24)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Julie Atkinson</w:t>
            </w:r>
            <w:r>
              <w:rPr>
                <w:rFonts w:ascii="Arial" w:cs="Arial" w:eastAsia="Arial" w:hAnsi="Arial"/>
                <w:sz w:val="26"/>
                <w:szCs w:val="26"/>
                <w:color w:val="auto"/>
                <w:vertAlign w:val="superscript"/>
              </w:rPr>
              <w:t>(3)(35)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37,946</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10,495</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Kali Invest LLC</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w w:val="94"/>
              </w:rPr>
              <w:t>Kepos Alpha Master Fund L.P.</w:t>
            </w:r>
            <w:r>
              <w:rPr>
                <w:rFonts w:ascii="Arial" w:cs="Arial" w:eastAsia="Arial" w:hAnsi="Arial"/>
                <w:sz w:val="26"/>
                <w:szCs w:val="26"/>
                <w:color w:val="auto"/>
                <w:w w:val="94"/>
                <w:vertAlign w:val="superscript"/>
              </w:rPr>
              <w:t>(30)</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500,000</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260" w:type="dxa"/>
            <w:vAlign w:val="bottom"/>
            <w:gridSpan w:val="2"/>
          </w:tcPr>
          <w:p>
            <w:pPr>
              <w:ind w:left="160"/>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Kim Lopdrup</w:t>
            </w:r>
            <w:r>
              <w:rPr>
                <w:rFonts w:ascii="Arial" w:cs="Arial" w:eastAsia="Arial" w:hAnsi="Arial"/>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Lago Innovation</w:t>
            </w:r>
            <w:r>
              <w:rPr>
                <w:rFonts w:ascii="Arial" w:cs="Arial" w:eastAsia="Arial" w:hAnsi="Arial"/>
                <w:sz w:val="26"/>
                <w:szCs w:val="26"/>
                <w:color w:val="auto"/>
                <w:vertAlign w:val="superscript"/>
              </w:rPr>
              <w:t>(25)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156,233</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Matt Armstrong</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52,476</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Matt MacDonald</w:t>
            </w:r>
            <w:r>
              <w:rPr>
                <w:rFonts w:ascii="Arial" w:cs="Arial" w:eastAsia="Arial" w:hAnsi="Arial"/>
                <w:sz w:val="26"/>
                <w:szCs w:val="26"/>
                <w:color w:val="auto"/>
                <w:vertAlign w:val="superscript"/>
              </w:rPr>
              <w:t>(3)(11)(36)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1,036,253</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512,024</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Metropolitan Partners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gridSpan w:val="2"/>
          </w:tcPr>
          <w:p>
            <w:pPr>
              <w:ind w:left="140"/>
              <w:spacing w:after="0" w:line="242" w:lineRule="exact"/>
              <w:rPr>
                <w:sz w:val="20"/>
                <w:szCs w:val="20"/>
                <w:color w:val="auto"/>
              </w:rPr>
            </w:pPr>
            <w:r>
              <w:rPr>
                <w:rFonts w:ascii="Arial" w:cs="Arial" w:eastAsia="Arial" w:hAnsi="Arial"/>
                <w:sz w:val="16"/>
                <w:szCs w:val="16"/>
                <w:color w:val="auto"/>
              </w:rPr>
              <w:t>Group</w:t>
            </w:r>
            <w:r>
              <w:rPr>
                <w:rFonts w:ascii="Arial" w:cs="Arial" w:eastAsia="Arial" w:hAnsi="Arial"/>
                <w:sz w:val="26"/>
                <w:szCs w:val="26"/>
                <w:color w:val="auto"/>
                <w:vertAlign w:val="superscript"/>
              </w:rPr>
              <w:t>(22)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7,003,544</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12.1%</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w w:val="97"/>
              </w:rPr>
              <w:t>Monil Gandhi Personal Revocable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Trust</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12,500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Nadir Noorani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75,000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w w:val="99"/>
              </w:rPr>
              <w:t>Nexxus Capital Management Pte.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27"/>
                <w:szCs w:val="27"/>
                <w:color w:val="auto"/>
                <w:vertAlign w:val="subscript"/>
              </w:rPr>
              <w:t>Ltd.</w:t>
            </w:r>
            <w:r>
              <w:rPr>
                <w:rFonts w:ascii="Arial" w:cs="Arial" w:eastAsia="Arial" w:hAnsi="Arial"/>
                <w:sz w:val="12"/>
                <w:szCs w:val="12"/>
                <w:color w:val="auto"/>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42,029</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Paresh Doshi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Paul Liberman</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38,616</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26,238</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Prasad Phatak</w:t>
            </w:r>
            <w:r>
              <w:rPr>
                <w:rFonts w:ascii="Arial" w:cs="Arial" w:eastAsia="Arial" w:hAnsi="Arial"/>
                <w:sz w:val="26"/>
                <w:szCs w:val="26"/>
                <w:color w:val="auto"/>
                <w:vertAlign w:val="superscript"/>
              </w:rPr>
              <w:t>(3)(37)</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604,758</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415,154</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Rajat Suri</w:t>
            </w:r>
            <w:r>
              <w:rPr>
                <w:rFonts w:ascii="Arial" w:cs="Arial" w:eastAsia="Arial" w:hAnsi="Arial"/>
                <w:sz w:val="26"/>
                <w:szCs w:val="26"/>
                <w:color w:val="auto"/>
                <w:vertAlign w:val="superscript"/>
              </w:rPr>
              <w:t>(2)(15)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8,623,814</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14.9%</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Richard Hoon Thye Woei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28,926</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Robert Martin</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52,476</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Romulus Capital</w:t>
            </w:r>
            <w:r>
              <w:rPr>
                <w:rFonts w:ascii="Arial" w:cs="Arial" w:eastAsia="Arial" w:hAnsi="Arial"/>
                <w:sz w:val="26"/>
                <w:szCs w:val="26"/>
                <w:color w:val="auto"/>
                <w:vertAlign w:val="superscript"/>
              </w:rPr>
              <w:t>(9)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18,111,939</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31.3%</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Sasha Hoffman</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w w:val="97"/>
              </w:rPr>
              <w:t>Schechter Private Capital I, LLC –</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Series V</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1,932,773</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Shamsuddin Charania</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262,069</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Sheel Tyle</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Shehzaan Chunara</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87,500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Silver Rock Capital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Partners</w:t>
            </w:r>
            <w:r>
              <w:rPr>
                <w:rFonts w:ascii="Arial" w:cs="Arial" w:eastAsia="Arial" w:hAnsi="Arial"/>
                <w:sz w:val="26"/>
                <w:szCs w:val="26"/>
                <w:color w:val="auto"/>
                <w:vertAlign w:val="superscript"/>
              </w:rPr>
              <w:t>(10)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Tan Chin Nam</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13,926</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The Rebecca P. Samberg 2018</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revocable Trust</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409,640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Thomas P Botts</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115,848</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78,714</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Trinity Capital Fund II, L.P.,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gridSpan w:val="2"/>
          </w:tcPr>
          <w:p>
            <w:pPr>
              <w:ind w:left="140"/>
              <w:spacing w:after="0" w:line="242" w:lineRule="exact"/>
              <w:rPr>
                <w:sz w:val="20"/>
                <w:szCs w:val="20"/>
                <w:color w:val="auto"/>
              </w:rPr>
            </w:pPr>
            <w:r>
              <w:rPr>
                <w:rFonts w:ascii="Arial" w:cs="Arial" w:eastAsia="Arial" w:hAnsi="Arial"/>
                <w:sz w:val="28"/>
                <w:szCs w:val="28"/>
                <w:color w:val="auto"/>
                <w:vertAlign w:val="subscript"/>
              </w:rPr>
              <w:t>LLC</w:t>
            </w:r>
            <w:r>
              <w:rPr>
                <w:rFonts w:ascii="Arial" w:cs="Arial" w:eastAsia="Arial" w:hAnsi="Arial"/>
                <w:sz w:val="12"/>
                <w:szCs w:val="12"/>
                <w:color w:val="auto"/>
              </w:rPr>
              <w:t>(39)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573,660</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Ventoux Acquisition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Holdings LLC</w:t>
            </w:r>
            <w:r>
              <w:rPr>
                <w:rFonts w:ascii="Arial" w:cs="Arial" w:eastAsia="Arial" w:hAnsi="Arial"/>
                <w:sz w:val="26"/>
                <w:szCs w:val="26"/>
                <w:color w:val="auto"/>
                <w:vertAlign w:val="superscript"/>
              </w:rPr>
              <w:t>(3)(16)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288,925</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White &amp; Case LLP</w:t>
            </w:r>
            <w:r>
              <w:rPr>
                <w:rFonts w:ascii="Arial" w:cs="Arial" w:eastAsia="Arial" w:hAnsi="Arial"/>
                <w:sz w:val="26"/>
                <w:szCs w:val="26"/>
                <w:color w:val="auto"/>
                <w:vertAlign w:val="superscript"/>
              </w:rPr>
              <w:t>(12)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110,000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380" w:type="dxa"/>
            <w:vAlign w:val="bottom"/>
            <w:gridSpan w:val="3"/>
          </w:tcPr>
          <w:p>
            <w:pPr>
              <w:spacing w:after="0" w:line="241" w:lineRule="exact"/>
              <w:rPr>
                <w:sz w:val="20"/>
                <w:szCs w:val="20"/>
                <w:color w:val="auto"/>
              </w:rPr>
            </w:pPr>
            <w:r>
              <w:rPr>
                <w:rFonts w:ascii="Arial" w:cs="Arial" w:eastAsia="Arial" w:hAnsi="Arial"/>
                <w:sz w:val="16"/>
                <w:szCs w:val="16"/>
                <w:color w:val="auto"/>
              </w:rPr>
              <w:t>William (Bill) Healey</w:t>
            </w:r>
            <w:r>
              <w:rPr>
                <w:rFonts w:ascii="Arial" w:cs="Arial" w:eastAsia="Arial" w:hAnsi="Arial"/>
                <w:sz w:val="26"/>
                <w:szCs w:val="26"/>
                <w:color w:val="auto"/>
                <w:vertAlign w:val="superscript"/>
              </w:rPr>
              <w:t>(2)(26)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307,318</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3"/>
          </w:tcPr>
          <w:p>
            <w:pPr>
              <w:spacing w:after="0" w:line="242" w:lineRule="exact"/>
              <w:rPr>
                <w:sz w:val="20"/>
                <w:szCs w:val="20"/>
                <w:color w:val="auto"/>
              </w:rPr>
            </w:pPr>
            <w:r>
              <w:rPr>
                <w:rFonts w:ascii="Arial" w:cs="Arial" w:eastAsia="Arial" w:hAnsi="Arial"/>
                <w:sz w:val="16"/>
                <w:szCs w:val="16"/>
                <w:color w:val="auto"/>
              </w:rPr>
              <w:t>William Souillard-Mandar</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375,000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80" w:type="dxa"/>
            <w:vAlign w:val="bottom"/>
            <w:gridSpan w:val="3"/>
          </w:tcPr>
          <w:p>
            <w:pPr>
              <w:spacing w:after="0"/>
              <w:rPr>
                <w:sz w:val="20"/>
                <w:szCs w:val="20"/>
                <w:color w:val="auto"/>
              </w:rPr>
            </w:pPr>
            <w:r>
              <w:rPr>
                <w:rFonts w:ascii="Arial" w:cs="Arial" w:eastAsia="Arial" w:hAnsi="Arial"/>
                <w:sz w:val="16"/>
                <w:szCs w:val="16"/>
                <w:color w:val="auto"/>
              </w:rPr>
              <w:t>Wilton Trustees (IOM) Limited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gridSpan w:val="2"/>
          </w:tcPr>
          <w:p>
            <w:pPr>
              <w:ind w:left="140"/>
              <w:spacing w:after="0" w:line="241" w:lineRule="exact"/>
              <w:rPr>
                <w:sz w:val="20"/>
                <w:szCs w:val="20"/>
                <w:color w:val="auto"/>
              </w:rPr>
            </w:pPr>
            <w:r>
              <w:rPr>
                <w:rFonts w:ascii="Arial" w:cs="Arial" w:eastAsia="Arial" w:hAnsi="Arial"/>
                <w:sz w:val="16"/>
                <w:szCs w:val="16"/>
                <w:color w:val="auto"/>
              </w:rPr>
              <w:t>ATO Dalmia Trust</w:t>
            </w:r>
            <w:r>
              <w:rPr>
                <w:rFonts w:ascii="Arial" w:cs="Arial" w:eastAsia="Arial" w:hAnsi="Arial"/>
                <w:sz w:val="26"/>
                <w:szCs w:val="26"/>
                <w:color w:val="auto"/>
                <w:vertAlign w:val="superscript"/>
              </w:rPr>
              <w:t>(15)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1"/>
        </w:trPr>
        <w:tc>
          <w:tcPr>
            <w:tcW w:w="2380" w:type="dxa"/>
            <w:vAlign w:val="bottom"/>
            <w:gridSpan w:val="3"/>
          </w:tcPr>
          <w:p>
            <w:pPr>
              <w:spacing w:after="0"/>
              <w:rPr>
                <w:sz w:val="20"/>
                <w:szCs w:val="20"/>
                <w:color w:val="auto"/>
              </w:rPr>
            </w:pPr>
            <w:r>
              <w:rPr>
                <w:rFonts w:ascii="Arial" w:cs="Arial" w:eastAsia="Arial" w:hAnsi="Arial"/>
                <w:sz w:val="16"/>
                <w:szCs w:val="16"/>
                <w:color w:val="auto"/>
              </w:rPr>
              <w:t>Woolery &amp; Co PLLC</w:t>
            </w:r>
            <w:r>
              <w:rPr>
                <w:rFonts w:ascii="Arial" w:cs="Arial" w:eastAsia="Arial" w:hAnsi="Arial"/>
                <w:sz w:val="26"/>
                <w:szCs w:val="26"/>
                <w:color w:val="auto"/>
                <w:vertAlign w:val="superscript"/>
              </w:rPr>
              <w:t>(14)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15,000</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-7007860</wp:posOffset>
            </wp:positionV>
            <wp:extent cx="7133590" cy="161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33590" cy="161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-6692900</wp:posOffset>
            </wp:positionV>
            <wp:extent cx="7133590" cy="153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-6386830</wp:posOffset>
            </wp:positionV>
            <wp:extent cx="7133590" cy="153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-5960745</wp:posOffset>
            </wp:positionV>
            <wp:extent cx="7133590" cy="153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-5654675</wp:posOffset>
            </wp:positionV>
            <wp:extent cx="7133590" cy="153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-5347970</wp:posOffset>
            </wp:positionV>
            <wp:extent cx="7133590" cy="2806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-4785995</wp:posOffset>
            </wp:positionV>
            <wp:extent cx="7133590" cy="153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-4352290</wp:posOffset>
            </wp:positionV>
            <wp:extent cx="7133590" cy="153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-4045585</wp:posOffset>
            </wp:positionV>
            <wp:extent cx="7133590" cy="153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-3739515</wp:posOffset>
            </wp:positionV>
            <wp:extent cx="7133590" cy="153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-3432810</wp:posOffset>
            </wp:positionV>
            <wp:extent cx="7133590" cy="153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-3126105</wp:posOffset>
            </wp:positionV>
            <wp:extent cx="7133590" cy="2806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-2692400</wp:posOffset>
            </wp:positionV>
            <wp:extent cx="7133590" cy="153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-2385695</wp:posOffset>
            </wp:positionV>
            <wp:extent cx="7133590" cy="2806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-1951355</wp:posOffset>
            </wp:positionV>
            <wp:extent cx="7133590" cy="2806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-1517650</wp:posOffset>
            </wp:positionV>
            <wp:extent cx="7133590" cy="2806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33590" cy="280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-955675</wp:posOffset>
            </wp:positionV>
            <wp:extent cx="7133590" cy="153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-648970</wp:posOffset>
            </wp:positionV>
            <wp:extent cx="7133590" cy="153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-215265</wp:posOffset>
            </wp:positionV>
            <wp:extent cx="7133590" cy="153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90805</wp:posOffset>
            </wp:positionV>
            <wp:extent cx="17875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7"/>
                <w:szCs w:val="17"/>
                <w:color w:val="auto"/>
              </w:rPr>
            </w:pPr>
          </w:p>
        </w:tc>
        <w:tc>
          <w:tcPr>
            <w:tcW w:w="3140" w:type="dxa"/>
            <w:vAlign w:val="bottom"/>
            <w:gridSpan w:val="6"/>
            <w:vMerge w:val="restart"/>
          </w:tcPr>
          <w:p>
            <w:pPr>
              <w:jc w:val="center"/>
              <w:ind w:right="20"/>
              <w:spacing w:after="0"/>
              <w:rPr>
                <w:sz w:val="20"/>
                <w:szCs w:val="20"/>
                <w:color w:val="auto"/>
              </w:rPr>
            </w:pPr>
            <w:r>
              <w:rPr>
                <w:rFonts w:ascii="Arial" w:cs="Arial" w:eastAsia="Arial" w:hAnsi="Arial"/>
                <w:sz w:val="16"/>
                <w:szCs w:val="16"/>
                <w:b w:val="1"/>
                <w:bCs w:val="1"/>
                <w:color w:val="auto"/>
                <w:w w:val="93"/>
              </w:rPr>
              <w:t>Beneficially Owned After the Offering</w:t>
            </w:r>
          </w:p>
        </w:tc>
        <w:tc>
          <w:tcPr>
            <w:tcW w:w="0" w:type="dxa"/>
            <w:vAlign w:val="bottom"/>
          </w:tcPr>
          <w:p>
            <w:pPr>
              <w:spacing w:after="0"/>
              <w:rPr>
                <w:sz w:val="1"/>
                <w:szCs w:val="1"/>
                <w:color w:val="auto"/>
              </w:rPr>
            </w:pPr>
          </w:p>
        </w:tc>
      </w:tr>
      <w:tr>
        <w:trPr>
          <w:trHeight w:val="208"/>
        </w:trPr>
        <w:tc>
          <w:tcPr>
            <w:tcW w:w="11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7"/>
              </w:rPr>
              <w:t>Shares of</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Private</w:t>
            </w:r>
          </w:p>
        </w:tc>
        <w:tc>
          <w:tcPr>
            <w:tcW w:w="100" w:type="dxa"/>
            <w:vAlign w:val="bottom"/>
          </w:tcPr>
          <w:p>
            <w:pPr>
              <w:spacing w:after="0"/>
              <w:rPr>
                <w:sz w:val="18"/>
                <w:szCs w:val="18"/>
                <w:color w:val="auto"/>
              </w:rPr>
            </w:pPr>
          </w:p>
        </w:tc>
        <w:tc>
          <w:tcPr>
            <w:tcW w:w="31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Common</w:t>
            </w:r>
          </w:p>
        </w:tc>
        <w:tc>
          <w:tcPr>
            <w:tcW w:w="11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2"/>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Stock</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of</w:t>
            </w:r>
          </w:p>
        </w:tc>
        <w:tc>
          <w:tcPr>
            <w:tcW w:w="11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 of</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Private</w:t>
            </w:r>
          </w:p>
        </w:tc>
        <w:tc>
          <w:tcPr>
            <w:tcW w:w="0" w:type="dxa"/>
            <w:vAlign w:val="bottom"/>
          </w:tcPr>
          <w:p>
            <w:pPr>
              <w:spacing w:after="0"/>
              <w:rPr>
                <w:sz w:val="1"/>
                <w:szCs w:val="1"/>
                <w:color w:val="auto"/>
              </w:rPr>
            </w:pPr>
          </w:p>
        </w:tc>
      </w:tr>
      <w:tr>
        <w:trPr>
          <w:trHeight w:val="201"/>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Being</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Being</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1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Common</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Placement</w:t>
            </w:r>
          </w:p>
        </w:tc>
        <w:tc>
          <w:tcPr>
            <w:tcW w:w="0" w:type="dxa"/>
            <w:vAlign w:val="bottom"/>
          </w:tcPr>
          <w:p>
            <w:pPr>
              <w:spacing w:after="0"/>
              <w:rPr>
                <w:sz w:val="1"/>
                <w:szCs w:val="1"/>
                <w:color w:val="auto"/>
              </w:rPr>
            </w:pPr>
          </w:p>
        </w:tc>
      </w:tr>
      <w:tr>
        <w:trPr>
          <w:trHeight w:val="222"/>
        </w:trPr>
        <w:tc>
          <w:tcPr>
            <w:tcW w:w="98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94"/>
              </w:rPr>
              <w:t>Offered</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94"/>
              </w:rPr>
              <w:t>Offered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9"/>
                <w:szCs w:val="19"/>
                <w:color w:val="auto"/>
              </w:rPr>
            </w:pPr>
          </w:p>
        </w:tc>
        <w:tc>
          <w:tcPr>
            <w:tcW w:w="10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5"/>
              </w:rPr>
              <w:t>Warrants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80" w:type="dxa"/>
            <w:vAlign w:val="bottom"/>
          </w:tcPr>
          <w:p>
            <w:pPr>
              <w:jc w:val="right"/>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37,946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29"/>
        </w:trPr>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156,233</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77,232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747,328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7,003</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12,500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39,529</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38,616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26,238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604,758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415,154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4,386,655</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8,926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77,232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18,111,939</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1,432,773</w:t>
            </w: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87,500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174,569</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87,500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8,926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284,640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115,848</w:t>
            </w:r>
          </w:p>
        </w:tc>
        <w:tc>
          <w:tcPr>
            <w:tcW w:w="980" w:type="dxa"/>
            <w:vAlign w:val="bottom"/>
          </w:tcPr>
          <w:p>
            <w:pPr>
              <w:jc w:val="right"/>
              <w:spacing w:after="0"/>
              <w:rPr>
                <w:sz w:val="20"/>
                <w:szCs w:val="20"/>
                <w:color w:val="auto"/>
              </w:rPr>
            </w:pPr>
            <w:r>
              <w:rPr>
                <w:rFonts w:ascii="Arial" w:cs="Arial" w:eastAsia="Arial" w:hAnsi="Arial"/>
                <w:sz w:val="16"/>
                <w:szCs w:val="16"/>
                <w:color w:val="auto"/>
              </w:rPr>
              <w:t>78,714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288,925</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288,925</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110,000</w:t>
            </w: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307,318</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375,000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2"/>
        </w:trPr>
        <w:tc>
          <w:tcPr>
            <w:tcW w:w="98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1"/>
        </w:trPr>
        <w:tc>
          <w:tcPr>
            <w:tcW w:w="98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8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73" w:lineRule="exact"/>
        <w:rPr>
          <w:sz w:val="20"/>
          <w:szCs w:val="20"/>
          <w:color w:val="auto"/>
        </w:rPr>
      </w:pPr>
    </w:p>
    <w:p>
      <w:pPr>
        <w:sectPr>
          <w:pgSz w:w="11900" w:h="16838" w:orient="portrait"/>
          <w:cols w:equalWidth="0" w:num="2">
            <w:col w:w="5620" w:space="100"/>
            <w:col w:w="5520"/>
          </w:cols>
          <w:pgMar w:left="320" w:top="890" w:right="339" w:bottom="1440" w:gutter="0" w:footer="0" w:header="0"/>
        </w:sectPr>
      </w:pPr>
    </w:p>
    <w:p>
      <w:pPr>
        <w:ind w:left="660" w:hanging="65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beneficial ownership of less than 1%.</w:t>
      </w:r>
    </w:p>
    <w:p>
      <w:pPr>
        <w:spacing w:after="0" w:line="249" w:lineRule="exact"/>
        <w:rPr>
          <w:sz w:val="20"/>
          <w:szCs w:val="20"/>
          <w:color w:val="auto"/>
        </w:rPr>
      </w:pPr>
    </w:p>
    <w:p>
      <w:pPr>
        <w:ind w:left="660" w:hanging="653"/>
        <w:spacing w:after="0" w:line="27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such number of shares of Presto Common Stock underlying the Private Placement Warrants, Financing Warrants, Trinity Warrants and penny warrants registered hereby as such warrants are currently exercisable.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48" w:name="page49"/>
    <w:bookmarkEnd w:id="48"/>
    <w:p>
      <w:pPr>
        <w:ind w:left="660" w:hanging="653"/>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Unless otherwise noted, the business address of these securityholders is c/o Presto Automation Inc., 985 Industrial Road, San Carlos, CA 94070.</w:t>
      </w:r>
    </w:p>
    <w:p>
      <w:pPr>
        <w:spacing w:after="0" w:line="271" w:lineRule="exact"/>
        <w:rPr>
          <w:rFonts w:ascii="Arial" w:cs="Arial" w:eastAsia="Arial" w:hAnsi="Arial"/>
          <w:sz w:val="16"/>
          <w:szCs w:val="16"/>
          <w:color w:val="auto"/>
        </w:rPr>
      </w:pPr>
    </w:p>
    <w:p>
      <w:pPr>
        <w:ind w:left="660" w:hanging="653"/>
        <w:spacing w:after="0" w:line="27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business address of each of these securityholders is c/o Ventoux Acquisition Holdings LLC, 1 East Putnam Avenue, Floor 4, Greenwich, CT 06830.</w:t>
      </w:r>
    </w:p>
    <w:p>
      <w:pPr>
        <w:spacing w:after="0" w:line="201" w:lineRule="exact"/>
        <w:rPr>
          <w:rFonts w:ascii="Arial" w:cs="Arial" w:eastAsia="Arial" w:hAnsi="Arial"/>
          <w:sz w:val="18"/>
          <w:szCs w:val="18"/>
          <w:color w:val="auto"/>
        </w:rPr>
      </w:pPr>
    </w:p>
    <w:p>
      <w:pPr>
        <w:ind w:left="660" w:hanging="65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business address of Acadia Woods Partners, LLC is c/o Hawkes Financial LLC, 77 Bedford Road, Katonah, NY 10536.</w:t>
      </w:r>
    </w:p>
    <w:p>
      <w:pPr>
        <w:spacing w:after="0" w:line="248" w:lineRule="exact"/>
        <w:rPr>
          <w:rFonts w:ascii="Arial" w:cs="Arial" w:eastAsia="Arial" w:hAnsi="Arial"/>
          <w:sz w:val="18"/>
          <w:szCs w:val="18"/>
          <w:color w:val="auto"/>
        </w:rPr>
      </w:pPr>
    </w:p>
    <w:p>
      <w:pPr>
        <w:ind w:left="660" w:hanging="65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business address of Aloha Partners, LLC is c/o Hawkes Financial LLC 77 Bedford Road, Omaha, NE 68127.</w:t>
      </w:r>
    </w:p>
    <w:p>
      <w:pPr>
        <w:spacing w:after="0" w:line="248" w:lineRule="exact"/>
        <w:rPr>
          <w:rFonts w:ascii="Arial" w:cs="Arial" w:eastAsia="Arial" w:hAnsi="Arial"/>
          <w:sz w:val="18"/>
          <w:szCs w:val="18"/>
          <w:color w:val="auto"/>
        </w:rPr>
      </w:pPr>
    </w:p>
    <w:p>
      <w:pPr>
        <w:jc w:val="both"/>
        <w:ind w:left="660" w:hanging="653"/>
        <w:spacing w:after="0" w:line="298"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p>
      <w:pPr>
        <w:spacing w:after="0" w:line="185" w:lineRule="exact"/>
        <w:rPr>
          <w:rFonts w:ascii="Arial" w:cs="Arial" w:eastAsia="Arial" w:hAnsi="Arial"/>
          <w:sz w:val="16"/>
          <w:szCs w:val="16"/>
          <w:color w:val="auto"/>
        </w:rPr>
      </w:pPr>
    </w:p>
    <w:p>
      <w:pPr>
        <w:ind w:left="660" w:hanging="65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business address of Cabbaj Capital Ltd. is Georgiou Katsounotou, 6, 3026, Limassol, Cyprus.</w:t>
      </w:r>
    </w:p>
    <w:p>
      <w:pPr>
        <w:spacing w:after="0" w:line="248" w:lineRule="exact"/>
        <w:rPr>
          <w:rFonts w:ascii="Arial" w:cs="Arial" w:eastAsia="Arial" w:hAnsi="Arial"/>
          <w:sz w:val="18"/>
          <w:szCs w:val="18"/>
          <w:color w:val="auto"/>
        </w:rPr>
      </w:pPr>
    </w:p>
    <w:p>
      <w:pPr>
        <w:jc w:val="both"/>
        <w:ind w:left="660" w:hanging="653"/>
        <w:spacing w:after="0" w:line="289"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191" w:lineRule="exact"/>
        <w:rPr>
          <w:rFonts w:ascii="Arial" w:cs="Arial" w:eastAsia="Arial" w:hAnsi="Arial"/>
          <w:sz w:val="16"/>
          <w:szCs w:val="16"/>
          <w:color w:val="auto"/>
        </w:rPr>
      </w:pPr>
    </w:p>
    <w:p>
      <w:pPr>
        <w:jc w:val="both"/>
        <w:ind w:left="660" w:hanging="653"/>
        <w:spacing w:after="0" w:line="283"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p>
      <w:pPr>
        <w:spacing w:after="0" w:line="199" w:lineRule="exact"/>
        <w:rPr>
          <w:rFonts w:ascii="Arial" w:cs="Arial" w:eastAsia="Arial" w:hAnsi="Arial"/>
          <w:sz w:val="16"/>
          <w:szCs w:val="16"/>
          <w:color w:val="auto"/>
        </w:rPr>
      </w:pPr>
    </w:p>
    <w:p>
      <w:pPr>
        <w:jc w:val="both"/>
        <w:ind w:left="660" w:hanging="653"/>
        <w:spacing w:after="0" w:line="2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spacing w:after="0" w:line="212" w:lineRule="exact"/>
        <w:rPr>
          <w:rFonts w:ascii="Arial" w:cs="Arial" w:eastAsia="Arial" w:hAnsi="Arial"/>
          <w:sz w:val="18"/>
          <w:szCs w:val="18"/>
          <w:color w:val="auto"/>
        </w:rPr>
      </w:pPr>
    </w:p>
    <w:p>
      <w:pPr>
        <w:ind w:left="660" w:right="20" w:hanging="653"/>
        <w:spacing w:after="0" w:line="302"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shares owned by Ventoux Acquisition Holdings LLC, for which Edward Scheetz and Matt MacDonald are the managing members and have voting and/or dispositive powers with respect to such shares. Edward Sheetz currently serves as a director of the Company.</w:t>
      </w:r>
    </w:p>
    <w:p>
      <w:pPr>
        <w:spacing w:after="0" w:line="178" w:lineRule="exact"/>
        <w:rPr>
          <w:rFonts w:ascii="Arial" w:cs="Arial" w:eastAsia="Arial" w:hAnsi="Arial"/>
          <w:sz w:val="17"/>
          <w:szCs w:val="17"/>
          <w:color w:val="auto"/>
        </w:rPr>
      </w:pPr>
    </w:p>
    <w:p>
      <w:pPr>
        <w:ind w:left="660" w:hanging="653"/>
        <w:spacing w:after="0" w:line="27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business address of White &amp; Case LLP is 1221 Avenue of the Americas New York, NY 10020. White &amp; Case LLP served as counsel to Legacy Presto in connection with the Business Combination.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49" w:name="page50"/>
    <w:bookmarkEnd w:id="49"/>
    <w:p>
      <w:pPr>
        <w:ind w:left="660" w:hanging="653"/>
        <w:spacing w:after="0" w:line="27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business address of Dentons US LLP is 233 South Wacker Drive, Suite 5900, Chicago, IL 60606. Dentons US LLP served as co-counsel to VTAQ in connection with the Business Combination.</w:t>
      </w:r>
    </w:p>
    <w:p>
      <w:pPr>
        <w:spacing w:after="0" w:line="204" w:lineRule="exact"/>
        <w:rPr>
          <w:rFonts w:ascii="Arial" w:cs="Arial" w:eastAsia="Arial" w:hAnsi="Arial"/>
          <w:sz w:val="18"/>
          <w:szCs w:val="18"/>
          <w:color w:val="auto"/>
        </w:rPr>
      </w:pPr>
    </w:p>
    <w:p>
      <w:pPr>
        <w:ind w:left="660" w:hanging="653"/>
        <w:spacing w:after="0" w:line="184" w:lineRule="auto"/>
        <w:tabs>
          <w:tab w:leader="none" w:pos="660" w:val="left"/>
        </w:tabs>
        <w:numPr>
          <w:ilvl w:val="0"/>
          <w:numId w:val="32"/>
        </w:numPr>
        <w:rPr>
          <w:rFonts w:ascii="Arial" w:cs="Arial" w:eastAsia="Arial" w:hAnsi="Arial"/>
          <w:sz w:val="36"/>
          <w:szCs w:val="36"/>
          <w:color w:val="auto"/>
          <w:vertAlign w:val="superscript"/>
        </w:rPr>
      </w:pPr>
      <w:r>
        <w:rPr>
          <w:rFonts w:ascii="Arial" w:cs="Arial" w:eastAsia="Arial" w:hAnsi="Arial"/>
          <w:sz w:val="18"/>
          <w:szCs w:val="18"/>
          <w:color w:val="auto"/>
        </w:rPr>
        <w:t>The business address of Woolery &amp; Co. PLLC is 1 Pier 76, 408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 New York, NY 10018. Woolery &amp; Co. PLLC served as co-counsel to VTAQ in connection with the Business Combination.</w:t>
      </w:r>
    </w:p>
    <w:p>
      <w:pPr>
        <w:spacing w:after="0" w:line="230" w:lineRule="exact"/>
        <w:rPr>
          <w:rFonts w:ascii="Arial" w:cs="Arial" w:eastAsia="Arial" w:hAnsi="Arial"/>
          <w:sz w:val="36"/>
          <w:szCs w:val="36"/>
          <w:color w:val="auto"/>
          <w:vertAlign w:val="superscript"/>
        </w:rPr>
      </w:pPr>
    </w:p>
    <w:p>
      <w:pPr>
        <w:jc w:val="both"/>
        <w:ind w:left="660" w:hanging="653"/>
        <w:spacing w:after="0" w:line="25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spacing w:after="0" w:line="218" w:lineRule="exact"/>
        <w:rPr>
          <w:rFonts w:ascii="Arial" w:cs="Arial" w:eastAsia="Arial" w:hAnsi="Arial"/>
          <w:sz w:val="18"/>
          <w:szCs w:val="18"/>
          <w:color w:val="auto"/>
        </w:rPr>
      </w:pPr>
    </w:p>
    <w:p>
      <w:pPr>
        <w:ind w:left="660" w:hanging="653"/>
        <w:spacing w:after="0" w:line="27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288,925 shares of Presto Common Stock that are subject to vesting based upon achievement of certain stock price thresholds in accordance with the terms of the Merger Agreement. VTAQ was the corporate predecessor of the Company.</w:t>
      </w:r>
    </w:p>
    <w:p>
      <w:pPr>
        <w:spacing w:after="0" w:line="201" w:lineRule="exact"/>
        <w:rPr>
          <w:rFonts w:ascii="Arial" w:cs="Arial" w:eastAsia="Arial" w:hAnsi="Arial"/>
          <w:sz w:val="18"/>
          <w:szCs w:val="18"/>
          <w:color w:val="auto"/>
        </w:rPr>
      </w:pPr>
    </w:p>
    <w:p>
      <w:pPr>
        <w:ind w:left="660" w:hanging="653"/>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business address of Cindat USA LLC is Beijing Yintai Center, Tower C, Suite 5101, 2 Jianwai Avenue, Beijing 100022, PRC.</w:t>
      </w:r>
    </w:p>
    <w:p>
      <w:pPr>
        <w:spacing w:after="0" w:line="248" w:lineRule="exact"/>
        <w:rPr>
          <w:rFonts w:ascii="Arial" w:cs="Arial" w:eastAsia="Arial" w:hAnsi="Arial"/>
          <w:sz w:val="18"/>
          <w:szCs w:val="18"/>
          <w:color w:val="auto"/>
        </w:rPr>
      </w:pPr>
    </w:p>
    <w:p>
      <w:pPr>
        <w:ind w:left="660" w:hanging="653"/>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business address of Greg Flynn is 225 Bush Street, Suite 1800, San Francisco, CA 94104.</w:t>
      </w:r>
    </w:p>
    <w:p>
      <w:pPr>
        <w:spacing w:after="0" w:line="226" w:lineRule="exact"/>
        <w:rPr>
          <w:rFonts w:ascii="Arial" w:cs="Arial" w:eastAsia="Arial" w:hAnsi="Arial"/>
          <w:sz w:val="18"/>
          <w:szCs w:val="18"/>
          <w:color w:val="auto"/>
        </w:rPr>
      </w:pPr>
    </w:p>
    <w:p>
      <w:pPr>
        <w:ind w:left="660" w:hanging="653"/>
        <w:spacing w:after="0"/>
        <w:tabs>
          <w:tab w:leader="none" w:pos="660" w:val="left"/>
        </w:tabs>
        <w:numPr>
          <w:ilvl w:val="0"/>
          <w:numId w:val="32"/>
        </w:numPr>
        <w:rPr>
          <w:rFonts w:ascii="Arial" w:cs="Arial" w:eastAsia="Arial" w:hAnsi="Arial"/>
          <w:sz w:val="36"/>
          <w:szCs w:val="36"/>
          <w:color w:val="auto"/>
          <w:vertAlign w:val="superscript"/>
        </w:rPr>
      </w:pPr>
      <w:r>
        <w:rPr>
          <w:rFonts w:ascii="Arial" w:cs="Arial" w:eastAsia="Arial" w:hAnsi="Arial"/>
          <w:sz w:val="18"/>
          <w:szCs w:val="18"/>
          <w:color w:val="auto"/>
        </w:rPr>
        <w:t>The business address of HighSage Ventures, LLC is 200 Clarendon Street, 59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04" w:lineRule="exact"/>
        <w:rPr>
          <w:rFonts w:ascii="Arial" w:cs="Arial" w:eastAsia="Arial" w:hAnsi="Arial"/>
          <w:sz w:val="36"/>
          <w:szCs w:val="36"/>
          <w:color w:val="auto"/>
          <w:vertAlign w:val="superscript"/>
        </w:rPr>
      </w:pPr>
    </w:p>
    <w:p>
      <w:pPr>
        <w:ind w:left="660" w:hanging="653"/>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business address of Jeff Jones is 1180 NW Maple St Ste 105, Issaquah, WA 98027.</w:t>
      </w:r>
    </w:p>
    <w:p>
      <w:pPr>
        <w:spacing w:after="0" w:line="248" w:lineRule="exact"/>
        <w:rPr>
          <w:rFonts w:ascii="Arial" w:cs="Arial" w:eastAsia="Arial" w:hAnsi="Arial"/>
          <w:sz w:val="18"/>
          <w:szCs w:val="18"/>
          <w:color w:val="auto"/>
        </w:rPr>
      </w:pPr>
    </w:p>
    <w:p>
      <w:pPr>
        <w:jc w:val="both"/>
        <w:ind w:left="660" w:hanging="653"/>
        <w:spacing w:after="0" w:line="22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New York 10022. Mr. Bergstrom disclaims beneficial ownership of shares held by CEOF. CEOF is a lender under the Credit Agreement.</w:t>
      </w:r>
    </w:p>
    <w:p>
      <w:pPr>
        <w:spacing w:after="0" w:line="228" w:lineRule="exact"/>
        <w:rPr>
          <w:rFonts w:ascii="Arial" w:cs="Arial" w:eastAsia="Arial" w:hAnsi="Arial"/>
          <w:sz w:val="18"/>
          <w:szCs w:val="18"/>
          <w:color w:val="auto"/>
        </w:rPr>
      </w:pPr>
    </w:p>
    <w:p>
      <w:pPr>
        <w:jc w:val="both"/>
        <w:ind w:left="660" w:hanging="653"/>
        <w:spacing w:after="0" w:line="249"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10022. Metropolitan Levered Partners Fund VII, LP, Metropolitan Partners Fund VII, LP, Metropolitan Offshore Partners Fund VII, LP are lenders under the Credit Agreement.</w:t>
      </w:r>
    </w:p>
    <w:p>
      <w:pPr>
        <w:spacing w:after="0" w:line="220" w:lineRule="exact"/>
        <w:rPr>
          <w:rFonts w:ascii="Arial" w:cs="Arial" w:eastAsia="Arial" w:hAnsi="Arial"/>
          <w:sz w:val="17"/>
          <w:szCs w:val="17"/>
          <w:color w:val="auto"/>
        </w:rPr>
      </w:pPr>
    </w:p>
    <w:p>
      <w:pPr>
        <w:jc w:val="both"/>
        <w:ind w:left="660" w:hanging="653"/>
        <w:spacing w:after="0" w:line="269"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Floor, New York, NY 10004. Chardan Capital Markets, LLC served as an advisor to Legacy Presto in connection with the Business Combination</w:t>
      </w:r>
    </w:p>
    <w:p>
      <w:pPr>
        <w:spacing w:after="0" w:line="197" w:lineRule="exact"/>
        <w:rPr>
          <w:rFonts w:ascii="Arial" w:cs="Arial" w:eastAsia="Arial" w:hAnsi="Arial"/>
          <w:sz w:val="16"/>
          <w:szCs w:val="16"/>
          <w:color w:val="auto"/>
        </w:rPr>
      </w:pPr>
    </w:p>
    <w:p>
      <w:pPr>
        <w:ind w:left="660" w:hanging="653"/>
        <w:spacing w:after="0" w:line="184" w:lineRule="auto"/>
        <w:tabs>
          <w:tab w:leader="none" w:pos="660" w:val="left"/>
        </w:tabs>
        <w:numPr>
          <w:ilvl w:val="0"/>
          <w:numId w:val="32"/>
        </w:numPr>
        <w:rPr>
          <w:rFonts w:ascii="Arial" w:cs="Arial" w:eastAsia="Arial" w:hAnsi="Arial"/>
          <w:sz w:val="36"/>
          <w:szCs w:val="36"/>
          <w:color w:val="auto"/>
          <w:vertAlign w:val="superscript"/>
        </w:rPr>
      </w:pPr>
      <w:r>
        <w:rPr>
          <w:rFonts w:ascii="Arial" w:cs="Arial" w:eastAsia="Arial" w:hAnsi="Arial"/>
          <w:sz w:val="18"/>
          <w:szCs w:val="18"/>
          <w:color w:val="auto"/>
        </w:rPr>
        <w:t>The business address of Jefferies LLC is 520 Madison Avenue,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10022. Jefferies LLC served as financial advisor to Legacy Presto in connection with the Business Combination.</w:t>
      </w:r>
    </w:p>
    <w:p>
      <w:pPr>
        <w:spacing w:after="0" w:line="230" w:lineRule="exact"/>
        <w:rPr>
          <w:rFonts w:ascii="Arial" w:cs="Arial" w:eastAsia="Arial" w:hAnsi="Arial"/>
          <w:sz w:val="36"/>
          <w:szCs w:val="36"/>
          <w:color w:val="auto"/>
          <w:vertAlign w:val="superscript"/>
        </w:rPr>
      </w:pPr>
    </w:p>
    <w:p>
      <w:pPr>
        <w:jc w:val="both"/>
        <w:ind w:left="660" w:hanging="653"/>
        <w:spacing w:after="0" w:line="307"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spacing w:after="0" w:line="178" w:lineRule="exact"/>
        <w:rPr>
          <w:rFonts w:ascii="Arial" w:cs="Arial" w:eastAsia="Arial" w:hAnsi="Arial"/>
          <w:sz w:val="16"/>
          <w:szCs w:val="16"/>
          <w:color w:val="auto"/>
        </w:rPr>
      </w:pPr>
    </w:p>
    <w:p>
      <w:pPr>
        <w:ind w:left="660" w:right="20" w:hanging="653"/>
        <w:spacing w:after="0" w:line="27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266,822 Earnout Shares that may be issued from time to time upon achievement of certain stock price thresholds in accordance with the terms of the Merger Agreement.</w:t>
      </w:r>
    </w:p>
    <w:p>
      <w:pPr>
        <w:spacing w:after="0" w:line="201" w:lineRule="exact"/>
        <w:rPr>
          <w:rFonts w:ascii="Arial" w:cs="Arial" w:eastAsia="Arial" w:hAnsi="Arial"/>
          <w:sz w:val="18"/>
          <w:szCs w:val="18"/>
          <w:color w:val="auto"/>
        </w:rPr>
      </w:pPr>
    </w:p>
    <w:p>
      <w:pPr>
        <w:ind w:left="660" w:hanging="653"/>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business address of Wilton Trustees (IOM) Limited ATO Dalmia Trust is Grosvenor House 66-67 Athol Street, Isle of Man IM1 IJE.</w:t>
      </w:r>
    </w:p>
    <w:p>
      <w:pPr>
        <w:spacing w:after="0" w:line="260" w:lineRule="exact"/>
        <w:rPr>
          <w:rFonts w:ascii="Arial" w:cs="Arial" w:eastAsia="Arial" w:hAnsi="Arial"/>
          <w:sz w:val="17"/>
          <w:szCs w:val="17"/>
          <w:color w:val="auto"/>
        </w:rPr>
      </w:pPr>
    </w:p>
    <w:p>
      <w:pPr>
        <w:ind w:left="660" w:hanging="653"/>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business address of Cosme Fagundo is 711 Calle Artis San Jose, CA 95131.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50" w:name="page51"/>
    <w:bookmarkEnd w:id="50"/>
    <w:p>
      <w:pPr>
        <w:jc w:val="both"/>
        <w:ind w:left="660" w:hanging="653"/>
        <w:spacing w:after="0" w:line="25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pacing w:after="0" w:line="219" w:lineRule="exact"/>
        <w:rPr>
          <w:rFonts w:ascii="Arial" w:cs="Arial" w:eastAsia="Arial" w:hAnsi="Arial"/>
          <w:sz w:val="18"/>
          <w:szCs w:val="18"/>
          <w:color w:val="auto"/>
        </w:rPr>
      </w:pPr>
    </w:p>
    <w:p>
      <w:pPr>
        <w:ind w:left="660" w:right="20" w:hanging="653"/>
        <w:spacing w:after="0" w:line="27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otherwise noted, the shares of Common Stock to be sold pursuant to this prospectus represent June 2023 PIPE Shares held by the securityholders.</w:t>
      </w:r>
    </w:p>
    <w:p>
      <w:pPr>
        <w:spacing w:after="0" w:line="201" w:lineRule="exact"/>
        <w:rPr>
          <w:rFonts w:ascii="Arial" w:cs="Arial" w:eastAsia="Arial" w:hAnsi="Arial"/>
          <w:sz w:val="18"/>
          <w:szCs w:val="18"/>
          <w:color w:val="auto"/>
        </w:rPr>
      </w:pPr>
    </w:p>
    <w:p>
      <w:pPr>
        <w:jc w:val="both"/>
        <w:ind w:left="660" w:hanging="653"/>
        <w:spacing w:after="0" w:line="273"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10036.</w:t>
      </w:r>
    </w:p>
    <w:p>
      <w:pPr>
        <w:spacing w:after="0" w:line="82" w:lineRule="exact"/>
        <w:rPr>
          <w:rFonts w:ascii="Arial" w:cs="Arial" w:eastAsia="Arial" w:hAnsi="Arial"/>
          <w:sz w:val="17"/>
          <w:szCs w:val="17"/>
          <w:color w:val="auto"/>
        </w:rPr>
      </w:pPr>
    </w:p>
    <w:p>
      <w:pPr>
        <w:jc w:val="both"/>
        <w:ind w:left="660" w:hanging="653"/>
        <w:spacing w:after="0" w:line="26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212" w:lineRule="exact"/>
        <w:rPr>
          <w:rFonts w:ascii="Arial" w:cs="Arial" w:eastAsia="Arial" w:hAnsi="Arial"/>
          <w:sz w:val="18"/>
          <w:szCs w:val="18"/>
          <w:color w:val="auto"/>
        </w:rPr>
      </w:pPr>
    </w:p>
    <w:p>
      <w:pPr>
        <w:jc w:val="both"/>
        <w:ind w:left="660" w:hanging="653"/>
        <w:spacing w:after="0" w:line="25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8" w:lineRule="exact"/>
        <w:rPr>
          <w:rFonts w:ascii="Arial" w:cs="Arial" w:eastAsia="Arial" w:hAnsi="Arial"/>
          <w:sz w:val="18"/>
          <w:szCs w:val="18"/>
          <w:color w:val="auto"/>
        </w:rPr>
      </w:pPr>
    </w:p>
    <w:p>
      <w:pPr>
        <w:ind w:left="660" w:hanging="653"/>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Prior to the Business Combination, Brock Strasbourger was the Chief Operating Officer of the Company’s corporate predecessor, VTAQ.</w:t>
      </w:r>
    </w:p>
    <w:p>
      <w:pPr>
        <w:spacing w:after="0" w:line="260" w:lineRule="exact"/>
        <w:rPr>
          <w:rFonts w:ascii="Arial" w:cs="Arial" w:eastAsia="Arial" w:hAnsi="Arial"/>
          <w:sz w:val="17"/>
          <w:szCs w:val="17"/>
          <w:color w:val="auto"/>
        </w:rPr>
      </w:pPr>
    </w:p>
    <w:p>
      <w:pPr>
        <w:ind w:left="660" w:hanging="65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the Business Combination, Julie Atkinson was a director of the Company’s corporate predecessor, VTAQ.</w:t>
      </w:r>
    </w:p>
    <w:p>
      <w:pPr>
        <w:spacing w:after="0" w:line="248" w:lineRule="exact"/>
        <w:rPr>
          <w:rFonts w:ascii="Arial" w:cs="Arial" w:eastAsia="Arial" w:hAnsi="Arial"/>
          <w:sz w:val="18"/>
          <w:szCs w:val="18"/>
          <w:color w:val="auto"/>
        </w:rPr>
      </w:pPr>
    </w:p>
    <w:p>
      <w:pPr>
        <w:ind w:left="660" w:right="20" w:hanging="653"/>
        <w:spacing w:after="0" w:line="27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the Business Combination, Matt MacDonald was the Chief Financial Officer, Secretary, and a director of the Company’s corporate predecessor, VTAQ.</w:t>
      </w:r>
    </w:p>
    <w:p>
      <w:pPr>
        <w:spacing w:after="0" w:line="201" w:lineRule="exact"/>
        <w:rPr>
          <w:rFonts w:ascii="Arial" w:cs="Arial" w:eastAsia="Arial" w:hAnsi="Arial"/>
          <w:sz w:val="18"/>
          <w:szCs w:val="18"/>
          <w:color w:val="auto"/>
        </w:rPr>
      </w:pPr>
    </w:p>
    <w:p>
      <w:pPr>
        <w:ind w:left="660" w:hanging="653"/>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Prior to the Business Combination, Prasad Phatak was the Chief Investment Officer of the Company’s corporate predecessor, VTAQ.</w:t>
      </w:r>
    </w:p>
    <w:p>
      <w:pPr>
        <w:spacing w:after="0" w:line="260" w:lineRule="exact"/>
        <w:rPr>
          <w:rFonts w:ascii="Arial" w:cs="Arial" w:eastAsia="Arial" w:hAnsi="Arial"/>
          <w:sz w:val="17"/>
          <w:szCs w:val="17"/>
          <w:color w:val="auto"/>
        </w:rPr>
      </w:pPr>
    </w:p>
    <w:p>
      <w:pPr>
        <w:ind w:left="660" w:hanging="65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the Business Combination, Chris Ahrens was a director of the Company’s corporate predecessor, VTAQ.</w:t>
      </w:r>
    </w:p>
    <w:p>
      <w:pPr>
        <w:spacing w:after="0" w:line="221" w:lineRule="exact"/>
        <w:rPr>
          <w:rFonts w:ascii="Arial" w:cs="Arial" w:eastAsia="Arial" w:hAnsi="Arial"/>
          <w:sz w:val="18"/>
          <w:szCs w:val="18"/>
          <w:color w:val="auto"/>
        </w:rPr>
      </w:pPr>
    </w:p>
    <w:p>
      <w:pPr>
        <w:ind w:left="660" w:hanging="65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business address of Trinity Capital Fund II, L.P., LLC is 2121 West Chandler Boulevard, Suite 103, Chandler, Arizona 85224.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spacing w:after="0" w:line="15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of the proceeds from the sale of the securities by the Selling Securityholders.</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spacing w:after="0" w:line="180"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Subject to the limitations set forth in any applicable registration rights agreement, we and the Selling Securityholders may use any one or more of the following methods when selling the securities offered by this prospectus:</w:t>
      </w:r>
    </w:p>
    <w:p>
      <w:pPr>
        <w:spacing w:after="0" w:line="174" w:lineRule="exact"/>
        <w:rPr>
          <w:sz w:val="20"/>
          <w:szCs w:val="20"/>
          <w:color w:val="auto"/>
        </w:rPr>
      </w:pPr>
    </w:p>
    <w:p>
      <w:pPr>
        <w:ind w:left="980" w:hanging="651"/>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1" w:lineRule="exact"/>
        <w:rPr>
          <w:rFonts w:ascii="Arial" w:cs="Arial" w:eastAsia="Arial" w:hAnsi="Arial"/>
          <w:sz w:val="18"/>
          <w:szCs w:val="18"/>
          <w:color w:val="auto"/>
        </w:rPr>
      </w:pPr>
    </w:p>
    <w:p>
      <w:pPr>
        <w:ind w:left="980" w:hanging="651"/>
        <w:spacing w:after="0" w:line="272"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174" w:lineRule="exact"/>
        <w:rPr>
          <w:rFonts w:ascii="Arial" w:cs="Arial" w:eastAsia="Arial" w:hAnsi="Arial"/>
          <w:sz w:val="18"/>
          <w:szCs w:val="18"/>
          <w:color w:val="auto"/>
        </w:rPr>
      </w:pPr>
    </w:p>
    <w:p>
      <w:pPr>
        <w:ind w:left="980" w:hanging="651"/>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applicable exchange;</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w:t>
      </w:r>
    </w:p>
    <w:p>
      <w:pPr>
        <w:spacing w:after="0" w:line="221" w:lineRule="exact"/>
        <w:rPr>
          <w:rFonts w:ascii="Arial" w:cs="Arial" w:eastAsia="Arial" w:hAnsi="Arial"/>
          <w:sz w:val="18"/>
          <w:szCs w:val="18"/>
          <w:color w:val="auto"/>
        </w:rPr>
      </w:pPr>
    </w:p>
    <w:p>
      <w:pPr>
        <w:jc w:val="both"/>
        <w:ind w:left="980" w:hanging="651"/>
        <w:spacing w:after="0" w:line="26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5" w:lineRule="exact"/>
        <w:rPr>
          <w:rFonts w:ascii="Arial" w:cs="Arial" w:eastAsia="Arial" w:hAnsi="Arial"/>
          <w:sz w:val="18"/>
          <w:szCs w:val="18"/>
          <w:color w:val="auto"/>
        </w:rPr>
      </w:pPr>
    </w:p>
    <w:p>
      <w:pPr>
        <w:ind w:left="980" w:hanging="651"/>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directly to purchasers, including through a specific bidding, auction or other process or in privately negotiated transactions;</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or</w:t>
      </w:r>
    </w:p>
    <w:p>
      <w:pPr>
        <w:spacing w:after="0" w:line="221" w:lineRule="exact"/>
        <w:rPr>
          <w:rFonts w:ascii="Arial" w:cs="Arial" w:eastAsia="Arial" w:hAnsi="Arial"/>
          <w:sz w:val="18"/>
          <w:szCs w:val="18"/>
          <w:color w:val="auto"/>
        </w:rPr>
      </w:pPr>
    </w:p>
    <w:p>
      <w:pPr>
        <w:ind w:left="980" w:hanging="651"/>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2" w:name="page53"/>
    <w:bookmarkEnd w:id="52"/>
    <w:p>
      <w:pPr>
        <w:jc w:val="both"/>
        <w:spacing w:after="0" w:line="254" w:lineRule="auto"/>
        <w:rPr>
          <w:sz w:val="20"/>
          <w:szCs w:val="20"/>
          <w:color w:val="auto"/>
        </w:rPr>
      </w:pPr>
      <w:r>
        <w:rPr>
          <w:rFonts w:ascii="Arial" w:cs="Arial" w:eastAsia="Arial" w:hAnsi="Arial"/>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197"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174" w:lineRule="exact"/>
        <w:rPr>
          <w:sz w:val="20"/>
          <w:szCs w:val="20"/>
          <w:color w:val="auto"/>
        </w:rPr>
      </w:pPr>
    </w:p>
    <w:p>
      <w:pPr>
        <w:ind w:left="980" w:hanging="651"/>
        <w:spacing w:after="0" w:line="302"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50">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June 30, 2023, filed with the SEC on October 11, 2023, as amended by amendment no. 1 to our Annual Report for the year ended June 30, 2023 on </w:t>
      </w:r>
      <w:hyperlink r:id="rId51">
        <w:r>
          <w:rPr>
            <w:rFonts w:ascii="Arial" w:cs="Arial" w:eastAsia="Arial" w:hAnsi="Arial"/>
            <w:sz w:val="17"/>
            <w:szCs w:val="17"/>
            <w:u w:val="single" w:color="auto"/>
            <w:color w:val="0000EE"/>
          </w:rPr>
          <w:t>Form 10-K/A</w:t>
        </w:r>
      </w:hyperlink>
      <w:r>
        <w:rPr>
          <w:rFonts w:ascii="Arial" w:cs="Arial" w:eastAsia="Arial" w:hAnsi="Arial"/>
          <w:sz w:val="17"/>
          <w:szCs w:val="17"/>
          <w:color w:val="auto"/>
        </w:rPr>
        <w:t>, filed with the SEC on October 12, 2023;</w:t>
      </w:r>
    </w:p>
    <w:p>
      <w:pPr>
        <w:spacing w:after="0" w:line="151" w:lineRule="exact"/>
        <w:rPr>
          <w:rFonts w:ascii="Arial" w:cs="Arial" w:eastAsia="Arial" w:hAnsi="Arial"/>
          <w:sz w:val="17"/>
          <w:szCs w:val="17"/>
          <w:color w:val="auto"/>
        </w:rPr>
      </w:pPr>
    </w:p>
    <w:p>
      <w:pPr>
        <w:ind w:left="980" w:hanging="651"/>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53">
        <w:r>
          <w:rPr>
            <w:rFonts w:ascii="Arial" w:cs="Arial" w:eastAsia="Arial" w:hAnsi="Arial"/>
            <w:sz w:val="17"/>
            <w:szCs w:val="17"/>
            <w:u w:val="single" w:color="auto"/>
            <w:color w:val="0000EE"/>
          </w:rPr>
          <w:t>August 2, 2023</w:t>
        </w:r>
      </w:hyperlink>
      <w:r>
        <w:rPr>
          <w:rFonts w:ascii="Arial" w:cs="Arial" w:eastAsia="Arial" w:hAnsi="Arial"/>
          <w:sz w:val="17"/>
          <w:szCs w:val="17"/>
          <w:color w:val="auto"/>
        </w:rPr>
        <w:t xml:space="preserve">, </w:t>
      </w:r>
      <w:hyperlink r:id="rId54">
        <w:r>
          <w:rPr>
            <w:rFonts w:ascii="Arial" w:cs="Arial" w:eastAsia="Arial" w:hAnsi="Arial"/>
            <w:sz w:val="17"/>
            <w:szCs w:val="17"/>
            <w:u w:val="single" w:color="auto"/>
            <w:color w:val="0000EE"/>
          </w:rPr>
          <w:t>August 31, 2023</w:t>
        </w:r>
      </w:hyperlink>
      <w:r>
        <w:rPr>
          <w:rFonts w:ascii="Arial" w:cs="Arial" w:eastAsia="Arial" w:hAnsi="Arial"/>
          <w:sz w:val="17"/>
          <w:szCs w:val="17"/>
          <w:color w:val="auto"/>
        </w:rPr>
        <w:t xml:space="preserve">, </w:t>
      </w:r>
      <w:hyperlink r:id="rId55">
        <w:r>
          <w:rPr>
            <w:rFonts w:ascii="Arial" w:cs="Arial" w:eastAsia="Arial" w:hAnsi="Arial"/>
            <w:sz w:val="17"/>
            <w:szCs w:val="17"/>
            <w:u w:val="single" w:color="auto"/>
            <w:color w:val="0000EE"/>
          </w:rPr>
          <w:t>October 11, 2023</w:t>
        </w:r>
      </w:hyperlink>
      <w:r>
        <w:rPr>
          <w:rFonts w:ascii="Arial" w:cs="Arial" w:eastAsia="Arial" w:hAnsi="Arial"/>
          <w:sz w:val="17"/>
          <w:szCs w:val="17"/>
          <w:color w:val="auto"/>
        </w:rPr>
        <w:t xml:space="preserve">, and </w:t>
      </w:r>
      <w:hyperlink r:id="rId56">
        <w:r>
          <w:rPr>
            <w:rFonts w:ascii="Arial" w:cs="Arial" w:eastAsia="Arial" w:hAnsi="Arial"/>
            <w:sz w:val="17"/>
            <w:szCs w:val="17"/>
            <w:u w:val="single" w:color="auto"/>
            <w:color w:val="0000EE"/>
          </w:rPr>
          <w:t>October 20, 2023</w:t>
        </w:r>
      </w:hyperlink>
      <w:r>
        <w:rPr>
          <w:rFonts w:ascii="Arial" w:cs="Arial" w:eastAsia="Arial" w:hAnsi="Arial"/>
          <w:sz w:val="17"/>
          <w:szCs w:val="17"/>
          <w:color w:val="auto"/>
        </w:rPr>
        <w:t>; and</w:t>
      </w:r>
    </w:p>
    <w:p>
      <w:pPr>
        <w:spacing w:after="0" w:line="233" w:lineRule="exact"/>
        <w:rPr>
          <w:rFonts w:ascii="Arial" w:cs="Arial" w:eastAsia="Arial" w:hAnsi="Arial"/>
          <w:sz w:val="17"/>
          <w:szCs w:val="17"/>
          <w:color w:val="auto"/>
        </w:rPr>
      </w:pPr>
    </w:p>
    <w:p>
      <w:pPr>
        <w:jc w:val="both"/>
        <w:ind w:left="980" w:hanging="651"/>
        <w:spacing w:after="0" w:line="26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description of our capital stock contained in our registration statement on </w:t>
      </w:r>
      <w:hyperlink r:id="rId57">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001-39830) filed on December 23, 2020, and any amendments or reports filed for the purposes of updating this description (including </w:t>
      </w:r>
      <w:hyperlink r:id="rId58">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for the year ended June 30, 2023).</w:t>
      </w:r>
    </w:p>
    <w:p>
      <w:pPr>
        <w:spacing w:after="0" w:line="185" w:lineRule="exact"/>
        <w:rPr>
          <w:rFonts w:ascii="Arial" w:cs="Arial" w:eastAsia="Arial" w:hAnsi="Arial"/>
          <w:sz w:val="18"/>
          <w:szCs w:val="18"/>
          <w:color w:val="auto"/>
        </w:rPr>
      </w:pPr>
    </w:p>
    <w:p>
      <w:pPr>
        <w:jc w:val="both"/>
        <w:spacing w:after="0" w:line="276" w:lineRule="auto"/>
        <w:rPr>
          <w:sz w:val="20"/>
          <w:szCs w:val="20"/>
          <w:color w:val="auto"/>
        </w:rPr>
      </w:pPr>
      <w:r>
        <w:rPr>
          <w:rFonts w:ascii="Arial" w:cs="Arial" w:eastAsia="Arial" w:hAnsi="Arial"/>
          <w:sz w:val="17"/>
          <w:szCs w:val="17"/>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73" w:lineRule="exact"/>
        <w:rPr>
          <w:rFonts w:ascii="Arial" w:cs="Arial" w:eastAsia="Arial" w:hAnsi="Arial"/>
          <w:sz w:val="18"/>
          <w:szCs w:val="18"/>
          <w:color w:val="auto"/>
        </w:rPr>
      </w:pPr>
    </w:p>
    <w:p>
      <w:pPr>
        <w:jc w:val="center"/>
        <w:ind w:right="360"/>
        <w:spacing w:after="0"/>
        <w:rPr>
          <w:sz w:val="20"/>
          <w:szCs w:val="20"/>
          <w:color w:val="auto"/>
        </w:rPr>
      </w:pPr>
      <w:r>
        <w:rPr>
          <w:rFonts w:ascii="Arial" w:cs="Arial" w:eastAsia="Arial" w:hAnsi="Arial"/>
          <w:sz w:val="16"/>
          <w:szCs w:val="16"/>
          <w:color w:val="auto"/>
        </w:rPr>
        <w:t>You may request a free copy of any of the documents incorporated by reference in this prospectus by writing or telephoning us at the following address:</w:t>
      </w:r>
    </w:p>
    <w:p>
      <w:pPr>
        <w:spacing w:after="0" w:line="24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Presto Automation Inc.</w:t>
      </w:r>
    </w:p>
    <w:p>
      <w:pPr>
        <w:spacing w:after="0" w:line="2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985 Industrial Road</w:t>
      </w:r>
    </w:p>
    <w:p>
      <w:pPr>
        <w:spacing w:after="0" w:line="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 Carlos, CA 94070</w:t>
      </w:r>
    </w:p>
    <w:p>
      <w:pPr>
        <w:spacing w:after="0" w:line="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Telephone: (650) 817-9012</w:t>
      </w:r>
    </w:p>
    <w:p>
      <w:pPr>
        <w:spacing w:after="0" w:line="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Xavier Casanova</w:t>
      </w:r>
    </w:p>
    <w:p>
      <w:pPr>
        <w:spacing w:after="0" w:line="209" w:lineRule="exact"/>
        <w:rPr>
          <w:rFonts w:ascii="Arial" w:cs="Arial" w:eastAsia="Arial" w:hAnsi="Arial"/>
          <w:sz w:val="18"/>
          <w:szCs w:val="18"/>
          <w:color w:val="auto"/>
        </w:rPr>
      </w:pPr>
    </w:p>
    <w:p>
      <w:pPr>
        <w:jc w:val="both"/>
        <w:spacing w:after="0" w:line="272"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17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INDEMNIFICATION FOR SECURITIES ACT LIABILITIES</w:t>
      </w:r>
    </w:p>
    <w:p>
      <w:pPr>
        <w:spacing w:after="0" w:line="226" w:lineRule="exact"/>
        <w:rPr>
          <w:rFonts w:ascii="Arial" w:cs="Arial" w:eastAsia="Arial" w:hAnsi="Arial"/>
          <w:sz w:val="18"/>
          <w:szCs w:val="18"/>
          <w:color w:val="auto"/>
        </w:rPr>
      </w:pPr>
    </w:p>
    <w:p>
      <w:pPr>
        <w:jc w:val="both"/>
        <w:spacing w:after="0" w:line="260"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40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Presto Automation Inc.</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Primary Offering of</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16,823,660 Shares of Common Stock Issuable Upon Exercise of Outstanding Warrants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Secondary Offering of</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52,709,824 Shares of Common Stock</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7,625,000 Warrants to Purchase Shares of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2048510</wp:posOffset>
            </wp:positionV>
            <wp:extent cx="71335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sectPr>
      <w:pgSz w:w="11900" w:h="16838" w:orient="portrait"/>
      <w:cols w:equalWidth="0" w:num="1">
        <w:col w:w="9019"/>
      </w:cols>
      <w:pgMar w:left="1440" w:top="1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lowerRoman"/>
      <w:start w:val="1"/>
    </w:lvl>
  </w:abstractNum>
  <w:abstractNum w:abstractNumId="1">
    <w:nsid w:val="3F2DBA31"/>
    <w:multiLevelType w:val="hybridMultilevel"/>
    <w:lvl w:ilvl="0">
      <w:lvlJc w:val="left"/>
      <w:lvlText w:val="(%1)"/>
      <w:numFmt w:val="lowerRoman"/>
      <w:start w:val="4"/>
    </w:lvl>
  </w:abstractNum>
  <w:abstractNum w:abstractNumId="2">
    <w:nsid w:val="7C83E458"/>
    <w:multiLevelType w:val="hybridMultilevel"/>
    <w:lvl w:ilvl="0">
      <w:lvlJc w:val="left"/>
      <w:lvlText w:val="(%1)"/>
      <w:numFmt w:val="lowerRoman"/>
      <w:start w:val="1"/>
    </w:lvl>
    <w:lvl w:ilvl="1">
      <w:lvlJc w:val="left"/>
      <w:lvlText w:val="%2."/>
      <w:numFmt w:val="lowerLetter"/>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13"/>
    </w:lvl>
  </w:abstractNum>
  <w:abstractNum w:abstractNumId="7">
    <w:nsid w:val="333AB105"/>
    <w:multiLevelType w:val="hybridMultilevel"/>
    <w:lvl w:ilvl="0">
      <w:lvlJc w:val="left"/>
      <w:lvlText w:val="(%1)"/>
      <w:numFmt w:val="decimal"/>
      <w:start w:val="29"/>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lowerRoman"/>
      <w:start w:val="1"/>
    </w:lvl>
  </w:abstractNum>
  <w:abstractNum w:abstractNumId="11">
    <w:nsid w:val="6763845E"/>
    <w:multiLevelType w:val="hybridMultilevel"/>
    <w:lvl w:ilvl="0">
      <w:lvlJc w:val="left"/>
      <w:lvlText w:val="(%1)"/>
      <w:numFmt w:val="lowerRoman"/>
      <w:start w:val="4"/>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lowerRoman"/>
      <w:start w:val="1"/>
    </w:lvl>
    <w:lvl w:ilvl="1">
      <w:lvlJc w:val="left"/>
      <w:lvlText w:val="%2."/>
      <w:numFmt w:val="lowerLetter"/>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2"/>
    </w:lvl>
  </w:abstractNum>
  <w:abstractNum w:abstractNumId="31">
    <w:nsid w:val="3006C83E"/>
    <w:multiLevelType w:val="hybridMultilevel"/>
    <w:lvl w:ilvl="0">
      <w:lvlJc w:val="left"/>
      <w:lvlText w:val="(%1)"/>
      <w:numFmt w:val="decimal"/>
      <w:start w:val="13"/>
    </w:lvl>
  </w:abstractNum>
  <w:abstractNum w:abstractNumId="32">
    <w:nsid w:val="614FD4A1"/>
    <w:multiLevelType w:val="hybridMultilevel"/>
    <w:lvl w:ilvl="0">
      <w:lvlJc w:val="left"/>
      <w:lvlText w:val="(%1)"/>
      <w:numFmt w:val="decimal"/>
      <w:start w:val="29"/>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50" Type="http://schemas.openxmlformats.org/officeDocument/2006/relationships/hyperlink" Target="http://www.sec.gov/Archives/edgar/data/1822145/000155837023016336/prst-20230630x10k.htm" TargetMode="External"/><Relationship Id="rId51" Type="http://schemas.openxmlformats.org/officeDocument/2006/relationships/hyperlink" Target="http://www.sec.gov/Archives/edgar/data/1822145/000155837023016408/prst-20230630x10ka.htm" TargetMode="External"/><Relationship Id="rId52" Type="http://schemas.openxmlformats.org/officeDocument/2006/relationships/hyperlink" Target="http://www.sec.gov/Archives/edgar/data/1822145/000155837023016915/tmb-20231206xdef14a.htm" TargetMode="External"/><Relationship Id="rId53" Type="http://schemas.openxmlformats.org/officeDocument/2006/relationships/hyperlink" Target="https://www.sec.gov/Archives/edgar/data/1822145/000110465923086535/tm2322640d1_8k.htm" TargetMode="External"/><Relationship Id="rId54" Type="http://schemas.openxmlformats.org/officeDocument/2006/relationships/hyperlink" Target="https://www.sec.gov/Archives/edgar/data/1822145/000110465923097311/tm2325309d1_8k.htm" TargetMode="External"/><Relationship Id="rId55" Type="http://schemas.openxmlformats.org/officeDocument/2006/relationships/hyperlink" Target="https://www.sec.gov/Archives/edgar/data/1822145/000101376223002979/ea186564-8k_prestoauto.htm" TargetMode="External"/><Relationship Id="rId56" Type="http://schemas.openxmlformats.org/officeDocument/2006/relationships/hyperlink" Target="https://www.sec.gov/Archives/edgar/data/1822145/000101376223005246/ea187043-8k_prestoauto.htm" TargetMode="External"/><Relationship Id="rId57" Type="http://schemas.openxmlformats.org/officeDocument/2006/relationships/hyperlink" Target="http://www.sec.gov/Archives/edgar/data/1822145/000121390020044238/ea131985-8a12b_ventouxccm.htm" TargetMode="External"/><Relationship Id="rId58" Type="http://schemas.openxmlformats.org/officeDocument/2006/relationships/hyperlink" Target="http://www.sec.gov/Archives/edgar/data/1822145/000155837023016336/prst-20230630x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2023-10-31T05:17:07Z</dcterms:created>
  <dcterms:modified xsi:type="dcterms:W3CDTF">2023-10-31T05:17:07Z</dcterms:modified>
</cp:coreProperties>
</file>