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21, 2020.</w:t>
      </w:r>
    </w:p>
    <w:p>
      <w:pPr>
        <w:spacing w:after="0" w:line="36" w:lineRule="exact"/>
        <w:rPr>
          <w:sz w:val="24"/>
          <w:szCs w:val="24"/>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Registration No. 333-251048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71120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114300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VENTOUX CCM ACQUISITION 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23" w:lineRule="exact"/>
        <w:rPr>
          <w:sz w:val="24"/>
          <w:szCs w:val="24"/>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6770</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84-2968594</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00" w:type="dxa"/>
            <w:vAlign w:val="bottom"/>
            <w:vMerge w:val="continue"/>
          </w:tcPr>
          <w:p>
            <w:pPr>
              <w:spacing w:after="0"/>
              <w:rPr>
                <w:sz w:val="16"/>
                <w:szCs w:val="16"/>
                <w:color w:val="auto"/>
              </w:rPr>
            </w:pPr>
          </w:p>
        </w:tc>
        <w:tc>
          <w:tcPr>
            <w:tcW w:w="2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100" w:type="dxa"/>
            <w:vAlign w:val="bottom"/>
            <w:vMerge w:val="continue"/>
          </w:tcPr>
          <w:p>
            <w:pPr>
              <w:spacing w:after="0"/>
              <w:rPr>
                <w:sz w:val="16"/>
                <w:szCs w:val="16"/>
                <w:color w:val="auto"/>
              </w:rPr>
            </w:pPr>
          </w:p>
        </w:tc>
        <w:tc>
          <w:tcPr>
            <w:tcW w:w="2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East Putnam Avenue, Floor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465-9000</w:t>
      </w:r>
    </w:p>
    <w:p>
      <w:pPr>
        <w:spacing w:after="0" w:line="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2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Edward Scheetz</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East Putnam Avenue, Floor 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465-9000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183" w:lineRule="exact"/>
        <w:rPr>
          <w:sz w:val="24"/>
          <w:szCs w:val="24"/>
          <w:color w:val="auto"/>
        </w:rPr>
      </w:pPr>
    </w:p>
    <w:tbl>
      <w:tblPr>
        <w:tblLayout w:type="fixed"/>
        <w:tblInd w:w="136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Mitchell S. Nussbaum</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8"/>
              </w:rPr>
              <w:t>Alan I. Annex</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Giovanni Caruso</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Philip R. Weingold</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Loeb &amp; Loeb LLP</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Jason T. Simon</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345 Park Avenue</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8"/>
              </w:rPr>
              <w:t>Greenberg Traurig, LLP</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 10154</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8"/>
              </w:rPr>
              <w:t>200 Park Avenue</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(212) 407-4000</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7"/>
              </w:rPr>
              <w:t>New York, New York 10166</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(212) 407-4990 — Facsimile</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(212) 801-8200</w:t>
            </w:r>
          </w:p>
        </w:tc>
      </w:tr>
      <w:tr>
        <w:trPr>
          <w:trHeight w:val="238"/>
        </w:trPr>
        <w:tc>
          <w:tcPr>
            <w:tcW w:w="2160" w:type="dxa"/>
            <w:vAlign w:val="bottom"/>
          </w:tcPr>
          <w:p>
            <w:pPr>
              <w:spacing w:after="0"/>
              <w:rPr>
                <w:sz w:val="20"/>
                <w:szCs w:val="20"/>
                <w:color w:val="auto"/>
              </w:rPr>
            </w:pP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(212) 801-6400 — Facsimile</w:t>
            </w:r>
          </w:p>
        </w:tc>
      </w:tr>
      <w:tr>
        <w:trPr>
          <w:trHeight w:val="432"/>
        </w:trPr>
        <w:tc>
          <w:tcPr>
            <w:tcW w:w="2160" w:type="dxa"/>
            <w:vAlign w:val="bottom"/>
          </w:tcPr>
          <w:p>
            <w:pPr>
              <w:spacing w:after="0"/>
              <w:rPr>
                <w:sz w:val="24"/>
                <w:szCs w:val="24"/>
                <w:color w:val="auto"/>
              </w:rPr>
            </w:pPr>
          </w:p>
        </w:tc>
        <w:tc>
          <w:tcPr>
            <w:tcW w:w="4080" w:type="dxa"/>
            <w:vAlign w:val="bottom"/>
          </w:tcPr>
          <w:p>
            <w:pPr>
              <w:jc w:val="right"/>
              <w:ind w:right="2070"/>
              <w:spacing w:after="0"/>
              <w:rPr>
                <w:sz w:val="20"/>
                <w:szCs w:val="20"/>
                <w:color w:val="auto"/>
              </w:rPr>
            </w:pPr>
            <w:r>
              <w:rPr>
                <w:rFonts w:ascii="Times New Roman" w:cs="Times New Roman" w:eastAsia="Times New Roman" w:hAnsi="Times New Roman"/>
                <w:sz w:val="18"/>
                <w:szCs w:val="18"/>
                <w:b w:val="1"/>
                <w:bCs w:val="1"/>
                <w:color w:val="auto"/>
              </w:rPr>
              <w:t>_____________________</w:t>
            </w:r>
          </w:p>
        </w:tc>
      </w:tr>
    </w:tbl>
    <w:p>
      <w:pPr>
        <w:spacing w:after="0" w:line="133" w:lineRule="exact"/>
        <w:rPr>
          <w:sz w:val="24"/>
          <w:szCs w:val="24"/>
          <w:color w:val="auto"/>
        </w:rPr>
      </w:pPr>
    </w:p>
    <w:p>
      <w:pPr>
        <w:jc w:val="both"/>
        <w:ind w:left="460" w:right="479" w:firstLine="432"/>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the effective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this offering.</w:t>
      </w:r>
    </w:p>
    <w:p>
      <w:pPr>
        <w:spacing w:after="0" w:line="1" w:lineRule="exact"/>
        <w:rPr>
          <w:sz w:val="24"/>
          <w:szCs w:val="24"/>
          <w:color w:val="auto"/>
        </w:rPr>
      </w:pPr>
    </w:p>
    <w:p>
      <w:pPr>
        <w:jc w:val="both"/>
        <w:ind w:left="460" w:right="479" w:firstLine="432"/>
        <w:spacing w:after="0" w:line="298" w:lineRule="auto"/>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6"/>
          <w:szCs w:val="16"/>
          <w:color w:val="auto"/>
        </w:rPr>
        <w:t>£</w:t>
      </w:r>
    </w:p>
    <w:p>
      <w:pPr>
        <w:spacing w:after="0" w:line="1" w:lineRule="exact"/>
        <w:rPr>
          <w:sz w:val="24"/>
          <w:szCs w:val="24"/>
          <w:color w:val="auto"/>
        </w:rPr>
      </w:pPr>
    </w:p>
    <w:p>
      <w:pPr>
        <w:jc w:val="both"/>
        <w:ind w:left="460" w:right="479" w:firstLine="432"/>
        <w:spacing w:after="0" w:line="281" w:lineRule="auto"/>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1" w:lineRule="exact"/>
        <w:rPr>
          <w:sz w:val="24"/>
          <w:szCs w:val="24"/>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1" w:lineRule="exact"/>
        <w:rPr>
          <w:sz w:val="24"/>
          <w:szCs w:val="24"/>
          <w:color w:val="auto"/>
        </w:rPr>
      </w:pPr>
    </w:p>
    <w:p>
      <w:pPr>
        <w:jc w:val="both"/>
        <w:ind w:left="460" w:right="479" w:firstLine="432"/>
        <w:spacing w:after="0" w:line="283" w:lineRule="auto"/>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10" w:lineRule="exact"/>
        <w:rPr>
          <w:sz w:val="24"/>
          <w:szCs w:val="24"/>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77" w:lineRule="exact"/>
        <w:rPr>
          <w:sz w:val="24"/>
          <w:szCs w:val="24"/>
          <w:color w:val="auto"/>
        </w:rPr>
      </w:pPr>
    </w:p>
    <w:tbl>
      <w:tblPr>
        <w:tblLayout w:type="fixed"/>
        <w:tblInd w:w="920" w:type="dxa"/>
        <w:tblCellMar>
          <w:top w:w="0" w:type="dxa"/>
          <w:left w:w="0" w:type="dxa"/>
          <w:bottom w:w="0" w:type="dxa"/>
          <w:right w:w="0" w:type="dxa"/>
        </w:tblCellMar>
      </w:tblPr>
      <w:tr>
        <w:trPr>
          <w:trHeight w:val="228"/>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300" w:type="dxa"/>
            <w:vAlign w:val="bottom"/>
          </w:tcPr>
          <w:p>
            <w:pPr>
              <w:ind w:left="260"/>
              <w:spacing w:after="0"/>
              <w:rPr>
                <w:sz w:val="20"/>
                <w:szCs w:val="20"/>
                <w:color w:val="auto"/>
              </w:rPr>
            </w:pPr>
            <w:r>
              <w:rPr>
                <w:rFonts w:ascii="Arial" w:cs="Arial" w:eastAsia="Arial" w:hAnsi="Arial"/>
                <w:sz w:val="16"/>
                <w:szCs w:val="16"/>
                <w:color w:val="auto"/>
              </w:rPr>
              <w:t>£</w:t>
            </w:r>
          </w:p>
        </w:tc>
        <w:tc>
          <w:tcPr>
            <w:tcW w:w="298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283"/>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300" w:type="dxa"/>
            <w:vAlign w:val="bottom"/>
          </w:tcPr>
          <w:p>
            <w:pPr>
              <w:ind w:left="260"/>
              <w:spacing w:after="0"/>
              <w:rPr>
                <w:sz w:val="20"/>
                <w:szCs w:val="20"/>
                <w:color w:val="auto"/>
              </w:rPr>
            </w:pPr>
            <w:r>
              <w:rPr>
                <w:rFonts w:ascii="Arial" w:cs="Arial" w:eastAsia="Arial" w:hAnsi="Arial"/>
                <w:sz w:val="16"/>
                <w:szCs w:val="16"/>
                <w:color w:val="auto"/>
              </w:rPr>
              <w:t>S</w:t>
            </w:r>
          </w:p>
        </w:tc>
        <w:tc>
          <w:tcPr>
            <w:tcW w:w="298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300"/>
              <w:spacing w:after="0"/>
              <w:rPr>
                <w:sz w:val="20"/>
                <w:szCs w:val="20"/>
                <w:color w:val="auto"/>
              </w:rPr>
            </w:pPr>
            <w:r>
              <w:rPr>
                <w:rFonts w:ascii="Arial" w:cs="Arial" w:eastAsia="Arial" w:hAnsi="Arial"/>
                <w:sz w:val="16"/>
                <w:szCs w:val="16"/>
                <w:color w:val="auto"/>
                <w:w w:val="93"/>
              </w:rPr>
              <w:t>S</w:t>
            </w:r>
          </w:p>
        </w:tc>
      </w:tr>
      <w:tr>
        <w:trPr>
          <w:trHeight w:val="283"/>
        </w:trPr>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8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20" w:type="dxa"/>
            <w:vAlign w:val="bottom"/>
          </w:tcPr>
          <w:p>
            <w:pPr>
              <w:ind w:left="300"/>
              <w:spacing w:after="0"/>
              <w:rPr>
                <w:sz w:val="20"/>
                <w:szCs w:val="20"/>
                <w:color w:val="auto"/>
              </w:rPr>
            </w:pPr>
            <w:r>
              <w:rPr>
                <w:rFonts w:ascii="Arial" w:cs="Arial" w:eastAsia="Arial" w:hAnsi="Arial"/>
                <w:sz w:val="16"/>
                <w:szCs w:val="16"/>
                <w:color w:val="auto"/>
                <w:w w:val="93"/>
              </w:rPr>
              <w:t>S</w:t>
            </w:r>
          </w:p>
        </w:tc>
      </w:tr>
    </w:tbl>
    <w:p>
      <w:pPr>
        <w:spacing w:after="0" w:line="191" w:lineRule="exact"/>
        <w:rPr>
          <w:sz w:val="24"/>
          <w:szCs w:val="24"/>
          <w:color w:val="auto"/>
        </w:rPr>
      </w:pPr>
    </w:p>
    <w:p>
      <w:pPr>
        <w:jc w:val="both"/>
        <w:ind w:left="460" w:right="479" w:firstLine="432"/>
        <w:spacing w:after="0" w:line="28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238125</wp:posOffset>
            </wp:positionV>
            <wp:extent cx="5143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390" w:gutter="0" w:footer="0" w:header="0"/>
        </w:sectPr>
      </w:pPr>
    </w:p>
    <w:bookmarkStart w:id="1" w:name="page2"/>
    <w:bookmarkEnd w:id="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Proposed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59"/>
        </w:trPr>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Title of Each Class of Security being registered</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40" w:type="dxa"/>
            <w:vAlign w:val="bottom"/>
          </w:tcPr>
          <w:p>
            <w:pPr>
              <w:spacing w:after="0"/>
              <w:rPr>
                <w:sz w:val="22"/>
                <w:szCs w:val="22"/>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Security</w:t>
            </w:r>
            <w:r>
              <w:rPr>
                <w:rFonts w:ascii="Times New Roman" w:cs="Times New Roman" w:eastAsia="Times New Roman" w:hAnsi="Times New Roman"/>
                <w:sz w:val="18"/>
                <w:szCs w:val="18"/>
                <w:b w:val="1"/>
                <w:bCs w:val="1"/>
                <w:color w:val="auto"/>
                <w:w w:val="95"/>
                <w:vertAlign w:val="superscript"/>
              </w:rPr>
              <w:t>(1)</w:t>
            </w:r>
          </w:p>
        </w:tc>
        <w:tc>
          <w:tcPr>
            <w:tcW w:w="120" w:type="dxa"/>
            <w:vAlign w:val="bottom"/>
          </w:tcPr>
          <w:p>
            <w:pPr>
              <w:spacing w:after="0"/>
              <w:rPr>
                <w:sz w:val="22"/>
                <w:szCs w:val="22"/>
                <w:color w:val="auto"/>
              </w:rPr>
            </w:pPr>
          </w:p>
        </w:tc>
        <w:tc>
          <w:tcPr>
            <w:tcW w:w="1080" w:type="dxa"/>
            <w:vAlign w:val="bottom"/>
            <w:gridSpan w:val="2"/>
          </w:tcPr>
          <w:p>
            <w:pPr>
              <w:jc w:val="center"/>
              <w:ind w:right="220"/>
              <w:spacing w:after="0" w:line="259" w:lineRule="exact"/>
              <w:rPr>
                <w:sz w:val="20"/>
                <w:szCs w:val="20"/>
                <w:color w:val="auto"/>
              </w:rPr>
            </w:pPr>
            <w:r>
              <w:rPr>
                <w:rFonts w:ascii="Times New Roman" w:cs="Times New Roman" w:eastAsia="Times New Roman" w:hAnsi="Times New Roman"/>
                <w:sz w:val="30"/>
                <w:szCs w:val="30"/>
                <w:b w:val="1"/>
                <w:bCs w:val="1"/>
                <w:color w:val="auto"/>
                <w:w w:val="88"/>
                <w:vertAlign w:val="subscript"/>
              </w:rPr>
              <w:t>Price</w:t>
            </w:r>
            <w:r>
              <w:rPr>
                <w:rFonts w:ascii="Times New Roman" w:cs="Times New Roman" w:eastAsia="Times New Roman" w:hAnsi="Times New Roman"/>
                <w:sz w:val="9"/>
                <w:szCs w:val="9"/>
                <w:b w:val="1"/>
                <w:bCs w:val="1"/>
                <w:color w:val="auto"/>
                <w:w w:val="88"/>
              </w:rPr>
              <w:t>(1)(2)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0" w:type="dxa"/>
            <w:vAlign w:val="bottom"/>
          </w:tcPr>
          <w:p>
            <w:pPr>
              <w:spacing w:after="0"/>
              <w:rPr>
                <w:sz w:val="1"/>
                <w:szCs w:val="1"/>
                <w:color w:val="auto"/>
              </w:rPr>
            </w:pPr>
          </w:p>
        </w:tc>
      </w:tr>
      <w:tr>
        <w:trPr>
          <w:trHeight w:val="191"/>
        </w:trPr>
        <w:tc>
          <w:tcPr>
            <w:tcW w:w="37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Units, each consisting of one share of common</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$0.0001 par value, one right, and one</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entitling the holder to purchase one-half</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one share of common stock</w:t>
            </w:r>
            <w:r>
              <w:rPr>
                <w:rFonts w:ascii="Times New Roman" w:cs="Times New Roman" w:eastAsia="Times New Roman" w:hAnsi="Times New Roman"/>
                <w:sz w:val="20"/>
                <w:szCs w:val="20"/>
                <w:color w:val="auto"/>
                <w:vertAlign w:val="superscript"/>
              </w:rPr>
              <w:t>(2)</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17,250,000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172,500,000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18,819.75</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of common stock, $0.0001 par value,</w:t>
            </w: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17,250,000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3800" w:type="dxa"/>
            <w:vAlign w:val="bottom"/>
            <w:gridSpan w:val="2"/>
          </w:tcPr>
          <w:p>
            <w:pPr>
              <w:ind w:left="180"/>
              <w:spacing w:after="0" w:line="74" w:lineRule="exact"/>
              <w:rPr>
                <w:sz w:val="20"/>
                <w:szCs w:val="20"/>
                <w:color w:val="auto"/>
              </w:rPr>
            </w:pPr>
            <w:r>
              <w:rPr>
                <w:rFonts w:ascii="Times New Roman" w:cs="Times New Roman" w:eastAsia="Times New Roman" w:hAnsi="Times New Roman"/>
                <w:sz w:val="8"/>
                <w:szCs w:val="8"/>
                <w:color w:val="auto"/>
              </w:rPr>
              <w:t>included as part of the units</w:t>
            </w:r>
          </w:p>
        </w:tc>
        <w:tc>
          <w:tcPr>
            <w:tcW w:w="9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66"/>
        </w:trPr>
        <w:tc>
          <w:tcPr>
            <w:tcW w:w="3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3800" w:type="dxa"/>
            <w:vAlign w:val="bottom"/>
            <w:gridSpan w:val="2"/>
            <w:shd w:val="clear" w:color="auto" w:fill="CCEEFF"/>
          </w:tcPr>
          <w:p>
            <w:pPr>
              <w:spacing w:after="0" w:line="83" w:lineRule="exact"/>
              <w:rPr>
                <w:sz w:val="20"/>
                <w:szCs w:val="20"/>
                <w:color w:val="auto"/>
              </w:rPr>
            </w:pPr>
            <w:r>
              <w:rPr>
                <w:rFonts w:ascii="Times New Roman" w:cs="Times New Roman" w:eastAsia="Times New Roman" w:hAnsi="Times New Roman"/>
                <w:sz w:val="9"/>
                <w:szCs w:val="9"/>
                <w:color w:val="auto"/>
              </w:rPr>
              <w:t>Rights included as part of the units</w:t>
            </w:r>
          </w:p>
        </w:tc>
        <w:tc>
          <w:tcPr>
            <w:tcW w:w="940" w:type="dxa"/>
            <w:vAlign w:val="bottom"/>
            <w:gridSpan w:val="2"/>
            <w:shd w:val="clear" w:color="auto" w:fill="CCEEFF"/>
          </w:tcPr>
          <w:p>
            <w:pPr>
              <w:jc w:val="right"/>
              <w:ind w:right="40"/>
              <w:spacing w:after="0" w:line="83" w:lineRule="exact"/>
              <w:rPr>
                <w:sz w:val="20"/>
                <w:szCs w:val="20"/>
                <w:color w:val="auto"/>
              </w:rPr>
            </w:pPr>
            <w:r>
              <w:rPr>
                <w:rFonts w:ascii="Times New Roman" w:cs="Times New Roman" w:eastAsia="Times New Roman" w:hAnsi="Times New Roman"/>
                <w:sz w:val="9"/>
                <w:szCs w:val="9"/>
                <w:color w:val="auto"/>
              </w:rPr>
              <w:t>17,250,000</w:t>
            </w: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100"/>
              <w:spacing w:after="0" w:line="83"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100"/>
              <w:spacing w:after="0" w:line="83"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60" w:type="dxa"/>
            <w:vAlign w:val="bottom"/>
            <w:gridSpan w:val="3"/>
            <w:shd w:val="clear" w:color="auto" w:fill="CCEEFF"/>
          </w:tcPr>
          <w:p>
            <w:pPr>
              <w:jc w:val="right"/>
              <w:ind w:right="160"/>
              <w:spacing w:after="0" w:line="83"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35"/>
        </w:trPr>
        <w:tc>
          <w:tcPr>
            <w:tcW w:w="3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66"/>
        </w:trPr>
        <w:tc>
          <w:tcPr>
            <w:tcW w:w="3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of common stock underlying the rights</w:t>
            </w: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862,500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3800" w:type="dxa"/>
            <w:vAlign w:val="bottom"/>
            <w:gridSpan w:val="2"/>
          </w:tcPr>
          <w:p>
            <w:pPr>
              <w:ind w:left="180"/>
              <w:spacing w:after="0" w:line="74" w:lineRule="exact"/>
              <w:rPr>
                <w:sz w:val="20"/>
                <w:szCs w:val="20"/>
                <w:color w:val="auto"/>
              </w:rPr>
            </w:pPr>
            <w:r>
              <w:rPr>
                <w:rFonts w:ascii="Times New Roman" w:cs="Times New Roman" w:eastAsia="Times New Roman" w:hAnsi="Times New Roman"/>
                <w:sz w:val="8"/>
                <w:szCs w:val="8"/>
                <w:color w:val="auto"/>
              </w:rPr>
              <w:t>included in the units</w:t>
            </w:r>
          </w:p>
        </w:tc>
        <w:tc>
          <w:tcPr>
            <w:tcW w:w="9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66"/>
        </w:trPr>
        <w:tc>
          <w:tcPr>
            <w:tcW w:w="3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included as part of the units</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17,250,000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00" w:type="dxa"/>
            <w:vAlign w:val="bottom"/>
            <w:gridSpan w:val="2"/>
            <w:vMerge w:val="continue"/>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172,500,000</w:t>
            </w:r>
          </w:p>
        </w:tc>
        <w:tc>
          <w:tcPr>
            <w:tcW w:w="2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18,819.75</w:t>
            </w: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80" w:right="459" w:hanging="426"/>
        <w:spacing w:after="0" w:line="264" w:lineRule="auto"/>
        <w:tabs>
          <w:tab w:leader="none" w:pos="8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registration fee pursuant to Rule 457(o) under the Securities Act of 1933, as amended.</w:t>
      </w:r>
    </w:p>
    <w:p>
      <w:pPr>
        <w:jc w:val="both"/>
        <w:ind w:left="880" w:right="479" w:hanging="426"/>
        <w:spacing w:after="0" w:line="264" w:lineRule="auto"/>
        <w:tabs>
          <w:tab w:leader="none" w:pos="1045"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the aggregate of 15,000,000 units to be issued to public stockholders in the public offering, and 2,250,000 units which may be issued upon exercise of a 45-day option granted to the underwriters to cover over-allotments, if any; and (B) shares of common stock and warrants underlying such units.</w:t>
      </w: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fee pursuant to Rule 457(g).</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paid.</w:t>
      </w:r>
    </w:p>
    <w:p>
      <w:pPr>
        <w:spacing w:after="0" w:line="151"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33655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76200</wp:posOffset>
            </wp:positionV>
            <wp:extent cx="5143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350520</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7" w:lineRule="exact"/>
        <w:rPr>
          <w:sz w:val="20"/>
          <w:szCs w:val="20"/>
          <w:color w:val="auto"/>
        </w:rPr>
      </w:pPr>
    </w:p>
    <w:p>
      <w:pPr>
        <w:jc w:val="both"/>
        <w:ind w:left="460" w:right="459"/>
        <w:spacing w:after="0" w:line="276" w:lineRule="auto"/>
        <w:rPr>
          <w:sz w:val="20"/>
          <w:szCs w:val="20"/>
          <w:color w:val="auto"/>
        </w:rPr>
      </w:pPr>
      <w:r>
        <w:rPr>
          <w:rFonts w:ascii="Times New Roman" w:cs="Times New Roman" w:eastAsia="Times New Roman" w:hAnsi="Times New Roman"/>
          <w:sz w:val="16"/>
          <w:szCs w:val="16"/>
          <w:b w:val="1"/>
          <w:bCs w:val="1"/>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3" w:lineRule="exact"/>
        <w:rPr>
          <w:sz w:val="20"/>
          <w:szCs w:val="20"/>
          <w:color w:val="auto"/>
        </w:rPr>
      </w:pPr>
    </w:p>
    <w:p>
      <w:pPr>
        <w:ind w:left="460"/>
        <w:spacing w:after="0"/>
        <w:tabs>
          <w:tab w:leader="none" w:pos="3660" w:val="left"/>
        </w:tabs>
        <w:rPr>
          <w:sz w:val="20"/>
          <w:szCs w:val="20"/>
          <w:color w:val="auto"/>
        </w:rPr>
      </w:pPr>
      <w:r>
        <w:rPr>
          <w:rFonts w:ascii="Times New Roman" w:cs="Times New Roman" w:eastAsia="Times New Roman" w:hAnsi="Times New Roman"/>
          <w:sz w:val="18"/>
          <w:szCs w:val="18"/>
          <w:b w:val="1"/>
          <w:bCs w:val="1"/>
          <w:color w:val="D2232A"/>
        </w:rPr>
        <w:t>PRELIMINARY PROSPECTUS</w:t>
      </w:r>
      <w:r>
        <w:rPr>
          <w:sz w:val="20"/>
          <w:szCs w:val="20"/>
          <w:color w:val="auto"/>
        </w:rPr>
        <w:tab/>
      </w:r>
      <w:r>
        <w:rPr>
          <w:rFonts w:ascii="Times New Roman" w:cs="Times New Roman" w:eastAsia="Times New Roman" w:hAnsi="Times New Roman"/>
          <w:sz w:val="17"/>
          <w:szCs w:val="17"/>
          <w:b w:val="1"/>
          <w:bCs w:val="1"/>
          <w:color w:val="D2232A"/>
        </w:rPr>
        <w:t>SUBJECT TO COMPLETION, DATED DECEMBER 21, 2020</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$150,000,000</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VENTOUX CCM ACQUISITION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15,000,000 UNITS</w:t>
      </w:r>
    </w:p>
    <w:p>
      <w:pPr>
        <w:spacing w:after="0" w:line="61" w:lineRule="exact"/>
        <w:rPr>
          <w:sz w:val="20"/>
          <w:szCs w:val="20"/>
          <w:color w:val="auto"/>
        </w:rPr>
      </w:pPr>
    </w:p>
    <w:p>
      <w:pPr>
        <w:jc w:val="both"/>
        <w:ind w:left="460" w:right="459" w:firstLine="432"/>
        <w:spacing w:after="0" w:line="223" w:lineRule="auto"/>
        <w:rPr>
          <w:sz w:val="20"/>
          <w:szCs w:val="20"/>
          <w:color w:val="auto"/>
        </w:rPr>
      </w:pPr>
      <w:r>
        <w:rPr>
          <w:rFonts w:ascii="Times New Roman" w:cs="Times New Roman" w:eastAsia="Times New Roman" w:hAnsi="Times New Roman"/>
          <w:sz w:val="13"/>
          <w:szCs w:val="13"/>
          <w:color w:val="auto"/>
        </w:rPr>
        <w:t>Ventoux CCM Acquisition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2" w:lineRule="exact"/>
        <w:rPr>
          <w:sz w:val="20"/>
          <w:szCs w:val="20"/>
          <w:color w:val="auto"/>
        </w:rPr>
      </w:pPr>
    </w:p>
    <w:p>
      <w:pPr>
        <w:jc w:val="both"/>
        <w:ind w:left="460" w:right="459" w:firstLine="432"/>
        <w:spacing w:after="0"/>
        <w:rPr>
          <w:sz w:val="20"/>
          <w:szCs w:val="20"/>
          <w:color w:val="auto"/>
        </w:rPr>
      </w:pPr>
      <w:r>
        <w:rPr>
          <w:rFonts w:ascii="Times New Roman" w:cs="Times New Roman" w:eastAsia="Times New Roman" w:hAnsi="Times New Roman"/>
          <w:sz w:val="12"/>
          <w:szCs w:val="12"/>
          <w:color w:val="auto"/>
        </w:rPr>
        <w:t>This is an initial public offering of our securities. We are offering 15,000,000 units at an offering price of $10.00 per unit. Each unit consists of one share of common stock, par value $0.0001, one right, which we refer throughout this prospectus as “rights,” and one warrant, which we refer to throughout this prospectus as “warrants” or the “public warrants.” Each right entitles the holder thereof to receive one-twentieth (1/20) of one share of common stock upon the consummation of an initial business combination, as described in more detail in this prospectus. Each warrant entitles the holder thereof to purchase one-half of one share of common stock at a price of $11.50 per whole share, subject to adjustment as described in the prospectus. We will not issue fractional shares. As a result, you must have 20 rights to receive a share of common stock at the closing of the initial business combination and 2 warrants to receive a share of common stock when exercising your warrants. Each public warrant will become exercisable on the later of one year after the closing of this offering or the consummation of an initial business combination, and will expire five years after the completion of an initial business combination, or earlier upon redemption.</w:t>
      </w:r>
    </w:p>
    <w:p>
      <w:pPr>
        <w:spacing w:after="0" w:line="3" w:lineRule="exact"/>
        <w:rPr>
          <w:sz w:val="20"/>
          <w:szCs w:val="20"/>
          <w:color w:val="auto"/>
        </w:rPr>
      </w:pPr>
    </w:p>
    <w:p>
      <w:pPr>
        <w:jc w:val="both"/>
        <w:ind w:left="460" w:right="479" w:firstLine="432"/>
        <w:spacing w:after="0" w:line="238" w:lineRule="auto"/>
        <w:rPr>
          <w:sz w:val="20"/>
          <w:szCs w:val="20"/>
          <w:color w:val="auto"/>
        </w:rPr>
      </w:pPr>
      <w:r>
        <w:rPr>
          <w:rFonts w:ascii="Times New Roman" w:cs="Times New Roman" w:eastAsia="Times New Roman" w:hAnsi="Times New Roman"/>
          <w:sz w:val="13"/>
          <w:szCs w:val="13"/>
          <w:color w:val="auto"/>
        </w:rPr>
        <w:t>We have granted Chardan Capital Markets, LLC, the representative of the underwriters, a 45-day option to purchase up to an additional 2,250,000 units (over and above the 15,000,000 units referred to above) solely to cover over-allotments, if any.</w:t>
      </w:r>
    </w:p>
    <w:p>
      <w:pPr>
        <w:spacing w:after="0" w:line="1" w:lineRule="exact"/>
        <w:rPr>
          <w:sz w:val="20"/>
          <w:szCs w:val="20"/>
          <w:color w:val="auto"/>
        </w:rPr>
      </w:pPr>
    </w:p>
    <w:p>
      <w:pPr>
        <w:jc w:val="both"/>
        <w:ind w:left="460" w:right="459" w:firstLine="432"/>
        <w:spacing w:after="0" w:line="221" w:lineRule="auto"/>
        <w:rPr>
          <w:sz w:val="20"/>
          <w:szCs w:val="20"/>
          <w:color w:val="auto"/>
        </w:rPr>
      </w:pPr>
      <w:r>
        <w:rPr>
          <w:rFonts w:ascii="Times New Roman" w:cs="Times New Roman" w:eastAsia="Times New Roman" w:hAnsi="Times New Roman"/>
          <w:sz w:val="13"/>
          <w:szCs w:val="13"/>
          <w:color w:val="auto"/>
        </w:rPr>
        <w:t>We will provide the holders of our outstanding shares of common stock that were sold as part of the units in this offering, or the “public stockholders,”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as part of the units in this offering, which we refer to as our “public shares.”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3" w:lineRule="exact"/>
        <w:rPr>
          <w:sz w:val="20"/>
          <w:szCs w:val="20"/>
          <w:color w:val="auto"/>
        </w:rPr>
      </w:pPr>
    </w:p>
    <w:p>
      <w:pPr>
        <w:jc w:val="both"/>
        <w:ind w:left="460" w:right="459" w:firstLine="432"/>
        <w:spacing w:after="0" w:line="227" w:lineRule="auto"/>
        <w:rPr>
          <w:sz w:val="20"/>
          <w:szCs w:val="20"/>
          <w:color w:val="auto"/>
        </w:rPr>
      </w:pPr>
      <w:r>
        <w:rPr>
          <w:rFonts w:ascii="Times New Roman" w:cs="Times New Roman" w:eastAsia="Times New Roman" w:hAnsi="Times New Roman"/>
          <w:sz w:val="13"/>
          <w:szCs w:val="13"/>
          <w:color w:val="auto"/>
        </w:rPr>
        <w:t>We have 15 months (or up to 18 months if we have extended the period of time as described in this prospectus) to consummate our initial business combination.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 In such event, the warrants will expire and be worthless.</w:t>
      </w:r>
    </w:p>
    <w:p>
      <w:pPr>
        <w:spacing w:after="0" w:line="1" w:lineRule="exact"/>
        <w:rPr>
          <w:sz w:val="20"/>
          <w:szCs w:val="20"/>
          <w:color w:val="auto"/>
        </w:rPr>
      </w:pPr>
    </w:p>
    <w:p>
      <w:pPr>
        <w:jc w:val="both"/>
        <w:ind w:left="460" w:right="459" w:firstLine="432"/>
        <w:spacing w:after="0" w:line="221" w:lineRule="auto"/>
        <w:rPr>
          <w:sz w:val="20"/>
          <w:szCs w:val="20"/>
          <w:color w:val="auto"/>
        </w:rPr>
      </w:pPr>
      <w:r>
        <w:rPr>
          <w:rFonts w:ascii="Times New Roman" w:cs="Times New Roman" w:eastAsia="Times New Roman" w:hAnsi="Times New Roman"/>
          <w:sz w:val="13"/>
          <w:szCs w:val="13"/>
          <w:color w:val="auto"/>
        </w:rPr>
        <w:t>Ventoux Acquisition Holdings LLC (“Ventoux Acquisition”), our co-sponsor and an affiliate of certain of our directors and officers, has committed to purchase from us an aggregate of 4,000,000 warrants (or 4,450,000 warrants if the over-allotment option is exercised in full), and Chardan International Investments, LLC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3" w:lineRule="exact"/>
        <w:rPr>
          <w:sz w:val="20"/>
          <w:szCs w:val="20"/>
          <w:color w:val="auto"/>
        </w:rPr>
      </w:pPr>
    </w:p>
    <w:p>
      <w:pPr>
        <w:jc w:val="both"/>
        <w:ind w:left="460" w:right="459" w:firstLine="432"/>
        <w:spacing w:after="0" w:line="221" w:lineRule="auto"/>
        <w:rPr>
          <w:sz w:val="20"/>
          <w:szCs w:val="20"/>
          <w:color w:val="auto"/>
        </w:rPr>
      </w:pPr>
      <w:r>
        <w:rPr>
          <w:rFonts w:ascii="Times New Roman" w:cs="Times New Roman" w:eastAsia="Times New Roman" w:hAnsi="Times New Roman"/>
          <w:sz w:val="13"/>
          <w:szCs w:val="13"/>
          <w:color w:val="auto"/>
        </w:rPr>
        <w:t>On September 19, 2019, Chardan Investments purchased 5,000,000 shares of common stock from us for $25,000. On July 23, 2020, Chardan Investments sold 3,250,000 shares of common stock back to us for $16,250.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On December 15, 2020, Ventoux Acquisition transferred 22,500 shares of common stock to Cindat USA LLC, a wholly owned subsidiary of Cindat Capital Management Limited and an affiliate of one of our directors, and, on December 17, 2020, Ventoux Acquisition transferred an aggregate of 67,500 shares of common stock to three of our directors. As of the date hereof, Ventoux Acquisition holds 2,728,875 shares of common stock. We refer to the shares held by our co-sponsors, officers and directors as “founder” shares or “insider shares. The founder shares include an aggregate of up to 562,500 shares that are subject to forfeiture to the extent that the underwriters’ over-allotment option is not exercised in full or in part.</w:t>
      </w:r>
    </w:p>
    <w:p>
      <w:pPr>
        <w:jc w:val="both"/>
        <w:ind w:left="460" w:right="479" w:firstLine="432"/>
        <w:spacing w:after="0" w:line="225" w:lineRule="auto"/>
        <w:rPr>
          <w:sz w:val="20"/>
          <w:szCs w:val="20"/>
          <w:color w:val="auto"/>
        </w:rPr>
      </w:pPr>
      <w:r>
        <w:rPr>
          <w:rFonts w:ascii="Times New Roman" w:cs="Times New Roman" w:eastAsia="Times New Roman" w:hAnsi="Times New Roman"/>
          <w:sz w:val="13"/>
          <w:szCs w:val="13"/>
          <w:color w:val="auto"/>
        </w:rPr>
        <w:t>There is presently no public market for our units, common stock, rights or warrants. We intend to apply to have our units listed on the Nasdaq Capital Market, or Nasdaq, under the symbol “VTAQU” on or promptly after the date of this prospectus. We cannot guarantee that our securities will be approved for listing on Nasdaq. Once the securities comprising the units begin separate trading as described in this prospectus, the shares of common stock, rights and warrants will be traded on Nasdaq under the symbols “VTAQ,” “VTAQR” and “VTAQW,” respectively. We cannot assure you that our securities will continue to be listed on Nasdaq after this offering.</w:t>
      </w:r>
    </w:p>
    <w:p>
      <w:pPr>
        <w:spacing w:after="0" w:line="1" w:lineRule="exact"/>
        <w:rPr>
          <w:sz w:val="20"/>
          <w:szCs w:val="20"/>
          <w:color w:val="auto"/>
        </w:rPr>
      </w:pPr>
    </w:p>
    <w:p>
      <w:pPr>
        <w:jc w:val="both"/>
        <w:ind w:left="460" w:right="459" w:firstLine="432"/>
        <w:spacing w:after="0" w:line="238" w:lineRule="auto"/>
        <w:rPr>
          <w:sz w:val="20"/>
          <w:szCs w:val="20"/>
          <w:color w:val="auto"/>
        </w:rPr>
      </w:pPr>
      <w:r>
        <w:rPr>
          <w:rFonts w:ascii="Times New Roman" w:cs="Times New Roman" w:eastAsia="Times New Roman" w:hAnsi="Times New Roman"/>
          <w:sz w:val="13"/>
          <w:szCs w:val="13"/>
          <w:color w:val="auto"/>
        </w:rPr>
        <w:t>We are an “emerging growth company” as defined in the Jumpstart Our Business Startups Act of 2012, and we will therefore be subject to reduced public company reporting requirements.</w:t>
      </w:r>
    </w:p>
    <w:p>
      <w:pPr>
        <w:spacing w:after="0" w:line="1" w:lineRule="exact"/>
        <w:rPr>
          <w:sz w:val="20"/>
          <w:szCs w:val="20"/>
          <w:color w:val="auto"/>
        </w:rPr>
      </w:pPr>
    </w:p>
    <w:p>
      <w:pPr>
        <w:jc w:val="both"/>
        <w:ind w:left="460" w:right="459" w:firstLine="432"/>
        <w:spacing w:after="0" w:line="238" w:lineRule="auto"/>
        <w:rPr>
          <w:sz w:val="20"/>
          <w:szCs w:val="20"/>
          <w:color w:val="auto"/>
        </w:rPr>
      </w:pPr>
      <w:r>
        <w:rPr>
          <w:rFonts w:ascii="Times New Roman" w:cs="Times New Roman" w:eastAsia="Times New Roman" w:hAnsi="Times New Roman"/>
          <w:sz w:val="13"/>
          <w:szCs w:val="13"/>
          <w:b w:val="1"/>
          <w:bCs w:val="1"/>
          <w:color w:val="auto"/>
        </w:rPr>
        <w:t>Investing in our securities involves a high degree of risk. See “Risk Factors” beginning on page 22 of this prospectus for a discussion of information that should be considered in connection with an investment in our securities.</w:t>
      </w:r>
    </w:p>
    <w:p>
      <w:pPr>
        <w:spacing w:after="0" w:line="1" w:lineRule="exact"/>
        <w:rPr>
          <w:sz w:val="20"/>
          <w:szCs w:val="20"/>
          <w:color w:val="auto"/>
        </w:rPr>
      </w:pPr>
    </w:p>
    <w:p>
      <w:pPr>
        <w:jc w:val="both"/>
        <w:ind w:left="460" w:right="479" w:firstLine="432"/>
        <w:spacing w:after="0" w:line="238" w:lineRule="auto"/>
        <w:rPr>
          <w:sz w:val="20"/>
          <w:szCs w:val="20"/>
          <w:color w:val="auto"/>
        </w:rPr>
      </w:pPr>
      <w:r>
        <w:rPr>
          <w:rFonts w:ascii="Times New Roman" w:cs="Times New Roman" w:eastAsia="Times New Roman" w:hAnsi="Times New Roman"/>
          <w:sz w:val="13"/>
          <w:szCs w:val="13"/>
          <w:color w:val="auto"/>
        </w:rPr>
        <w:t>Neither the Securities and Exchange Commission (also referred to as the “SEC”) nor any state securities commission has approved or disapproved of these securities or determined if this prospectus is truthful or complete. Any representation to the contrary is a criminal offense.</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2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Discount and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4"/>
              </w:rPr>
              <w:t>Commissions</w:t>
            </w:r>
            <w:r>
              <w:rPr>
                <w:rFonts w:ascii="Times New Roman" w:cs="Times New Roman" w:eastAsia="Times New Roman" w:hAnsi="Times New Roman"/>
                <w:sz w:val="21"/>
                <w:szCs w:val="21"/>
                <w:b w:val="1"/>
                <w:bCs w:val="1"/>
                <w:color w:val="auto"/>
                <w:w w:val="94"/>
                <w:vertAlign w:val="superscript"/>
              </w:rPr>
              <w:t>(1)(2)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Expenses, to us</w:t>
            </w: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2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0.20</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0" w:type="dxa"/>
            <w:vAlign w:val="bottom"/>
          </w:tcPr>
          <w:p>
            <w:pPr>
              <w:spacing w:after="0"/>
              <w:rPr>
                <w:sz w:val="1"/>
                <w:szCs w:val="1"/>
                <w:color w:val="auto"/>
              </w:rPr>
            </w:pPr>
          </w:p>
        </w:tc>
      </w:tr>
      <w:tr>
        <w:trPr>
          <w:trHeight w:val="260"/>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150,000,000</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3,000,000</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147,000,000</w:t>
            </w:r>
          </w:p>
        </w:tc>
        <w:tc>
          <w:tcPr>
            <w:tcW w:w="0" w:type="dxa"/>
            <w:vAlign w:val="bottom"/>
          </w:tcPr>
          <w:p>
            <w:pPr>
              <w:spacing w:after="0"/>
              <w:rPr>
                <w:sz w:val="1"/>
                <w:szCs w:val="1"/>
                <w:color w:val="auto"/>
              </w:rPr>
            </w:pPr>
          </w:p>
        </w:tc>
      </w:tr>
      <w:tr>
        <w:trPr>
          <w:trHeight w:val="260"/>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jc w:val="both"/>
        <w:ind w:left="880" w:right="479" w:hanging="426"/>
        <w:spacing w:after="0" w:line="221" w:lineRule="auto"/>
        <w:tabs>
          <w:tab w:leader="none" w:pos="919"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$100,000 payable to B. Riley Securities, Inc. for acting as a qualified independent underwriter. Please see the section titled “Underwriting (Conflicts of Interest)” for further information relating to the underwriting arrangements agreed to between us and the underwriters in this offering.</w:t>
      </w:r>
    </w:p>
    <w:p>
      <w:pPr>
        <w:ind w:left="880" w:right="479" w:hanging="426"/>
        <w:spacing w:after="0" w:line="239" w:lineRule="auto"/>
        <w:tabs>
          <w:tab w:leader="none" w:pos="91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underwriters will receive compensation in addition to the underwriting discount. See “Underwriting (Conflict of Interest)” for a description of compensation and other items of value payable to the underwriters.</w:t>
      </w:r>
    </w:p>
    <w:p>
      <w:pPr>
        <w:spacing w:after="0" w:line="46" w:lineRule="exact"/>
        <w:rPr>
          <w:sz w:val="20"/>
          <w:szCs w:val="20"/>
          <w:color w:val="auto"/>
        </w:rPr>
      </w:pPr>
    </w:p>
    <w:p>
      <w:pPr>
        <w:jc w:val="both"/>
        <w:ind w:left="460" w:right="459" w:firstLine="432"/>
        <w:spacing w:after="0" w:line="228" w:lineRule="auto"/>
        <w:rPr>
          <w:sz w:val="20"/>
          <w:szCs w:val="20"/>
          <w:color w:val="auto"/>
        </w:rPr>
      </w:pPr>
      <w:r>
        <w:rPr>
          <w:rFonts w:ascii="Times New Roman" w:cs="Times New Roman" w:eastAsia="Times New Roman" w:hAnsi="Times New Roman"/>
          <w:sz w:val="13"/>
          <w:szCs w:val="13"/>
          <w:color w:val="auto"/>
        </w:rPr>
        <w:t>Upon consummation of the offering, $10.10 per unit sold to the public in this offering (whether or not the over-allotment option has been exercised in full or part) will be deposited into a United States-based trust account at Morgan Stanley with Continental Stock Transfer &amp; Trust Company acting as trustee.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pacing w:after="0" w:line="66" w:lineRule="exact"/>
        <w:rPr>
          <w:sz w:val="20"/>
          <w:szCs w:val="20"/>
          <w:color w:val="auto"/>
        </w:rPr>
      </w:pPr>
    </w:p>
    <w:p>
      <w:pPr>
        <w:jc w:val="both"/>
        <w:ind w:left="460" w:right="479" w:firstLine="432"/>
        <w:spacing w:after="0"/>
        <w:rPr>
          <w:sz w:val="20"/>
          <w:szCs w:val="20"/>
          <w:color w:val="auto"/>
        </w:rPr>
      </w:pPr>
      <w:r>
        <w:rPr>
          <w:rFonts w:ascii="Times New Roman" w:cs="Times New Roman" w:eastAsia="Times New Roman" w:hAnsi="Times New Roman"/>
          <w:sz w:val="13"/>
          <w:szCs w:val="13"/>
          <w:color w:val="auto"/>
        </w:rPr>
        <w:t xml:space="preserve">The underwriters are offering the units on a firm commitment basis. Chardan Capital Markets, LLC, the representative of the underwriters, expects to deliver the units to purchasers on or about </w:t>
      </w:r>
      <w:r>
        <w:rPr>
          <w:rFonts w:ascii="Times New Roman" w:cs="Times New Roman" w:eastAsia="Times New Roman" w:hAnsi="Times New Roman"/>
          <w:sz w:val="13"/>
          <w:szCs w:val="13"/>
          <w:b w:val="1"/>
          <w:bCs w:val="1"/>
          <w:color w:val="auto"/>
        </w:rPr>
        <w:t>___________,</w:t>
      </w:r>
      <w:r>
        <w:rPr>
          <w:rFonts w:ascii="Times New Roman" w:cs="Times New Roman" w:eastAsia="Times New Roman" w:hAnsi="Times New Roman"/>
          <w:sz w:val="13"/>
          <w:szCs w:val="13"/>
          <w:color w:val="auto"/>
        </w:rPr>
        <w:t xml:space="preserve"> 2020</w:t>
      </w:r>
      <w:r>
        <w:rPr>
          <w:rFonts w:ascii="Times New Roman" w:cs="Times New Roman" w:eastAsia="Times New Roman" w:hAnsi="Times New Roman"/>
          <w:sz w:val="13"/>
          <w:szCs w:val="13"/>
          <w:b w:val="1"/>
          <w:bCs w:val="1"/>
          <w:color w:val="auto"/>
        </w:rPr>
        <w: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Sole Book-Running Manager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Chardan</w:t>
      </w:r>
    </w:p>
    <w:p>
      <w:pPr>
        <w:spacing w:after="0" w:line="4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852" w:gutter="0" w:footer="0" w:header="0"/>
        </w:sectPr>
      </w:pPr>
    </w:p>
    <w:bookmarkStart w:id="3" w:name="page4"/>
    <w:bookmarkEnd w:id="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432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4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SUMMARY</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SUMMARY FINANCIAL DATA</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RISK FACTORS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CAUTIONARY NOTE REGARDING FORWARD-LOOKING STATEMENTS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USE OF PROCEEDS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DIVIDEND POLICY</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DILUTION</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CAPITALIZATION</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75"/>
        </w:trPr>
        <w:tc>
          <w:tcPr>
            <w:tcW w:w="668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MANAGEMENT’S DISCUSSION AND ANALYSIS OF FINANCIAL CONDITION AND</w:t>
              </w:r>
            </w:hyperlink>
          </w:p>
        </w:tc>
        <w:tc>
          <w:tcPr>
            <w:tcW w:w="8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38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RESULTS OF OPERATIONS</w:t>
              </w:r>
            </w:hyperlink>
          </w:p>
        </w:tc>
        <w:tc>
          <w:tcPr>
            <w:tcW w:w="5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2180" w:type="dxa"/>
            <w:vAlign w:val="bottom"/>
            <w:tcBorders>
              <w:top w:val="single" w:sz="8" w:color="0000EE"/>
            </w:tcBorders>
            <w:shd w:val="clear" w:color="auto" w:fill="CCEEFF"/>
          </w:tcPr>
          <w:p>
            <w:pPr>
              <w:spacing w:after="0"/>
              <w:rPr>
                <w:sz w:val="5"/>
                <w:szCs w:val="5"/>
                <w:color w:val="auto"/>
              </w:rPr>
            </w:pPr>
          </w:p>
        </w:tc>
        <w:tc>
          <w:tcPr>
            <w:tcW w:w="43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PROPOSED BUSINESS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MANAGEMENT</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PRINCIPAL STOCKHOLDERS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CERTAIN TRANSACTIONS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DESCRIPTION OF SECURITIES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4"/>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SECURITIES ELIGIBLE FOR FUTURE SALE</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UNDERWRITING (CONFLICTS OF INTEREST)</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08">
              <w:r>
                <w:rPr>
                  <w:rFonts w:ascii="Times New Roman" w:cs="Times New Roman" w:eastAsia="Times New Roman" w:hAnsi="Times New Roman"/>
                  <w:sz w:val="18"/>
                  <w:szCs w:val="18"/>
                  <w:u w:val="single" w:color="auto"/>
                  <w:color w:val="0000EE"/>
                </w:rPr>
                <w:t>LEGAL MATTERS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108">
              <w:r>
                <w:rPr>
                  <w:rFonts w:ascii="Times New Roman" w:cs="Times New Roman" w:eastAsia="Times New Roman" w:hAnsi="Times New Roman"/>
                  <w:sz w:val="18"/>
                  <w:szCs w:val="18"/>
                  <w:u w:val="single" w:color="auto"/>
                  <w:color w:val="0000EE"/>
                </w:rPr>
                <w:t>EXPERTS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4"/>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08">
              <w:r>
                <w:rPr>
                  <w:rFonts w:ascii="Times New Roman" w:cs="Times New Roman" w:eastAsia="Times New Roman" w:hAnsi="Times New Roman"/>
                  <w:sz w:val="18"/>
                  <w:szCs w:val="18"/>
                  <w:u w:val="single" w:color="auto"/>
                  <w:color w:val="0000EE"/>
                </w:rPr>
                <w:t>WHERE YOU CAN FIND ADDITIONAL INFORMATION</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INDEX TO FINANCIAL STATEMENTS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68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85680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116" w:lineRule="exact"/>
        <w:rPr>
          <w:sz w:val="20"/>
          <w:szCs w:val="20"/>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“us” “our” or “our company” refers to Ventoux CCM Acquisition Corp.;</w:t>
      </w:r>
    </w:p>
    <w:p>
      <w:pPr>
        <w:spacing w:after="0" w:line="144"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stockholders” refers to all of our stockholders immediately prior to the date of this prospectus, including our co-sponsors and officers and directors to the extent they hold such shares;</w:t>
      </w:r>
    </w:p>
    <w:p>
      <w:pPr>
        <w:spacing w:after="0" w:line="105"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4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“founder shares” or “insider shares” refers to the 4,312,500 shares of common stock held by our co-sponsors, our directors, and affiliates of our management team and directors prior to this offering (including up to an aggregate of 562,500 shares of common stock subject to forfeiture to the extent that the underwriters’ over-allotment option is not exercised in full or in part);</w:t>
      </w:r>
    </w:p>
    <w:p>
      <w:pPr>
        <w:spacing w:after="0" w:line="112"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6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warrants” refers to the warrants we are selling privately to Ventoux Acquisition, Chardan Investments, and/or their designees upon consummation of this offering;</w:t>
      </w:r>
    </w:p>
    <w:p>
      <w:pPr>
        <w:spacing w:after="0" w:line="77"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5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“warrants” refers to our warrants, which includes the public warrants as well as the private warrants to the extent they are no longer held by the initial purchasers of the private warrants or their permitted transferees;</w:t>
      </w:r>
    </w:p>
    <w:p>
      <w:pPr>
        <w:spacing w:after="0" w:line="105"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4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refers to the rights sold as part of the units in this offering (whether they are purchased in this offering or thereafter in the open market);</w:t>
      </w:r>
    </w:p>
    <w:p>
      <w:pPr>
        <w:spacing w:after="0" w:line="9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“co-sponsors” refers to Ventoux Acquisition and Chardan Investments;</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“Ventoux Acquisition” refers to Ventoux Acquisition Holdings LLC, an entity affiliated with certain of our director and officers;</w:t>
      </w:r>
    </w:p>
    <w:p>
      <w:pPr>
        <w:spacing w:after="0" w:line="90"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5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“Chardan Investments” refers to Chardan International Investments, LLC, an entity affiliated with certain of our investors and Chardan Capital Markets, LLC;</w:t>
      </w:r>
    </w:p>
    <w:p>
      <w:pPr>
        <w:spacing w:after="0" w:line="90"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4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“Chardan” or “Chardan Capital Markets, LLC” refers to Chardan Capital Markets, LLC, the representative of the underwriters;</w:t>
      </w:r>
    </w:p>
    <w:p>
      <w:pPr>
        <w:spacing w:after="0" w:line="77"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4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term “public stockholders” means the holders of shares of common stock which are being sold as part of the units in this public offering, or “public shares,” whether they are purchased in the public offering or in the aftermarket, including any of our initial stockholders to the extent that they purchase such public shares (except that our initial stockholders will not have conversion or tender rights with respect to any public shares they own); and</w:t>
      </w:r>
    </w:p>
    <w:p>
      <w:pPr>
        <w:spacing w:after="0" w:line="115"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53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information in this prospectus assumes that the underwriters will not exercise their over-allotment option (unless otherwise indicated).</w:t>
      </w:r>
    </w:p>
    <w:p>
      <w:pPr>
        <w:spacing w:after="0" w:line="91" w:lineRule="exact"/>
        <w:rPr>
          <w:sz w:val="20"/>
          <w:szCs w:val="20"/>
          <w:color w:val="auto"/>
        </w:rPr>
      </w:pPr>
    </w:p>
    <w:p>
      <w:pPr>
        <w:jc w:val="both"/>
        <w:ind w:left="540" w:right="5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92" w:lineRule="exact"/>
        <w:rPr>
          <w:sz w:val="20"/>
          <w:szCs w:val="20"/>
          <w:color w:val="auto"/>
        </w:rPr>
      </w:pPr>
    </w:p>
    <w:p>
      <w:pPr>
        <w:jc w:val="both"/>
        <w:ind w:left="540" w:right="5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are a blank check company formed under the laws of the State of Delaware on July 10, 2019. We were formed for the purpose of effecting a merger, share exchange, asset acquisition, share purchase, reorganization or similar business combination with one or more businesses, which we refer to throughout this prospectus as our initial business combination. While we may pursue an initial business combination in any region or sector, we intend to focus our efforts on businesses in North America within the hospitality, leisure, travel and dining sectors with an</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 w:name="page6"/>
    <w:bookmarkEnd w:id="5"/>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893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8938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11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an initial business combination with the ultimate goal of pursuing attractive returns for our shareholders.</w:t>
      </w:r>
    </w:p>
    <w:p>
      <w:pPr>
        <w:spacing w:after="0" w:line="10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Co-Sponsors, Management, Board of Directors and Competitive Advantages</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As we search for a prospective target company or business, we intend to leverage the multiple decades of combined investment experience, successful Special Purpose Acquisition Company, or SPAC, execution experience and the expansive network of relationships of the principals and affiliates of our co-sponsors, Ventoux Acquisitions and Chardan Investments. Our management team, led by co-founders Mr. Edward Scheetz and Mr. Matthew MacDonald, have a combined 40 years of hospitality and investment experience. Together with our management team, Chardan Investments and its affiliate, Chardan Capital Markets, LLC, our board of directors and our Senior Advisor, Mr. Robert Martin, we are confident that the combined experience makes us well situated to identify, source, negotiate and execute an initial business combination in the hospitality, leisure, travel and dining sectors.</w:t>
      </w:r>
    </w:p>
    <w:p>
      <w:pPr>
        <w:spacing w:after="0" w:line="121"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Mr. Scheetz is our co-founder, Chief Executive Officer and Chairman of the board of directors. Mr. Scheetz has over thirty years of experience as a leader and innovator in real estate, hospitality and leisure investments. He has been involved in numerous public companies including the leadership of several initial public offerings during his career. Mr. Scheetz was a partner at Apollo Management where he was the co-head of Apollo Real Estate Advisors and raised, invested and managed their first three real estate funds. Mr. Scheetz was co-founder and co-CEO of NorthStar Capital Investment Corporation, and he was also the co-founder and Executive Chairman of NorthStar Realty Finance Corp. (NYSE: NRF), which he successfully took public in 2004. In 2005, Mr. Scheetz became the Chief Executive Officer of Morgans Hotel Group Co. (NASDAQ: MHGC), which he took public in 2006. Morgans was the developer, owner and operator of such iconic hotel properties as Delano and Shore Club in Miami, Mondrian in Los Angeles, Morgans, Royalton, Paramount and Hudson in New York, and Sanderson and St. Martin’s Lane in London.</w:t>
      </w:r>
    </w:p>
    <w:p>
      <w:pPr>
        <w:spacing w:after="0" w:line="111"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In 2010, Mr. Scheetz founded Chelsea Hotels which had properties in Manhattan (including the renowned Hotel Chelsea), Brooklyn, Montauk, Miami, and Chicago. Mr. Scheetz successfully sold Chelsea Hotels in 2016. Throughout his career, Mr. Scheetz has acquired and invested in excess of $10 billion in private companies.</w:t>
      </w:r>
    </w:p>
    <w:p>
      <w:pPr>
        <w:spacing w:after="0" w:line="11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Mr. MacDonald is our co-founder, Chief Financial Officer and Secretary, and has over a decade of experience in real estate, hospitality and leisure investments at public companies and private equity-backed ventures. Mr. MacDonald was responsible for corporate merger and acquisition transaction activity at Hyatt Hotel Corporation (NYSE: H), where, as part of Hyatt’s global platform, he oversaw merger and acquisition investments and underwrote public and private companies within the broader hotel and leisure sectors. Prior to his work at Hyatt, Mr. MacDonald worked in the Real Estate Investment Management and Acquisitions group at Starwood Hotels &amp; Resorts (NYSE: HOT).</w:t>
      </w:r>
    </w:p>
    <w:p>
      <w:pPr>
        <w:spacing w:after="0" w:line="121"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Mr. Brock Strasbourger is our Chief Operating Officer, and has over a decade of experience in venture and private equity backed entertainment, hospitality, travel and real estate technology companies as a founder, operator, and board member. Mr. Strasbourger most recently was responsible for strategic partnerships and corporate development at Convene and has overseen revenue, marketing, and digital at previous companies. Leveraging his financial background, Mr. Strasbourger takes a revenue and ROI generating lens across strategy, business development, product and growth marketing. Prior to his work as a technology executive, Mr. Strasbourger spent four years working in the Emerging Markets Fixed Income group at Barclays Capital (NYSE: BCS).</w:t>
      </w:r>
    </w:p>
    <w:p>
      <w:pPr>
        <w:spacing w:after="0" w:line="111"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Mr. Phatak is our Chief Investment Officer, and has over 17 years of experience in various finance and direct investment roles on Wall Street. Mr. Phatak founded his own investment firm, Tappan Street Partners LLC, where he has led a research driven investment process for a number of private funds over the past nine years. Additionally,</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 w:name="page7"/>
    <w:bookmarkEnd w:id="6"/>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30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7306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Mr. Phatak was a Partner at Markley Capital Management from 2019 to 2020. Prior to Tappan Street, Mr. Phatak developed his investment expertise as a member of the US investment team at Eton Park Capital Management from 2005 to 2011, helping to deploy approximately $5 billion of capital as part of a six-member team. During his career, Mr. Phatak has underwritten investments in a variety of different sectors, including gaming, hospitality, and leisure. Mr. Phatak began his career at the Blackstone Group (NYSE: BX) as an analyst in the Restructuring and Reorganization Advisory group from 2003 to 2005, and later as a private equity associate at Madison Dearborn Partners during 2005.</w:t>
      </w:r>
    </w:p>
    <w:p>
      <w:pPr>
        <w:spacing w:after="0" w:line="121"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Our management team is supported by Chardan Capital Markets’ team of investment banking professionals who each possess extensive experience in corporate finance, mergers and acquisitions, equity and debt capital markets, strategic consulting and operations. Mr. Jonas Grossman, Partner and President of Chardan Capital Markets, and Mr. Alex Weil, co-head of FinTech Investment Banking at Chardan Capital Markets, will each serve on our board of directors. We believe Chardan’s decades of successfully executing SPAC and M&amp;A transactions benefit us, complementing the deep sector expertise and expansive networks of Messrs. Scheetz and MacDonald, our board of directors and advisors.</w:t>
      </w:r>
    </w:p>
    <w:p>
      <w:pPr>
        <w:spacing w:after="0" w:line="94"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Chardan has an extensive track record in the SPAC market as underwriter, sponsor and advisor. Since 2004, Chardan has been lead or co-lead underwriter on 81 SPAC IPOs. Since 2018, Chardan has been merger and acquisition advisor to eleven SPACs, helping companies close transactions valued at approximately $5.1 billion. Chardan-advised SPACs have targeted a wide range of industries, including life sciences, healthcare services, technology hardware and software, financial technology, insurance, financial services, education, media &amp; entertainment, industrials, materials, consumer staples and energy. Chardan has advised SPACs targeting both global and regional markets as well as those with more defined areas of focus in emerging and other geographic markets, including in North America. No Chardan advised or lead underwritten SPAC has liquidated to-date. In addition to its active advisory and underwriting business, Chardan’s principals have founded seven SPACs, five of which have closed successful business combinations, one of which has announced a business combination and one of which is currently seeking an acquisition.</w:t>
      </w:r>
    </w:p>
    <w:p>
      <w:pPr>
        <w:spacing w:after="0" w:line="97"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Our board of directors will include Woodrow (“Woody”) H. Levin, Julie Atkinson, Christian (“Chris”) Ahrens and Bernard Van der Lande.</w:t>
      </w:r>
    </w:p>
    <w:p>
      <w:pPr>
        <w:spacing w:after="0" w:line="81"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Woody Levin is the founder and has served as Chief Executive Officer of Extend, Inc., which offers an API-first solution for merchants to offer extended warranties and protection plans, and 3.0 Capital GP, LLC, which is a multi-strategy crypto asset hedge fund. Mr. Levin also served as Vice President of Growth at DocuSign, Inc. (NASDAQ: DOCU), which allows organizations to digitally prepare, sign, act on, and manage agreements. In addition, Mr. Levin served as the founder and Chief Executive Officer of Estate Assist, Inc., a digital estate planning platform until its acquisition, and of BringIt, Inc., a virtual currency casino and arcade until its acquisition. Mr. Levin served as Director Emerging Business — Office of the CTO at International Game Technology PLC (NYSE: IGT), which manufactures and distributes slot machines and other gaming technology. Mr. Levin serves a member of the board of directors of DraftKings Inc. (NASDAQ: DKNG) and of Extend, Inc.</w:t>
      </w:r>
    </w:p>
    <w:p>
      <w:pPr>
        <w:spacing w:after="0" w:line="100"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Julie Atkinson is the Chief Marketing Officer for Founders Table Restaurant Group, which includes the Chopt and Dos Toros restaurant brands.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Ms. Atkinson is an accomplished digital, marketing, and technology executive with a 20-year track record of innovative and strategic leadership for multiple global consumer brands. She also sits on the board of directors of Bright Horizons Family Solutions Inc. (NYSE: BFAM).</w:t>
      </w:r>
    </w:p>
    <w:p>
      <w:pPr>
        <w:spacing w:after="0" w:line="10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Chris Ahrens is an Advisor with Certares Management LLC (“Certares”), a travel focused investment firm. Prior to joining Certares, he was a Managing Director of One Equity Partners (“OEP”), the private equity investment arm of JPMorgan Chase. He was active in OEP’s travel industry, technology and healthcare investments. Chris currently serves on the Board of Directors of Internova Travel Group, a leading premium corporate, leisure, franchise and consortia travel company operating under a variety of diversified divisions and brands, including Tzell Travel, Protravel International,Travel Leaders Network and Nexion.</w:t>
      </w:r>
    </w:p>
    <w:p>
      <w:pPr>
        <w:spacing w:after="0" w:line="106"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Bernard Van der Lande is Managing Director of Cindat USA LLC, a wholly owned subsidiary of Cindat Capital Management Limited (“Cindat”), an international private equity investment platform for whom Mr. Van der Lande oversees US and European operations as well as strategy and fund formation initiatives. Consistently in the vanguard</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090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9090660"/>
                    </a:xfrm>
                    <a:prstGeom prst="rect">
                      <a:avLst/>
                    </a:prstGeom>
                    <a:noFill/>
                  </pic:spPr>
                </pic:pic>
              </a:graphicData>
            </a:graphic>
          </wp:anchor>
        </w:drawing>
      </w:r>
    </w:p>
    <w:p>
      <w:pPr>
        <w:sectPr>
          <w:pgSz w:w="11900" w:h="16838" w:orient="portrait"/>
          <w:cols w:equalWidth="0" w:num="1">
            <w:col w:w="9019"/>
          </w:cols>
          <w:pgMar w:left="1440" w:top="270" w:right="1440" w:bottom="1118" w:gutter="0" w:footer="0" w:header="0"/>
        </w:sectPr>
      </w:pPr>
    </w:p>
    <w:p>
      <w:pPr>
        <w:spacing w:after="0" w:line="345"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of cross-border and digitized capital formation strategies, Mr. Van der Lande has transacted on or recapitalized a variety of public and private investment vehicles. Bernard Van der Lande was previously Managing Director of Easterly LLC, a private asset management holding company with interests in boutique investment management firms. Previously, he was Managing Director of CBRE Capital Advisors, Inc., CBRE’s real estate investment banking business, and Managing Director of Hodges Ward Elliott, another capital markets and investment banking business.</w:t>
      </w:r>
    </w:p>
    <w:p>
      <w:pPr>
        <w:spacing w:after="0" w:line="93"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Mr. Robert Martin will serve as Senior Advisor to the management team. Mr. Martin is a Vice Chairman in JLL’s New York office, where he leads a ten member brokerage, advisory and consulting team that focuses on tenant representation in the New York Tri-state market. Mr. Martin is an accomplished real estate professional, having completed transactions involving more than 50 million square feet over his 35-year real estate career. Mr. Martin is also the principal and founder of RGM Holdings, a real estate investment firm that sources and invests in real estate assets in the New York metro area. RGM Holdings is the General Partner in a portfolio of real estate investments comprising over 690,000 square feet and a value in excess of $1.3 billion. Mr. Martin is also an early investor in a variety of ventures, including in the proptech and fintech sectors.</w:t>
      </w:r>
    </w:p>
    <w:p>
      <w:pPr>
        <w:spacing w:after="0" w:line="94"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We believe the combined networks and relationships of our management, directors and advisors will allow us to identify, source, underwrite, negotiate and execute an initial business combination with a successful and fast-growing company within our target sector.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Opportunity</w:t>
      </w:r>
    </w:p>
    <w:p>
      <w:pPr>
        <w:spacing w:after="0" w:line="14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intend to identify and acquire a business within the hospitality, leisure, travel and dining sectors with an overall transaction value between approximately $500 million and $2.0 billion. We believe that these sectors represent attractive target markets given the size, breadth and prospects for growth, with travel and tourism having contributed nearly $8.8 trillion to global GDP in 2018, having been expected to grow an average of 7.1% annually through 2020 prior to COVID-19, which has adversely impacted the sector. Based on demographic and behavioral trends and a long-term demand for travel and leisure experiences, consumers are investing more in experiences than products, and we believe this will continue through a down-cycle in hospitality due to COVID-19.</w:t>
      </w:r>
    </w:p>
    <w:p>
      <w:pPr>
        <w:spacing w:after="0" w:line="97"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2019, domestic and international travelers spent $1.126 trillion in the U.S. and domestic travelers alone spent $972 billion in the U.S. (a 4.4% increase from 2018), according to the U.S. Travel Association. Moreover, domestic and international leisure travelers spent a total of $792 billion in 2019 in the U.S., up 4.1% from 2018, and domestic and international business traveler spending increased 2.2% to $334 billion in 2019. Other sectors, from entertainment to venues, tours and restaurants, also benefited as U.S. consumers invested in an inherent love for leisure, travel and dining experiences.</w:t>
      </w:r>
    </w:p>
    <w:p>
      <w:pPr>
        <w:spacing w:after="0" w:line="93"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COVID-19 has created a temporary valuation dislocation, and has adversely impacted the ability of companies and business divisions to access to the public and/or private financing markets. We believe that COVID-19 will create a pervasive and permanent change in global consumer and business behavior similar to previous crises, such as 9/11’s impact on travel security and the global financial crisis’ impact on (increased) financial regulation.</w:t>
      </w:r>
    </w:p>
    <w:p>
      <w:pPr>
        <w:spacing w:after="0" w:line="10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Competition for consumers’ hospitality, travel, leisure and dining spending has remained high, and resulted in companies introducing innovative concepts, technologies and strategies to establish competitive market positioning. We believe the private market for hospitality, leisure, travel and dining companies will provide attractive opportunities for identifying a business combination target. We are confident that we will identify and capitalize on the many attractive and well-positioned companies whose operating models have, or will adapt, to the changing consumer and business behaviors in a COVID-19 or post-COVID-19 environment.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4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Our management team’s objective is to generate attractive returns and create long-term value for our shareholders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2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Our evaluation process will leverage our co-founders’, board’s and advisors’ network of industry, private equity sponsor, credit fund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w:t>
      </w:r>
    </w:p>
    <w:p>
      <w:pPr>
        <w:sectPr>
          <w:pgSz w:w="11900" w:h="16838" w:orient="portrait"/>
          <w:cols w:equalWidth="0" w:num="1">
            <w:col w:w="9019"/>
          </w:cols>
          <w:pgMar w:left="1440" w:top="270" w:right="1440" w:bottom="1118"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118" w:gutter="0" w:footer="0" w:header="0"/>
          <w:type w:val="continuous"/>
        </w:sectPr>
      </w:pPr>
    </w:p>
    <w:bookmarkStart w:id="8" w:name="page9"/>
    <w:bookmarkEnd w:id="8"/>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56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15657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management team, board and advisors have experience in:</w:t>
      </w:r>
    </w:p>
    <w:p>
      <w:pPr>
        <w:spacing w:after="0" w:line="144" w:lineRule="exact"/>
        <w:rPr>
          <w:sz w:val="20"/>
          <w:szCs w:val="20"/>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key activities of SPACs including, sponsoring, underwriting and M&amp;A advisory;</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companies, setting and changing strategies, and identifying, monitoring and recruiting world-class talent;</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5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growing companies, both organically and through acquisitions and strategic transactions and expanding the product range and geographic footprint of a number of target businesses;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structuring, acquiring and selling businesses,</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accessing the capital markets, including financing businesses and helping companies transition to public ownership;</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relationships with sellers, capital providers and target management teams; and</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transactions in multiple geographies and under varying economic and financial market conditions.</w:t>
      </w:r>
    </w:p>
    <w:p>
      <w:pPr>
        <w:spacing w:after="0" w:line="94"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 Criteria</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02" w:lineRule="exact"/>
        <w:rPr>
          <w:sz w:val="20"/>
          <w:szCs w:val="20"/>
          <w:color w:val="auto"/>
        </w:rPr>
      </w:pPr>
    </w:p>
    <w:p>
      <w:pPr>
        <w:ind w:left="1400" w:right="559" w:hanging="424"/>
        <w:spacing w:after="0" w:line="282" w:lineRule="auto"/>
        <w:tabs>
          <w:tab w:leader="none" w:pos="14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competitive industry position with demonstrated competitive advantages to maintain barriers to entry;</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historic record of above average growth and strong free cash flow characteristics with high returns on capital;</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6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positioned for continued organic growth and may grow through bolt-on acquisitions in these challenging times for the industry sectors;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fundamentally sound company with a proven track record;</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5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operating model that has adapted or has an executable strategy to be able to meet the changing consumer or business behaviors in a COVID-19 or post-COVID 19 environment;</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offer an attractive risk-adjusted return for our stockholders; and</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benefit from being a publicly traded company, are prepared to be a publicly traded company and can utilize access to broader capital markets.</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materials or tender offer documents that we would file with the SEC.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Acquisition Process</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Rigorous and comprehensive due diligence on prospective business targets is particularly important within the hospitality, travel, leisure and dining sectors in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08"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We have not identified any business combination target and we have not, nor has anyone on our behalf, initiated any substantive discussions, directly or indirectly, with any business combination target. Our co-sponsors, all of the members of our management team and our board, our advisors, including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Value Creation Post Merger</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After the initial business combination, our management team intends to apply a rigorous approach to enhancing shareholder value, including evaluating the experience and expertise of incumbent management and making changes when appropriate, examining opportunities for revenue enhancement, cost savings, operating efficiencies and strategic acquisitions and divestitures, and accessing the financial markets to optimize the company’s capital structure. Our management team intends to pursue post-merger initiatives through participation on the board of directors, through direct involvement with company operations and/or calling upon a stable of former managers and advisors when necessary.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Each business combination will be approved by a majority of our independent directors.</w:t>
      </w:r>
    </w:p>
    <w:p>
      <w:pPr>
        <w:spacing w:after="0" w:line="111"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391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4391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162" w:lineRule="exact"/>
        <w:rPr>
          <w:sz w:val="20"/>
          <w:szCs w:val="20"/>
          <w:color w:val="auto"/>
        </w:rPr>
      </w:pPr>
    </w:p>
    <w:p>
      <w:pPr>
        <w:jc w:val="both"/>
        <w:ind w:left="540" w:right="559" w:firstLine="432"/>
        <w:spacing w:after="0" w:line="268" w:lineRule="auto"/>
        <w:rPr>
          <w:sz w:val="20"/>
          <w:szCs w:val="20"/>
          <w:color w:val="auto"/>
        </w:rPr>
      </w:pPr>
      <w:r>
        <w:rPr>
          <w:rFonts w:ascii="Times New Roman" w:cs="Times New Roman" w:eastAsia="Times New Roman" w:hAnsi="Times New Roman"/>
          <w:sz w:val="17"/>
          <w:szCs w:val="17"/>
          <w:color w:val="auto"/>
        </w:rPr>
        <w:t>On September 19, 2019, Chardan Investments purchased 5,000,000 shares of common stock from us for $25,000. On July 23, 2020, Chardan Investments sold 3,250,000 shares of common stock back to us for $16,250.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On December 15, 2020, Ventoux Acquisition transferred 22,500 shares of common stock to Cindat, an affiliate of one of our directors, and, on December 17, 2020, Ventoux Acquisition transferred an aggregate of 67,500 shares of common stock to three of our directors. As of the date hereof, Ventoux Acquisition holds 2,728,875 shares of common stock. The founder shares include an aggregate of up to 562,500 shares that are subject to forfeiture to the extent that the underwriters’ over-allotment option is not exercised in full or in part, so that our initial stockholders will collectively own 20% of our issued and outstanding shares after this offering (excluding the sale of the private warrants and assuming our initial stockholders do not purchase public units in this offering).</w:t>
      </w:r>
    </w:p>
    <w:p>
      <w:pPr>
        <w:spacing w:after="0" w:line="1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founder shares are identical to the public shares. However, our initial stockholders have agreed</w:t>
      </w:r>
    </w:p>
    <w:p>
      <w:pPr>
        <w:spacing w:after="0" w:line="27" w:lineRule="exact"/>
        <w:rPr>
          <w:sz w:val="20"/>
          <w:szCs w:val="20"/>
          <w:color w:val="auto"/>
        </w:rPr>
      </w:pPr>
    </w:p>
    <w:p>
      <w:pPr>
        <w:jc w:val="both"/>
        <w:ind w:left="540" w:right="559" w:firstLine="4"/>
        <w:spacing w:after="0" w:line="251" w:lineRule="auto"/>
        <w:tabs>
          <w:tab w:leader="none" w:pos="8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their founder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15 months of the closing of this offering (or up to 18 months, as applicable), unless we provide public stockholders an opportunity to redeem their public shares in conjunction with any such amendment, (C) not to redeem any shares, including founder shares into the right to receive cash from the trust account in connection with a stockholder vote to approve our proposed initial business combination or sell any shares to us in any tender offer in connection with our proposed initial business combination, and (D) that the founder shares shall not participate in any liquidating distribution upon winding up if a business combination is not consummated.</w:t>
      </w:r>
    </w:p>
    <w:p>
      <w:pPr>
        <w:spacing w:after="0" w:line="125" w:lineRule="exact"/>
        <w:rPr>
          <w:sz w:val="20"/>
          <w:szCs w:val="20"/>
          <w:color w:val="auto"/>
        </w:rPr>
      </w:pPr>
    </w:p>
    <w:p>
      <w:pPr>
        <w:jc w:val="both"/>
        <w:ind w:left="540" w:right="559" w:firstLine="432"/>
        <w:spacing w:after="0" w:line="251" w:lineRule="auto"/>
        <w:rPr>
          <w:sz w:val="20"/>
          <w:szCs w:val="20"/>
          <w:color w:val="auto"/>
        </w:rPr>
      </w:pPr>
      <w:r>
        <w:rPr>
          <w:rFonts w:ascii="Times New Roman" w:cs="Times New Roman" w:eastAsia="Times New Roman" w:hAnsi="Times New Roman"/>
          <w:sz w:val="18"/>
          <w:szCs w:val="18"/>
          <w:color w:val="auto"/>
        </w:rPr>
        <w:t>On the date of this prospectus, the founder shares will be placed into an escrow account maintained by Continental Stock Transfer &amp; Trust Company acting as escrow agent. 50% of these shares will not be transferred, assigned, sold or released from escrow until the earlier of (i) 6 months after the date of the consummation of our initial business combination or (ii) the date on which the closing price of our shares of common stock equals or exceeds $12.50 per share (as adjusted for stock splits, stock dividends, reorganizations and recapitalizations) for any 20 trading days within any 30-trading day period commencing after our initial business combination, and the remaining 50% of the founder shares will not be transferred, assigned, sold or released from escrow until 6 months after the date of the consummation of our initial business combination, or earlier, in either case, if, subsequent to our initial business combination, we consummate a subsequent liquidation, merger, stock exchange or other similar transaction which results in all of our stockholders having the right to exchange their shares of common stock for cash, securities or other property. During the escrow period, the holders of these shares will not be able to sell or transfer their securities except (1) to any persons (including their affiliates and stockholders) participating in the private placement of the private warrants, officers, directors, stockholders, employees and members of our co-sponsors and their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or (9) for the cancellation of up to 562,500 shares of common stock subject to forfeiture to the extent that the underwriters’ over-allotment is not exercised in full or in part or in connection with the consummation of our initial business combination, in each case (except for clause 9 or with our prior consent) where the transferee agrees to the terms of the escrow agreement and the insider letter.</w:t>
      </w:r>
    </w:p>
    <w:p>
      <w:pPr>
        <w:sectPr>
          <w:pgSz w:w="11900" w:h="16838" w:orient="portrait"/>
          <w:cols w:equalWidth="0" w:num="1">
            <w:col w:w="9019"/>
          </w:cols>
          <w:pgMar w:left="1440" w:top="270" w:right="1440" w:bottom="1440" w:gutter="0" w:footer="0" w:header="0"/>
          <w:type w:val="continuous"/>
        </w:sect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522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7522210"/>
                    </a:xfrm>
                    <a:prstGeom prst="rect">
                      <a:avLst/>
                    </a:prstGeom>
                    <a:noFill/>
                  </pic:spPr>
                </pic:pic>
              </a:graphicData>
            </a:graphic>
          </wp:anchor>
        </w:drawing>
      </w:r>
    </w:p>
    <w:p>
      <w:pPr>
        <w:spacing w:after="0" w:line="327" w:lineRule="exact"/>
        <w:rPr>
          <w:sz w:val="20"/>
          <w:szCs w:val="20"/>
          <w:color w:val="auto"/>
        </w:rPr>
      </w:pPr>
    </w:p>
    <w:p>
      <w:pPr>
        <w:jc w:val="both"/>
        <w:ind w:left="540" w:right="559" w:firstLine="432"/>
        <w:spacing w:after="0" w:line="267" w:lineRule="auto"/>
        <w:rPr>
          <w:sz w:val="20"/>
          <w:szCs w:val="20"/>
          <w:color w:val="auto"/>
        </w:rPr>
      </w:pPr>
      <w:r>
        <w:rPr>
          <w:rFonts w:ascii="Times New Roman" w:cs="Times New Roman" w:eastAsia="Times New Roman" w:hAnsi="Times New Roman"/>
          <w:sz w:val="17"/>
          <w:szCs w:val="17"/>
          <w:color w:val="auto"/>
        </w:rPr>
        <w:t>The private warrants and any shares of common stock issued upon conversion or exercise thereof are subject to transfer restrictions pursuant to lock-up provisions in a letter agreement with us to be entered into by Ventoux Acquisition, Chardan Investments, officers, directors and advisors of the Company. Those lock-up provisions provide that such securities are not transferable or salable until 30 days after the completion of our initial business combination, except (a) to our officers or directors, any affiliates or family members of any of our officers or directors, any members of Ventoux Acquisition or Chardan Investments, or any affiliates of Ventoux Acquisition or Chardan Investments;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Ventoux Acquisition or Chardan Investments,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Ventoux Acquisition, Chardan Investments, officers, directors and advisors of the Company, as the case may be, with respect to such securities (including provisions relating to voting, the trust account and liquidation distributions described elsewhere in this prospectus).</w:t>
      </w:r>
    </w:p>
    <w:p>
      <w:pPr>
        <w:spacing w:after="0" w:line="336" w:lineRule="exact"/>
        <w:rPr>
          <w:sz w:val="20"/>
          <w:szCs w:val="20"/>
          <w:color w:val="auto"/>
        </w:rPr>
      </w:pPr>
    </w:p>
    <w:p>
      <w:pPr>
        <w:jc w:val="both"/>
        <w:ind w:left="540" w:right="559" w:firstLine="432"/>
        <w:spacing w:after="0" w:line="269" w:lineRule="auto"/>
        <w:rPr>
          <w:sz w:val="20"/>
          <w:szCs w:val="20"/>
          <w:color w:val="auto"/>
        </w:rPr>
      </w:pPr>
      <w:r>
        <w:rPr>
          <w:rFonts w:ascii="Times New Roman" w:cs="Times New Roman" w:eastAsia="Times New Roman" w:hAnsi="Times New Roman"/>
          <w:sz w:val="17"/>
          <w:szCs w:val="17"/>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101"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proceeds from the private placement of the private warrants will be added to the proceeds of this offering and placed in a trust account in the United States maintained by Continental Stock Transfer &amp; Trust Company, as trustee. If we do not complete our initial business combination within 15 months (or up to 18 months, as applicable), the proceeds from the sale of the private warrants will be included in the liquidating distribution to the holders of our public shares.</w:t>
      </w:r>
    </w:p>
    <w:p>
      <w:pPr>
        <w:spacing w:after="0" w:line="116"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124"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If public units or shares of common stock are purchased by any of our directors, officers or initial stockholders, they will be entitled to funds from the trust account to the same extent as any public stockholder upon our liquidation but will not have redemption rights related thereto.</w:t>
      </w:r>
    </w:p>
    <w:p>
      <w:pPr>
        <w:spacing w:after="0" w:line="95"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Our executive offices are located at 1 East Putnam Avenue, Floor 4, Greenwich, CT, 06830, and our telephone number is 646-465-9000.</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511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9511030"/>
                    </a:xfrm>
                    <a:prstGeom prst="rect">
                      <a:avLst/>
                    </a:prstGeom>
                    <a:noFill/>
                  </pic:spPr>
                </pic:pic>
              </a:graphicData>
            </a:graphic>
          </wp:anchor>
        </w:drawing>
      </w:r>
    </w:p>
    <w:p>
      <w:pPr>
        <w:sectPr>
          <w:pgSz w:w="11900" w:h="16838" w:orient="portrait"/>
          <w:cols w:equalWidth="0" w:num="1">
            <w:col w:w="9019"/>
          </w:cols>
          <w:pgMar w:left="1440" w:top="270" w:right="1440" w:bottom="443"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22 of this prospectus.</w:t>
      </w:r>
    </w:p>
    <w:p>
      <w:pPr>
        <w:spacing w:after="0" w:line="143" w:lineRule="exact"/>
        <w:rPr>
          <w:sz w:val="20"/>
          <w:szCs w:val="20"/>
          <w:color w:val="auto"/>
        </w:r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Securities offered</w:t>
      </w:r>
      <w:r>
        <w:rPr>
          <w:sz w:val="20"/>
          <w:szCs w:val="20"/>
          <w:color w:val="auto"/>
        </w:rPr>
        <w:tab/>
      </w:r>
      <w:r>
        <w:rPr>
          <w:rFonts w:ascii="Times New Roman" w:cs="Times New Roman" w:eastAsia="Times New Roman" w:hAnsi="Times New Roman"/>
          <w:sz w:val="18"/>
          <w:szCs w:val="18"/>
          <w:color w:val="auto"/>
        </w:rPr>
        <w:t>15,000,000 units, at $10.00 per unit, each unit consisting of one share</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common stock, one right and one warrant. Each right entitles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holder thereof to receive one-twentieth (1/20) of one share of common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stock upon the consummation of an initial business combination. Each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warrant entitles the holder thereof to purchase one-half of one share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at a price of $11.50 per whole share, subject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adjustment as described in this prospectus.</w:t>
      </w:r>
    </w:p>
    <w:p>
      <w:pPr>
        <w:sectPr>
          <w:pgSz w:w="11900" w:h="16838" w:orient="portrait"/>
          <w:cols w:equalWidth="0" w:num="1">
            <w:col w:w="9019"/>
          </w:cols>
          <w:pgMar w:left="1440" w:top="270" w:right="1440" w:bottom="443" w:gutter="0" w:footer="0" w:header="0"/>
          <w:type w:val="continuous"/>
        </w:sectPr>
      </w:pPr>
    </w:p>
    <w:p>
      <w:pPr>
        <w:spacing w:after="0" w:line="176"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Listing of our securities and proposed symbols</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both"/>
        <w:ind w:right="579"/>
        <w:spacing w:after="0" w:line="261" w:lineRule="auto"/>
        <w:rPr>
          <w:sz w:val="20"/>
          <w:szCs w:val="20"/>
          <w:color w:val="auto"/>
        </w:rPr>
      </w:pPr>
      <w:r>
        <w:rPr>
          <w:rFonts w:ascii="Times New Roman" w:cs="Times New Roman" w:eastAsia="Times New Roman" w:hAnsi="Times New Roman"/>
          <w:sz w:val="18"/>
          <w:szCs w:val="18"/>
          <w:color w:val="auto"/>
        </w:rPr>
        <w:t>We anticipate the units and the shares of common stock, the rights and the warrants, once they begin separate trading, will be listed on Nasdaq under the symbols “VTAQU,” “VTAQ,” “VTAQR” and “VTAQW,” respectively.</w:t>
      </w:r>
    </w:p>
    <w:p>
      <w:pPr>
        <w:spacing w:after="0" w:line="153" w:lineRule="exact"/>
        <w:rPr>
          <w:sz w:val="20"/>
          <w:szCs w:val="20"/>
          <w:color w:val="auto"/>
        </w:rPr>
      </w:pPr>
    </w:p>
    <w:p>
      <w:pPr>
        <w:jc w:val="both"/>
        <w:ind w:right="559"/>
        <w:spacing w:after="0" w:line="250" w:lineRule="auto"/>
        <w:rPr>
          <w:sz w:val="20"/>
          <w:szCs w:val="20"/>
          <w:color w:val="auto"/>
        </w:rPr>
      </w:pPr>
      <w:r>
        <w:rPr>
          <w:rFonts w:ascii="Times New Roman" w:cs="Times New Roman" w:eastAsia="Times New Roman" w:hAnsi="Times New Roman"/>
          <w:sz w:val="18"/>
          <w:szCs w:val="18"/>
          <w:color w:val="auto"/>
        </w:rPr>
        <w:t>Each of the shares of common stock, rights and warrants may trade separately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 unless Chardan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allow separate trading of the shares of common stock, rights and warrants until we file an audited balance sheet reflecting our receipt of the gross proceeds of this offering.</w:t>
      </w:r>
    </w:p>
    <w:p>
      <w:pPr>
        <w:spacing w:after="0" w:line="169" w:lineRule="exact"/>
        <w:rPr>
          <w:sz w:val="20"/>
          <w:szCs w:val="20"/>
          <w:color w:val="auto"/>
        </w:rPr>
      </w:pPr>
    </w:p>
    <w:p>
      <w:pPr>
        <w:jc w:val="both"/>
        <w:ind w:right="559"/>
        <w:spacing w:after="0" w:line="255" w:lineRule="auto"/>
        <w:rPr>
          <w:sz w:val="20"/>
          <w:szCs w:val="20"/>
          <w:color w:val="auto"/>
        </w:rPr>
      </w:pPr>
      <w:r>
        <w:rPr>
          <w:rFonts w:ascii="Times New Roman" w:cs="Times New Roman" w:eastAsia="Times New Roman" w:hAnsi="Times New Roman"/>
          <w:sz w:val="18"/>
          <w:szCs w:val="18"/>
          <w:color w:val="auto"/>
        </w:rPr>
        <w:t>Once the shares of common stock, rights and warrants commence separate trading, holders will have the option to continue to hold units or separate their units into shares of common stock, rights and warrants. Holders will need to have their brokers contact our transfer agent, Continental Stock Transfer &amp; Trust Company, in order to separate the units into separately trading shares of common stock, rights and warrants.</w:t>
      </w:r>
    </w:p>
    <w:p>
      <w:pPr>
        <w:spacing w:after="0" w:line="162" w:lineRule="exact"/>
        <w:rPr>
          <w:sz w:val="20"/>
          <w:szCs w:val="20"/>
          <w:color w:val="auto"/>
        </w:rPr>
      </w:pPr>
    </w:p>
    <w:p>
      <w:pPr>
        <w:jc w:val="both"/>
        <w:ind w:right="559"/>
        <w:spacing w:after="0" w:line="250" w:lineRule="auto"/>
        <w:rPr>
          <w:sz w:val="20"/>
          <w:szCs w:val="20"/>
          <w:color w:val="auto"/>
        </w:rPr>
      </w:pPr>
      <w:r>
        <w:rPr>
          <w:rFonts w:ascii="Times New Roman" w:cs="Times New Roman" w:eastAsia="Times New Roman" w:hAnsi="Times New Roman"/>
          <w:sz w:val="18"/>
          <w:szCs w:val="18"/>
          <w:color w:val="auto"/>
        </w:rPr>
        <w:t>We will file a Current Report on Form 8-K with the SEC, including an audited balance sheet, promptly upon the consummation of this offering, which is anticipated to take place two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Form 8-K or a new Form 8-K to provide updated financial information to reflect the exercise of the over-allotment option. We will also include in the Form 8-K, or amendment thereto, or in a subsequent Form 8-K, information indicating if Chardan has allowed separate trading of the shares of common stock, rights and warrants prior to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w:t>
      </w:r>
    </w:p>
    <w:p>
      <w:pPr>
        <w:spacing w:after="0" w:line="171" w:lineRule="exact"/>
        <w:rPr>
          <w:sz w:val="20"/>
          <w:szCs w:val="20"/>
          <w:color w:val="auto"/>
        </w:rPr>
      </w:pPr>
    </w:p>
    <w:p>
      <w:pPr>
        <w:jc w:val="both"/>
        <w:ind w:right="579"/>
        <w:spacing w:after="0" w:line="266" w:lineRule="auto"/>
        <w:rPr>
          <w:sz w:val="20"/>
          <w:szCs w:val="20"/>
          <w:color w:val="auto"/>
        </w:rPr>
      </w:pPr>
      <w:r>
        <w:rPr>
          <w:rFonts w:ascii="Times New Roman" w:cs="Times New Roman" w:eastAsia="Times New Roman" w:hAnsi="Times New Roman"/>
          <w:sz w:val="18"/>
          <w:szCs w:val="18"/>
          <w:color w:val="auto"/>
        </w:rPr>
        <w:t>In connection with the completion of our initial business combination, we may, at our discretion, mandatorily separate all issued and outstanding units into shares of common stock, rights and warrants.</w:t>
      </w:r>
    </w:p>
    <w:p>
      <w:pPr>
        <w:spacing w:after="0" w:line="145" w:lineRule="exact"/>
        <w:rPr>
          <w:sz w:val="20"/>
          <w:szCs w:val="20"/>
          <w:color w:val="auto"/>
        </w:rPr>
      </w:pPr>
    </w:p>
    <w:p>
      <w:pPr>
        <w:sectPr>
          <w:pgSz w:w="11900" w:h="16838" w:orient="portrait"/>
          <w:cols w:equalWidth="0" w:num="2">
            <w:col w:w="2700" w:space="560"/>
            <w:col w:w="5759"/>
          </w:cols>
          <w:pgMar w:left="1440" w:top="270" w:right="1440" w:bottom="443" w:gutter="0" w:footer="0" w:header="0"/>
          <w:type w:val="continuous"/>
        </w:sectPr>
      </w:pPr>
    </w:p>
    <w:tbl>
      <w:tblPr>
        <w:tblLayout w:type="fixed"/>
        <w:tblInd w:w="54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1540" w:type="dxa"/>
            <w:vAlign w:val="bottom"/>
          </w:tcPr>
          <w:p>
            <w:pPr>
              <w:spacing w:after="0"/>
              <w:rPr>
                <w:sz w:val="20"/>
                <w:szCs w:val="20"/>
                <w:color w:val="auto"/>
              </w:rPr>
            </w:pPr>
          </w:p>
        </w:tc>
      </w:tr>
      <w:tr>
        <w:trPr>
          <w:trHeight w:val="383"/>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issued and outstanding</w:t>
            </w:r>
          </w:p>
        </w:tc>
        <w:tc>
          <w:tcPr>
            <w:tcW w:w="1540" w:type="dxa"/>
            <w:vAlign w:val="bottom"/>
          </w:tcPr>
          <w:p>
            <w:pPr>
              <w:spacing w:after="0"/>
              <w:rPr>
                <w:sz w:val="24"/>
                <w:szCs w:val="24"/>
                <w:color w:val="auto"/>
              </w:rPr>
            </w:pPr>
          </w:p>
        </w:tc>
      </w:tr>
      <w:tr>
        <w:trPr>
          <w:trHeight w:val="28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before this offering</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4,312,500 shares</w:t>
            </w:r>
            <w:r>
              <w:rPr>
                <w:rFonts w:ascii="Times New Roman" w:cs="Times New Roman" w:eastAsia="Times New Roman" w:hAnsi="Times New Roman"/>
                <w:sz w:val="20"/>
                <w:szCs w:val="20"/>
                <w:color w:val="auto"/>
                <w:vertAlign w:val="superscript"/>
              </w:rPr>
              <w:t>(1)</w:t>
            </w:r>
          </w:p>
        </w:tc>
      </w:tr>
      <w:tr>
        <w:trPr>
          <w:trHeight w:val="335"/>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to be issued and</w:t>
            </w:r>
          </w:p>
        </w:tc>
        <w:tc>
          <w:tcPr>
            <w:tcW w:w="1540" w:type="dxa"/>
            <w:vAlign w:val="bottom"/>
          </w:tcPr>
          <w:p>
            <w:pPr>
              <w:spacing w:after="0"/>
              <w:rPr>
                <w:sz w:val="24"/>
                <w:szCs w:val="24"/>
                <w:color w:val="auto"/>
              </w:rPr>
            </w:pPr>
          </w:p>
        </w:tc>
      </w:tr>
      <w:tr>
        <w:trPr>
          <w:trHeight w:val="28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 after this offering</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18,750,000 shares</w:t>
            </w:r>
            <w:r>
              <w:rPr>
                <w:rFonts w:ascii="Times New Roman" w:cs="Times New Roman" w:eastAsia="Times New Roman" w:hAnsi="Times New Roman"/>
                <w:sz w:val="20"/>
                <w:szCs w:val="20"/>
                <w:color w:val="auto"/>
                <w:w w:val="95"/>
                <w:vertAlign w:val="superscript"/>
              </w:rPr>
              <w:t>(2)</w:t>
            </w:r>
          </w:p>
        </w:tc>
      </w:tr>
    </w:tbl>
    <w:p>
      <w:pPr>
        <w:spacing w:after="0" w:line="200" w:lineRule="exact"/>
        <w:rPr>
          <w:sz w:val="20"/>
          <w:szCs w:val="20"/>
          <w:color w:val="auto"/>
        </w:rPr>
      </w:pPr>
    </w:p>
    <w:p>
      <w:pPr>
        <w:sectPr>
          <w:pgSz w:w="11900" w:h="16838" w:orient="portrait"/>
          <w:cols w:equalWidth="0" w:num="1">
            <w:col w:w="9019"/>
          </w:cols>
          <w:pgMar w:left="1440" w:top="270" w:right="1440" w:bottom="443" w:gutter="0" w:footer="0" w:header="0"/>
          <w:type w:val="continuous"/>
        </w:sect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443" w:gutter="0" w:footer="0" w:header="0"/>
          <w:type w:val="continuous"/>
        </w:sectPr>
      </w:pPr>
    </w:p>
    <w:bookmarkStart w:id="13" w:name="page14"/>
    <w:bookmarkEnd w:id="13"/>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030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90309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040" w:type="dxa"/>
            <w:vAlign w:val="bottom"/>
          </w:tcPr>
          <w:p>
            <w:pPr>
              <w:spacing w:after="0"/>
              <w:rPr>
                <w:sz w:val="20"/>
                <w:szCs w:val="20"/>
                <w:color w:val="auto"/>
              </w:rPr>
            </w:pPr>
          </w:p>
        </w:tc>
      </w:tr>
      <w:tr>
        <w:trPr>
          <w:trHeight w:val="383"/>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issued and outstanding</w:t>
            </w:r>
          </w:p>
        </w:tc>
        <w:tc>
          <w:tcPr>
            <w:tcW w:w="1040" w:type="dxa"/>
            <w:vAlign w:val="bottom"/>
          </w:tcPr>
          <w:p>
            <w:pPr>
              <w:spacing w:after="0"/>
              <w:rPr>
                <w:sz w:val="24"/>
                <w:szCs w:val="24"/>
                <w:color w:val="auto"/>
              </w:rPr>
            </w:pPr>
          </w:p>
        </w:tc>
      </w:tr>
      <w:tr>
        <w:trPr>
          <w:trHeight w:val="252"/>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before this offering</w:t>
            </w: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 rights</w:t>
            </w:r>
          </w:p>
        </w:tc>
      </w:tr>
      <w:tr>
        <w:trPr>
          <w:trHeight w:val="396"/>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to be issued and</w:t>
            </w:r>
          </w:p>
        </w:tc>
        <w:tc>
          <w:tcPr>
            <w:tcW w:w="1040" w:type="dxa"/>
            <w:vAlign w:val="bottom"/>
          </w:tcPr>
          <w:p>
            <w:pPr>
              <w:spacing w:after="0"/>
              <w:rPr>
                <w:sz w:val="24"/>
                <w:szCs w:val="24"/>
                <w:color w:val="auto"/>
              </w:rPr>
            </w:pPr>
          </w:p>
        </w:tc>
      </w:tr>
      <w:tr>
        <w:trPr>
          <w:trHeight w:val="28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 after this offering</w:t>
            </w: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3"/>
              </w:rPr>
              <w:t>15,000,000</w:t>
            </w:r>
            <w:r>
              <w:rPr>
                <w:rFonts w:ascii="Times New Roman" w:cs="Times New Roman" w:eastAsia="Times New Roman" w:hAnsi="Times New Roman"/>
                <w:sz w:val="20"/>
                <w:szCs w:val="20"/>
                <w:color w:val="auto"/>
                <w:w w:val="93"/>
                <w:vertAlign w:val="superscript"/>
              </w:rPr>
              <w:t>(3)</w:t>
            </w:r>
          </w:p>
        </w:tc>
      </w:tr>
      <w:tr>
        <w:trPr>
          <w:trHeight w:val="357"/>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tc>
        <w:tc>
          <w:tcPr>
            <w:tcW w:w="1040" w:type="dxa"/>
            <w:vAlign w:val="bottom"/>
          </w:tcPr>
          <w:p>
            <w:pPr>
              <w:spacing w:after="0"/>
              <w:rPr>
                <w:sz w:val="24"/>
                <w:szCs w:val="24"/>
                <w:color w:val="auto"/>
              </w:rPr>
            </w:pPr>
          </w:p>
        </w:tc>
      </w:tr>
    </w:tbl>
    <w:p>
      <w:pPr>
        <w:spacing w:after="0" w:line="167"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ind w:left="720" w:right="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Number issued and outstanding before this offering</w:t>
      </w:r>
    </w:p>
    <w:p>
      <w:pPr>
        <w:spacing w:after="0" w:line="105" w:lineRule="exact"/>
        <w:rPr>
          <w:sz w:val="20"/>
          <w:szCs w:val="20"/>
          <w:color w:val="auto"/>
        </w:rPr>
      </w:pPr>
    </w:p>
    <w:p>
      <w:pPr>
        <w:ind w:left="720" w:hanging="179"/>
        <w:spacing w:after="0" w:line="291" w:lineRule="auto"/>
        <w:rPr>
          <w:sz w:val="20"/>
          <w:szCs w:val="20"/>
          <w:color w:val="auto"/>
        </w:rPr>
      </w:pPr>
      <w:r>
        <w:rPr>
          <w:rFonts w:ascii="Times New Roman" w:cs="Times New Roman" w:eastAsia="Times New Roman" w:hAnsi="Times New Roman"/>
          <w:sz w:val="17"/>
          <w:szCs w:val="17"/>
          <w:b w:val="1"/>
          <w:bCs w:val="1"/>
          <w:color w:val="auto"/>
        </w:rPr>
        <w:t>Number to be issued and outstanding after this offering and sale of private warrants</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warrants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15,000,000 public warrants and 6,000,000 private warrants</w:t>
      </w:r>
      <w:r>
        <w:rPr>
          <w:rFonts w:ascii="Times New Roman" w:cs="Times New Roman" w:eastAsia="Times New Roman" w:hAnsi="Times New Roman"/>
          <w:sz w:val="20"/>
          <w:szCs w:val="20"/>
          <w:color w:val="auto"/>
          <w:vertAlign w:val="superscript"/>
        </w:rPr>
        <w:t>(4)</w:t>
      </w:r>
    </w:p>
    <w:p>
      <w:pPr>
        <w:spacing w:after="0" w:line="175" w:lineRule="exact"/>
        <w:rPr>
          <w:sz w:val="20"/>
          <w:szCs w:val="20"/>
          <w:color w:val="auto"/>
        </w:rPr>
      </w:pPr>
    </w:p>
    <w:p>
      <w:pPr>
        <w:jc w:val="both"/>
        <w:ind w:right="579"/>
        <w:spacing w:after="0" w:line="258" w:lineRule="auto"/>
        <w:rPr>
          <w:sz w:val="20"/>
          <w:szCs w:val="20"/>
          <w:color w:val="auto"/>
        </w:rPr>
      </w:pPr>
      <w:r>
        <w:rPr>
          <w:rFonts w:ascii="Times New Roman" w:cs="Times New Roman" w:eastAsia="Times New Roman" w:hAnsi="Times New Roman"/>
          <w:sz w:val="18"/>
          <w:szCs w:val="18"/>
          <w:color w:val="auto"/>
        </w:rPr>
        <w:t>Each redeemable public warrant entitles the holder thereof to purchase one-half of one share of common stock. We will not issue fractional shares. As a result, you must have two warrants to receive a share of common stock when exercising your warrants. Each private warrant entitles the holder thereof to purchase one share of common stock.</w:t>
      </w:r>
    </w:p>
    <w:p>
      <w:pPr>
        <w:spacing w:after="0" w:line="152" w:lineRule="exact"/>
        <w:rPr>
          <w:sz w:val="20"/>
          <w:szCs w:val="20"/>
          <w:color w:val="auto"/>
        </w:rPr>
      </w:pPr>
    </w:p>
    <w:p>
      <w:pPr>
        <w:sectPr>
          <w:pgSz w:w="11900" w:h="16838" w:orient="portrait"/>
          <w:cols w:equalWidth="0" w:num="2">
            <w:col w:w="3020" w:space="240"/>
            <w:col w:w="575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b w:val="1"/>
          <w:bCs w:val="1"/>
          <w:color w:val="auto"/>
        </w:rPr>
        <w:t>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r>
        <w:rPr>
          <w:sz w:val="20"/>
          <w:szCs w:val="20"/>
          <w:color w:val="auto"/>
        </w:rPr>
        <w:br w:type="column"/>
      </w: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$11.50 per whole share, subject to adjustment as described herein. If we issue additional shares of common stock or equity-linked securities for capital raising purposes in connection with the closing of our initial business combination at an issue price or effective issue price of less than $9.20 per share of common stock (with such issue price or effective issue price to be determined in good faith by our board of directors and, in the case of any such issuance to our initial stockholders or their affiliates, without taking into account any founder shares or private warrants held by them, as applicable, prior to such issuance) (the “newly issued price”), the exercise price of the warrants will be adjusted (to the nearest cent) to be equal to 115% of the newly issued price and the $16.50 per share redemption trigger price described below under “— Redemption (Warrants)” will be adjusted (to the nearest cent) to be equal to 165% of the market value (the volume weighted average trading price of the common stock during the 20 trading day period starting on the trading day prior to the consummation of an initial business combination).</w:t>
      </w:r>
    </w:p>
    <w:p>
      <w:pPr>
        <w:spacing w:after="0" w:line="85"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No public warrants will be exercisable for cash unless we have an effective and current registration statement covering the shares of common stock issuable upon exercise of the warrants and a current prospectus relating to such shares of common stock. It is our current intention to have an effective and current registration statement covering the shares of common stock issuable upon exercise of the public warrants and a current prospectus relating to such shares of common stock in effect promptly following consummation of an initial business combination. Notwithstanding the foregoing, if a registration statement covering the shares of common stock issuable upon exercise of the public warrants is not effective within 120 days following the consummation of our initial business combination, public warrant holders may, until such</w:t>
      </w:r>
    </w:p>
    <w:p>
      <w:pPr>
        <w:spacing w:after="0" w:line="280" w:lineRule="exact"/>
        <w:rPr>
          <w:sz w:val="20"/>
          <w:szCs w:val="20"/>
          <w:color w:val="auto"/>
        </w:rPr>
      </w:pPr>
    </w:p>
    <w:p>
      <w:pPr>
        <w:sectPr>
          <w:pgSz w:w="11900" w:h="16838" w:orient="portrait"/>
          <w:cols w:equalWidth="0" w:num="2">
            <w:col w:w="2540" w:space="720"/>
            <w:col w:w="5759"/>
          </w:cols>
          <w:pgMar w:left="1440" w:top="270" w:right="1440" w:bottom="1440" w:gutter="0" w:footer="0" w:header="0"/>
          <w:type w:val="continuous"/>
        </w:sectPr>
      </w:pPr>
    </w:p>
    <w:p>
      <w:pPr>
        <w:ind w:left="980" w:right="559" w:hanging="436"/>
        <w:spacing w:after="0" w:line="264" w:lineRule="auto"/>
        <w:tabs>
          <w:tab w:leader="none" w:pos="101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includes an aggregate of up to 562,500 shares of common stock held by our initial stockholders that are subject to forfeiture if the over-allotment option is not fully exercised by the underwriters.</w:t>
      </w:r>
    </w:p>
    <w:p>
      <w:pPr>
        <w:jc w:val="both"/>
        <w:ind w:left="980" w:right="559" w:hanging="436"/>
        <w:spacing w:after="0" w:line="264" w:lineRule="auto"/>
        <w:tabs>
          <w:tab w:leader="none" w:pos="103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If the over-allotment option is exercised in full, there will be a total of 21,562,500 shares of common stock issued and outstanding.</w:t>
      </w:r>
    </w:p>
    <w:p>
      <w:pPr>
        <w:ind w:left="980" w:right="559" w:hanging="436"/>
        <w:spacing w:after="0" w:line="264" w:lineRule="auto"/>
        <w:tabs>
          <w:tab w:leader="none" w:pos="97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If the over-allotment option is exercised, there would be 17,250,000 rights outstanding.</w:t>
      </w:r>
    </w:p>
    <w:p>
      <w:pPr>
        <w:ind w:left="980" w:right="559" w:hanging="436"/>
        <w:spacing w:after="0" w:line="288" w:lineRule="auto"/>
        <w:tabs>
          <w:tab w:leader="none" w:pos="97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If the over-allotment option is exercised, there would be 17,250,000 public warrants outstanding and 6,675,000 private warrants outstanding.</w:t>
      </w:r>
    </w:p>
    <w:p>
      <w:pPr>
        <w:sectPr>
          <w:pgSz w:w="11900" w:h="16838" w:orient="portrait"/>
          <w:cols w:equalWidth="0" w:num="1">
            <w:col w:w="9019"/>
          </w:cols>
          <w:pgMar w:left="1440" w:top="270" w:right="1440" w:bottom="1440" w:gutter="0" w:footer="0" w:header="0"/>
          <w:type w:val="continuous"/>
        </w:sect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905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990536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time as there is an effective registration statement and during any period</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when  we  shall  have  failed  to  maintain  an  effective  registration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statement, exercise warrants on a cashless basis pursuant to an available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exemption from registration under the Securities Act. In such event,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each holder would pay the exercise price by surrendering the whole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warrants for that number of shares of common stock equal to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quotient obtained by dividing (x) the product of the number of shares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underlying the warrants, multiplied by the difference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between the exercise price of the warrants and the “fair market value”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by (y) the fair market value. The “fair market value” shall mean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average reported last sale price of the shares of common stock for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10 trading days ending on the day prior to the date of exercise. For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example, if a holder held 300 warrants to purchase 150 shares and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fair market value on the date prior to exercise was $15.00, that holder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would receive 35 shares without the payment of any additional cash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consideration.</w:t>
      </w:r>
    </w:p>
    <w:p>
      <w:pPr>
        <w:spacing w:after="0" w:line="162" w:lineRule="exact"/>
        <w:rPr>
          <w:sz w:val="20"/>
          <w:szCs w:val="20"/>
          <w:color w:val="auto"/>
        </w:r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Exercise period</w:t>
      </w:r>
      <w:r>
        <w:rPr>
          <w:sz w:val="20"/>
          <w:szCs w:val="20"/>
          <w:color w:val="auto"/>
        </w:rPr>
        <w:tab/>
      </w:r>
      <w:r>
        <w:rPr>
          <w:rFonts w:ascii="Times New Roman" w:cs="Times New Roman" w:eastAsia="Times New Roman" w:hAnsi="Times New Roman"/>
          <w:sz w:val="18"/>
          <w:szCs w:val="18"/>
          <w:color w:val="auto"/>
        </w:rPr>
        <w:t>The warrants will become exercisable on the later of one year after the</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closing of this offering or the consummation of an initial business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combination. The warrants will expire at 5:00 p.m., New York City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time, on the fifth anniversary of our completion of an initial business</w:t>
      </w:r>
    </w:p>
    <w:p>
      <w:pPr>
        <w:spacing w:after="0" w:line="9" w:lineRule="exact"/>
        <w:rPr>
          <w:sz w:val="20"/>
          <w:szCs w:val="20"/>
          <w:color w:val="auto"/>
        </w:rPr>
      </w:pPr>
    </w:p>
    <w:p>
      <w:pPr>
        <w:ind w:left="3260"/>
        <w:spacing w:after="0"/>
        <w:tabs>
          <w:tab w:leader="none" w:pos="4320" w:val="left"/>
          <w:tab w:leader="none" w:pos="4620" w:val="left"/>
          <w:tab w:leader="none" w:pos="5220" w:val="left"/>
          <w:tab w:leader="none" w:pos="5740" w:val="left"/>
          <w:tab w:leader="none" w:pos="6740" w:val="left"/>
          <w:tab w:leader="none" w:pos="7160" w:val="left"/>
          <w:tab w:leader="none" w:pos="7820" w:val="left"/>
        </w:tabs>
        <w:rPr>
          <w:sz w:val="20"/>
          <w:szCs w:val="20"/>
          <w:color w:val="auto"/>
        </w:rPr>
      </w:pPr>
      <w:r>
        <w:rPr>
          <w:rFonts w:ascii="Times New Roman" w:cs="Times New Roman" w:eastAsia="Times New Roman" w:hAnsi="Times New Roman"/>
          <w:sz w:val="18"/>
          <w:szCs w:val="18"/>
          <w:color w:val="auto"/>
        </w:rPr>
        <w:t>combination,</w:t>
        <w:tab/>
        <w:t>or</w:t>
        <w:tab/>
        <w:t>earlier</w:t>
        <w:tab/>
        <w:t>upon</w:t>
        <w:tab/>
        <w:t>redemption.</w:t>
        <w:tab/>
        <w:t>The</w:t>
        <w:tab/>
        <w:t>private</w:t>
        <w:tab/>
        <w:t>warrants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purchased by Chardan Investments will not be exercisable more than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five years from the effective date of the registration statement, of which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this prospectus forms a part, in accordance with FINRA Rule 5110(g)</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(8), as long as Chardan Capital Markets, LLC or any of its related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persons beneficially own these private warrants.</w:t>
      </w:r>
    </w:p>
    <w:p>
      <w:pPr>
        <w:spacing w:after="0" w:line="176" w:lineRule="exact"/>
        <w:rPr>
          <w:sz w:val="20"/>
          <w:szCs w:val="20"/>
          <w:color w:val="auto"/>
        </w:r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Redemption (Warrants)</w:t>
      </w:r>
      <w:r>
        <w:rPr>
          <w:sz w:val="20"/>
          <w:szCs w:val="20"/>
          <w:color w:val="auto"/>
        </w:rPr>
        <w:tab/>
      </w:r>
      <w:r>
        <w:rPr>
          <w:rFonts w:ascii="Times New Roman" w:cs="Times New Roman" w:eastAsia="Times New Roman" w:hAnsi="Times New Roman"/>
          <w:sz w:val="18"/>
          <w:szCs w:val="18"/>
          <w:color w:val="auto"/>
        </w:rPr>
        <w:t>We  may  redeem  the  outstanding  warrants  (excluding  the  private</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warrants), in whole and not in part, at a price of $0.01 per warrant:</w:t>
      </w:r>
    </w:p>
    <w:p>
      <w:pPr>
        <w:spacing w:after="0" w:line="9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  at any time while the warrants are exercisable,</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  upon a minimum of 30 days’ prior written notice of redemption,</w:t>
      </w:r>
    </w:p>
    <w:p>
      <w:pPr>
        <w:spacing w:after="0" w:line="117" w:lineRule="exact"/>
        <w:rPr>
          <w:sz w:val="20"/>
          <w:szCs w:val="20"/>
          <w:color w:val="auto"/>
        </w:rPr>
      </w:pPr>
    </w:p>
    <w:p>
      <w:pPr>
        <w:ind w:left="3480"/>
        <w:spacing w:after="0"/>
        <w:tabs>
          <w:tab w:leader="none" w:pos="3660" w:val="left"/>
        </w:tabs>
        <w:rPr>
          <w:sz w:val="20"/>
          <w:szCs w:val="20"/>
          <w:color w:val="auto"/>
        </w:rPr>
      </w:pPr>
      <w:r>
        <w:rPr>
          <w:rFonts w:ascii="Times New Roman" w:cs="Times New Roman" w:eastAsia="Times New Roman" w:hAnsi="Times New Roman"/>
          <w:sz w:val="18"/>
          <w:szCs w:val="18"/>
          <w:color w:val="auto"/>
        </w:rPr>
        <w:t>•</w:t>
        <w:tab/>
        <w:t>if, and only if, the last sales price of our common stock equals or</w:t>
      </w:r>
    </w:p>
    <w:p>
      <w:pPr>
        <w:spacing w:after="0" w:line="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exceeds $16.50 per share for any 20 trading days within a 30</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trading day period ending three business days before we send the</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notice of redemption, and</w:t>
      </w:r>
    </w:p>
    <w:p>
      <w:pPr>
        <w:spacing w:after="0" w:line="99" w:lineRule="exact"/>
        <w:rPr>
          <w:sz w:val="20"/>
          <w:szCs w:val="20"/>
          <w:color w:val="auto"/>
        </w:rPr>
      </w:pPr>
    </w:p>
    <w:p>
      <w:pPr>
        <w:ind w:left="3480"/>
        <w:spacing w:after="0"/>
        <w:tabs>
          <w:tab w:leader="none" w:pos="3700" w:val="left"/>
        </w:tabs>
        <w:rPr>
          <w:sz w:val="20"/>
          <w:szCs w:val="20"/>
          <w:color w:val="auto"/>
        </w:rPr>
      </w:pPr>
      <w:r>
        <w:rPr>
          <w:rFonts w:ascii="Times New Roman" w:cs="Times New Roman" w:eastAsia="Times New Roman" w:hAnsi="Times New Roman"/>
          <w:sz w:val="18"/>
          <w:szCs w:val="18"/>
          <w:color w:val="auto"/>
        </w:rPr>
        <w:t>•</w:t>
        <w:tab/>
        <w:t>if, and only if, there is a current registration statement in effect</w:t>
      </w:r>
    </w:p>
    <w:p>
      <w:pPr>
        <w:spacing w:after="0" w:line="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with respect to the shares of common stock underlying such</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warrants at the time of redemption and for the entire 30-day</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trading  period  referred  to  above  and  continuing  each  day</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thereafter until the date of redemption.</w:t>
      </w:r>
    </w:p>
    <w:p>
      <w:pPr>
        <w:spacing w:after="0" w:line="9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If the foregoing conditions are satisfied and we issue a notice of</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redemption, each warrant holder can exercise his, her or its warrant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prior to the scheduled redemption date. However, the price of our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may fall below the $16.50 trigger price, as well as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$11.50 warrant exercise price, after the redemption notice is issued.</w:t>
      </w:r>
    </w:p>
    <w:p>
      <w:pPr>
        <w:spacing w:after="0" w:line="9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 redemption criteria for our warrants have been established at a</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price which is intended to provide warrant holders a reasonable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premium to the initial exercise price and provide a sufficient differential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between the then-prevailing share price and the warrant exercise price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so that if the share price declines as a result of our redemption call,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redemption will not cause the share price to drop below the exercise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price of the warrants.</w:t>
      </w:r>
    </w:p>
    <w:p>
      <w:pPr>
        <w:spacing w:after="0" w:line="9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If  we  call  the  warrants  for  redemption  as  described  above,  our</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management will have the option to require all holders that wish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exercise warrants to do so on a “cashless basis.” In such event, each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holder would pay the exercise price by surrendering the whole warrants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for that number of shares of common stock equal to the quotient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obtained by dividing (x) the product of the number of shares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underlying the warrants, multiplied by the difference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between the exercise price of the warrants and the “fair market value”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by (y) the fair market value. The “fair market value” shall mean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average reported last sale price of the shares of common stock for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10 trading days ending on the third trading day prior to the date 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which</w:t>
      </w:r>
    </w:p>
    <w:p>
      <w:pPr>
        <w:sectPr>
          <w:pgSz w:w="11900" w:h="16838" w:orient="portrait"/>
          <w:cols w:equalWidth="0" w:num="1">
            <w:col w:w="9019"/>
          </w:cols>
          <w:pgMar w:left="1440" w:top="270" w:right="1440" w:bottom="0"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5" w:name="page16"/>
    <w:bookmarkEnd w:id="15"/>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836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983678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Terms of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Offering proceeds to be held in trust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jc w:val="both"/>
        <w:ind w:right="559"/>
        <w:spacing w:after="0" w:line="256" w:lineRule="auto"/>
        <w:rPr>
          <w:sz w:val="20"/>
          <w:szCs w:val="20"/>
          <w:color w:val="auto"/>
        </w:rPr>
      </w:pPr>
      <w:r>
        <w:rPr>
          <w:rFonts w:ascii="Times New Roman" w:cs="Times New Roman" w:eastAsia="Times New Roman" w:hAnsi="Times New Roman"/>
          <w:sz w:val="18"/>
          <w:szCs w:val="18"/>
          <w:color w:val="auto"/>
        </w:rPr>
        <w:t>the notice of redemption is sent to the holders of warrants. Whether we will exercise our option to require all holders to exercise their warrants on a “cashless basis” will depend on a variety of factors including the price of our shares of common stock at the time the warrants are called for redemption, our cash needs at such time and concerns regarding dilutive share issuances.</w:t>
      </w:r>
    </w:p>
    <w:p>
      <w:pPr>
        <w:spacing w:after="0" w:line="147"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Each holder of a right will receive one-twentieth (1/20) of a share of common stock upon consummation of our initial business combination. In the event we will not be the survivor upon completion of our initial business combination, each holder of a right will be required to affirmatively convert his, her or its rights in order to receive the one-twentieth (1/20) share underlying each right (without paying any additional consideration) upon consummation of the business combination. If we are unable to complete an initial business combination within the required time period and we liquidate the funds held in the trust account, holders of rights will not receive any of such funds for their rights, and the rights will expire worthless. No fractional shares will be issued upon conversion of any rights. As a result, you must have 20 rights to receive a share of common stock at the closing of the initial business combination.</w:t>
      </w:r>
    </w:p>
    <w:p>
      <w:pPr>
        <w:spacing w:after="0" w:line="386"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$151,500,000 of the net proceeds of this offering (or $174,225,000 if the over-allotment option is exercised in full), including $6,000,000 we will receive from the sale of the private warrants (or $6,675,000 if the over-allotment option is exercised in full), or $10.10 per unit sold to the public in this offering (regardless of whether or not the over-allotment option is exercised in full or part) will be placed in a trust account at Morgan Stanley, maintained by Continental Stock Transfer &amp; Trust Company, acting as trustee pursuant to an agreement to be signed on the date of this prospectus.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160"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Except as set forth below, the proceeds in the trust account will not be released until the earlier of: (1) the completion of an initial business combination within the required time period and (2) our redemption of 100% of the outstanding public shares if we have not completed a business combination in the required time period. Therefore, unless and until our initial business combination is consummated, the proceeds held in the trust account will not be available for our use for any expenses related to this offering or expenses which we may incur related to the investigation and selection of a target business and the negotiation of an agreement to acquire a target business.</w:t>
      </w:r>
    </w:p>
    <w:p>
      <w:pPr>
        <w:spacing w:after="0" w:line="167"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Notwithstanding the foregoing, there can be released to us, from time to time, any interest earned on the funds in the trust account that we may need to pay our tax obligations. With this exception, expenses incurred by us may be paid prior to a business combination only from the net proceeds of this offering not held in the trust account of approximately $1,000,000 provided, however, that in order 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w:t>
      </w:r>
    </w:p>
    <w:p>
      <w:pPr>
        <w:spacing w:after="0" w:line="200" w:lineRule="exact"/>
        <w:rPr>
          <w:sz w:val="20"/>
          <w:szCs w:val="20"/>
          <w:color w:val="auto"/>
        </w:rPr>
      </w:pPr>
    </w:p>
    <w:p>
      <w:pPr>
        <w:sectPr>
          <w:pgSz w:w="11900" w:h="16838" w:orient="portrait"/>
          <w:cols w:equalWidth="0" w:num="2">
            <w:col w:w="2720" w:space="540"/>
            <w:col w:w="5759"/>
          </w:cols>
          <w:pgMar w:left="1440" w:top="270" w:right="1440" w:bottom="0" w:gutter="0" w:footer="0" w:header="0"/>
          <w:type w:val="continuous"/>
        </w:sect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6" w:name="page17"/>
    <w:bookmarkEnd w:id="16"/>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2278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9227820"/>
                    </a:xfrm>
                    <a:prstGeom prst="rect">
                      <a:avLst/>
                    </a:prstGeom>
                    <a:noFill/>
                  </pic:spPr>
                </pic:pic>
              </a:graphicData>
            </a:graphic>
          </wp:anchor>
        </w:drawing>
      </w:r>
    </w:p>
    <w:p>
      <w:pPr>
        <w:sectPr>
          <w:pgSz w:w="11900" w:h="16838" w:orient="portrait"/>
          <w:cols w:equalWidth="0" w:num="1">
            <w:col w:w="9019"/>
          </w:cols>
          <w:pgMar w:left="1440" w:top="270" w:right="1440" w:bottom="879" w:gutter="0" w:footer="0" w:header="0"/>
        </w:sectPr>
      </w:pPr>
    </w:p>
    <w:p>
      <w:pPr>
        <w:spacing w:after="0" w:line="200" w:lineRule="exact"/>
        <w:rPr>
          <w:sz w:val="20"/>
          <w:szCs w:val="20"/>
          <w:color w:val="auto"/>
        </w:rPr>
      </w:pPr>
    </w:p>
    <w:p>
      <w:pPr>
        <w:spacing w:after="0" w:line="334" w:lineRule="exact"/>
        <w:rPr>
          <w:sz w:val="20"/>
          <w:szCs w:val="20"/>
          <w:color w:val="auto"/>
        </w:rPr>
      </w:pPr>
    </w:p>
    <w:p>
      <w:pPr>
        <w:jc w:val="both"/>
        <w:ind w:left="3260" w:right="559"/>
        <w:spacing w:after="0" w:line="253" w:lineRule="auto"/>
        <w:rPr>
          <w:sz w:val="20"/>
          <w:szCs w:val="20"/>
          <w:color w:val="auto"/>
        </w:rPr>
      </w:pPr>
      <w:r>
        <w:rPr>
          <w:rFonts w:ascii="Times New Roman" w:cs="Times New Roman" w:eastAsia="Times New Roman" w:hAnsi="Times New Roman"/>
          <w:sz w:val="18"/>
          <w:szCs w:val="18"/>
          <w:color w:val="auto"/>
        </w:rPr>
        <w:t>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will only be repaid with funds not held in the trust account, to the extent available.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26" w:lineRule="exact"/>
        <w:rPr>
          <w:sz w:val="20"/>
          <w:szCs w:val="20"/>
          <w:color w:val="auto"/>
        </w:rPr>
      </w:pPr>
    </w:p>
    <w:p>
      <w:pPr>
        <w:jc w:val="both"/>
        <w:ind w:left="3260" w:right="559" w:hanging="2713"/>
        <w:spacing w:after="0" w:line="256" w:lineRule="auto"/>
        <w:tabs>
          <w:tab w:leader="none" w:pos="3240" w:val="left"/>
        </w:tabs>
        <w:rPr>
          <w:sz w:val="20"/>
          <w:szCs w:val="20"/>
          <w:color w:val="auto"/>
        </w:rPr>
      </w:pPr>
      <w:r>
        <w:rPr>
          <w:rFonts w:ascii="Times New Roman" w:cs="Times New Roman" w:eastAsia="Times New Roman" w:hAnsi="Times New Roman"/>
          <w:sz w:val="18"/>
          <w:szCs w:val="18"/>
          <w:b w:val="1"/>
          <w:bCs w:val="1"/>
          <w:color w:val="auto"/>
        </w:rPr>
        <w:t>Limited payments to insiders</w:t>
      </w:r>
      <w:r>
        <w:rPr>
          <w:sz w:val="20"/>
          <w:szCs w:val="20"/>
          <w:color w:val="auto"/>
        </w:rPr>
        <w:tab/>
      </w:r>
      <w:r>
        <w:rPr>
          <w:rFonts w:ascii="Times New Roman" w:cs="Times New Roman" w:eastAsia="Times New Roman" w:hAnsi="Times New Roman"/>
          <w:sz w:val="18"/>
          <w:szCs w:val="18"/>
          <w:color w:val="auto"/>
        </w:rPr>
        <w:t>Prior to the consummation of a business combination, there will be no fees, reimbursements or other cash payments paid to our initial stockholders, officers, directors or their affiliates prior to, or for any services they render in order to effectuate, the consummation of a business combination (regardless of the type of transaction that it is) other than:</w:t>
      </w:r>
    </w:p>
    <w:p>
      <w:pPr>
        <w:spacing w:after="0" w:line="110" w:lineRule="exact"/>
        <w:rPr>
          <w:sz w:val="20"/>
          <w:szCs w:val="20"/>
          <w:color w:val="auto"/>
        </w:rPr>
      </w:pPr>
    </w:p>
    <w:p>
      <w:pPr>
        <w:ind w:left="3680" w:right="579" w:hanging="207"/>
        <w:spacing w:after="0" w:line="282" w:lineRule="auto"/>
        <w:tabs>
          <w:tab w:leader="none" w:pos="37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loans of up to $1,000,000 made to us by our co-sponsors;</w:t>
      </w:r>
    </w:p>
    <w:p>
      <w:pPr>
        <w:spacing w:after="0" w:line="94" w:lineRule="exact"/>
        <w:rPr>
          <w:rFonts w:ascii="Times New Roman" w:cs="Times New Roman" w:eastAsia="Times New Roman" w:hAnsi="Times New Roman"/>
          <w:sz w:val="18"/>
          <w:szCs w:val="18"/>
          <w:color w:val="auto"/>
        </w:rPr>
      </w:pPr>
    </w:p>
    <w:p>
      <w:pPr>
        <w:jc w:val="both"/>
        <w:ind w:left="3680" w:right="579" w:hanging="207"/>
        <w:spacing w:after="0" w:line="266" w:lineRule="auto"/>
        <w:tabs>
          <w:tab w:leader="none" w:pos="3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$10,000 per month to Chardan Capital Markets, LLC for office space and related services, subject to deferral as described herein;</w:t>
      </w:r>
    </w:p>
    <w:p>
      <w:pPr>
        <w:spacing w:after="0" w:line="108" w:lineRule="exact"/>
        <w:rPr>
          <w:rFonts w:ascii="Times New Roman" w:cs="Times New Roman" w:eastAsia="Times New Roman" w:hAnsi="Times New Roman"/>
          <w:sz w:val="18"/>
          <w:szCs w:val="18"/>
          <w:color w:val="auto"/>
        </w:rPr>
      </w:pPr>
    </w:p>
    <w:p>
      <w:pPr>
        <w:jc w:val="both"/>
        <w:ind w:left="3680" w:right="559" w:hanging="207"/>
        <w:spacing w:after="0" w:line="261" w:lineRule="auto"/>
        <w:tabs>
          <w:tab w:leader="none" w:pos="3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loans which may be made by our insiders, officers, directors or any of its or their affiliates to finance transaction costs in connection with an initial business combination, the terms of which have not been determined;</w:t>
      </w:r>
    </w:p>
    <w:p>
      <w:pPr>
        <w:spacing w:after="0" w:line="98" w:lineRule="exact"/>
        <w:rPr>
          <w:rFonts w:ascii="Times New Roman" w:cs="Times New Roman" w:eastAsia="Times New Roman" w:hAnsi="Times New Roman"/>
          <w:sz w:val="18"/>
          <w:szCs w:val="18"/>
          <w:color w:val="auto"/>
        </w:rPr>
      </w:pPr>
    </w:p>
    <w:p>
      <w:pPr>
        <w:jc w:val="both"/>
        <w:ind w:left="3680" w:right="559" w:hanging="207"/>
        <w:spacing w:after="0" w:line="261" w:lineRule="auto"/>
        <w:tabs>
          <w:tab w:leader="none" w:pos="37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out-of-pocket expenses incurred by them in connection with certain activities on our behalf, such as identifying and investigating possible business targets and business combinations; and</w:t>
      </w:r>
    </w:p>
    <w:p>
      <w:pPr>
        <w:spacing w:after="0" w:line="112" w:lineRule="exact"/>
        <w:rPr>
          <w:rFonts w:ascii="Times New Roman" w:cs="Times New Roman" w:eastAsia="Times New Roman" w:hAnsi="Times New Roman"/>
          <w:sz w:val="18"/>
          <w:szCs w:val="18"/>
          <w:color w:val="auto"/>
        </w:rPr>
      </w:pPr>
    </w:p>
    <w:p>
      <w:pPr>
        <w:jc w:val="both"/>
        <w:ind w:left="3680" w:right="559" w:hanging="207"/>
        <w:spacing w:after="0" w:line="258" w:lineRule="auto"/>
        <w:tabs>
          <w:tab w:leader="none" w:pos="39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upon consummation of our initial business combination of any loans which may be made by our initial stockholders or their affiliates or our officers and directors to finance transaction costs in connection with an intended initial business combination.</w:t>
      </w:r>
    </w:p>
    <w:p>
      <w:pPr>
        <w:spacing w:after="0" w:line="116" w:lineRule="exact"/>
        <w:rPr>
          <w:sz w:val="20"/>
          <w:szCs w:val="20"/>
          <w:color w:val="auto"/>
        </w:rPr>
      </w:pPr>
    </w:p>
    <w:p>
      <w:pPr>
        <w:jc w:val="both"/>
        <w:ind w:left="3260" w:right="559"/>
        <w:spacing w:after="0" w:line="253" w:lineRule="auto"/>
        <w:rPr>
          <w:sz w:val="20"/>
          <w:szCs w:val="20"/>
          <w:color w:val="auto"/>
        </w:rPr>
      </w:pPr>
      <w:r>
        <w:rPr>
          <w:rFonts w:ascii="Times New Roman" w:cs="Times New Roman" w:eastAsia="Times New Roman" w:hAnsi="Times New Roman"/>
          <w:sz w:val="18"/>
          <w:szCs w:val="18"/>
          <w:color w:val="auto"/>
        </w:rPr>
        <w:t>We have also engaged Chardan Capital Markets, LLC as an advisor in connection with our initial business combination pursuant to the business combination marketing agreement described under “Underwriting (Conflicts of Interest) — Business Combination Marketing Agreement.” We will pay Chardan Capital Markets, LLC a marketing fee for such services upon the consummation of our initial business combination in an amount equal to, in the aggregate, 3.5% of the gross proceeds of this offering, including any proceeds from the full or partial exercise of the over-allotment option. As a result, Chardan Capital Markets, LLC will not be entitled to such fee unless we consummate our initial business combination.</w:t>
      </w:r>
    </w:p>
    <w:p>
      <w:pPr>
        <w:spacing w:after="0" w:line="111" w:lineRule="exact"/>
        <w:rPr>
          <w:sz w:val="20"/>
          <w:szCs w:val="20"/>
          <w:color w:val="auto"/>
        </w:rPr>
      </w:pPr>
    </w:p>
    <w:p>
      <w:pPr>
        <w:jc w:val="both"/>
        <w:ind w:left="3260" w:right="559"/>
        <w:spacing w:after="0" w:line="253" w:lineRule="auto"/>
        <w:rPr>
          <w:sz w:val="20"/>
          <w:szCs w:val="20"/>
          <w:color w:val="auto"/>
        </w:rPr>
      </w:pPr>
      <w:r>
        <w:rPr>
          <w:rFonts w:ascii="Times New Roman" w:cs="Times New Roman" w:eastAsia="Times New Roman" w:hAnsi="Times New Roman"/>
          <w:sz w:val="18"/>
          <w:szCs w:val="18"/>
          <w:color w:val="auto"/>
        </w:rPr>
        <w:t>There is no limit on the amount of out-of-pocket expenses reimbursable by us; provided, however, that to the extent such expenses exceed the available proceeds not deposited in the trust account and the interest income earned on the amounts held in the trust account available to us, such expenses would not be reimbursed by us unless we consummate an initial business combination. Our audit committee will review and approve all reimbursements and payments made to any initial stockholder or member of our management team, or their respective affiliates, and any reimbursements and payments made to members of our audit committee will be reviewed and approved by our board of directors, with any interested director abstaining from such review and approval.</w:t>
      </w:r>
    </w:p>
    <w:p>
      <w:pPr>
        <w:sectPr>
          <w:pgSz w:w="11900" w:h="16838" w:orient="portrait"/>
          <w:cols w:equalWidth="0" w:num="1">
            <w:col w:w="9019"/>
          </w:cols>
          <w:pgMar w:left="1440" w:top="270" w:right="1440" w:bottom="879"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879" w:gutter="0" w:footer="0" w:header="0"/>
          <w:type w:val="continuous"/>
        </w:sectPr>
      </w:pPr>
    </w:p>
    <w:bookmarkStart w:id="17" w:name="page18"/>
    <w:bookmarkEnd w:id="17"/>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408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9408160"/>
                    </a:xfrm>
                    <a:prstGeom prst="rect">
                      <a:avLst/>
                    </a:prstGeom>
                    <a:noFill/>
                  </pic:spPr>
                </pic:pic>
              </a:graphicData>
            </a:graphic>
          </wp:anchor>
        </w:drawing>
      </w:r>
    </w:p>
    <w:p>
      <w:pPr>
        <w:sectPr>
          <w:pgSz w:w="11900" w:h="16838" w:orient="portrait"/>
          <w:cols w:equalWidth="0" w:num="1">
            <w:col w:w="9019"/>
          </w:cols>
          <w:pgMar w:left="1440" w:top="270" w:right="1440" w:bottom="596" w:gutter="0" w:footer="0" w:header="0"/>
        </w:sectPr>
      </w:pPr>
    </w:p>
    <w:p>
      <w:pPr>
        <w:spacing w:after="0" w:line="200" w:lineRule="exact"/>
        <w:rPr>
          <w:sz w:val="20"/>
          <w:szCs w:val="20"/>
          <w:color w:val="auto"/>
        </w:rPr>
      </w:pPr>
    </w:p>
    <w:p>
      <w:pPr>
        <w:spacing w:after="0" w:line="330"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Potential revisions to agreements with insiders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720" w:right="6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Stockholder approval of, tender offer or redemption in connection with,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We could seek to amend certain agreements made by our management team disclosed in this prospectus without the approval of stockholders, although we have no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pacing w:after="0" w:line="200" w:lineRule="exact"/>
        <w:rPr>
          <w:sz w:val="20"/>
          <w:szCs w:val="20"/>
          <w:color w:val="auto"/>
        </w:rPr>
      </w:pPr>
    </w:p>
    <w:p>
      <w:pPr>
        <w:spacing w:after="0" w:line="259"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In connection with any proposed initial business combination, we will either (1) seek stockholder approval of such initial business combination at a meeting called for such purpose at which public stockholders may seek to convert their public shares, regardless of whether they vote for or against the proposed business combination, into their pro rata share of the aggregate amount then on deposit in the trust account (net of taxes payable) or</w:t>
      </w:r>
    </w:p>
    <w:p>
      <w:pPr>
        <w:spacing w:after="0" w:line="3" w:lineRule="exact"/>
        <w:rPr>
          <w:sz w:val="20"/>
          <w:szCs w:val="20"/>
          <w:color w:val="auto"/>
        </w:rPr>
      </w:pPr>
    </w:p>
    <w:p>
      <w:pPr>
        <w:jc w:val="both"/>
        <w:ind w:right="559" w:firstLine="2"/>
        <w:spacing w:after="0" w:line="250" w:lineRule="auto"/>
        <w:tabs>
          <w:tab w:leader="none" w:pos="2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 If enough stockholders tender their shares so that we are unable to satisfy any applicable closing condition set forth in the definitive agreement related to our initial business combination, or we are unable to maintain net tangible assets of at least $5,000,001 (so that we are not subject to the SEC’s “penny stock” rules), we will not consummate such initial business combination. 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the business combination.</w:t>
      </w:r>
    </w:p>
    <w:p>
      <w:pPr>
        <w:spacing w:after="0" w:line="200" w:lineRule="exact"/>
        <w:rPr>
          <w:sz w:val="20"/>
          <w:szCs w:val="20"/>
          <w:color w:val="auto"/>
        </w:rPr>
      </w:pPr>
    </w:p>
    <w:p>
      <w:pPr>
        <w:sectPr>
          <w:pgSz w:w="11900" w:h="16838" w:orient="portrait"/>
          <w:cols w:equalWidth="0" w:num="2">
            <w:col w:w="3460" w:space="200"/>
            <w:col w:w="5359"/>
          </w:cols>
          <w:pgMar w:left="1440" w:top="270" w:right="1440" w:bottom="5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596" w:gutter="0" w:footer="0" w:header="0"/>
          <w:type w:val="continuous"/>
        </w:sectPr>
      </w:pPr>
    </w:p>
    <w:bookmarkStart w:id="18" w:name="page19"/>
    <w:bookmarkEnd w:id="18"/>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366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6366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both"/>
        <w:ind w:left="3260" w:right="559"/>
        <w:spacing w:after="0" w:line="253" w:lineRule="auto"/>
        <w:rPr>
          <w:sz w:val="20"/>
          <w:szCs w:val="20"/>
          <w:color w:val="auto"/>
        </w:rPr>
      </w:pPr>
      <w:r>
        <w:rPr>
          <w:rFonts w:ascii="Times New Roman" w:cs="Times New Roman" w:eastAsia="Times New Roman" w:hAnsi="Times New Roman"/>
          <w:sz w:val="18"/>
          <w:szCs w:val="18"/>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 There will be no redemption rights upon the completion of our initial business combination with respect to our rights or warrants.</w:t>
      </w:r>
    </w:p>
    <w:p>
      <w:pPr>
        <w:spacing w:after="0" w:line="149" w:lineRule="exact"/>
        <w:rPr>
          <w:sz w:val="20"/>
          <w:szCs w:val="20"/>
          <w:color w:val="auto"/>
        </w:rPr>
      </w:pPr>
    </w:p>
    <w:p>
      <w:pPr>
        <w:jc w:val="both"/>
        <w:ind w:left="3260" w:right="559"/>
        <w:spacing w:after="0" w:line="252" w:lineRule="auto"/>
        <w:rPr>
          <w:sz w:val="20"/>
          <w:szCs w:val="20"/>
          <w:color w:val="auto"/>
        </w:rPr>
      </w:pPr>
      <w:r>
        <w:rPr>
          <w:rFonts w:ascii="Times New Roman" w:cs="Times New Roman" w:eastAsia="Times New Roman" w:hAnsi="Times New Roman"/>
          <w:sz w:val="18"/>
          <w:szCs w:val="18"/>
          <w:color w:val="auto"/>
        </w:rPr>
        <w:t>We have determined not to consummate any business combination unless we have net tangible assets of at least $5,000,001 upon such consummation in order to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169" w:lineRule="exact"/>
        <w:rPr>
          <w:sz w:val="20"/>
          <w:szCs w:val="20"/>
          <w:color w:val="auto"/>
        </w:rPr>
      </w:pPr>
    </w:p>
    <w:p>
      <w:pPr>
        <w:jc w:val="both"/>
        <w:ind w:left="3260" w:right="579"/>
        <w:spacing w:after="0" w:line="261" w:lineRule="auto"/>
        <w:rPr>
          <w:sz w:val="20"/>
          <w:szCs w:val="20"/>
          <w:color w:val="auto"/>
        </w:rPr>
      </w:pPr>
      <w:r>
        <w:rPr>
          <w:rFonts w:ascii="Times New Roman" w:cs="Times New Roman" w:eastAsia="Times New Roman" w:hAnsi="Times New Roman"/>
          <w:sz w:val="18"/>
          <w:szCs w:val="18"/>
          <w:color w:val="auto"/>
        </w:rPr>
        <w:t>Our initial stockholders have agreed (A) to vote their founder shares and any public shares in favor of any proposed business combination,</w:t>
      </w:r>
    </w:p>
    <w:p>
      <w:pPr>
        <w:jc w:val="both"/>
        <w:ind w:left="3260" w:right="559" w:hanging="3"/>
        <w:spacing w:after="0" w:line="250" w:lineRule="auto"/>
        <w:tabs>
          <w:tab w:leader="none" w:pos="35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15 months (or up to 18 months, as applicable) unless we provide public stockholders an opportunity to redeem their public shares in conjunction with any such amendment, (C) not to convert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10b-5 of the Exchange Act, which are rules designed to stop potential manipulation of a company’s stock or purchasing shares when the buyer is in possession of material non-public information about the Company.</w:t>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9877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89877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Conditions to completing our</w:t>
      </w:r>
    </w:p>
    <w:p>
      <w:pPr>
        <w:spacing w:after="0" w:line="31" w:lineRule="exact"/>
        <w:rPr>
          <w:sz w:val="20"/>
          <w:szCs w:val="20"/>
          <w:color w:val="auto"/>
        </w:rPr>
      </w:pPr>
    </w:p>
    <w:p>
      <w:pPr>
        <w:ind w:left="72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initial business combination</w:t>
      </w:r>
      <w:r>
        <w:rPr>
          <w:sz w:val="20"/>
          <w:szCs w:val="20"/>
          <w:color w:val="auto"/>
        </w:rPr>
        <w:tab/>
      </w:r>
      <w:r>
        <w:rPr>
          <w:rFonts w:ascii="Times New Roman" w:cs="Times New Roman" w:eastAsia="Times New Roman" w:hAnsi="Times New Roman"/>
          <w:sz w:val="18"/>
          <w:szCs w:val="18"/>
          <w:color w:val="auto"/>
        </w:rPr>
        <w:t>There is no limitation on our ability to raise funds privately or through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loans  in  connection  with  our  initial  business  combination.  Each</w:t>
      </w:r>
    </w:p>
    <w:p>
      <w:pPr>
        <w:spacing w:after="0" w:line="9" w:lineRule="exact"/>
        <w:rPr>
          <w:sz w:val="20"/>
          <w:szCs w:val="20"/>
          <w:color w:val="auto"/>
        </w:rPr>
      </w:pPr>
    </w:p>
    <w:p>
      <w:pPr>
        <w:ind w:left="3260"/>
        <w:spacing w:after="0"/>
        <w:tabs>
          <w:tab w:leader="none" w:pos="4000" w:val="left"/>
          <w:tab w:leader="none" w:pos="5040" w:val="left"/>
          <w:tab w:leader="none" w:pos="5460" w:val="left"/>
          <w:tab w:leader="none" w:pos="5780" w:val="left"/>
          <w:tab w:leader="none" w:pos="6600" w:val="left"/>
          <w:tab w:leader="none" w:pos="6920" w:val="left"/>
          <w:tab w:leader="none" w:pos="7140" w:val="left"/>
          <w:tab w:leader="none" w:pos="7900" w:val="left"/>
          <w:tab w:leader="none" w:pos="8200" w:val="left"/>
        </w:tabs>
        <w:rPr>
          <w:sz w:val="20"/>
          <w:szCs w:val="20"/>
          <w:color w:val="auto"/>
        </w:rPr>
      </w:pPr>
      <w:r>
        <w:rPr>
          <w:rFonts w:ascii="Times New Roman" w:cs="Times New Roman" w:eastAsia="Times New Roman" w:hAnsi="Times New Roman"/>
          <w:sz w:val="18"/>
          <w:szCs w:val="18"/>
          <w:color w:val="auto"/>
        </w:rPr>
        <w:t>business</w:t>
        <w:tab/>
        <w:t>combination</w:t>
        <w:tab/>
        <w:t>will</w:t>
        <w:tab/>
        <w:t>be</w:t>
        <w:tab/>
        <w:t>approved</w:t>
        <w:tab/>
        <w:t>by</w:t>
        <w:tab/>
        <w:t>a</w:t>
        <w:tab/>
        <w:t>majority</w:t>
        <w:tab/>
        <w:t>of</w:t>
        <w:tab/>
        <w:t>our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independent directors. Our initial business combination must occur with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one or more target businesses that together have an aggregate fair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market value of at least 80% of the value of the trust account (excluding</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any taxes payable on the income earned on the trust account) at the time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the agreement to enter into the initial business combination. If we are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no longer listed on Nasdaq, we will not be required to satisfy the 80%</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test.</w:t>
      </w:r>
    </w:p>
    <w:p>
      <w:pPr>
        <w:spacing w:after="0" w:line="13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If our board is not able to independently determine the fair market value</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the target business or businesses, we may obtain an opinion from an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independent investment banking or accounting firm as to the fair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market value of the target business. We will complete our initial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business combination only if the post-transaction company in which our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public stockholders own shares will own or acquire 50% or more of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outstanding voting securities of the target or otherwise acquires a</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controlling interest in the target sufficient for it not to be required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register as an investment company under the Investment Company Act.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Even if the post-transaction company owns 50% or more of the voting</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securities  of  the  target,  our  stockholders  prior  to  the  business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combination may collectively own a minority interest in the post-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auto"/>
        </w:rPr>
        <w:t>business combination company, depending on valuations ascribed to the</w:t>
      </w:r>
    </w:p>
    <w:p>
      <w:pPr>
        <w:spacing w:after="0" w:line="21"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target and us in the business combination transaction. If less than 100%</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the equity interests or assets of a target business or businesses are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owned or acquired by the post-transaction company, the portion of such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business or businesses that is owned or acquired is what will be valued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for purposes of the 80% test, provided that in the event that the business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combination involves more than one target business, the 80% test will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be based on the aggregate value of all of the target businesses.</w:t>
      </w:r>
    </w:p>
    <w:p>
      <w:pPr>
        <w:spacing w:after="0" w:line="162" w:lineRule="exact"/>
        <w:rPr>
          <w:sz w:val="20"/>
          <w:szCs w:val="20"/>
          <w:color w:val="auto"/>
        </w:r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Conversion rights</w:t>
      </w:r>
      <w:r>
        <w:rPr>
          <w:sz w:val="20"/>
          <w:szCs w:val="20"/>
          <w:color w:val="auto"/>
        </w:rPr>
        <w:tab/>
      </w:r>
      <w:r>
        <w:rPr>
          <w:rFonts w:ascii="Times New Roman" w:cs="Times New Roman" w:eastAsia="Times New Roman" w:hAnsi="Times New Roman"/>
          <w:sz w:val="18"/>
          <w:szCs w:val="18"/>
          <w:color w:val="auto"/>
        </w:rPr>
        <w:t>In connection with any stockholder meeting called to approve a</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proposed initial business combination, each public stockholder will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have the right, regardless of whether he, she or it is voting for or against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such proposed business combination, to demand that we convert his,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 xml:space="preserve">her or its public shares into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 upon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consummation of the business combination.</w:t>
      </w:r>
    </w:p>
    <w:p>
      <w:pPr>
        <w:spacing w:after="0" w:line="13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We may require public stockholders wishing to exercise conversion</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rights, whether they are a record holder or hold their shares in “street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name,” to either tender the certificates they are seeking to convert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our transfer agent or to deliver the shares they are seeking to convert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 transfer agent electronically using Depository Trust Company’s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DWAC (Deposit/Withdrawal At Custodian) System, at the holder’s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option, at any time at or prior to the vote on the business combination.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There is a nominal cost associated with this tendering process and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act of certificating the shares or delivering them through the DWAC</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System. The transfer agent will typically charge the tendering broker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$45, and it would be up to the broker whether or not to pass this cost 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to  the  converting  holder.  However,  this  fee  would  be  incurred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regardless of whether or not we require holders to deliver their shares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prior to the vote on the business combination in order to exercise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conversion rights. This is because a holder would need to deliver shares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to exercise conversion rights regardless of the timing of when such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delivery  must  be  effectuated.  However,  in  the  event  we  require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stockholders to deliver their shares prior to the vote on the proposed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business combination and the proposed business combination is not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consummated, this may result in an increased cost to stockholders.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conversion rights will include the requirement that a beneficial holder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must identify itself in order to validly redeem its shares.</w:t>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 w:name="page21"/>
    <w:bookmarkEnd w:id="20"/>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68275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682752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2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Release of funds in trust account upon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jc w:val="both"/>
        <w:ind w:right="559"/>
        <w:spacing w:after="0" w:line="254" w:lineRule="auto"/>
        <w:rPr>
          <w:sz w:val="20"/>
          <w:szCs w:val="20"/>
          <w:color w:val="auto"/>
        </w:rPr>
      </w:pPr>
      <w:r>
        <w:rPr>
          <w:rFonts w:ascii="Times New Roman" w:cs="Times New Roman" w:eastAsia="Times New Roman" w:hAnsi="Times New Roman"/>
          <w:sz w:val="18"/>
          <w:szCs w:val="18"/>
          <w:color w:val="auto"/>
        </w:rPr>
        <w:t xml:space="preserve">Under Delaware law, we may be required to give a minimum of only ten days’ notice for each general meeting. As a result, if we require public stockholders who wish to convert their shares of common stock into the right to receive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w:t>
      </w:r>
    </w:p>
    <w:p>
      <w:pPr>
        <w:spacing w:after="0" w:line="121" w:lineRule="exact"/>
        <w:rPr>
          <w:sz w:val="20"/>
          <w:szCs w:val="20"/>
          <w:color w:val="auto"/>
        </w:rPr>
      </w:pPr>
    </w:p>
    <w:p>
      <w:pPr>
        <w:jc w:val="both"/>
        <w:ind w:right="559"/>
        <w:spacing w:after="0" w:line="258" w:lineRule="auto"/>
        <w:rPr>
          <w:sz w:val="20"/>
          <w:szCs w:val="20"/>
          <w:color w:val="auto"/>
        </w:rPr>
      </w:pPr>
      <w:r>
        <w:rPr>
          <w:rFonts w:ascii="Times New Roman" w:cs="Times New Roman" w:eastAsia="Times New Roman" w:hAnsi="Times New Roman"/>
          <w:sz w:val="18"/>
          <w:szCs w:val="18"/>
          <w:color w:val="auto"/>
        </w:rPr>
        <w:t>If we require public stockholders who wish to convert their shares of common stock to comply with specific delivery requirements for conversion described above and such proposed business combination is not consummated, we will promptly return such certificates to the tendering public stockholders.</w:t>
      </w:r>
    </w:p>
    <w:p>
      <w:pPr>
        <w:spacing w:after="0" w:line="200" w:lineRule="exact"/>
        <w:rPr>
          <w:sz w:val="20"/>
          <w:szCs w:val="20"/>
          <w:color w:val="auto"/>
        </w:rPr>
      </w:pPr>
    </w:p>
    <w:p>
      <w:pPr>
        <w:spacing w:after="0" w:line="375"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On the completion of our initial business combination, all amounts held in the trust account will be released to us. We will use these funds to pay amounts due to any public stockholders who exercise their conversion rights as described above under “— Conversion rights” to pay all or a portion of the consideration payable to the target or targets or owners of the target or targets of our initial business combination and to pay other expenses associated with our initial business combination. If our initial business combination is paid for using stock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164" w:lineRule="exact"/>
        <w:rPr>
          <w:sz w:val="20"/>
          <w:szCs w:val="20"/>
          <w:color w:val="auto"/>
        </w:rPr>
      </w:pPr>
    </w:p>
    <w:p>
      <w:pPr>
        <w:sectPr>
          <w:pgSz w:w="11900" w:h="16838" w:orient="portrait"/>
          <w:cols w:equalWidth="0" w:num="2">
            <w:col w:w="3040" w:space="220"/>
            <w:col w:w="575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b w:val="1"/>
          <w:bCs w:val="1"/>
          <w:color w:val="auto"/>
        </w:rPr>
        <w:t>Insider purchases of public</w:t>
      </w:r>
    </w:p>
    <w:p>
      <w:pPr>
        <w:spacing w:after="0" w:line="31" w:lineRule="exact"/>
        <w:rPr>
          <w:sz w:val="20"/>
          <w:szCs w:val="20"/>
          <w:color w:val="auto"/>
        </w:rPr>
      </w:pPr>
    </w:p>
    <w:p>
      <w:pPr>
        <w:jc w:val="both"/>
        <w:ind w:left="3260" w:right="559" w:hanging="2539"/>
        <w:spacing w:after="0" w:line="251" w:lineRule="auto"/>
        <w:tabs>
          <w:tab w:leader="none" w:pos="3240" w:val="left"/>
        </w:tabs>
        <w:rPr>
          <w:sz w:val="20"/>
          <w:szCs w:val="20"/>
          <w:color w:val="auto"/>
        </w:rPr>
      </w:pPr>
      <w:r>
        <w:rPr>
          <w:rFonts w:ascii="Times New Roman" w:cs="Times New Roman" w:eastAsia="Times New Roman" w:hAnsi="Times New Roman"/>
          <w:sz w:val="18"/>
          <w:szCs w:val="18"/>
          <w:b w:val="1"/>
          <w:bCs w:val="1"/>
          <w:color w:val="auto"/>
        </w:rPr>
        <w:t>securities</w:t>
      </w:r>
      <w:r>
        <w:rPr>
          <w:sz w:val="20"/>
          <w:szCs w:val="20"/>
          <w:color w:val="auto"/>
        </w:rPr>
        <w:tab/>
      </w:r>
      <w:r>
        <w:rPr>
          <w:rFonts w:ascii="Times New Roman" w:cs="Times New Roman" w:eastAsia="Times New Roman" w:hAnsi="Times New Roman"/>
          <w:sz w:val="18"/>
          <w:szCs w:val="18"/>
          <w:color w:val="auto"/>
        </w:rPr>
        <w:t>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 w:name="page22"/>
    <w:bookmarkEnd w:id="2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350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7350760"/>
                    </a:xfrm>
                    <a:prstGeom prst="rect">
                      <a:avLst/>
                    </a:prstGeom>
                    <a:noFill/>
                  </pic:spPr>
                </pic:pic>
              </a:graphicData>
            </a:graphic>
          </wp:anchor>
        </w:drawing>
      </w:r>
    </w:p>
    <w:p>
      <w:pPr>
        <w:spacing w:after="0" w:line="3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Liquidation if no business</w:t>
      </w:r>
    </w:p>
    <w:p>
      <w:pPr>
        <w:spacing w:after="0" w:line="31" w:lineRule="exact"/>
        <w:rPr>
          <w:sz w:val="20"/>
          <w:szCs w:val="20"/>
          <w:color w:val="auto"/>
        </w:rPr>
      </w:pPr>
    </w:p>
    <w:p>
      <w:pPr>
        <w:jc w:val="both"/>
        <w:ind w:left="3260" w:right="559" w:hanging="2539"/>
        <w:spacing w:after="0" w:line="250" w:lineRule="auto"/>
        <w:tabs>
          <w:tab w:leader="none" w:pos="3240" w:val="left"/>
        </w:tabs>
        <w:rPr>
          <w:sz w:val="20"/>
          <w:szCs w:val="20"/>
          <w:color w:val="auto"/>
        </w:rPr>
      </w:pPr>
      <w:r>
        <w:rPr>
          <w:rFonts w:ascii="Times New Roman" w:cs="Times New Roman" w:eastAsia="Times New Roman" w:hAnsi="Times New Roman"/>
          <w:sz w:val="18"/>
          <w:szCs w:val="18"/>
          <w:b w:val="1"/>
          <w:bCs w:val="1"/>
          <w:color w:val="auto"/>
        </w:rPr>
        <w:t>combination</w:t>
      </w:r>
      <w:r>
        <w:rPr>
          <w:sz w:val="20"/>
          <w:szCs w:val="20"/>
          <w:color w:val="auto"/>
        </w:rPr>
        <w:tab/>
      </w:r>
      <w:r>
        <w:rPr>
          <w:rFonts w:ascii="Times New Roman" w:cs="Times New Roman" w:eastAsia="Times New Roman" w:hAnsi="Times New Roman"/>
          <w:sz w:val="18"/>
          <w:szCs w:val="18"/>
          <w:color w:val="auto"/>
        </w:rPr>
        <w:t>If we are unable to complete our initial business combination within 15 months (or up to 18 months, as applicable) from the closing of this offering, we will (i) cease all operations except for the purpose of winding up, (ii) as promptly as reasonably possible but not more than five business days thereafter, redeem 100% of the outstanding public shares (including any public units in this offering or any public units or shares that our initial stockholders or their affiliates purchased in this offering or later acquired in the open market or in private transactions),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our remaining holders of common stock and our board of directors, proceed to commence a voluntary liquidation and thereby a formal dissolution of the Company, subject (in the case of (ii) and</w:t>
      </w:r>
    </w:p>
    <w:p>
      <w:pPr>
        <w:spacing w:after="0" w:line="6" w:lineRule="exact"/>
        <w:rPr>
          <w:sz w:val="20"/>
          <w:szCs w:val="20"/>
          <w:color w:val="auto"/>
        </w:rPr>
      </w:pPr>
    </w:p>
    <w:p>
      <w:pPr>
        <w:jc w:val="both"/>
        <w:ind w:left="3260" w:right="559" w:hanging="3"/>
        <w:spacing w:after="0" w:line="250" w:lineRule="auto"/>
        <w:tabs>
          <w:tab w:leader="none" w:pos="35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our obligations to provide for claims of creditors and the requirements of applicable law. However, if we anticipate that we may not be able to consummate our initial business combination within 15 months, our initial stockholders or their affiliates may, but are not obligated to, extend the period of time to consummate a business combination one time by up to an additional three months (for a total of up to 18 months to complete our initial business combination) without the need for a separate stockholder vote.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without the need for a separate stockholder vote is for our initial stockholders or their affiliates or designees, upon five days’ advance notice prior to the applicable deadline, to deposit into the trust account $1,500,000, or $1,725,000 if the underwriters’ over-allotment option is exercised in full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w:t>
      </w:r>
    </w:p>
    <w:p>
      <w:pPr>
        <w:spacing w:after="0" w:line="166" w:lineRule="exact"/>
        <w:rPr>
          <w:sz w:val="20"/>
          <w:szCs w:val="20"/>
          <w:color w:val="auto"/>
        </w:rPr>
      </w:pPr>
    </w:p>
    <w:p>
      <w:pPr>
        <w:jc w:val="both"/>
        <w:ind w:left="3260" w:right="559"/>
        <w:spacing w:after="0" w:line="253" w:lineRule="auto"/>
        <w:rPr>
          <w:sz w:val="20"/>
          <w:szCs w:val="20"/>
          <w:color w:val="auto"/>
        </w:rPr>
      </w:pPr>
      <w:r>
        <w:rPr>
          <w:rFonts w:ascii="Times New Roman" w:cs="Times New Roman" w:eastAsia="Times New Roman" w:hAnsi="Times New Roman"/>
          <w:sz w:val="18"/>
          <w:szCs w:val="18"/>
          <w:color w:val="auto"/>
        </w:rPr>
        <w:t>In the event that they elected to extend the time to complete a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613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9613900"/>
                    </a:xfrm>
                    <a:prstGeom prst="rect">
                      <a:avLst/>
                    </a:prstGeom>
                    <a:noFill/>
                  </pic:spPr>
                </pic:pic>
              </a:graphicData>
            </a:graphic>
          </wp:anchor>
        </w:drawing>
      </w:r>
    </w:p>
    <w:p>
      <w:pPr>
        <w:sectPr>
          <w:pgSz w:w="11900" w:h="16838" w:orient="portrait"/>
          <w:cols w:equalWidth="0" w:num="1">
            <w:col w:w="9019"/>
          </w:cols>
          <w:pgMar w:left="1440" w:top="270" w:right="1440" w:bottom="272" w:gutter="0" w:footer="0" w:header="0"/>
        </w:sectPr>
      </w:pPr>
    </w:p>
    <w:p>
      <w:pPr>
        <w:spacing w:after="0" w:line="200" w:lineRule="exact"/>
        <w:rPr>
          <w:sz w:val="20"/>
          <w:szCs w:val="20"/>
          <w:color w:val="auto"/>
        </w:rPr>
      </w:pPr>
    </w:p>
    <w:p>
      <w:pPr>
        <w:spacing w:after="0" w:line="33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 connection with our redemption of 100% of our outstanding public</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shares for a portion of the funds held in the trust account, each holder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will receive a pro rata portion of the amount then in the trust account,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plus any pro rata interest earned on the funds held in the trust account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and not necessary to pay our taxes payable on such funds. Holders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rights or warrants will receive no proceeds in connection with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liquidation with respect to such rights or warrants, which will expire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worthless.</w:t>
      </w:r>
    </w:p>
    <w:p>
      <w:pPr>
        <w:spacing w:after="0" w:line="13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We may not have funds sufficient to pay or provide for all creditors’</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claims. Although we will seek to have all third parties (including any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vendors or other entities we engage after this offering) and any</w:t>
      </w:r>
    </w:p>
    <w:p>
      <w:pPr>
        <w:spacing w:after="0" w:line="9" w:lineRule="exact"/>
        <w:rPr>
          <w:sz w:val="20"/>
          <w:szCs w:val="20"/>
          <w:color w:val="auto"/>
        </w:rPr>
      </w:pPr>
    </w:p>
    <w:p>
      <w:pPr>
        <w:ind w:left="3260"/>
        <w:spacing w:after="0"/>
        <w:tabs>
          <w:tab w:leader="none" w:pos="4220" w:val="left"/>
          <w:tab w:leader="none" w:pos="4780" w:val="left"/>
          <w:tab w:leader="none" w:pos="5700" w:val="left"/>
          <w:tab w:leader="none" w:pos="6220" w:val="left"/>
          <w:tab w:leader="none" w:pos="6660" w:val="left"/>
          <w:tab w:leader="none" w:pos="7180" w:val="left"/>
          <w:tab w:leader="none" w:pos="7580" w:val="left"/>
        </w:tabs>
        <w:rPr>
          <w:sz w:val="20"/>
          <w:szCs w:val="20"/>
          <w:color w:val="auto"/>
        </w:rPr>
      </w:pPr>
      <w:r>
        <w:rPr>
          <w:rFonts w:ascii="Times New Roman" w:cs="Times New Roman" w:eastAsia="Times New Roman" w:hAnsi="Times New Roman"/>
          <w:sz w:val="18"/>
          <w:szCs w:val="18"/>
          <w:color w:val="auto"/>
        </w:rPr>
        <w:t>prospective</w:t>
        <w:tab/>
        <w:t>target</w:t>
        <w:tab/>
        <w:t>businesses</w:t>
        <w:tab/>
        <w:t>enter</w:t>
        <w:tab/>
        <w:t>into</w:t>
        <w:tab/>
        <w:t>valid</w:t>
        <w:tab/>
        <w:t>and</w:t>
        <w:tab/>
        <w:t>enforceable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agreements with us waiving any right, title, interest or claim of any kind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 or to any monies held in the trust account, there is no guarantee that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they will execute such agreements. There is also no guarantee that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third parties would not challenge the enforceability of these waivers and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bring claims against the trust account for monies owed them.</w:t>
      </w:r>
    </w:p>
    <w:p>
      <w:pPr>
        <w:spacing w:after="0" w:line="13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 holders of the founder shares and private warrants will not</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participate in any redemption distribution with respect to their founder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shares and private warrants, but may have any public shares redeemed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upon liquidation.</w:t>
      </w:r>
    </w:p>
    <w:p>
      <w:pPr>
        <w:spacing w:after="0" w:line="16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If we are unable to conclude our initial business combination and we</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expend all of the net proceeds of this offering not deposited in the trust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account, without taking into account any interest earned on the trust</w:t>
      </w:r>
    </w:p>
    <w:p>
      <w:pPr>
        <w:spacing w:after="0" w:line="9"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account, we expect that the initial per-share redemption price will be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approximately $10.10. The proceeds deposited in the trust account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could, however, become subject to claims of our creditors that are in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preference  to  the  claims  of  our  stockholders.  Furthermore,  our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underwriters may seek recourse against the proceeds in the trust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account relating to any future claims they may have against us. In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addition, if we are forced to file a bankruptcy case or an involuntary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bankruptcy case is filed against us that is not dismissed, the proceeds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held in the trust account could be subject to applicable bankruptcy law,</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and may be included in our bankruptcy estate and subject to the claims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third parties with priority over the claims of our stockholders.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Therefore, the actual per-share redemption price may be less than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estimated $10.10. We will pay the costs of any subsequent liquidation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from our remaining assets outside of the trust account. If such funds are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insufficient, our co-sponsors have agreed to pay the funds necessary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complete such liquidation and has agreed not to seek repayment for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such expenses. We currently do not anticipate that such funds will be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insufficient.</w:t>
      </w:r>
    </w:p>
    <w:p>
      <w:pPr>
        <w:spacing w:after="0" w:line="176" w:lineRule="exact"/>
        <w:rPr>
          <w:sz w:val="20"/>
          <w:szCs w:val="20"/>
          <w:color w:val="auto"/>
        </w:r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Conflict of Interest</w:t>
      </w:r>
      <w:r>
        <w:rPr>
          <w:sz w:val="20"/>
          <w:szCs w:val="20"/>
          <w:color w:val="auto"/>
        </w:rPr>
        <w:tab/>
      </w:r>
      <w:r>
        <w:rPr>
          <w:rFonts w:ascii="Times New Roman" w:cs="Times New Roman" w:eastAsia="Times New Roman" w:hAnsi="Times New Roman"/>
          <w:sz w:val="18"/>
          <w:szCs w:val="18"/>
          <w:color w:val="auto"/>
        </w:rPr>
        <w:t>Chardan Capital Markets, LLC, the representative of the underwriters</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 this offering and an affiliate of one of our co-sponsors and one of our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directors, is a beneficial owner of our co-sponsor, Chardan Investments.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As a result, Chardan Capital Markets, LLC is deemed to have a</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“conflict  of  interest”  within  the  meaning  of  FINRA  Rule  5121</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(“Rule 5121”). Accordingly, this offering is being made in compliance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with the applicable requirements of Rule 5121.</w:t>
      </w:r>
    </w:p>
    <w:p>
      <w:pPr>
        <w:spacing w:after="0" w:line="13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Rule 5121 requires that a “qualified independent underwriter,” as</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defined in Rule 5121, participate in the preparation of the registration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statement and prospectus and exercise the usual standards of due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diligence with respect thereto. B. Riley Securities, Inc. has agreed to act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as a “qualified independent underwriter” for this offering. B. Riley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Securities,  Inc.  will  receive  $100,000  for  acting  as  a  qualified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independent  underwriter.  We  have  agreed  to  indemnify  B.  Riley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Securities, Inc. against certain liabilities incurred in connection with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acting as a “qualified independent underwriter,” including liabilities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under the Securities Act. In addition, no underwriter with a conflict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interest will confirm sales to any account over which it exercises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discretionary authority without the specific prior written approval of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account holder.</w:t>
      </w:r>
    </w:p>
    <w:p>
      <w:pPr>
        <w:sectPr>
          <w:pgSz w:w="11900" w:h="16838" w:orient="portrait"/>
          <w:cols w:equalWidth="0" w:num="1">
            <w:col w:w="9019"/>
          </w:cols>
          <w:pgMar w:left="1440" w:top="270" w:right="1440" w:bottom="272"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272" w:gutter="0" w:footer="0" w:header="0"/>
          <w:type w:val="continuous"/>
        </w:sectPr>
      </w:pPr>
    </w:p>
    <w:bookmarkStart w:id="23" w:name="page24"/>
    <w:bookmarkEnd w:id="2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4648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546481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this offering, please see “</w:t>
      </w:r>
      <w:r>
        <w:rPr>
          <w:rFonts w:ascii="Times New Roman" w:cs="Times New Roman" w:eastAsia="Times New Roman" w:hAnsi="Times New Roman"/>
          <w:sz w:val="18"/>
          <w:szCs w:val="18"/>
          <w:i w:val="1"/>
          <w:iCs w:val="1"/>
          <w:color w:val="auto"/>
        </w:rPr>
        <w:t>Proposed Business — Comparison to Offerings of Blank Check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 Subject to Rule 419</w:t>
      </w:r>
      <w:r>
        <w:rPr>
          <w:rFonts w:ascii="Times New Roman" w:cs="Times New Roman" w:eastAsia="Times New Roman" w:hAnsi="Times New Roman"/>
          <w:sz w:val="18"/>
          <w:szCs w:val="18"/>
          <w:color w:val="auto"/>
        </w:rPr>
        <w:t>.” You should carefully consider these and the other risks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entitled “Risk Factors” beginning on page 22 of this prospectus.</w:t>
      </w:r>
    </w:p>
    <w:p>
      <w:pPr>
        <w:spacing w:after="0" w:line="1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A brief summary of some of the risk factors that make an investment in us speculative or risky include:</w:t>
      </w:r>
    </w:p>
    <w:p>
      <w:pPr>
        <w:spacing w:after="0" w:line="146" w:lineRule="exact"/>
        <w:rPr>
          <w:sz w:val="20"/>
          <w:szCs w:val="20"/>
          <w:color w:val="auto"/>
        </w:rPr>
      </w:pPr>
    </w:p>
    <w:p>
      <w:pPr>
        <w:ind w:left="1400" w:right="559" w:hanging="424"/>
        <w:spacing w:after="0" w:line="282" w:lineRule="auto"/>
        <w:tabs>
          <w:tab w:leader="none" w:pos="15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able to complete our initial business combination, particularly in light of disruption that may result from limitations imposed by the COVID-19 pandemic;</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5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successful in retaining or recruiting, or making changes required in, our officers, key employees or directors following our initial business combination;</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much time our officers and directors allocate to us and potentially having conflicts of interest with our business or in approving our initial business combination, as a result of which they would then receive expense reimbursements and other benefits;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obtain additional financing to complete our initial business combination;</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 sufficient pool of prospective target businesses for us to acquire, given competition;</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6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officers and directors are able to generate a number of potential investment opportunities;</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securities are delisted from Nasdaq prior to our business combination or an inability to have our securities listed on Nasdaq following a business combination;</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may have limited liquidity in our securities;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there has not previously been a market for our securities; and</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following our business combination.</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3447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7310" cy="534479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16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38"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4"/>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gridSpan w:val="3"/>
          </w:tcPr>
          <w:p>
            <w:pPr>
              <w:jc w:val="right"/>
              <w:ind w:right="975"/>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As Adjusted</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6"/>
                <w:szCs w:val="16"/>
                <w:color w:val="auto"/>
              </w:rPr>
              <w:t>(Unaudited)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(88,378)</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152,523,465</w:t>
            </w:r>
          </w:p>
        </w:tc>
        <w:tc>
          <w:tcPr>
            <w:tcW w:w="0" w:type="dxa"/>
            <w:vAlign w:val="bottom"/>
          </w:tcPr>
          <w:p>
            <w:pPr>
              <w:spacing w:after="0"/>
              <w:rPr>
                <w:sz w:val="1"/>
                <w:szCs w:val="1"/>
                <w:color w:val="auto"/>
              </w:rPr>
            </w:pPr>
          </w:p>
        </w:tc>
      </w:tr>
      <w:tr>
        <w:trPr>
          <w:trHeight w:val="40"/>
        </w:trPr>
        <w:tc>
          <w:tcPr>
            <w:tcW w:w="40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177,483</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152,523,465</w:t>
            </w: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Value of shares of common stock subject to possible</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conversion/tender</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147,523,458</w:t>
            </w: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23,465</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5,000,007</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980" w:right="559" w:hanging="436"/>
        <w:spacing w:after="0" w:line="288" w:lineRule="auto"/>
        <w:tabs>
          <w:tab w:leader="none" w:pos="102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$6,000,000 we will receive from the sale of the private warrants (without exercise of over-allotment option).</w:t>
      </w:r>
    </w:p>
    <w:p>
      <w:pPr>
        <w:spacing w:after="0" w:line="10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“as adjusted” information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16"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“as adjusted” working capital and total assets amounts include the $151,500,000 (without exercise of over-allotment option) to be held in the trust account, which, except for limited situations described in this prospectus, will be available to us only upon the consummation of our initial business combination within the time period described in this prospectus.</w:t>
      </w:r>
    </w:p>
    <w:p>
      <w:pPr>
        <w:spacing w:after="0" w:line="99"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We will consummate our initial business combination only if we have net tangible assets of at least $5,000,001 upon such consummation and a majority of the outstanding shares of common stock voted are voted in favor of the business combination (if a vote is required or being obtained).</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Our Business and Structure</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are a newly formed blank check company in the early stage with no operating history and no revenues, and you have no basis on which to evaluate our ability to achieve our business objective.</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are a newly formed blank check company with no operating results, and we will not commence operations until obtaining funding through this offering and consummating our initial business combination.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our initial business combination, and may be unable to complete our initial business combination. If we fail to complete our initial business combination, we will never generate any operating revenues.</w:t>
      </w:r>
    </w:p>
    <w:p>
      <w:pPr>
        <w:spacing w:after="0" w:line="18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COVID-19 outbreak has resulted, and a significant outbreak of other infectious diseases could result, in a widespread health crisis that has affected, or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concerns relating to COVID-19 continue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 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191"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The requirement that the target business or businesses that we acquire must collectively have a fair market value equal to at least 80% of the balance of the funds in the trust account (excluding any taxes payable on the income earned on the trust account) at the time of the execution of a definitive agreement for our initial business combination may limit the type and number of companies with which we may complete such a business combination.</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Pursuant to Nasdaq listing rules, the target business or businesses that we acquire must collectively have a fair market value equal to at least 80% of the balance of the funds in the trust account (excluding any taxes payable on the income earned on the trust account) at the time of the execution of a definitive agreement for our initial business combination. This restriction may limit the type and number of companies that we may complete a business combination with. If we are unable to locate a target business or businesses that satisfy this fair market value test, we may be forced to liquidate and you will only be entitled to receive your pro rata portion of the funds in the trust account, which may be less than $10.10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public stockholders may not be afforded an opportunity to vote on our proposed business combination, which means we may consummate our initial business combination even though a majority of our public stockholders do not support such a combination.</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a stockholder vote is not required, we may conduct redemptions via a tender offer. Accordingly, we may consummate our initial business combination even if holders of a majority of our public shares do not approve the business combination.</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Your only opportunity to affect the investment decision regarding a potential business combination may be limited to the exercise of your right to redeem your shares from us for cash.</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At the time of your investment in us, you will not be provided with an opportunity to evaluate the specific merits or risks of one or more target businesses. Because our board of directors may consummate our initial business combination without seeking stockholder approval, public stockholders may not have the right or opportunity to vote on the business combination.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business combination.</w:t>
      </w:r>
    </w:p>
    <w:p>
      <w:pPr>
        <w:spacing w:after="0" w:line="18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ability of our public stockholders to redeem their shares for cash may make our financial condition unattractive to potential business combination targets, which may make it difficult for us to enter into our initial business combination with a target.</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enter into a transaction agreement with a prospective target that requires as a closing condition that we have a minimum net worth or a certain amount of cash. If too many public stockholders exercise their redemption rights, we may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would be aware of these risks and, thus, may be reluctant to enter into our initial business combination transaction with us.</w:t>
      </w:r>
    </w:p>
    <w:p>
      <w:pPr>
        <w:spacing w:after="0" w:line="19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The ability of a large number of our stockholders to exercise redemption rights may not allow us to consummate the most desirable business combination or optimize our capital structure.</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consummation of our business combination, we may redeem up to that number of shares of common stock that would permit us to maintain net tangible assets of $5,000,001. If our business combination requires us to use substantially all of our cash to pay the purchase price, the redemption threshold may be further limited. Alternatively, we may need to arrange third party financing to help fund our business combination in case a larger percentage of stockholders exercises its redemption rights than we expect. If the acquisition involves the issuance of our shares as consideration, we may be required to issue a higher percentage of our shares to the target or its stockholders to make up for the failure to satisfy a minimum cash requirement.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The requirement that we maintain a minimum net worth or retain a certain amount of cash could increase the probability that we cannot consummate our business combination and that you would have to wait for liquidation in order to redeem your shares.</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pursuant to the terms of our proposed business combination, we are required to maintain a minimum net worth or retain a certain amount of cash in trust in order to consummate the business combination, regardless of whether we proceed with redemptions under the tender offer or proxy rules, the probability that we cannot consummate our business combination is increased. If we do not consummate our business combination, you would not receive your pro rata portion of the trust account until we liquidate. If you are in need of immediate liquidity, you could attempt to sell your shares in the open market; however, at such time our shares may trade at a discount to the pro rata amount in our trust account. In either situation, you may suffer a material loss on your investment or lose the benefit of funds expected in connection with a redemption until we liquidate or you are able to sell your shares in the open market.</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The requirement that we complete our initial business combination within 15 months (or up to 18 months, as applicable) from the closing of this offering may give potential target businesses leverage over us in negotiating our initial business combination.</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Any potential target business with which we enter into negotiations concerning our initial business combination will be aware that we must consummate our initial business combination within 15 months (or up to 18 months, as applicable) from the closing of this offering. Consequently, such target business may obtain leverage over us in negotiating our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We may not be able to consummate our initial business combination within the required time period, in which case we would cease all operations except for the purpose of winding up and we would redeem our public shares and liquidate.</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co-sponsors, officers and directors have agreed that we must complete our initial business combination within 15 months (or up to 18 months, as applicable) from the closing of this offering. We may not be able to find a suitable target business and consummate our initial business combination within such time period. If we are unable to consummate our initial business combination within the required time period, we will, as promptly as reasonably possible but not more than five business days thereafter (subject to our certificate of incorporation and Delaware law), distribute the aggregate amount then on deposit in the trust account (net of taxes payable), pro rata to our public stockholders by way of redemption and cease all operations except for the purposes of winding up of our affairs, as further described herein. This redemption of public stockholders from the trust account shall be effected as required by our certificate of incorporation and Delaware law, prior to any voluntary winding up.</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If we seek stockholder approval of our business combination, our co-sponsors, directors, officers, advisors and their affiliates may elect to purchase shares from stockholders, in which case they may influence a vote in favor of a proposed business combination that you do not support.</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we seek stockholder approval of our business combination and we do not conduct redemptions in connection with our business combination pursuant to the tender offer rules, our co-sponsors, directors, officers, advisors or their affiliates may purchase shares in privately negotiated transactions either prior to or following the consummation of our initial business combination. Such purchases will not be made if our co-sponsors, directors, officers, advisors or their affiliates are in possession of any material non-public information that has not been disclosed to the selling stockholder. Such a purchase would include a contractual acknowledgement that such stockholder, although still the record holder of our shares, is no longer the beneficial owner thereof and therefore agrees not to exercise its redemption rights. In the event that our co-sponsors,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It is intended that, if Rule 10b-18 under the Exchange Act would apply to purchases by our initial stockholders, directors, officers, advisors or their affiliates, then such purchases will comply with Rule 10b-18, to the extent it applies, which provides a safe harbor for purchased made under certain conditions, including with respect to timing, pricing and volume of purchases.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purpose of such purchases would be to (1) increase the likelihood of obtaining stockholder approval of the business combination or (2) satisfy a closing condition in an agreement with a target that requires us to have a minimum net worth or a certain amount of cash at the closing of the initial business combination, where it appears that such requirement would otherwise not be met. This may result in the consummation of an initial business combination that may not otherwise have been possible.</w:t>
      </w:r>
    </w:p>
    <w:p>
      <w:pPr>
        <w:spacing w:after="0" w:line="179"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Purchases of shares of common stock in the open market or in privately negotiated transactions by our co-sponsors, directors, officers, advisors or their affiliates may make it difficult for us to maintain the listing of our shares on a national securities exchange following the consummation of an initial business combination.</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our co-sponsors, directors, officers, advisors or their affiliates purchase shares of common stock in the open market or in privately negotiated transactions, the public “float” of our shares of common stock and the number of beneficial holders of our securities would both be reduced, possibly making it difficult to maintain the listing or trading of our securities on a national securities exchange following consummation of the business combination.</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You will not have any rights or interests in funds from the trust account, except under certain limited circumstances. To liquidate your investment, therefore, you may be forced to sell your public shares, rights or warrants, potentially at a loss.</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public stockholders are entitled to receive funds from the trust account only in the event of a redemption to public stockholders prior to any winding up in the event we do not consummate our initial business combination or our liquidation, if they redeem their shares in connection with an initial business combination that we consummate, or if we seek to amend our certificate of incorporation to affect the substance or timing of our redemption obligation to redeem all public shares if we cannot complete an initial business combination within 15 months (or up to 18 months, as applicable) of the closing of this offering.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 In no other circumstances will a stockholder have any right or interest of any kind to the funds in the trust account. Accordingly, to liquidate your investment, you may be forced to sell your public shares, rights or warrants, potentially at a loss.</w:t>
      </w:r>
    </w:p>
    <w:p>
      <w:pPr>
        <w:spacing w:after="0" w:line="19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You will not be entitled to protections normally afforded to investors of many other blank check companies.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Because the net proceeds of this offering are intended to be used to complete our initial business combination with a target business that has not been identified, we may be deemed to be a “blank check” company under the United States securities laws. However, because we will have net tangible assets in excess of $5,000,000 upon the consummation of this offering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companies have that are subject to Rule 419. Moreover, offerings subject to Rule 419 would prohibit the release of any interest earned on funds held in the trust account to us. For a more detailed comparison of our offering to offerings that comply with Rule 419, please see “Proposed Business — Comparison to Offerings of Blank Check Companies Subject to Rule 419.”</w:t>
      </w:r>
    </w:p>
    <w:p>
      <w:pPr>
        <w:spacing w:after="0" w:line="186"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If we seek stockholder approval of our business combination and we do not conduct redemptions pursuant to the tender offer rules, and if you or a “group” of stockholders are deemed to hold in excess of 20% of our shares of common stock, you will lose the ability to redeem all such shares in excess of 20% of our shares of common stock.</w:t>
      </w:r>
    </w:p>
    <w:p>
      <w:pPr>
        <w:spacing w:after="0" w:line="11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we seek stockholder approval of our initial business combination and we do not conduct redemptions in connection with our business combination pursuant to the tender offer rules, our certificate of incorporation provides that a public stockholder, individually or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Your inability to redeem more than an aggregate of 20% of the shares sold in this offering will reduce your influence over our ability to consummate our initial business combination and you could suffer a material loss on your investment in us if you sell such excess shares in open market transactions. As a result, you will continue to hold that number of shares exceeding 20% and, in order to dispose of such shares, you would be required to sell your shares in open market transaction, potentially at a loss. Furthermore,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If the net proceeds of this offering not being held in the trust account are insufficient to allow us to operate for at least the next 15 months (or up to 18 months, as applicable), we may be unable to complete our initial business combination.</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funds available to us outside of the trust account may not be sufficient to allow us to operate for at least the next 15 months (or up to 18 months, as applicable), assuming that our initial business combination is not consummated during that time.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are unable to fund such down payments or “no shop” provisions, our ability to close a contemplated transaction could be impaired. Furthermore,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only receive a pro rata portion of the amount then in the trust account (which may be less than $10.10 per share) (whether or not the underwriters’ over-allotment option is exercised in full) on our redemption, and our rights and warrants will expire worthless.</w:t>
      </w:r>
    </w:p>
    <w:p>
      <w:pPr>
        <w:spacing w:after="0" w:line="19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Subsequent to our consummation of our initial business combination, we may be required to take write-downs or write-offs, restructuring and impairment or other charges.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Even if we conduct thorough due diligence on a target business with which we combine, this diligence may not surface all material issues that may be present inside a particular target business. Even with thorough due diligence, we may not be able to uncover all material issues, and there may be factors outside of the target business and outside of our control that may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directors may decide not to enforce indemnification obligations against our co-sponsors, resulting in a reduction in the amount of funds in the trust account available for distribution to our public stockholders.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$10.10 per share (whether or not the underwriters’ overallotment option is exercised in full) and either of our co-sponsors asserts that it is unable to satisfy its obligations or that it has no indemnification obligations related to a particular claim, our independent directors would determine on our behalf whether to take legal action against such co-sponsor to enforce its indemnification obligations. While we currently expect that our independent directors would take legal action on our behalf against either co-sponsor to enforce its indemnification obligations to us, it is possible that our independent directors in exercising their business judgment may choose not to do so in any particular instance. If our independent directors choose not to enforce these indemnification obligations on our behalf, the amount of funds in the trust account available for distribution to our public stockholders may be reduced below $10.10 per share.</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we are deemed to be an investment company under the Investment Company Act, our activities may be restricted, including restrictions on the nature of our investments and restrictions on the issuance of securities, each of which may make it difficult for us to complete our initial business combination. In addition, we may have imposed upon us burdensome requirements, including registration as an investment company, adoption of a specific form of corporate structure and reporting, record keeping, voting, proxy and disclosure requirements and other rules and regulations.</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we were deemed to be subject to the Investment Company Act, compliance with these additional regulatory burdens would require additional expenses for which we have not allotted funds and may hinder our ability to consummate our initial business combination.</w:t>
      </w:r>
    </w:p>
    <w:p>
      <w:pPr>
        <w:spacing w:after="0" w:line="17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consummate our initial business combination, our public stockholders may be forced to wait up to 15 months (or up to 18 months, as applicable) or longer before redemption from our trust account.</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are unable to consummate our initial business combination within 15 months (or up to 18 months, as applicable) from the closing of this offering, we will, as promptly as reasonably possible but not more than five business days thereafter (subject to our certificate of incorporation and applicable law), distribute the aggregate amount then on deposit in the trust account (net of taxes payable), pro rata to our public stockholders by way of redemption and cease all operations except for the purposes of winding up of our affairs by way of a voluntary liquidation, as further described herein. Any redemption of public stockholders from the trust account shall be effected as required by our certificate of incorporation prior to our commencing any voluntary liquidation. Except as otherwise described herein, we have no obligation to return funds to investors prior to the date of any redemption required as a result of our failure to consummate our initial business combination within the period described above or our liquidation, unless we consummate our initial business combination prior thereto and only then in cases where investors have sought to redeem their shares of common stock. Only upon any such redemption of public shares as we are required to effect or any liquidation will public stockholders be entitled to distributions if we are unable to complete our initial business combination.</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grant of registration rights to our initial stockholders may make it more difficult to complete our initial business combination, and the future exercise of such rights may adversely affect the market price of our shares of common stock.</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Pursuant to an agreement to be entered into on the date of this prospectus, our initial stockholders, our co-sponsors (and/or our co-sponsors’ designees) and their permitted transferees can demand that we register the founder shares and the private warrants and the underlying securities. We will bear the cost of registering these securities. The registration and availability of such a significant number of securities for trading in the public market may have an adverse effect on the market price of our shares of common stock. In addition, the existence of the registration rights may make our initial business combination more costly or difficult to conclude. This is because the stockholder of the target business may increase the equity stake they seek in the combined entity or ask for more cash consideration to offset the negative impact on the market price of our shares of common stock that is expected when the securities owned by our co-sponsors, holders of our private warrants or their respective permitted transferees are registered. Chardan Capital Markets, LLC and its related persons may not, with respect to the private warrants (and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8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Because we have not selected a particular business or specific geographic location or any specific target businesses with which to pursue our initial business combination, you will be unable to ascertain the merits or risks of any particular target business’ operations.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Although we have a stated focus on certain target businesses in a specific geographic location as indicated elsewhere in this prospectus, we may pursue acquisition opportunities in any geographic region. While we may pursue an acquisition opportunity in any business industry or sector, we intend to initially focus on those industries or sectors that complement our management team’s background. Except for the limitations that a target business have a fair market value of at least 80% of the value of the trust account (excluding any taxes payable on the income earned on the trust account) and that we are not permitted to effectuate our initial business combination with another blank check company or similar company with nominal operations, we will have virtually unrestricted flexibility in identifying and selecting a prospective acquisition candidate. Because we have not yet identified or approached any specific target business with respect to our initial business combination, there is no basis to evaluate the possible merits or risks of any particular target business’s operations, results of operations, cash flows, liquidity, financial condition or prospects. To the extent we consummate our initial business combination, we may be affected by numerous risks inherent in the business operations with which we combine. For example, if we combine with a financially unstable business or an</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we may not have adequate time to complete due diligence with respect to the target business and its industry. Furthermore, some of these risks may be outside of our control and leave us with no ability to control or reduce the chances that those risks will adversely impact a target business. In addition, investors will be relying on the business judgment of our board of directors, which will have significant discretion in choosing the standard used to establish the fair market value of a particular target business. An investment in our units may not ultimately prove to be more favorable to investors than a direct investment, if such opportunity were available, in an acquisition target.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Completing a Business Combination</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ability of our public stockholders to exercise their redemption rights may not allow us to effectuate the most desirable business combination or optimize our capital structure.</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our initial business combination requires us to use substantially all of our cash to pay the purchase price, because we will not know how many public stockholders may exercise redemption rights, we may either need to reserve part of the trust account for possible payment upon such redemption, or we may need to arrange third party financing to help fund our initial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A public stockholder who fails to vote either in favor of or against a proposed business combination may not be able to have his, her or its shares redeemed for cash.</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8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We will require public stockholders who wish to redeem their shares of common stock in connection with a proposed business combination or amendment to our certificate of incorporation to effect the substance or timing of their redemption obligation if we fail to timely complete a business combination to comply with specific requirements for redemption that may make it more difficult for them to exercise their redemption rights prior to the deadline for exercising their rights.</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will require our public stockholders seeking to exercise their redemption rights, whether they are record holders or hold their shares in “street name,” to either tender their certificates to our transfer agent prior to the expiration date set forth in the tender offer documents mailed to such holders, or in the event we distribute proxy materials, up to two business days prior to the vote on the proposal to approve the business combination or amendment to our certificate of incorporation to affect the substance or timing of our redemption obligation to redeem all public shares if we cannot complete an initial business combination, or to deliver their shares to the transfer agent electronically using Depository Trust Company’s DWAC (Deposit/Withdrawal At Custodian) System, at the holder’s option.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this may not be the case. Under Delaware law, we are required to provide at least 10 days’ advance notice of any stockholder meeting, which would be the minimum amount of time a stockholder would have to determine whether to exercise redemption rights. Accordingly, if it takes longer than we anticipate for stockholders to deliver their shares, stockholders who wish to redeem may be unable to meet the deadline for exercising their redemption rights and thus may be unable to redeem their shares.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Redeeming stockholders may be unable to sell their securities when they wish to in the event that the proposed business combination is not approved.</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will require public stockholders who wish to redeem their shares of common stock in connection with any proposed business combination to comply with the delivery requirements discussed above for redemption. If such proposed business combination is not consummated, we will promptly return such certificates to the tendering public stockholders. Accordingly, investors who attempted to redeem their shares in such a circumstance will be unable to sell their securities after the failed acquisition until we have returned their securities to them. The market price for our shares of common stock may decline during this time, and you may not be able to sell your securities when you wish, even while other stockholders that did not seek redemption may be able to sell their securities.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Because of our structure, other companies may have a competitive advantage and we may not be able to consummate an attractive business combination.</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acquiring certain sizable target businesses may be limited by our available financial resources. This inherent competitive limitation gives others an advantage in pursuing the acquisition of certain target businesses. Furthermore, seeking stockholder approval of our initial business combination may delay the consummation of a transaction. Any of the foregoing may place us at a competitive disadvantage in successfully negotiating our initial business combination.</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Our Certificate of Incorporation contains provisions that prohibit our engaging in business combinations with interested stockholders in certain circumstances.</w:t>
      </w:r>
    </w:p>
    <w:p>
      <w:pPr>
        <w:spacing w:after="0" w:line="9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99" w:lineRule="exact"/>
        <w:rPr>
          <w:sz w:val="20"/>
          <w:szCs w:val="20"/>
          <w:color w:val="auto"/>
        </w:rPr>
      </w:pPr>
    </w:p>
    <w:p>
      <w:pPr>
        <w:ind w:left="1320" w:right="459" w:hanging="434"/>
        <w:spacing w:after="0" w:line="282" w:lineRule="auto"/>
        <w:tabs>
          <w:tab w:leader="none" w:pos="16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1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66⅔% of the outstanding voting stock that is not owned by the interested stockholder.</w:t>
      </w:r>
    </w:p>
    <w:p>
      <w:pPr>
        <w:spacing w:after="0" w:line="9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certain other transactions with the interested stockholder. Subject to certain exceptions, an “interested stockholder” is a person who, together with that person’s affiliates and associates, owns, or within the previous three years owned, 20% or more of our voting stock</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co-sponsors and their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7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stockholders may only receive $10.10 per share or even less (whether or not the underwriters’ over-allotment option is exercised in full) on our redemption, and the rights and warrants will expire worthless.</w:t>
      </w:r>
    </w:p>
    <w:p>
      <w:pPr>
        <w:spacing w:after="0" w:line="11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Although we believe that the net proceeds of this offering will be sufficient to allow us to consummate our initial business combination, because we have not yet identified any prospective target business we cannot ascertain the capital requirements for any particular transaction or our costs to operate or locate a transaction. If the net proceeds of this offering prove to be insufficient, either because of the size of our initial business combination, the depletion of the available net proceeds in search of a target business, the obligation to repurchase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Financing may not be available on acceptable terms, if at all. The current economic environment, including due to the effects of the COVID-19 pandemic, has made it especially difficult for companies to obtain acquisition financing. To the extent that additional financing proves to be unavailable when needed to consummate our initial business combination, we would be compelled to either restructure the transaction or abandon that particular initial business combination and seek an alternative target business candidate. If we are unable to complete our initial business combination, our public stockholders may only receive $10.10 per share or even less (whether or not the underwriters’ over-allotment option is exercised in full) on our redemption, and the rights and warrants will expire worthless. In addition, even if we do not need additional financing to consummate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Our co-sponsors control a substantial interest in us and thus may exert a substantial influence on actions requiring a stockholder vote, potentially in a manner that you do not support.</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closing of this offering, our initial stockholders and co-sponsors (and/or their designees) collectively will own 20% of our issued and outstanding shares of common stock (assuming they do not purchase any units in this offering). Accordingly, they may exert a substantial influence on actions requiring a stockholder vote, potentially in a manner that you do not support, including amendments to our certificate of incorporation. If our co-sponsors purchase any units in this offering or if our co-sponsors purchase any additional shares of common stock in the aftermarket or in privately negotiated transactions, this would increase their control. Factors that would be considered in making such additional purchases would include consideration of the current trading price of our shares of common stock.</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Our initial stockholders paid an aggregate of $25,000 for their shares, and, accordingly, you will experience immediate and substantial dilution from the purchase of our shares of common stock.</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(allocating all of the unit purchase price to the shares of common stock included in a unit and none to the rights and warrants included in a unit) and the pro forma net tangible book value per share after this offering constitutes the dilution to you and the other investors in this offering. Our initial stockholders acquired the founder shares at a nominal price, significantly contributing to this dilution. Upon closing of this offering, you and the other public stockholders will incur an immediate and substantial dilution of approximately 89.3% or $8.50 per share (the difference between the pro forma net tangible book value per share of $1.02 and the initial offering price of $9.52 per share immediately upon the closing of this offering (including the shares of common stock issuable upon conversion of rights)), or approximately 90.6% dilution or $8.62 per share (the difference between the pro forma net tangible book value per share of $0.90 and the initial offering price of $9.52 per share (including the shares of common stock issuable upon conversion of rights)) if the over-allotment is fully exercised.</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A provision of our warrant agreement may make it more difficult for use to consummate an initial business combination.</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Unlike most blank check companies, if we issue additional shares of common stock or equity-linked securities for capital raising purposes in connection with the closing of our initial business combination at a newly issued price of less than $9.20 per share of common stock, then the exercise price of the warrants will be adjusted to be equal to 115% of the newly issued price and the $16.50 per share redemption trigger price will be adjusted (to the nearest cent) to be equal to 165% of the market value (the volume weighted average trading price of the common stock during the 20 trading day period starting on the trading day prior to the consummation of an initial business combination). This may make it more difficult for us to consummate an initial business combination with a target business.</w:t>
      </w:r>
    </w:p>
    <w:p>
      <w:pPr>
        <w:spacing w:after="0" w:line="18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Although we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Although we have identified specific criteria and guidelines for evaluating prospective target businesses, it is possible that a target business with which we enter into our initial business combination will not have all of these attributes. If we consummate our initial business combination with a target that does not meet some or all of these guidelines, such combination may not be as successful as a combination with a business that does meet all of our general criteria and guidelines. In addition, if we announce our initial business combination with a target that does not meet our general criteria and guidelines, a greater number of stockholders may exercise its redemption rights, which may make it difficult for us to meet any closing condition with a target business that requires us to have a minimum net worth or a certain amount of cash. In addition, if stockholder approval of the transaction is required by law or Nasdaq,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only receive $10.10 per share or even less (whether or not the underwriters’ over-allotment option is exercised in full) on our redemption, and our rights and warrants will expire worthless.</w:t>
      </w:r>
    </w:p>
    <w:p>
      <w:pPr>
        <w:spacing w:after="0" w:line="19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Management’s flexibility in identifying and selecting a prospective acquisition candidate, along with our management’s financial interest in consummating our initial business combination, may lead management to enter into an acquisition agreement that is not in the best interest of our stockholders.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Subject to the requirement that our initial business combination must be with one or more target businesses or assets having an aggregate fair market value of at least 80% of the value of the trust account (excluding any taxes payable on the income earned on the trust account) at the time of the agreement to enter into such initial business combination, we will have virtually unrestricted flexibility in identifying and selecting a prospective acquisition candidate. Investors will be relying on management’s ability to identify business combinations, evaluate their merits, conduct or monitor diligence and conduct negotiations. Management’s flexibility in identifying and selecting a prospective acquisition candidate, along with management’s financial interest in consummating our initial business combination, may lead management to enter into an acquisition agreement that is not in the best interest of our stockholders, which would be the case if the trading price of our shares of common stock after giving effect to such business combination was less than the per-share trust liquidation value that our stockholders would have received if we had dissolved without consummating our initial business combination.</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are not required to obtain an opinion from an independent investment banking firm in connection with a business combination, and consequently, an independent source may not confirm that the price we are paying for the business is fair to our stockholders from a financial point of view.</w:t>
      </w:r>
    </w:p>
    <w:p>
      <w:pPr>
        <w:spacing w:after="0" w:line="9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Unless we consummate our initial business combination with an affiliated entity, we are not required to obtain an opinion from an independent investment banking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may seek investment opportunities outside our management’s area of expertise and our management may not be able to adequately ascertain or assess all significant risks associated with the target company.</w:t>
      </w:r>
    </w:p>
    <w:p>
      <w:pPr>
        <w:spacing w:after="0" w:line="7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There is no limitation on the industry or business sector we may consider when contemplating our initial business combination. We may therefore be presented with a business combination candidate in an industry unfamiliar to our management team, but determine that such candidate offers an attractive investment opportunity for our company. In the event we elect to pursue an investment outside of our management’s expertise, our management’s experience may not be directly applicable to the target business or the evaluation of its operations.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Resources could be wasted in researching acquisitions that are not consummated.</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only receive $10.10 per share or even less (whether or not the underwriters’ over-allotment option is exercised in full) on our redemption, and our rights and warrants will expire worthless.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Our ability to successfully effect our initial business combination and to be successful thereafter will be largely dependent upon the efforts of our officers, directors and key personnel, some of whom may join us following our initial business combination.</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operations are dependent upon a relatively small group of individuals and, in particular, our officers and directors. We believe that our success depends on the continued service of our officers and directors, at least until we have consummated our initial business combination. In addition, our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We do not have an employment agreement with, or key-man insurance on the life of, any of our directors or officers. The unexpected loss of the services of one or more of our directors or officers could have a detrimental effect on us.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role of such persons in the target business, however, cannot presently be ascertained. Although some of such persons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our assessment of these individuals may not prove to be correct. These individuals may be unfamiliar with the requirements of operating a company regulated by the SEC, which could cause us to have to expend time and resources helping them become familiar with such requirements.</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key personnel may be able to remain with us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the business combination. The personal and financial interests of such individuals may influence their motivation in identifying and selecting a target business. However, we believe the ability of such individuals to remain with us after the consummation of our initial business combination will not be the determining factor in our decision as to whether or not we will proceed with any potential business combination. There is no certainty, however, that any of our key personnel will remain with us after the consummation of our initial business combination. Our key personnel may not remain in senior management or advisory positions with us. The determination as to whether any of our key personnel will remain with us will be made at the time of our initial business combination.</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We may have a limited ability to assess the management of a prospective target business and, as a result, may effectuate our initial business combination with a target business whose management may not have the skills, qualifications or abilities to manage a public company.</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 and such management may lack the expected skills, qualifications or abilities. Should the target’s management not possess the skills, qualifications or abilities necessary to manage a public company, the operations and profitability of the post-combination business may be negatively impacted.</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officers and directors of an acquisition candidate may resign upon consummation of our initial business combination. The loss of an acquisition target’s key personnel could negatively impact the operations and profitability of our post-combination business.</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role of an acquisition candidate’s key personnel upon the consummation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some members of the management team of an acquisition candidate will not wish to remain in place.</w:t>
      </w:r>
    </w:p>
    <w:p>
      <w:pPr>
        <w:spacing w:after="0" w:line="17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Certain of our officers and directors are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Following the completion of this offering and until we consummate our business combination, we intend to engage in the business of identifying and combining with one or more businesses. Certain of our executive officers and directors are affiliated with entities that are engaged in a similar business.</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officers and directors may become aware of business opportunities which may be appropriate for presentation to us and the other entities to which they owe certain fiduciary duties. Accordingly, they may have conflicts of interest in determining to which entity a particular business opportunity should be presented.</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example, Messrs. Grossman and Weil are affiliated with Chardan Capital Markets, LLC, which is also the underwriter in this offering. Each of Mr. Grossman and Mr. Weil owes a pre-existing fiduciary duty to Chardan Capital Markets, LLC, meaning that each may present opportunities to Chardan Capital Markets, LLC prior to presenting them to us, if, for example, a potential target company is open to either raising funds in an offering or engaging in a transaction with a blank check company. This may limit the number of potential targets these individuals present to us for purposes of completing a business combination. Furthermore, Mr. Grossman is a director of each of LifeSci Acquisition Corp. and Chardan Healthcare Acquisition 2 Corp., and an officer of Chardan Healthcare Acquisition 2 Corp. Mr. Levin is a director of 10X Capital Venture Acquisition Corp. Each of LifeSci Acquisition Corp., Chardan Healthcare Acquisition 2 Corp. and 10X Capital Venture Acquisition Corp. is a special purpose acquisition company that is seeking a target for a business combination. These entities may have priority over us in connection with potential target business identified by each of them. These affiliations may limit the number of potential targets these individuals present to us for purposes of completing a business combination.</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Any conflict of interest may not be resolved in our favor, and potential target businesses may be presented to another entity prior to their presentation to us.</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Certain shares beneficially owned by our officers and directors will not participate in liquidation distributions and, therefore, our officers and directors may have a conflict of interest in determining whether a particular target business is appropriate for our initial business combination.</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officers and directors have waived their right to redeem any shares in connection with our initial business combination, or to receive distributions with respect to their founder shares upon our liquidation if we are unable to consummate our initial business combination. Accordingly, these securities will be worthless if we do not consummate our initial business combination. Any warrants they hold, like those held by the public, will also be worthless if we do not consummate an initial business combination. The personal and financial interests of our directors and officers may influence their motivation in timely identifying and selecting a target business and completing a business combination.</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7" w:name="page38"/>
    <w:bookmarkEnd w:id="3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We may engage in our initial business combination with one or more target businesses that have relationships with entities that may be affiliated with our executive officers, directors or existing holders, which may raise potential conflicts of interest.</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light of the involvement of our co-sponsors, officers and directors with other entities, we may decide to acquire one or more businesses affiliated with our co-sponsors, officers and directors. Our directors also serve as officers and board members for other entities. Our co-sponsors, officers and directors are not currently aware of any specific opportunities for us to consummate our initial business combination with any entities with which they are affiliated, and there have been no preliminary discussions concerning a business combination with any entity or entities. Although we will not be specifically focusing on, or targeting, any transaction with any affiliated entities, we would pursue such a transaction if we determined that such affiliated entity met our criteria for our initial business combination as set forth in “Proposed Business — Investment Criteria” and such transaction was approved by a majority of our disinterested directors. Despite our agreement to obtain an opinion in connection with such transaction from an independent investment banking firm, or another independent entity that commonly renders valuation opinions on the type of target business we seek to acquire, regarding the fairness to our stockholders from a financial point of view of a business combination with one or more domestic or international businesses affiliated with our executive officers, directors or existing holders, potential conflicts of interest still may exist and, as a result, the terms of the business combination may not be as advantageous to our public stockholders as they would be absent any conflicts of interest. Our directors have a fiduciary duty to act in the best interests of our stockholders, whether or not a conflict of interest may exist.</w:t>
      </w:r>
    </w:p>
    <w:p>
      <w:pPr>
        <w:spacing w:after="0" w:line="187"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color w:val="auto"/>
        </w:rPr>
        <w:t>Because our co-sponsors will lose their entire initial investment in us if our initial business combination is not consummated and our officers and directors have significant financial interests in us, a conflict of interest may arise in determining whether a particular acquisition target is appropriate for our initial business combination.</w:t>
      </w:r>
    </w:p>
    <w:p>
      <w:pPr>
        <w:spacing w:after="0" w:line="11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19, 2019, Chardan Investments purchased 5,000,000 shares of common stock from us for $25,000. On July 23, 2020, Chardan Investments sold 3,250,000 shares of common stock back to us for</w:t>
      </w: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On December 15, 2020, Ventoux Acquisition transferred 22,500 shares of common stock to Cindat, and, on December 17, 2020, Ventoux Acquisition transferred an aggregate of 67,500 shares of common stock to three of our directors. As of the date hereof, Ventoux Acquisition holds 2,728,875 shares of common stock. The founder shares include an aggregate of up to 562,500 shares that are subject to forfeiture to the extent that the underwriters’ over-allotment option is not exercised in full or in part. The founder shares will be worthless if we do not consummate an initial business combination. In addition, Ventoux Acquisition has committed to purchase from us an aggregate of 4,000,000 warrants (or 4,450,000 warrants if the over-allotment option is exercised in full), and Chardan Investments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The founder shares, private warrants and warrants will be worthless if we do not consummate an initial business combination.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may issue notes or other debt securities, or otherwise incur substantial debt, to complete our initial business combination, which may adversely affect our financial condition and thus negatively impact the value of our stockholders’ investment in us.</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Although we have no commitments as of the date of this prospectus to issue any notes or other debt securities, or to otherwise incur outstanding debt, we may choose to incur substantial debt to complete our initial business combination. If we incur any indebtedness without a waiver from any lender of any right, title, interest or claim of any kind in or to any monies held in the trust account, the incurrence of debt could have a variety of negative effects, including:</w:t>
      </w:r>
    </w:p>
    <w:p>
      <w:pPr>
        <w:spacing w:after="0" w:line="75" w:lineRule="exact"/>
        <w:rPr>
          <w:sz w:val="20"/>
          <w:szCs w:val="20"/>
          <w:color w:val="auto"/>
        </w:rPr>
      </w:pPr>
    </w:p>
    <w:p>
      <w:pPr>
        <w:ind w:left="1320" w:right="479" w:hanging="434"/>
        <w:spacing w:after="0" w:line="282" w:lineRule="auto"/>
        <w:tabs>
          <w:tab w:leader="none" w:pos="1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our initial business combination are insufficient to repay our debt obligations;</w:t>
      </w:r>
    </w:p>
    <w:p>
      <w:pPr>
        <w:spacing w:after="0" w:line="53"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w:t>
      </w:r>
    </w:p>
    <w:p>
      <w:pPr>
        <w:spacing w:after="0" w:line="53"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security contains covenants restricting our ability to obtain such financing while the debt security is outstanding;</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shares of common stock;</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shares of common stock if declared, expenses, capital expenditures, acquisitions and other general corporate purposes;</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53"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spacing w:after="0" w:line="53"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2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may only be able to complete one business combination with the proceeds of this offering, which will cause us to be solely dependent on a single business, which may have a limited number of products or services. This lack of diversification may negatively impact our operations and profitability.</w:t>
      </w:r>
    </w:p>
    <w:p>
      <w:pPr>
        <w:spacing w:after="0" w:line="10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net proceeds from this offering together with the funds we will receive from the sale of the private warrants (excluding $1,000,000 of net proceeds that will not be held in the trust account) will provide us with approximately $151,500,000 (or approximately $174,225,000 if the underwriters’ over-allotment option is exercised in full) that we may use to complete our initial business combination.</w:t>
      </w:r>
    </w:p>
    <w:p>
      <w:pPr>
        <w:spacing w:after="0" w:line="112"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7"/>
          <w:szCs w:val="17"/>
          <w:color w:val="auto"/>
        </w:rPr>
        <w:t>We may effectuate our initial business combination with a single target business or multiple target businesses simultaneously.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 solely dependent upon the performance of a single business, property or asset, or dependent upon the development or market acceptance of a single or limited number of products or services. This lack of diversification may subject us to numerous economic, competitive and regulatory developments, any or all of which may have a substantial adverse impact upon the particular industry in which we may operate subsequent to our initial business combination.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the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We may attempt to consummate our initial business combination with a private company about which little information is available.</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pursuing our acquisition strategy, we may seek to effectuate our initial business combination with a privately held company. By definition, very little public information exists about private companies, and we could be required to make our decision on whether to pursue a potential initial business combination on the basis of limited information, which may result in our initial business combination with a company that is not as profitable as we suspected, if at all.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We may not be able to maintain control of a target business after our initial business combination.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may structure our initial business combination to acquire less than 100% of the equity interests or assets of a target business, but we will only consummate such business combination if we will become the majority stockholder of the target (or control the target through contractual arrangements in limited circumstances for regulatory compliance purposes)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Even though we may own a majority interest in the target, our stockholders prior to the business combination may collectively own a minority interest in the post-business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acquire a 100% controlling interest in the target. However, as a result of the issuance of a substantial number of new shares, our stockholders immediately prior to such transaction could own less than a majority of our outstanding shares subsequent to such transaction. In addition, other minority stockholders may subsequently combine their holdings resulting in a single person or group obtaining a larger share of the company’s stock than we initially acquired. Accordingly, this may make it more likely that we will not be able to maintain our control of the target business.</w:t>
      </w:r>
    </w:p>
    <w:p>
      <w:pPr>
        <w:spacing w:after="0" w:line="19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Because we must furnish our stockholders with target business financial statements prepared in accordance with United States generally accepted accounting principles or international financial reporting standards, we may lose the ability to complete an otherwise advantageous initial business combination with some prospective target businesses.</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federal proxy rules, which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as issued by the International Accounting Standards Board or the IASB, depending on the circumstances, and the historical financial statements may be required to be audited in accordance with the standards of the Public Company Accounting Oversight Board (United States), or PCAOB. We will include substantially the same financial statement disclosure in connection with any tender offer documents we use, whether or not they are required under the tender offer rules. These financial statement requirements may limit the pool of potential target businesses we may consummate our initial business combination with because some targets may be unable to provide such statements in time for us to disclose such statements in accordance with federal proxy rules and complete our initial business combination within the prescribed time frame.</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Our Securities</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determination of the offering price of our units and the size of this offering is more arbitrary than the pricing of securities and size of an offering of an operating company in a particular industry.</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any of our securities. The public offering price of the units and the terms of the rights and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shares of common stock, rights and warrants underlying the units, include:</w:t>
      </w:r>
    </w:p>
    <w:p>
      <w:pPr>
        <w:spacing w:after="0" w:line="81" w:lineRule="exact"/>
        <w:rPr>
          <w:sz w:val="20"/>
          <w:szCs w:val="20"/>
          <w:color w:val="auto"/>
        </w:rPr>
      </w:pPr>
    </w:p>
    <w:p>
      <w:pPr>
        <w:ind w:left="1320" w:right="479" w:hanging="434"/>
        <w:spacing w:after="0" w:line="282" w:lineRule="auto"/>
        <w:tabs>
          <w:tab w:leader="none" w:pos="158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debt to equity ratios in leveraged transactions;</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and their experience in identifying operating companies;</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this offering including with respect to the impact from the COVID-19 pandemic; and</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Holders of rights or warrants will not participate in liquidating distributions if we are unable to complete an initial business combination within the required time period.</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within the required time period and we liquidate the funds held in the trust account, the rights and warrants will expire, and holders will not receive any of such proceeds with respect to the rights or warrants. The foregoing may provide a financial incentive to public stockholders to vote in favor of any proposed initial business combination as each of their rights and warrants would entitle the holder to receive or purchase additional shares of common stock, resulting in an increase in their overall economic stake in us. If a business combination is not approved, the rights and warrants will expire and be worthless.</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If we do not maintain a current and effective prospectus relating to the shares of common stock issuable upon exercise of the warrants, public holders will only be able to exercise such warrants on a “cashless basis” which would result in a fewer number of shares being issued to the holder had such holder exercised the warrants for cash.</w:t>
      </w:r>
    </w:p>
    <w:p>
      <w:pPr>
        <w:spacing w:after="0" w:line="9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we do not maintain a current and effective prospectus relating to the shares of common stock issuable upon exercise of the public warrants at the time that holders wish to exercise such warrants, they will only be able to exercise them on a “cashless basis” provided that an exemption from registration is available. As a result, the number of shares of common stock that a holder will receive upon exercise of its public warrants will be fewer than it would have been had such holder exercised its warrant for cash. Further, if an exemption from registration is not available, holders would not be able to exercise their warrants on a cashless basis and would only be able to exercise their warrants for cash if a current and effective prospectus relating to the shares of common stock issuable upon exercise of the warrants is available. Under the terms of the warrant agreement, we have agreed to use our best efforts to meet these conditions and to maintain a current and effective prospectus relating to the shares of common stock issuable upon exercise of the warrants until the expiration of the warrants. However, we cannot assure you that we will be able to do so. If we are unable to do so, the potential benefit of the holder’s investment in us may be reduced, and the warrants may expire worthless. Notwithstanding the foregoing, the private warrants may be exercisable for unregistered shares of common stock for cash even if the prospectus relating to the shares of common stock issuable upon exercise of the warrants is not current and effective.</w:t>
      </w:r>
    </w:p>
    <w:p>
      <w:pPr>
        <w:sectPr>
          <w:pgSz w:w="11900" w:h="16838" w:orient="portrait"/>
          <w:cols w:equalWidth="0" w:num="1">
            <w:col w:w="9019"/>
          </w:cols>
          <w:pgMar w:left="1440" w:top="270"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An investor will only be able to exercise a warrant for cash if the issuance of common stock upon such exercise has been registered or qualified or is deemed exempt under the securities laws of the state of residence of the holder of the warrants.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 public warrants will be exercisable for cash, and we will not be obligated to issue shares of common stock unless the shares of common stock issuable upon such exercise has been registered or qualified or deemed to be exempt under the securities laws of the state of residence of the holder of the warrants. At the time that the warrants become exercisable, we expect to continue to be listed on a national securities exchange, which would provide an exemption from registration in every state. However, we cannot assure you of this fact. If the common shares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call our public warrants for redemption after the redemption criteria described elsewhere in this prospectus have been satisfied, our management will have the option to require any holder that wishes to exercise his warrant (including any warrants held by Ventoux Acquisition, Chardan Investments and/or their respective permitted transferees)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benefit of the holder’s investment in our company.</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may amend the terms of the rights or warrants, respectively in a way that may be adverse to holders with the approval by the holders of a majority of the then outstanding rights or warrants, respectively.</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rights will be issued in registered form under a rights agreement, and our warrants will be issued in registered form under a warrant agreement, each between Continental Stock Transfer &amp; Trust Company, as rights or warrant agent, as applicable, and us. Each of the rights agreement and the warrant agreement provides that the terms of the rights or warrants, as applicable, may be amended without the consent of any holder to cure any ambiguity or correct any defective provision. Each of the rights and the warrant agreement requires the approval by the holders of a majority of the then outstanding rights or warrants (including the private warrants), as applicable, in order to make any change that adversely affects the interests of the registered holders of the rights or warrants, as applicable.</w:t>
      </w:r>
    </w:p>
    <w:p>
      <w:pPr>
        <w:spacing w:after="0" w:line="188"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7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7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(for purposes of this subsection, a “foreign action”) in the name of any holder of our warrants, such holder shall be deemed to have consented to:</w:t>
      </w:r>
    </w:p>
    <w:p>
      <w:pPr>
        <w:spacing w:after="0" w:line="1" w:lineRule="exact"/>
        <w:rPr>
          <w:sz w:val="20"/>
          <w:szCs w:val="20"/>
          <w:color w:val="auto"/>
        </w:rPr>
      </w:pPr>
    </w:p>
    <w:p>
      <w:pPr>
        <w:jc w:val="both"/>
        <w:ind w:left="460" w:right="459" w:hanging="6"/>
        <w:spacing w:after="0" w:line="253" w:lineRule="auto"/>
        <w:tabs>
          <w:tab w:leader="none" w:pos="72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personal jurisdiction of the state and federal courts located in the State of New York in connection with any action brought in any such court to enforce the forum provisions (for purposes of this subsection, an “enforcement action”), and (y) having service of process made upon such warrant holder in any such enforcement action by service upon such warrant holder’s counsel in the foreign action as agent for such warrant holder.</w:t>
      </w:r>
    </w:p>
    <w:p>
      <w:pPr>
        <w:sectPr>
          <w:pgSz w:w="11900" w:h="16838" w:orient="portrait"/>
          <w:cols w:equalWidth="0" w:num="1">
            <w:col w:w="9019"/>
          </w:cols>
          <w:pgMar w:left="1440" w:top="270"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2" w:name="page43"/>
    <w:bookmarkEnd w:id="4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We have no obligation to net cash settle the warrants.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no event will we have any obligation to net cash settle the warrants. Accordingly, the warrants may expire worthless.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There is currently no market for our securities and a market for our securities may not develop, which would adversely affect the liquidity and price of our securities.</w:t>
      </w:r>
    </w:p>
    <w:p>
      <w:pPr>
        <w:spacing w:after="0" w:line="5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there is currently no market for our securities. Prospective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Once listed on Nasdaq, an active trading market for our securities may never develop or, if developed, it may not be sustained. Additionally, if our securities become delisted from Nasdaq for any reason, and are quoted on the OTC Bulletin Board, an inter-dealer automated quotation system for equity securities not listed on a national exchange, the liquidity and price of our securities may be more limited than if we were listed on Nasdaq or another national exchange. You may be unable to sell your securities unless a market can be established and sustained.</w:t>
      </w:r>
    </w:p>
    <w:p>
      <w:pPr>
        <w:spacing w:after="0" w:line="76"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our company or our company’s directors, officers or other employees.</w:t>
      </w:r>
    </w:p>
    <w:p>
      <w:pPr>
        <w:spacing w:after="0" w:line="7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shall be the sole and exclusive forum for any (1) derivative action or proceeding brought on behalf of our company, (2) action asserting a claim of breach of a fiduciary duty owed by any director, officer, employee or agent of our company to our company or our stockholders, (3) action asserting a claim arising pursuant to any provision of the DGCL, our amended and restated certificate of incorporation or our bylaws, or (4) action asserting a claim governed by the internal affairs doctrine, in each case subject to the Court of Chancery having personal jurisdiction over the indispensable parties named as defendants therein. Notwithstanding the foregoing, the inclusion of such provision in our amended and restated certificate of incorporation is not be deemed to be a waiver of our obligation to comply with federal securities laws, rules and regulations, and the provisions of this paragraph in our amended and restated certificate of incorporation will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any shares of our capital stock shall be deemed to have notice of and to have consented to the forum provisions in our amended and restated certificate of incorporation. If any action the subject matter of which is within the scope the forum provisions is filed in a court other than a court located within the State of Delaware (for purposes of this subsection, a “foreign action”) in the name of any stockholder, such stockholder shall be deemed to have consented to: (x) the personal jurisdiction of the state and federal courts located within the State of Delaware in connection with any action brought in any such court to enforce the forum provisions (for purposes of this subsection, an “enforcement action”), and (y) having service of process made upon such stockholder in any such enforcement action by service upon such stockholder’s counsel in the foreign action as agent for such stockholder.</w:t>
      </w:r>
    </w:p>
    <w:p>
      <w:pPr>
        <w:spacing w:after="0" w:line="13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choice-of-forum provision may limit a stockholder’s ability to bring a claim in a judicial forum that it finds favorable for disputes with our company or its directors, officers or other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3" w:name="page44"/>
    <w:bookmarkEnd w:id="4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Acquiring and Operating a Business outside of the United States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We may effect our initial business combination with a company located outside of the United States.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54" w:lineRule="exact"/>
        <w:rPr>
          <w:sz w:val="20"/>
          <w:szCs w:val="20"/>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or currency redemption or corporate withholding taxes on individuals;</w:t>
      </w:r>
    </w:p>
    <w:p>
      <w:pPr>
        <w:spacing w:after="0" w:line="9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governing the manner in which future business combinations may be effected;</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listing and/or delisting requirements;</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9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customs and import/export matters;</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such as tax law changes and variations in tax laws as compared to the United States;</w:t>
      </w:r>
    </w:p>
    <w:p>
      <w:pPr>
        <w:spacing w:after="0" w:line="9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exchange controls;</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inflation;</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collecting accounts receivable;</w:t>
      </w:r>
    </w:p>
    <w:p>
      <w:pPr>
        <w:spacing w:after="0" w:line="9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regulations;</w:t>
      </w:r>
    </w:p>
    <w:p>
      <w:pPr>
        <w:spacing w:after="0" w:line="10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crime, strikes, riots, civil disturbances, terrorist attacks and wars; and</w:t>
      </w:r>
    </w:p>
    <w:p>
      <w:pPr>
        <w:spacing w:after="0" w:line="9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with the United States. We may not be able to adequately address these additional risks. If we were unable to do so, our operations might suffer.</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There are costs and difficulties inherent in managing cross-border business operations.</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14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Many countries have difficult and unpredictable legal systems and underdeveloped laws and regulations that are unclear and subject to corruption and inexperience.</w:t>
      </w:r>
    </w:p>
    <w:p>
      <w:pPr>
        <w:spacing w:after="0" w:line="9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9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If relations between the United States and foreign governments deteriorate, it could cause potential target businesses or their goods and services to become less attractive.</w:t>
      </w:r>
    </w:p>
    <w:p>
      <w:pPr>
        <w:spacing w:after="0" w:line="5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relationship between the United States and foreign governments could be subject to sudden fluctuation and periodic tension. For instance, the United States may announce its intention to impose quotas on certain imports or become involved in trade wars with other nations. Such import quotas or trade wars may adversely affect political relations between the two countries and result in retaliatory countermeasures by the foreign government in industries that may affect our ultimate target business. Changes in political conditions in foreign countries and changes in the 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If our management following our initial business combination is unfamiliar with United States securities laws, they may have to expend time and resources becoming familiar with such laws.</w:t>
      </w:r>
    </w:p>
    <w:p>
      <w:pPr>
        <w:spacing w:after="0" w:line="5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Currency policies may cause a target business’ ability to succeed in the international markets to be diminished.</w:t>
      </w:r>
    </w:p>
    <w:p>
      <w:pPr>
        <w:spacing w:after="0" w:line="5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Because foreign law could govern our material agreements, we may not be able to enforce our rights within such jurisdiction or elsewhere.</w:t>
      </w:r>
    </w:p>
    <w:p>
      <w:pPr>
        <w:spacing w:after="0" w:line="5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Foreign law could govern our material agreements. The target business may not be able to enforce any of its material agreements or remedies may not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Once initially listed on Nasdaq, our securities may not continue to be listed on Nasdaq in the future, which could limit investors’ ability to make transactions in our securities and subject us to additional trading restrictions.</w:t>
      </w:r>
    </w:p>
    <w:p>
      <w:pPr>
        <w:spacing w:after="0" w:line="6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anticipate that our securities will be initially listed on Nasdaq upon consummation of this offering. However, we cannot assure you of this or that our securities will continue to be listed on Nasdaq in the future. Additionally, in connection with our business combination, Nasdaq may require us to file a new initial listing application and meet its initial listing requirements as opposed to its more lenient continued listing requirements. We cannot assure you that we will be able to meet those initial listing requirements at that time. If Nasdaq delists our securities from trading on its exchange, we could face significant material adverse consequences, including:</w:t>
      </w:r>
    </w:p>
    <w:p>
      <w:pPr>
        <w:spacing w:after="0" w:line="81" w:lineRule="exact"/>
        <w:rPr>
          <w:sz w:val="20"/>
          <w:szCs w:val="20"/>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ectPr>
          <w:pgSz w:w="11900" w:h="16838" w:orient="portrait"/>
          <w:cols w:equalWidth="0" w:num="1">
            <w:col w:w="9019"/>
          </w:cols>
          <w:pgMar w:left="1440" w:top="270"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reduced liquidity with respect to our securities;</w:t>
      </w:r>
    </w:p>
    <w:p>
      <w:pPr>
        <w:spacing w:after="0" w:line="11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shares of common stock are a “penny stock,” which will require brokers trading in our shares of common stock to adhere to more stringent rules, possibly resulting in a reduced level of trading activity in the secondary trading market for our shares of common stock;</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our company; and</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8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Changes in laws or regulations, or a failure to comply with any laws and regulations, may adversely affect our business, investments and results of operations.</w:t>
      </w:r>
    </w:p>
    <w:p>
      <w:pPr>
        <w:spacing w:after="0" w:line="5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and agencies, in particular, the Securities Exchange and Commission. Compliance with, and monitoring of, applicable laws and regulations may be difficult, time consuming and costly. Those laws and regulations and their interpretation and application also may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77"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Compliance obligations under the Sarbanes-Oxley Act of 2002 may make it more difficult for us to effectuate our initial business combination, require substantial financial and management resources, and increase the time and costs of completing an acquisition.</w:t>
      </w:r>
    </w:p>
    <w:p>
      <w:pPr>
        <w:spacing w:after="0" w:line="6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of 2002, or the Sarbanes-Oxley Act, requires that we evaluate and report on our system of internal controls beginning with our Annual Report on Form 10-K for the year ending December 31, 2021. The fact that we are a blank check company makes compliance with the requirements of the Sarbanes-Oxley Act particularly burdensome on us because a target company with which we seek to complete our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spacing w:after="0" w:line="14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and we cannot be certain if the reduced disclosure requirements applicable to emerging growth companies will make our securities less attractive to investors.</w:t>
      </w:r>
    </w:p>
    <w:p>
      <w:pPr>
        <w:spacing w:after="0" w:line="5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for up to five years. However, if our non-convertible debt issued within a three-year period or revenues exceeds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being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w:t>
      </w:r>
    </w:p>
    <w:p>
      <w:pPr>
        <w:spacing w:after="0" w:line="80"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new accounting standard is issued or revised and it has different application dates for public or private companies, we, as an emerging growth company, will not adopt the new or revised standard until the time private companies are required to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 As such, our financial statements may not be comparable to companies that comply with public company effective dates. We cannot predict if investors will find our shares less attractive because we may rely on the provisions of the JOBS Act. If some investors find our shares less attractive as a result of, there may be a less active trading market for our shares and our share price may be more volatile.</w:t>
      </w:r>
    </w:p>
    <w:p>
      <w:pPr>
        <w:sectPr>
          <w:pgSz w:w="11900" w:h="16838" w:orient="portrait"/>
          <w:cols w:equalWidth="0" w:num="1">
            <w:col w:w="9019"/>
          </w:cols>
          <w:pgMar w:left="1440" w:top="270"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prospectus, which reflect our current views with respect to future events and financial performance, and any other statements of a future or forward-looking nature, constitute “forward-looking statements” for the purpose of the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124" w:lineRule="exact"/>
        <w:rPr>
          <w:sz w:val="20"/>
          <w:szCs w:val="20"/>
          <w:color w:val="auto"/>
        </w:rPr>
      </w:pPr>
    </w:p>
    <w:p>
      <w:pPr>
        <w:ind w:left="1320" w:right="479" w:hanging="434"/>
        <w:spacing w:after="0" w:line="282" w:lineRule="auto"/>
        <w:tabs>
          <w:tab w:leader="none" w:pos="13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our initial business combination, particularly in light of disruption that may result from limitations imposed by the COVID-19 pandemic;</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following our initial business combination;</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obtain additional financing to complete our initial business combination;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pool of prospective target businesses;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officers and directors to generate a number of potential investment opportunities;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our securities from Nasdaq or an inability to have our securities listed on Nasdaq following a business combination;</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market for our securities; or</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following this offering.</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beginning on page 22.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are offering 15,000,000 units at a price of $10.00 per unit. We estimate that the net proceeds of this offering, together with the funds we receive from the sale of the private warrants (all of which will be deposited into the trust account), will be used as set forth in the following table:</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Without</w:t>
            </w:r>
          </w:p>
        </w:tc>
        <w:tc>
          <w:tcPr>
            <w:tcW w:w="160" w:type="dxa"/>
            <w:vAlign w:val="bottom"/>
          </w:tcPr>
          <w:p>
            <w:pPr>
              <w:spacing w:after="0"/>
              <w:rPr>
                <w:sz w:val="17"/>
                <w:szCs w:val="17"/>
                <w:color w:val="auto"/>
              </w:rPr>
            </w:pPr>
          </w:p>
        </w:tc>
        <w:tc>
          <w:tcPr>
            <w:tcW w:w="1160" w:type="dxa"/>
            <w:vAlign w:val="bottom"/>
            <w:gridSpan w:val="2"/>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Over-</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Over-</w:t>
            </w:r>
          </w:p>
        </w:tc>
        <w:tc>
          <w:tcPr>
            <w:tcW w:w="160" w:type="dxa"/>
            <w:vAlign w:val="bottom"/>
          </w:tcPr>
          <w:p>
            <w:pPr>
              <w:spacing w:after="0"/>
              <w:rPr>
                <w:sz w:val="17"/>
                <w:szCs w:val="17"/>
                <w:color w:val="auto"/>
              </w:rPr>
            </w:pPr>
          </w:p>
        </w:tc>
        <w:tc>
          <w:tcPr>
            <w:tcW w:w="1160" w:type="dxa"/>
            <w:vAlign w:val="bottom"/>
            <w:gridSpan w:val="2"/>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Allotment</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Allotment</w:t>
            </w:r>
          </w:p>
        </w:tc>
        <w:tc>
          <w:tcPr>
            <w:tcW w:w="160" w:type="dxa"/>
            <w:vAlign w:val="bottom"/>
          </w:tcPr>
          <w:p>
            <w:pPr>
              <w:spacing w:after="0"/>
              <w:rPr>
                <w:sz w:val="17"/>
                <w:szCs w:val="17"/>
                <w:color w:val="auto"/>
              </w:rPr>
            </w:pPr>
          </w:p>
        </w:tc>
        <w:tc>
          <w:tcPr>
            <w:tcW w:w="1160" w:type="dxa"/>
            <w:vAlign w:val="bottom"/>
            <w:gridSpan w:val="2"/>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0" w:type="dxa"/>
            <w:vAlign w:val="bottom"/>
          </w:tcPr>
          <w:p>
            <w:pPr>
              <w:spacing w:after="0"/>
              <w:rPr>
                <w:sz w:val="1"/>
                <w:szCs w:val="1"/>
                <w:color w:val="auto"/>
              </w:rPr>
            </w:pPr>
          </w:p>
        </w:tc>
      </w:tr>
      <w:tr>
        <w:trPr>
          <w:trHeight w:val="212"/>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60" w:type="dxa"/>
            <w:vAlign w:val="bottom"/>
          </w:tcPr>
          <w:p>
            <w:pPr>
              <w:spacing w:after="0"/>
              <w:rPr>
                <w:sz w:val="18"/>
                <w:szCs w:val="18"/>
                <w:color w:val="auto"/>
              </w:rPr>
            </w:pPr>
          </w:p>
        </w:tc>
        <w:tc>
          <w:tcPr>
            <w:tcW w:w="1160" w:type="dxa"/>
            <w:vAlign w:val="bottom"/>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8"/>
              </w:rPr>
              <w:t>Exercised</w:t>
            </w:r>
          </w:p>
        </w:tc>
        <w:tc>
          <w:tcPr>
            <w:tcW w:w="0" w:type="dxa"/>
            <w:vAlign w:val="bottom"/>
          </w:tcPr>
          <w:p>
            <w:pPr>
              <w:spacing w:after="0"/>
              <w:rPr>
                <w:sz w:val="1"/>
                <w:szCs w:val="1"/>
                <w:color w:val="auto"/>
              </w:rPr>
            </w:pPr>
          </w:p>
        </w:tc>
      </w:tr>
      <w:tr>
        <w:trPr>
          <w:trHeight w:val="46"/>
        </w:trPr>
        <w:tc>
          <w:tcPr>
            <w:tcW w:w="55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Gross proceeds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From offering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150,000,000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172,500,000</w:t>
            </w: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sale of private warrants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6,675,000</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gross proceeds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5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156,000,000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179,175,000</w:t>
            </w:r>
          </w:p>
        </w:tc>
        <w:tc>
          <w:tcPr>
            <w:tcW w:w="0" w:type="dxa"/>
            <w:vAlign w:val="bottom"/>
          </w:tcPr>
          <w:p>
            <w:pPr>
              <w:spacing w:after="0"/>
              <w:rPr>
                <w:sz w:val="1"/>
                <w:szCs w:val="1"/>
                <w:color w:val="auto"/>
              </w:rPr>
            </w:pPr>
          </w:p>
        </w:tc>
      </w:tr>
      <w:tr>
        <w:trPr>
          <w:trHeight w:val="271"/>
        </w:trPr>
        <w:tc>
          <w:tcPr>
            <w:tcW w:w="55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Offering expenses</w:t>
            </w:r>
            <w:r>
              <w:rPr>
                <w:rFonts w:ascii="Times New Roman" w:cs="Times New Roman" w:eastAsia="Times New Roman" w:hAnsi="Times New Roman"/>
                <w:sz w:val="20"/>
                <w:szCs w:val="20"/>
                <w:i w:val="1"/>
                <w:iCs w:val="1"/>
                <w:color w:val="auto"/>
                <w:vertAlign w:val="superscript"/>
              </w:rPr>
              <w:t>(1)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3,450,000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Initial Trustee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filing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26,375</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18,820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78,305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78,305</w:t>
            </w:r>
          </w:p>
        </w:tc>
        <w:tc>
          <w:tcPr>
            <w:tcW w:w="0" w:type="dxa"/>
            <w:vAlign w:val="bottom"/>
          </w:tcPr>
          <w:p>
            <w:pPr>
              <w:spacing w:after="0"/>
              <w:rPr>
                <w:sz w:val="1"/>
                <w:szCs w:val="1"/>
                <w:color w:val="auto"/>
              </w:rPr>
            </w:pPr>
          </w:p>
        </w:tc>
      </w:tr>
      <w:tr>
        <w:trPr>
          <w:trHeight w:val="228"/>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offering expenses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proceeds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 in trust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151,500,000</w:t>
            </w:r>
            <w:r>
              <w:rPr>
                <w:rFonts w:ascii="Times New Roman" w:cs="Times New Roman" w:eastAsia="Times New Roman" w:hAnsi="Times New Roman"/>
                <w:sz w:val="20"/>
                <w:szCs w:val="20"/>
                <w:color w:val="auto"/>
                <w:w w:val="96"/>
                <w:vertAlign w:val="superscript"/>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174,225,000</w:t>
            </w:r>
            <w:r>
              <w:rPr>
                <w:rFonts w:ascii="Times New Roman" w:cs="Times New Roman" w:eastAsia="Times New Roman" w:hAnsi="Times New Roman"/>
                <w:sz w:val="20"/>
                <w:szCs w:val="20"/>
                <w:color w:val="auto"/>
                <w:vertAlign w:val="superscript"/>
              </w:rPr>
              <w:t>(2)</w:t>
            </w:r>
          </w:p>
        </w:tc>
        <w:tc>
          <w:tcPr>
            <w:tcW w:w="0" w:type="dxa"/>
            <w:vAlign w:val="bottom"/>
          </w:tcPr>
          <w:p>
            <w:pPr>
              <w:spacing w:after="0"/>
              <w:rPr>
                <w:sz w:val="1"/>
                <w:szCs w:val="1"/>
                <w:color w:val="auto"/>
              </w:rPr>
            </w:pPr>
          </w:p>
        </w:tc>
      </w:tr>
      <w:tr>
        <w:trPr>
          <w:trHeight w:val="28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Not held in trust</w:t>
            </w: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r>
              <w:rPr>
                <w:rFonts w:ascii="Times New Roman" w:cs="Times New Roman" w:eastAsia="Times New Roman" w:hAnsi="Times New Roman"/>
                <w:sz w:val="20"/>
                <w:szCs w:val="20"/>
                <w:color w:val="auto"/>
                <w:vertAlign w:val="superscript"/>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w:t>
            </w:r>
            <w:r>
              <w:rPr>
                <w:rFonts w:ascii="Times New Roman" w:cs="Times New Roman" w:eastAsia="Times New Roman" w:hAnsi="Times New Roman"/>
                <w:sz w:val="20"/>
                <w:szCs w:val="20"/>
                <w:color w:val="auto"/>
                <w:vertAlign w:val="superscript"/>
              </w:rPr>
              <w:t>(3)</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proceeds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152,500,000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175,225,000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net proceeds not held in the trust account</w:t>
            </w:r>
            <w:r>
              <w:rPr>
                <w:rFonts w:ascii="Times New Roman" w:cs="Times New Roman" w:eastAsia="Times New Roman" w:hAnsi="Times New Roman"/>
                <w:sz w:val="20"/>
                <w:szCs w:val="20"/>
                <w:color w:val="auto"/>
                <w:vertAlign w:val="superscript"/>
              </w:rPr>
              <w:t>(3) (4)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Legal, accounting and other third party expenses attendant to the search</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target businesses and to the due diligence investigation, structuring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negotiation of a business combination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Due diligence of prospective target businesses by officers, directors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initial stockholders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Legal and accounting fees relating to SEC reporting obligations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Payment of administrative fee to Chardan Capital Markets, LLC ($10,000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month for up to 15 months), subject to deferral as described herein</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Working capital to cover miscellaneous expenses, D&amp;O insurance, general</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purposes, liquidation obligations and reserves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jc w:val="both"/>
        <w:ind w:left="880" w:right="459" w:hanging="426"/>
        <w:spacing w:after="0" w:line="264" w:lineRule="auto"/>
        <w:tabs>
          <w:tab w:leader="none" w:pos="98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portion of the offering expenses, including the SEC registration fee, the FINRA filing fee, the non-refundable portion of the Nasdaq listing fee and a portion of the legal and audit fees, have been paid from the funds we borrowed from Ventoux Acquisition, as further described below. These funds will be repaid out of the proceeds of this offering available to us. In the event that offering expenses are less than as set forth in this table, any such amounts will be used for post-closing working capital expenses. In the event that the offering expenses are more than as set forth in this table, we may fund such excess with funds not held in the trust account.</w:t>
      </w:r>
    </w:p>
    <w:p>
      <w:pPr>
        <w:jc w:val="both"/>
        <w:ind w:left="880" w:right="459" w:hanging="426"/>
        <w:spacing w:after="0" w:line="267" w:lineRule="auto"/>
        <w:tabs>
          <w:tab w:leader="none" w:pos="97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funds held in the trust account will be used to acquire a target business, to pay the marketing fee payable to Chardan Capital Markets, LLC upon consummation of our initial business combination of $5,250,000 (or $6,037,500 if the underwriters’ over-allotment is exercised in full), to pay holders who wish to convert or sell their shares for a portion of the funds held in the trust account and potentially to pay our expenses relating thereto. Our expenses relating to the acquisition of a target business would either come from the funds held in the trust account or additional funds otherwise available to us outside of the trust account, including cash held by the target business. Any remaining funds will be disbursed to the combined company and be used as working capital to finance the operations of the target business.</w:t>
      </w:r>
    </w:p>
    <w:p>
      <w:pPr>
        <w:sectPr>
          <w:pgSz w:w="11900" w:h="16838" w:orient="portrait"/>
          <w:cols w:equalWidth="0" w:num="1">
            <w:col w:w="9019"/>
          </w:cols>
          <w:pgMar w:left="1440" w:top="270" w:right="1440" w:bottom="771"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771" w:gutter="0" w:footer="0" w:header="0"/>
          <w:type w:val="continuous"/>
        </w:sectPr>
      </w:pPr>
    </w:p>
    <w:bookmarkStart w:id="48" w:name="page49"/>
    <w:bookmarkEnd w:id="4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880" w:hanging="426"/>
        <w:spacing w:after="0"/>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proceeds not held in trust will remain constant at $1,000,000 even if the over-allotment is exercised.</w:t>
      </w:r>
    </w:p>
    <w:p>
      <w:pPr>
        <w:spacing w:after="0" w:line="12" w:lineRule="exact"/>
        <w:rPr>
          <w:rFonts w:ascii="Times New Roman" w:cs="Times New Roman" w:eastAsia="Times New Roman" w:hAnsi="Times New Roman"/>
          <w:sz w:val="16"/>
          <w:szCs w:val="16"/>
          <w:color w:val="auto"/>
        </w:rPr>
      </w:pPr>
    </w:p>
    <w:p>
      <w:pPr>
        <w:jc w:val="both"/>
        <w:ind w:left="880" w:right="459" w:hanging="426"/>
        <w:spacing w:after="0" w:line="268" w:lineRule="auto"/>
        <w:tabs>
          <w:tab w:leader="none" w:pos="96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105"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payment to Chardan Capital Markets, LLC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Chardan Capital Markets, LLC for our benefit. We believe that the fee charged by Chardan Capital Markets, LLC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2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total of $10.10 per unit (whether or not the underwriters’ over-allotment option is exercised in full) of the net proceeds from this offering and the sale of the private warrants described in this prospectus will be placed in a trust account in the United States at Morgan Stanley, maintained by Continental Stock Transfer &amp; Trust Company acting as trustee and will be invested only in U.S. government treasury bills, notes and bonds with a maturity of 183 days or less or in money market funds meeting certain conditions under Rule 2a-7 under the Investment Company Act and which invest solely in U.S. Treasuries. Except for all interest income that may be released to us to pay our tax obligations, as discussed below, none of the funds held in the trust account will be released from the trust account until the earlier of: (i) the consummation of our initial business combination within 15 months (or up to 18 months, as applicable) from the closing of this offering and (ii) a redemption to public stockholders prior to any voluntary winding-up in the event we do not consummate our initial business combination within the applicable period.</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 investments from members of our management team, but such members of our management team are not under any obligation to advance funds to, or invest in, us.</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9" w:name="page50"/>
    <w:bookmarkEnd w:id="4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August 20, 2020, we issued an unsecured promissory note to Ventoux Acquisition, pursuant to which the Company may borrow up to an aggregate principal amount of $250,000. The promissory note is non-interest bearing and will be payable promptly after consummation of this offering or the date on which we determine not to conduct this offering. As of September 30, 2020, there was $153,018 outstanding under the promissory note.</w:t>
      </w:r>
    </w:p>
    <w:p>
      <w:pPr>
        <w:spacing w:after="0" w:line="116"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our co-sponsors or an affiliate of our co-sponsors or our officers and directors may, but are not obligated to, loan us funds as may be required. If we consummate our initial business combination, we would repay such loaned amounts.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12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no event will we redeem our public shares in an amount that would cause our net tangible assets to be less than $5,000,001. Furthermore, the redemption threshold may be further limited by the terms and conditions of our initial business combination. In such case, we would not proceed with the redemption of our public shares or the business combination, and instead may search for an alternate business combination.</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15 months (or up to 18 months, as applicable) following the closing of this offering, subject to applicable law, or</w:t>
      </w:r>
    </w:p>
    <w:p>
      <w:pPr>
        <w:spacing w:after="0" w:line="3" w:lineRule="exact"/>
        <w:rPr>
          <w:sz w:val="20"/>
          <w:szCs w:val="20"/>
          <w:color w:val="auto"/>
        </w:rPr>
      </w:pPr>
    </w:p>
    <w:p>
      <w:pPr>
        <w:jc w:val="both"/>
        <w:ind w:left="460" w:right="459" w:hanging="6"/>
        <w:spacing w:after="0" w:line="251" w:lineRule="auto"/>
        <w:tabs>
          <w:tab w:leader="none" w:pos="79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to amend our certificate of incorporation to affect the substance or timing of our obligation to redeem all public shares if we cannot complete an initial business combination within 15 months (or up to 18 months, as applicable) of the closing of this offering and such amendment is duly approved. In no other circumstances will a public stockholder have any right or interest of any kind to or in the trust account.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2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initial stockholders have agreed to waive their redemption rights with respect to any shares they own in connection with the consummation of our initial business combination, including their founder shares and public shares that they have purchased during or after the offering, if any. In addition, our initial stockholders have agreed to waive their rights to liquidating distributions with respect to its founder shares if we fail to consummate our initial business combination within 15 months (or up to 18 months, as applicable)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except if we increase the size of the offering pursuant to Rule 462(b) under the Securities Act, in which case we will effect a share dividend immediately prior to the consummation of the offering in such amount as to maintain our initial stockholders’ ownership at 20% of the issued and outstanding shares of common stock upon the consummation of this offering (assuming no purchase in this offering and not taking into account ownership of the private warrants). Further, if we incur any indebtedness in connection with our initial business combination, our ability to declare dividends may be limited by restrictive covenants we may agree to in connection therewith.</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35"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assuming no value is attributed to the rights and warrants included in the units we are offering by this prospectus, and the pro forma net tangible book value per share after this offering constitutes the dilution to investors in this offering. Such calculation does not reflect any dilution associated with the sale and exercise of warrants, including the private warrants.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At September 30, 2020, our net tangible book value deficit was $88,378 or approximately $(0.02) per share. For the purposes of the dilution calculation, in order to present the maximum estimated dilution as a result of this offering, we have assumed (i) the issuance of 0.05 of a share for each right outstanding, as such issuance will occur upon a business combination without the payment of additional consideration and (ii) the number of shares included in the units offered hereby will be deemed to be 15,750,000 (consisting of 15,000,000 shares included in the units we are offering by this prospectus and 750,000 shares for the outstanding rights), and the price per share in this offering will be deemed to be $9.52. After giving effect to the sale of 15,000,000 shares of common stock (or 17,250,000 shares of common stock if the underwriters’ over-allotment option is exercised in full) included in the units we are offering by this prospectus and the proceeds received from the sale of the private warrants the deduction of underwriting discounts and estimated expenses of this offering, our pro forma net tangible book value at September 30, 2020 would have been $5,000,007 or $1.02 per share (or $0.90 if the underwriters’ over-allotment option is exercised in full), representing an immediate increase in net tangible book value of $1.04 per share (or $0.92 if the underwriters’ over-allotment option is exercised in full) to the initial stockholders and an immediate dilution of 89.3% or $8.50 per share (or 90.6% or $8.62 per share if the underwriters’ over-allotment option is exercised in full) to new investors not exercising their conversion/tender rights. For purposes of presentation, our pro forma net tangible book value after this offering is $147,523,458 less than it otherwise would have been because, if we effect a business combination, the ability of public stockholders to exercise conversion rights or sell their shares to us in any tender offer may result in the conversion or tender of up to 14,606,283 shares sold in this offering.</w:t>
      </w:r>
    </w:p>
    <w:p>
      <w:pPr>
        <w:spacing w:after="0" w:line="11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dilution to the new investors on a per-share basis, assuming no value is attributed to the rights or redeemable warrants, including the private warrants: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center"/>
              <w:ind w:left="234"/>
              <w:spacing w:after="0"/>
              <w:rPr>
                <w:sz w:val="20"/>
                <w:szCs w:val="20"/>
                <w:color w:val="auto"/>
              </w:rPr>
            </w:pPr>
            <w:r>
              <w:rPr>
                <w:rFonts w:ascii="Times New Roman" w:cs="Times New Roman" w:eastAsia="Times New Roman" w:hAnsi="Times New Roman"/>
                <w:sz w:val="16"/>
                <w:szCs w:val="16"/>
                <w:b w:val="1"/>
                <w:bCs w:val="1"/>
                <w:color w:val="auto"/>
                <w:w w:val="98"/>
              </w:rPr>
              <w:t>Without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With</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Over-Allotment</w:t>
            </w:r>
          </w:p>
        </w:tc>
        <w:tc>
          <w:tcPr>
            <w:tcW w:w="180" w:type="dxa"/>
            <w:vAlign w:val="bottom"/>
          </w:tcPr>
          <w:p>
            <w:pPr>
              <w:spacing w:after="0"/>
              <w:rPr>
                <w:sz w:val="18"/>
                <w:szCs w:val="18"/>
                <w:color w:val="auto"/>
              </w:rPr>
            </w:pPr>
          </w:p>
        </w:tc>
        <w:tc>
          <w:tcPr>
            <w:tcW w:w="15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Over-Allotment</w:t>
            </w:r>
          </w:p>
        </w:tc>
        <w:tc>
          <w:tcPr>
            <w:tcW w:w="0" w:type="dxa"/>
            <w:vAlign w:val="bottom"/>
          </w:tcPr>
          <w:p>
            <w:pPr>
              <w:spacing w:after="0"/>
              <w:rPr>
                <w:sz w:val="1"/>
                <w:szCs w:val="1"/>
                <w:color w:val="auto"/>
              </w:rPr>
            </w:pPr>
          </w:p>
        </w:tc>
      </w:tr>
      <w:tr>
        <w:trPr>
          <w:trHeight w:val="47"/>
        </w:trPr>
        <w:tc>
          <w:tcPr>
            <w:tcW w:w="42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before this offering</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attributable to new investors, private sales and</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contribution</w:t>
            </w:r>
          </w:p>
        </w:tc>
        <w:tc>
          <w:tcPr>
            <w:tcW w:w="3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0.92</w:t>
            </w:r>
          </w:p>
        </w:tc>
        <w:tc>
          <w:tcPr>
            <w:tcW w:w="3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after this offering</w:t>
            </w: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to new investors</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Percentage of dilution to new investors</w:t>
            </w: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89.3%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90.6%</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our initial stockholders and the new investors: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2480" w:type="dxa"/>
            <w:vAlign w:val="bottom"/>
            <w:gridSpan w:val="5"/>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60" w:type="dxa"/>
            <w:vAlign w:val="bottom"/>
          </w:tcPr>
          <w:p>
            <w:pPr>
              <w:spacing w:after="0"/>
              <w:rPr>
                <w:sz w:val="17"/>
                <w:szCs w:val="17"/>
                <w:color w:val="auto"/>
              </w:rPr>
            </w:pPr>
          </w:p>
        </w:tc>
        <w:tc>
          <w:tcPr>
            <w:tcW w:w="224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77"/>
        </w:trPr>
        <w:tc>
          <w:tcPr>
            <w:tcW w:w="1860" w:type="dxa"/>
            <w:vAlign w:val="bottom"/>
          </w:tcPr>
          <w:p>
            <w:pPr>
              <w:spacing w:after="0"/>
              <w:rPr>
                <w:sz w:val="6"/>
                <w:szCs w:val="6"/>
                <w:color w:val="auto"/>
              </w:rPr>
            </w:pPr>
          </w:p>
        </w:tc>
        <w:tc>
          <w:tcPr>
            <w:tcW w:w="248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224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vMerge w:val="restart"/>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47"/>
        </w:trPr>
        <w:tc>
          <w:tcPr>
            <w:tcW w:w="18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186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6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0" w:type="dxa"/>
            <w:vAlign w:val="bottom"/>
          </w:tcPr>
          <w:p>
            <w:pPr>
              <w:spacing w:after="0"/>
              <w:rPr>
                <w:sz w:val="1"/>
                <w:szCs w:val="1"/>
                <w:color w:val="auto"/>
              </w:rPr>
            </w:pPr>
          </w:p>
        </w:tc>
      </w:tr>
      <w:tr>
        <w:trPr>
          <w:trHeight w:val="47"/>
        </w:trPr>
        <w:tc>
          <w:tcPr>
            <w:tcW w:w="18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stockholders</w:t>
            </w:r>
            <w:r>
              <w:rPr>
                <w:rFonts w:ascii="Times New Roman" w:cs="Times New Roman" w:eastAsia="Times New Roman" w:hAnsi="Times New Roman"/>
                <w:sz w:val="20"/>
                <w:szCs w:val="20"/>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0.007</w:t>
            </w:r>
          </w:p>
        </w:tc>
        <w:tc>
          <w:tcPr>
            <w:tcW w:w="0" w:type="dxa"/>
            <w:vAlign w:val="bottom"/>
          </w:tcPr>
          <w:p>
            <w:pPr>
              <w:spacing w:after="0"/>
              <w:rPr>
                <w:sz w:val="1"/>
                <w:szCs w:val="1"/>
                <w:color w:val="auto"/>
              </w:rPr>
            </w:pPr>
          </w:p>
        </w:tc>
      </w:tr>
      <w:tr>
        <w:trPr>
          <w:trHeight w:val="28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r>
              <w:rPr>
                <w:rFonts w:ascii="Times New Roman" w:cs="Times New Roman" w:eastAsia="Times New Roman" w:hAnsi="Times New Roman"/>
                <w:sz w:val="20"/>
                <w:szCs w:val="20"/>
                <w:color w:val="auto"/>
                <w:vertAlign w:val="superscript"/>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15,750,000</w:t>
            </w:r>
          </w:p>
        </w:tc>
        <w:tc>
          <w:tcPr>
            <w:tcW w:w="8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150,000,000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43"/>
        </w:trPr>
        <w:tc>
          <w:tcPr>
            <w:tcW w:w="18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150,025,000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80" w:right="479" w:hanging="426"/>
        <w:spacing w:after="0" w:line="264" w:lineRule="auto"/>
        <w:tabs>
          <w:tab w:leader="none" w:pos="89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as a result thereof.</w:t>
      </w:r>
    </w:p>
    <w:p>
      <w:pPr>
        <w:ind w:left="880" w:hanging="426"/>
        <w:spacing w:after="0"/>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issuance of an additional 750,000 shares underlying the rights included in the public units.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pro forma net tangible book value after the offering is calculated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Without</w:t>
            </w:r>
          </w:p>
        </w:tc>
        <w:tc>
          <w:tcPr>
            <w:tcW w:w="12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With</w:t>
            </w:r>
          </w:p>
        </w:tc>
      </w:tr>
      <w:tr>
        <w:trPr>
          <w:trHeight w:val="212"/>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Over-Allotment   Over-Allotment</w:t>
            </w:r>
          </w:p>
        </w:tc>
      </w:tr>
      <w:tr>
        <w:trPr>
          <w:trHeight w:val="46"/>
        </w:trPr>
        <w:tc>
          <w:tcPr>
            <w:tcW w:w="54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7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before this offering</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(88,378)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(88,378)</w:t>
            </w:r>
          </w:p>
        </w:tc>
      </w:tr>
      <w:tr>
        <w:trPr>
          <w:trHeight w:val="41"/>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this offering and private placement of private warrants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152,500,000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175,225,000</w:t>
            </w:r>
          </w:p>
        </w:tc>
      </w:tr>
      <w:tr>
        <w:trPr>
          <w:trHeight w:val="198"/>
        </w:trPr>
        <w:tc>
          <w:tcPr>
            <w:tcW w:w="5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Plus: Offering costs accrued for and paid in advance, excluded from</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tangible book value before this offering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111,843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111,843</w:t>
            </w:r>
          </w:p>
        </w:tc>
      </w:tr>
      <w:tr>
        <w:trPr>
          <w:trHeight w:val="41"/>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Proceeds held in trust subject to conversion/tender</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(147,523,458)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(170,248,458)</w:t>
            </w: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83"/>
        </w:trPr>
        <w:tc>
          <w:tcPr>
            <w:tcW w:w="54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5,000,007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5,000,007</w:t>
            </w:r>
          </w:p>
        </w:tc>
      </w:tr>
      <w:tr>
        <w:trPr>
          <w:trHeight w:val="271"/>
        </w:trPr>
        <w:tc>
          <w:tcPr>
            <w:tcW w:w="54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r>
      <w:tr>
        <w:trPr>
          <w:trHeight w:val="24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issued and outstanding prior to this offering</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3,750,000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4,312,500</w:t>
            </w:r>
          </w:p>
        </w:tc>
      </w:tr>
      <w:tr>
        <w:trPr>
          <w:trHeight w:val="24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to be sold in this offering</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17,250,000</w:t>
            </w: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5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common stock underlying the rights to be included in the public</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5"/>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862,500</w:t>
            </w:r>
          </w:p>
        </w:tc>
      </w:tr>
      <w:tr>
        <w:trPr>
          <w:trHeight w:val="25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Less: Shares subject to conversion/tender</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(14,606,283)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(16,856,283)</w:t>
            </w: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5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4,893,717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5,568,717</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80" w:right="479" w:hanging="426"/>
        <w:spacing w:after="0" w:line="288" w:lineRule="auto"/>
        <w:tabs>
          <w:tab w:leader="none" w:pos="89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by us as a result thereof.</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capitalization at September 30, 2020 and as adjusted to give effect to the sale of our units and the private warrants and the application of the estimated net proceeds derived from the sale of such securities.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560"/>
              <w:spacing w:after="0" w:line="181" w:lineRule="exact"/>
              <w:rPr>
                <w:sz w:val="20"/>
                <w:szCs w:val="20"/>
                <w:color w:val="auto"/>
              </w:rPr>
            </w:pPr>
            <w:r>
              <w:rPr>
                <w:rFonts w:ascii="Times New Roman" w:cs="Times New Roman" w:eastAsia="Times New Roman" w:hAnsi="Times New Roman"/>
                <w:sz w:val="16"/>
                <w:szCs w:val="16"/>
                <w:b w:val="1"/>
                <w:bCs w:val="1"/>
                <w:color w:val="auto"/>
              </w:rPr>
              <w:t>As</w:t>
            </w:r>
          </w:p>
        </w:tc>
        <w:tc>
          <w:tcPr>
            <w:tcW w:w="0" w:type="dxa"/>
            <w:vAlign w:val="bottom"/>
          </w:tcPr>
          <w:p>
            <w:pPr>
              <w:spacing w:after="0"/>
              <w:rPr>
                <w:sz w:val="1"/>
                <w:szCs w:val="1"/>
                <w:color w:val="auto"/>
              </w:rPr>
            </w:pPr>
          </w:p>
        </w:tc>
      </w:tr>
      <w:tr>
        <w:trPr>
          <w:trHeight w:val="255"/>
        </w:trPr>
        <w:tc>
          <w:tcPr>
            <w:tcW w:w="5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Adjusted</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68"/>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153,018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6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56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Shares of common stock, $0.0001 par value, none and 14,606,283 shares</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are subject to possible conversion/tender, respectively</w:t>
            </w: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147,523,458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common stock, $0.0001 par value, 5,000,000 shares authorized,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actual; 50,000,000 shares authorized, as adjusted; 4,312,500 shares issued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and outstanding, actual; 4,143,717 shares issued and outstanding</w:t>
            </w:r>
            <w:r>
              <w:rPr>
                <w:rFonts w:ascii="Times New Roman" w:cs="Times New Roman" w:eastAsia="Times New Roman" w:hAnsi="Times New Roman"/>
                <w:sz w:val="20"/>
                <w:szCs w:val="20"/>
                <w:color w:val="auto"/>
                <w:vertAlign w:val="superscript"/>
              </w:rPr>
              <w:t>(2)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(excluding 14,606,283 shares subject to possible conversion/tender),</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adjusted</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of preferred stock, $0.0001 par value, 0 shares authorized, actual;</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1,000,000 shares authorized, as adjusted; no shares issued and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(actual and as adjusted)</w:t>
            </w: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24,569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5,001,128</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176,483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$ 152,523,465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80" w:right="479" w:hanging="426"/>
        <w:spacing w:after="0" w:line="264" w:lineRule="auto"/>
        <w:tabs>
          <w:tab w:leader="none" w:pos="90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$6,000,000 we will receive from the sale of the private warrants (assumes the over-allotment option has not been exercised).</w:t>
      </w:r>
    </w:p>
    <w:p>
      <w:pPr>
        <w:ind w:left="880" w:right="479" w:hanging="426"/>
        <w:spacing w:after="0" w:line="288" w:lineRule="auto"/>
        <w:tabs>
          <w:tab w:leader="none" w:pos="89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as a result thereof.</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2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were incorporated on July 10, 2019 as a Delaware corporation to serve as a vehicle to effect a merger, share exchange, asset acquisition, share purchase, recapitalization, reorganization or similar business combination with one or more target businesses. Our efforts to identify a prospective target business will not be limited to a particular industry or geographic location. We intend to utilize cash derived from the proceeds of this offering, our securities, debt or a combination of cash, securities and debt, in effecting a business combination. The issuance of additional shares in our business combination:</w:t>
      </w:r>
    </w:p>
    <w:p>
      <w:pPr>
        <w:spacing w:after="0" w:line="120" w:lineRule="exact"/>
        <w:rPr>
          <w:sz w:val="20"/>
          <w:szCs w:val="20"/>
          <w:color w:val="auto"/>
        </w:rPr>
      </w:pPr>
    </w:p>
    <w:p>
      <w:pPr>
        <w:ind w:left="1300" w:hanging="41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reduce the equity interest of our stockholders;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common stock if we issue preferred shares with rights senior to those afforded to our shares of common stock;</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securities.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Similarly, if we issue debt securities, it could result in:</w:t>
      </w:r>
    </w:p>
    <w:p>
      <w:pPr>
        <w:spacing w:after="0" w:line="144" w:lineRule="exact"/>
        <w:rPr>
          <w:sz w:val="20"/>
          <w:szCs w:val="20"/>
          <w:color w:val="auto"/>
        </w:rPr>
      </w:pPr>
    </w:p>
    <w:p>
      <w:pPr>
        <w:ind w:left="1320" w:right="479" w:hanging="434"/>
        <w:spacing w:after="0" w:line="282" w:lineRule="auto"/>
        <w:tabs>
          <w:tab w:leader="none" w:pos="14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 business combination are insufficient to pay our debt obligations;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additional financing, if necessary, if the debt security contains covenants restricting our ability to obtain additional financing while such security is outstanding.</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indicated in the accompanying financial statements, at September 30, 2020, we had $65,640 in cash and $111,843 in deferred offering costs. Further, we expect to continue to incur significant costs in the pursuit of our acquisition plans. Our plans to raise capital or to consummate our initial business combination may not be successful.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 and Known Trends or Future Events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indicated in the accompanying financial statements, at September 30, 2020, we had $65,640 in cash and a working capital deficit of $88,378. Further, we have incurred and expect to continue to incur significant costs in pursuit of our financing and acquisition plans. Management’s plans to address this uncertainty through this offering are discussed above. Our plans to raise capital or to consummate our initial business combination may not be successful. These factors, among others, raise substantial doubt about our ability to continue as a going concern.</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liquidity needs have been satisfied to date through receipt of $25,000 from the sale of the insider shares. We estimate that the net proceeds from (1) the sale of the units in this offering, after deducting offering expenses of approximately $3,500,000 (or $3,950,000 if the over-allotment option is exercised in full) including underwriting fees and qualified independent underwriter fees of $3,000,000 (or $3,450,000 if the over-allotment option is exercised in full) and (2) the sale of the private warrants for a purchase price of $6,000,000 will be $152,500,000 (or $175,225,000 if the over-allotment option is exercised in full). Of this amount, $151,500,000 (or $174,225,000 if the over-allotment option is exercised in full), or “the net offering proceeds,” will be held in the trust account. The remaining $1,000,000 (whether or not the over-allotment option is exercised in full) will not be held in the trust account.</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Over the next 15 months (or up to 18 months, as applicable),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108" w:lineRule="exact"/>
        <w:rPr>
          <w:sz w:val="20"/>
          <w:szCs w:val="20"/>
          <w:color w:val="auto"/>
        </w:rPr>
      </w:pPr>
    </w:p>
    <w:p>
      <w:pPr>
        <w:jc w:val="both"/>
        <w:ind w:left="1320" w:right="459" w:hanging="434"/>
        <w:spacing w:after="0" w:line="266" w:lineRule="auto"/>
        <w:tabs>
          <w:tab w:leader="none" w:pos="14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 of expenses for the search for target businesses and for the legal, accounting and other third-party expenses attendant to the due diligence investigations, structuring and negotiating of a business combination;</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of expenses for the due diligence and investigation of a target business by our officers, directors and initial stockholders;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of expenses in legal and accounting fees relating to our SEC reporting obligations;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 for the payment of the administrative fee to Chardan Capital Markets, LLC (of $10,000 per month for up to 15 months), subject to deferral as described herein;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$710,000 for general working capital that will be used for miscellaneous expenses, including director and officer liability insurance premiums.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August 20, 2020, we issued an unsecured promissory note to Ventoux Acquisition, pursuant to which the Company may borrow up to an aggregate principal amount of $250,000. The promissory note is non-interest bearing and will be payable promptly after consummation of this offering or the date on which we determine not to conduct this offering. As of September 30, 2020, there was $153,018 outstanding under the promissory note.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engaged Chardan Capital Markets, LLC as an advisor in connection with our initial business combination, pursuant to the business combination marketing agreement described under “Underwriting (Conflicts of Interest) — Business Combination Marketing Agreement.” We will pay Chardan Capital Markets, LLC a marketing fee for such services upon the consummation of our initial business combination in an amount equal to, in the aggregate, 3.5% of the gross proceeds of this offering, including any proceeds from the full or partial exercise of the over-allotment option. As a result, Chardan Capital Markets, LLC will not be entitled to such fee unless we consummate our initial business combination.</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needed to finance transaction costs in connection with searching for a target business or consummating an intended initial business combination, our initial stockholders,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We believe the purchase price of these private warrants will approximate the fair value of such private warrants when issued. However, if it is determined, at the time of issuance, that the fair value of such private warrants exceeds the purchase price, we would record compensation expense for the excess of the fair value of the private warrants on the day of issuance over the purchase price in accordance with Accounting Standards Codification (“ASC”) 718 — Compensation — Stock Compensation.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As of the date of this prospectus, we have not completed an assessment, nor have our auditors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Target businesses we may consider for our initial business combination may have internal controls that need improvement in areas such as:</w:t>
      </w:r>
    </w:p>
    <w:p>
      <w:pPr>
        <w:spacing w:after="0" w:line="127" w:lineRule="exact"/>
        <w:rPr>
          <w:sz w:val="20"/>
          <w:szCs w:val="20"/>
          <w:color w:val="auto"/>
        </w:rPr>
      </w:pPr>
    </w:p>
    <w:p>
      <w:pPr>
        <w:ind w:left="1300" w:hanging="41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for financial, accounting and external reporting areas, including segregation of duties;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accounts;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recording of expenses and liabilities in the period to which they relate;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internal review and approval of accounting transactions;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processes, assumptions and conclusions underlying significant estimates;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accounting policies and procedures.</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Once our management’s report on internal controls is complete, we will retain our independent auditors to audit and render an opinion on such report when, or if, required by Section 404. The independent auditors may identify additional issues concerning a target business’s internal controls while performing their audit of internal control over financial reporting.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net proceeds of this offering, including amounts in the trust account, will be invested in United States government treasury bills, bonds or notes having a maturity of 183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 Commitments and Contractual Obligations; Quarterly Results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of September 30, 2020, we did not have any off-balance sheet arrangements as defined in Item 303(a) (4)(ii) of Regulation S-K and did not have any commitments or contractual obligations. No unaudited quarterly operating data is included in this prospectus as we have conducted no operations to date.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such, our financial statements may not be comparable to companies that comply with public company effective dates.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 blank check company formed under the laws of the State of Delaware on July 10, 2019. We were formed for the purpose of effecting a merger, share exchange, asset acquisition, share purchase, reorganization or similar business combination with one or more businesses, which we refer to throughout this prospectus as our initial business combination. We have not identified any business combination target and we have not, nor has anyone on our behalf, initiated any substantive discussions, directly or indirectly, with any business combination target.</w:t>
      </w:r>
    </w:p>
    <w:p>
      <w:pPr>
        <w:spacing w:after="0" w:line="120" w:lineRule="exact"/>
        <w:rPr>
          <w:sz w:val="20"/>
          <w:szCs w:val="20"/>
          <w:color w:val="auto"/>
        </w:rPr>
      </w:pPr>
    </w:p>
    <w:p>
      <w:pPr>
        <w:jc w:val="both"/>
        <w:ind w:left="460" w:right="459" w:firstLine="432"/>
        <w:spacing w:after="0" w:line="277" w:lineRule="auto"/>
        <w:rPr>
          <w:sz w:val="20"/>
          <w:szCs w:val="20"/>
          <w:color w:val="auto"/>
        </w:rPr>
      </w:pPr>
      <w:r>
        <w:rPr>
          <w:rFonts w:ascii="Times New Roman" w:cs="Times New Roman" w:eastAsia="Times New Roman" w:hAnsi="Times New Roman"/>
          <w:sz w:val="17"/>
          <w:szCs w:val="17"/>
          <w:color w:val="auto"/>
        </w:rPr>
        <w:t>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10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an initial business combination with the ultimate goal of pursuing attractive returns for our shareholders.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Co-Sponsors, Management, Board of Directors and Competitive Advantages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we search for a prospective target company or business, we intend to leverage the multiple decades of combined investment experience, successful Special Purpose Acquisition Company, or SPAC, execution experience and the expansive network of relationships of the principals and affiliates of our co-sponsors, Ventoux Acquisitions and Chardan Investments. Our management team, led by co-founders Mr. Edward Scheetz and Mr. Matthew MacDonald, have a combined 40 years of hospitality and investment experience. Together with our management team, Chardan Investments and its affiliate, Chardan Capital Markets, LLC, our board of directors and our Senior Advisor, Mr. Robert Martin, we are confident that the combined experience makes us well situated to identify, source, negotiate and execute an initial business combination in the hospitality, leisure, travel and dining sectors.</w:t>
      </w:r>
    </w:p>
    <w:p>
      <w:pPr>
        <w:spacing w:after="0" w:line="121"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Mr. Scheetz is our co-founder, Chief Executive Officer and Chairman of the board of directors. Mr. Scheetz has over thirty years of experience as a leader and innovator in real estate, hospitality and leisure investments. He has been involved in numerous public companies including the leadership of several initial public offerings during his career. Mr. Scheetz was a partner at Apollo Management where he was the co-head of Apollo Real Estate Advisors and raised, invested and managed their first three real estate funds. Mr. Scheetz was co-founder and co-CEO of NorthStar Capital Investment Corporation, and he was also the co-founder and Executive Chairman of NorthStar Realty Finance Corp. (NYSE: NRF), which he successfully took public in</w:t>
      </w:r>
    </w:p>
    <w:p>
      <w:pPr>
        <w:spacing w:after="0" w:line="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2004. In 2005, Mr. Scheetz became the Chief Executive Officer of Morgans Hotel Group Co. (NASDAQ: MHGC), which he took public in 2006. Morgans was the developer, owner and operator of such iconic hotel properties as Delano and Shore Club in Miami, Mondrian in Los Angeles, Morgans, Royalton, Paramount and Hudson in New York, and Sanderson and St. Martin’s Lane in London.</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2010, Mr. Scheetz founded Chelsea Hotels which had properties in Manhattan (including the renowned Hotel Chelsea), Brooklyn, Montauk, Miami, and Chicago. Mr. Scheetz successfully sold Chelsea Hotels in 2016. Throughout his career, Mr. Scheetz has acquired and invested in excess of $10 billion in private companies.</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Mr. MacDonald is our co-founder, Chief Financial Officer and Secretary, and has over a decade of experience in real estate, hospitality and leisure investments at public companies and private equity-backed ventures. Mr. MacDonald was responsible for corporate M&amp;A transaction activity at Hyatt Hotel Corporation (NYSE: H), where, as part of Hyatt’s global platform, he oversaw M&amp;A investments and underwrote public and private companies within the broader hotel and leisure sectors. Mr. MacDonald joined Hyatt in 2017 through Hyatt’s acquisition of Miraval Group, a KSL Capital portfolio company. In 2018, Mr. MacDonald led the company’s $450 million acquisition of Two Roads Hospitality, which included management contracts for 75 hotel properties across five hotel brands in 23 global markets; the acquisition anchored Hyatt’s Global Lifestyle Division. Additionally, Mr. MacDonald led the development of two of Hyatt’s brands in the wellness space, Miraval and Exhale. With respect to Exhale, Mr. MacDonald led strategic</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consideration, due diligence and acquisition of the 25-unit spa and class-based fitness company for Hyatt’s Wellness platform, and subsequently led integration of the company, units and 1,000 employees into Hyatt. Mr. MacDonald joined Miraval and KSL in 2016. Prior to 2016, Mr. MacDonald was in the Real Estate Investment Management and Acquisitions group at Starwood Hotels &amp; Resorts (NYSE: HOT).</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Mr. Strasbourger is our Chief Operating Officer, and has over a decade of experience in venture and private equity backed entertainment, hospitality, travel and real estate technology companies as a founder, operator, and board member. Mr. Strasbourger most recently was responsible for strategic partnerships and corporate development at Convene and has overseen revenue, marketing, and digital at previous companies. Leveraging his financial background, Mr. Strasbourger takes a revenue and ROI generating lens across strategy, business development, product and growth marketing. Prior to his work as a technology executive, Mr. Strasbourger worked in the Emerging Markets Fixed Income group at Barclays Capital (NYSE: BCS).</w:t>
      </w:r>
    </w:p>
    <w:p>
      <w:pPr>
        <w:spacing w:after="0" w:line="94"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Mr. Phatak is our Chief Investment Officer, and has over 17 years of experience in various finance and direct investment roles on Wall Street. Mr. Phatak founded his own investment firm, Tappan Street Partners LLC, where he has led a research driven investment process for a number of private funds over the past nine years. Additionally, Mr. Phatak was a Partner at Markley Capital Management from 2019 to 2020. Prior to Tappan Street, Mr. Phatak developed his investment expertise as a member of the US investment team at Eton Park Capital Management from 2005 to 2011, helping to deploy approximately $5 billion of capital as part of a six-member team. During his career, Mr. Phatak has underwritten investments in a variety of different sectors, including gaming, hospitality, and leisure. Mr. Phatak began his career at the Blackstone Group (NYSE: BX) as an analyst in the Restructuring and Reorganization Advisory group from 2003 to 2005, and later as a private equity associate at Madison Dearborn Partners during 2005.</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management team is supported by Chardan Capital Markets’ team of investment banking professionals who each possess extensive experience in corporate finance, mergers and acquisitions, equity and debt capital markets, strategic consulting and operations. Mr. Jonas Grossman, Partner and President of Chardan Capital Markets, and Mr. Alex Weil, co-head of FinTech Investment Banking at Chardan Capital Markets, will each serve on our board of directors. We believe Chardan’s decades of successfully executing SPAC and M&amp;A transactions benefit us, complementing the deep sector expertise and expansive networks of Messrs. Scheetz and MacDonald, our board of directors and advisors.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Chardan has an extensive track record in the SPAC market as underwriter, sponsor and advisor. Since 2004, Chardan has been lead or co-lead underwriter on 81 SPAC IPOs. Since 2018, Chardan has been merger and acquisition advisor to eleven SPACs, helping companies close transactions valued at approximately $5.1 billion. Chardan-advised SPACs have targeted a wide range of industries, including life sciences, healthcare services, technology hardware and software, financial technology, insurance, financial services, education, media &amp; entertainment, industrials, materials, consumer staples and energy. Chardan has advised SPACs targeting both global and regional markets as well as those with more defined areas of focus in emerging and other geographic markets, including in North America. No Chardan advised or lead underwritten SPAC has liquidated to-date. In addition to its active advisory and underwriting business, Chardan’s principals have founded seven SPACs, five of which have closed successful business combinations, one of which has announced a business combination and one of which is currently seeking an acquisition.</w:t>
      </w:r>
    </w:p>
    <w:p>
      <w:pPr>
        <w:spacing w:after="0" w:line="9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Mr. Jonas Grossman is a partner, the President and Head of Capital Markets for Chardan Capital Markets, LLC, a New York headquartered broker/dealer, established in 2003. Since 2003, Mr. Grossman has overseen the firm’s investment banking and capital markets activities and initiatives. He has extensive transactional experience having led or managed more than 400 transactions during his tenure at Chardan.</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Mr. Grossman has nearly two decades of SPAC expertise. Mr. Grossman has provided underwriting and business combination advisory services to more than 80 SPACs in a variety of industries and has been a founder and CEO and President of two SPACs and a nonexecutive board member of an additional SPACs. Mr. Grossman was the Chief Executive Officer and President of Chardan Healthcare Acquisition Corp. from March 2018 until its merger in October 2019 with BiomX (NYSE: PHGE). Mr. Grossman is currently a director of BiomX and since March 2020 is also a director of LifeSci Acquisition Corp. which recently announced a business combination with Vincera Pharma, Inc. Since April 2020, Mr. Grossman has been the Chief Executive Officer and President of Chardan Healthcare Acquisition 2 Corp.</w:t>
      </w:r>
    </w:p>
    <w:p>
      <w:pPr>
        <w:spacing w:after="0" w:line="11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Mr. Alex Weil is currently co-head of FinTech investment banking at Chardan. Mr. Weil has spent his career, which spans over two decades, providing strategic advisory services to global companies, senior executives, boards of directors, and investors. Mr. Weil’s background in strategic advisory work was built during his career at both global</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0" w:name="page61"/>
    <w:bookmarkEnd w:id="6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companies, as a leader in Citi’s corporate strategy and M&amp;A group, UBS Financial Institutions Group’s investmentv bank, and General Electric’s corporate development group, and at boutique investment banking advisors, such as Lazard Middle Market and William Blair.</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Mr. Weil has advised on billions of dollars of transactions ranging from corporate divestitures and spin offs, innovative technology company acquisitions to larger, more complex M&amp;A transactions. Mr. Weil has participated or led a variety of transactions, such as: Genworth’s spin-off IPO from General Electric; Citi-related transactions including a variety of technology and capital markets businesses (e.g. Lava Trading, Knight Options Market Making, and Automated Trading Desk) along with the creation of Citi Holdings and subsequent sales of Nikko Asset Management and its subprime auto finance business; Schwab’s acquisition of OptionsXpress; and CVC’s majority investment in Alix Partners. Mr. Weil’s extensive financial and M&amp;A expertise will help put us in a strong position to structure profitable investments.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believe the partnership between Ventoux Acquisition and Chardan offers investors a differentiated investment opportunity which brings together a management team with deep and proven industry focus with one of the leading and most successful SPAC advisors that provides deep sector expertise, an expansive network of relationships, and decades of M&amp;A transaction experience.</w:t>
      </w:r>
    </w:p>
    <w:p>
      <w:pPr>
        <w:spacing w:after="0" w:line="9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board of directors will include Woody H. Levin, Julie Atkinson, Chris Ahrens and Bernard Van der Lande.</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Woody Levin is the founder and has served as Chief Executive Officer of Extend, Inc., which offers an API-first solution for merchants to offer extended warranties and protection plans, and 3.0 Capital GP, LLC, which is a multi-strategy crypto asset hedge fund. Mr. Levin also served as Vice President of Growth at DocuSign, Inc. (NASDAQ: DOCU), which allows organizations to digitally prepare, sign, act on, and manage agreements. In addition, Mr. Levin served as the founder and Chief Executive Officer of Estate Assist, Inc., a digital estate planning platform until its acquisition, and of BringIt, Inc., a virtual currency casino and arcade until its acquisition. Mr. Levin served as Director Emerging Business — Office of the CTO at International Game Technology PLC (NYSE: IGT), which manufactures and distributes slot machines and other gaming technology. Mr. Levin serves a member of the board of directors of DraftKings Inc. (NASDAQ: DKNG) and of Extend, Inc.</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Julie Atkinson is the Chief Marketing Officer for Founders Table Restaurant Group, which includes the Chopt and Dos Toros restaurant brands.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Ms. Atkinson is an accomplished digital, marketing, and technology executive with a 20-year track record of innovative and strategic leadership for multiple global consumer brands. She also sits on the board of directors of Bright Horizons Family Solutions Inc. (NYSE: BFAM).</w:t>
      </w:r>
    </w:p>
    <w:p>
      <w:pPr>
        <w:spacing w:after="0" w:line="113"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Chris Ahrens is an Advisor with Certares, a travel focused investment firm. Prior to joining Certares, he was a Managing Director of One Equity Partners (“OEP”), the private equity investment arm of JPMorgan Chase. He was active in OEP’s travel industry, technology and healthcare investments. Chris currently serves on the Board of Directors of Internova Travel Group, a leading premium corporate, leisure, franchise and consortia travel company operating under a variety of diversified divisions and brands, including Tzell Travel, Protravel International,Travel Leaders Network and Nexion.</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Bernard Van der Lande is Managing Director of Cindat, an international private equity investment platform for whom Mr. Van der Lande oversees US and European operations as well as strategy and fund formation initiatives. Consistently in the vanguard of cross-border and digitized capital formation strategies, Mr. Van der Lande has transacted on or recapitalized a variety of public and private investment vehicles. Bernard Van der Lande was previously Managing Director of Easterly LLC, a private asset management holding company with interests in boutique investment management firms. Previously, he was Managing Director of CBRE Capital Advisors, Inc., CBRE's real estate investment banking business, and Managing Director of Hodges Ward Elliott, another capital markets and investment banking business.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Mr. Robert Martin will serve as a Senior Advisor to the management team. Mr. Martin is a Vice Chairman in JLL’s New York office, where he leads a ten member brokerage, advisory and consulting team that focuses on tenant representation in the New York Tri-state market. Mr. Martin is an accomplished real estate professional, having</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1" w:name="page62"/>
    <w:bookmarkEnd w:id="6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completed transactions involving more than 50 million square feet over his 35-year real estate career. Mr. Martin is also the principal and founder of RGM Holdings, a real estate investment firm that sources and invests in real estate assets in the New York metro area. RGM Holdings is the General Partner in a portfolio of real estate investments comprising over 690,000 square feet and a value in excess of $1.3 billion. Mr. Martin is also an early investor in a variety of ventures, including in the proptech and fintech sectors.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believe the combined networks and relationships of our management, directors and advisors will allow us to identify, source, underwrite, negotiate and execute an initial business combination with a successful and fast-growing company within our target sector. Opportunities will be sourced through our established and proprietary networks of senior executives, investors, investment banks, and advisors. With our focus on value creation, we will be driven by a disciplined investment strategy that will conduct comprehensive due diligence, thorough underwriting and thoughtful strategic analysis, resulting in a thorough evaluation of each investment opportunity.</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With respect to the foregoing experiences of our management, directors, and Chardan, past performance is not a guarantee (i) that we will be able to identify a suitable candidate for our initial business combination or</w:t>
      </w:r>
    </w:p>
    <w:p>
      <w:pPr>
        <w:jc w:val="both"/>
        <w:ind w:left="460" w:right="479" w:hanging="6"/>
        <w:spacing w:after="0" w:line="255" w:lineRule="auto"/>
        <w:tabs>
          <w:tab w:leader="none" w:pos="7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success with respect to any business combination we may consummate. You should not rely on the historical record of our management’s, directors’, or Chardan’s performance as indicative of our future performance.</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Industry Opportunity</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intend to identify and acquire a business within the hospitality, leisure, travel and dining sectors with an overall transaction value between approximately $500 million and $2.0 billion. We believe that these sectors represent attractive target markets given the size, breadth and prospects for growth, with travel and tourism having contributed nearly $8.8 trillion to global GDP in 2018, having been expected to grow an average of 7.1% annually through 2020 prior to COVID-19, which has adversely impacted the sector. Based on demographic and behavioral trends and a long-term demand for travel and leisure experiences, consumers are investing more in experiences than products, and we believe this will continue through a down-cycle in hospitality due to COVID-19.</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2019, domestic and international travelers spent $1.126 trillion in the U.S. and domestic travelers alone spent $972 billion in the U.S. (a 4.4% increase from 2018), according to the U.S. Travel Association. Moreover, domestic and international leisure travelers spent a total of $792 billion in 2019 in the U.S., up 4.1% from 2018, and domestic and international business traveler spending increased 2.2% to $334 billion in 2019. Other sectors, from entertainment to venues, tours and restaurants, also benefited as U.S. consumers invested in an inherent love for leisure, travel and dining experiences.</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COVID-19 has created a temporary valuation dislocation, and has adversely impacted the ability of companies and business divisions to access to the public and/or private financing markets. We believe that COVID-19 will create a pervasive and permanent change in global consumer and business behavior similar to previous crises, such as 9/11’s impact on travel security and the global financial crisis’ impact on (increased) financial regulation.</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Competition for consumers’ hospitality, travel, leisure and dining spending has remained high, and resulted in companies introducing innovative concepts, technologies and strategies to establish competitive market positioning. We believe the private market for hospitality, leisure, travel and dining companies will provide attractive opportunities for identifying a business combination target. We are confident that we will identify and capitalize on the many attractive and well-positioned companies whose operating models have, or will adapt, to the changing consumer and business behaviors in a COVID-19 or post-COVID-19 environment.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management team’s objective is to generate attractive returns and create long-term value for our shareholders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9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evaluation process will leverage our co-founders’, board’s and advisors’ network of industry, private equity sponsor, credit fund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management team, board and advisors have experience in:</w:t>
      </w:r>
    </w:p>
    <w:p>
      <w:pPr>
        <w:spacing w:after="0" w:line="144" w:lineRule="exact"/>
        <w:rPr>
          <w:sz w:val="20"/>
          <w:szCs w:val="20"/>
          <w:color w:val="auto"/>
        </w:rPr>
      </w:pPr>
    </w:p>
    <w:p>
      <w:pPr>
        <w:ind w:left="1300" w:hanging="41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key activities of SPACs including, sponsoring, underwriting and M&amp;A advisory;</w:t>
      </w:r>
    </w:p>
    <w:p>
      <w:pPr>
        <w:spacing w:after="0" w:line="13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companies, setting and changing strategies, and identifying, monitoring and recruiting world-class talent;</w:t>
      </w:r>
    </w:p>
    <w:p>
      <w:pPr>
        <w:spacing w:after="0" w:line="6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growing companies, both organically and through acquisitions and strategic transactions and expanding the product range and geographic footprint of a number of target businesses;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structuring, acquiring and selling businesses,</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accessing the capital markets, including financing businesses and helping companies transition to public ownership;</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relationships with sellers, capital providers and target management teams;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transactions in multiple geographies and under varying economic and financial market conditions.</w:t>
      </w:r>
    </w:p>
    <w:p>
      <w:pPr>
        <w:spacing w:after="0" w:line="6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Criteria</w:t>
      </w:r>
    </w:p>
    <w:p>
      <w:pPr>
        <w:spacing w:after="0" w:line="13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02" w:lineRule="exact"/>
        <w:rPr>
          <w:sz w:val="20"/>
          <w:szCs w:val="20"/>
          <w:color w:val="auto"/>
        </w:rPr>
      </w:pPr>
    </w:p>
    <w:p>
      <w:pPr>
        <w:ind w:left="1320" w:right="479" w:hanging="434"/>
        <w:spacing w:after="0" w:line="282" w:lineRule="auto"/>
        <w:tabs>
          <w:tab w:leader="none" w:pos="14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competitive industry position with demonstrated competitive advantages to maintain barriers to entry;</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historic record of above average growth and strong free cash flow characteristics with high returns on capital;</w:t>
      </w:r>
    </w:p>
    <w:p>
      <w:pPr>
        <w:spacing w:after="0" w:line="6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positioned for continued organic growth and may grow through bolt-on acquisitions in these challenging times for the industry sectors;</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fundamentally sound company with a proven track record;</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operating model that has adapted to meet the changing consumer or business behaviors in a post-COVID 19 environment;</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offer an attractive risk-adjusted return for our stockholders; and</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benefit from being a publicly traded company, are prepared to be a publicly traded company and can utilize access to broader capital markets.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materials or tender offer documents that we would file with the SEC.</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Acquisition Process</w:t>
      </w:r>
    </w:p>
    <w:p>
      <w:pPr>
        <w:spacing w:after="0" w:line="13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Rigorous and comprehensive due diligence on prospective business targets is particularly important within the hospitality, travel, leisure and dining sectors in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identified any business combination target and we have not, nor has anyone on our behalf, initiated any substantive discussions, directly or indirectly, with any business combination target. Our co-sponsors, all of the members of our management team and our board, our advisors, including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Value Creation Post Merger</w:t>
      </w:r>
    </w:p>
    <w:p>
      <w:pPr>
        <w:spacing w:after="0" w:line="135"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After the initial business combination, our management team intends to apply a rigorous approach to enhancing shareholder value, including evaluating the experience and expertise of incumbent management and making changes when appropriate, examining opportunities for revenue enhancement, cost savings, operating efficiencies and strategic acquisitions and divestitures, and accessing the financial markets to optimize the company’s capital structure. Our management team intends to pursue post-merger initiatives through participation on the board of directors, through direct involvement with company operations and/or calling upon a stable of former managers and advisors when necessary.</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Effecting a Business Combination</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warrants, our shares, rights,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94"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have not identified any acquisition targets. From the period prior to our formation through the date of this prospectus, there have been no communications, evaluations or discussions between any of our officers, directors or our</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4" w:name="page65"/>
    <w:bookmarkEnd w:id="6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co-sponsors and any of their contacts or relationships regarding a potential initial business combination. Additionally, we have not engaged or retained any agent or other representative to identify or locate any suitable acquisition candidate. Subject to the requirement that our initial business combination must be with one or more target businesses or assets having an aggregate fair market value of at least 80% of the value of the trust account (excluding any taxes payable on the income earned on the trust account)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of Target Businesses</w:t>
      </w:r>
    </w:p>
    <w:p>
      <w:pPr>
        <w:spacing w:after="0" w:line="14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may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3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our co-sponsors,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on the type of target business we seek to acquire that such an initial business combination is fair to our stockholders from a financial point of view.</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Selection of a Target Business and Structuring of a Business Combination</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Subject to the requirement that our initial business combination must be with one or more target businesses or assets having an aggregate fair market value of at least 80% of the value of the trust account (excluding any taxes payable</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the income earned on the trust account) at the time of the agreement to enter into such initial business combination, our management will have virtually unrestricted flexibility in identifying and selecting one or more prospective target businesses. In any case, we will only consummate an initial business combination in which we become the majority shareholder of the target (or control the target through contractual arrangements in limited circumstances for regulatory compliance purposes as discussed below)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There is no basis for investors in this offering to evaluate the possible merits or risks of any target business with which we may ultimately complete our initial business combination. To the extent we effect our initial business combination with a company or business that may be financially unstable or in its early stages of development or growth (such as a company that has begun operations but is not yet at the stage of commercial manufacturing and sales), we may be affected by numerous risks inherent in such company or business. Although our management will endeavor to evaluate the risks inherent in a particular target business, we may not properly ascertain or assess all significant risk factors.</w:t>
      </w:r>
    </w:p>
    <w:p>
      <w:pPr>
        <w:spacing w:after="0" w:line="13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made available to us.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Market Value of Target Business or Businesses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target business or businesses or assets with which we effect our initial business combination must have a collective fair market value equal to at least 80% of the value of the trust account (excluding any taxes payable on the income earned on the trust account) at the time of the agreement to enter into such initial business combination. If we acquire less than 100% of one or more target businesses in our initial business combination, the aggregate fair market value of the portion or portions we acquire must equal at least 80% of the value of the trust account at the time of the agreement to enter into such initial business combination. However, we will always acquire at least a controlling interest in a target business. The fair market value of a portion of a target business or assets will likely be calculated by multiplying the fair market value of the entire business by the percentage of the target we acquire. We may seek to consummate our initial business combination with an initial target business or businesses with a collective fair market value in excess of the balance in the trust account. In order to consummate such an initial business combination, we may issue a significant amount of debt, equity or other securities to the sellers of such business and/or seek to raise additional funds through a private offering of debt, equity or other securities. If we issue securities in order to consummate such an initial business combination, our stockholders could end up owning a minority of the combined company’s voting securities as there is no requirement that our stockholders own a certain percentage of our company (or, depending on the structure of the initial business combination, an ultimate parent company that may be formed) after our business combination. Because we have no specific business combination under consideration, we have not entered into any such arrangement to issue our debt or equity securities and have no current intention of doing so.</w:t>
      </w:r>
    </w:p>
    <w:p>
      <w:pPr>
        <w:spacing w:after="0" w:line="12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fair market value of a target business or businesses or assets will be determined by our board of directors based upon standards generally accepted by the financial community, such as actual and potential gross margins, the values of comparable businesses, earnings and cash flow, book value, enterprise value and, where appropriate, upon the advice of appraisers or other professional consultants. Investors will be relying on the business judgment of our board of directors, which will have significant discretion in choosing the standard used to establish the fair market value of a particular target business. If our board of directors is not able to independently determine that the target business or assets has a sufficient fair market value to meet the threshold criterion, we will obtain an opinion from an unaffiliated, independent investment banking firm or another independent entity that commonly renders valuation opinions on the type of target business we seek to acquire with respect to the satisfaction of such criterion. Notwithstanding the foregoing, unless we consummate a business combination with an affiliated entity, we are not required to obtain an</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opinion from an independent investment banking firm, or another independent entity that commonly renders valuation opinions on the type of target business we seek to acquire, that the price we are paying is fair to our stockholders.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Lack of Business Diversification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20" w:lineRule="exact"/>
        <w:rPr>
          <w:sz w:val="20"/>
          <w:szCs w:val="20"/>
          <w:color w:val="auto"/>
        </w:rPr>
      </w:pPr>
    </w:p>
    <w:p>
      <w:pPr>
        <w:jc w:val="both"/>
        <w:ind w:left="1320" w:right="459" w:hanging="434"/>
        <w:spacing w:after="0" w:line="266" w:lineRule="auto"/>
        <w:tabs>
          <w:tab w:leader="none" w:pos="13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depend on the marketing and sale of a single product or limited number of products or services.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Limited Ability to Evaluate the Target’s Management Team</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2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Following our initial business combination, we may seek to recruit additional managers to supplement the incumbent management of the target business. We may not have the ability to recruit additional managers, or to ascertain that additional managers will have the requisite skills, knowledge or experience necessary to enhance the incumbent management.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Stockholders May Not Have the Ability to Approve an Initial Business Combination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any proposed business combination, we will either (1) seek stockholder approval of our initial business combination at a meeting called for such purpose at which public stockholders may seek to convert their public shares, regardless of whether they vote for or against the proposed business combination,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(net of taxes payable) or</w:t>
      </w:r>
    </w:p>
    <w:p>
      <w:pPr>
        <w:spacing w:after="0" w:line="3" w:lineRule="exact"/>
        <w:rPr>
          <w:sz w:val="20"/>
          <w:szCs w:val="20"/>
          <w:color w:val="auto"/>
        </w:rPr>
      </w:pPr>
    </w:p>
    <w:p>
      <w:pPr>
        <w:jc w:val="both"/>
        <w:ind w:left="460" w:right="459" w:hanging="6"/>
        <w:spacing w:after="0" w:line="252" w:lineRule="auto"/>
        <w:tabs>
          <w:tab w:leader="none" w:pos="7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our public stockholders with the opportunity to sell their public shares to us by means of a tender offer (and thereby avoid the need for a stockholder vote) for an amount equal 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If we determine to engage in a tender offer, such tender offer will be structured so that each stockholder may tender any or all of his, her or its public shares rather than some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his, her or its shares. The decision as to whether we will seek stockholder approval of a proposed business combination or will allow stockholders to sell</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7" w:name="page68"/>
    <w:bookmarkEnd w:id="6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their shares to us in a tender offer will be made by us based on a variety of factors such as the timing of the transaction and whether the terms of the transaction would otherwise require us to seek stockholder approval. If we so choose and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solely if we seek stockholder approval, a majority of the issued and outstanding shares of common stock voted are voted in favor of the business combination.</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chose our net tangible asset threshold of $5,000,001 to ensure that we are not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15 months (or up to 18 months, as applicable) from the closing of this offering in order to be able to receive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w:t>
      </w:r>
    </w:p>
    <w:p>
      <w:pPr>
        <w:spacing w:after="0" w:line="9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initial stockholders and our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 As a result, if we sought stockholder approval of a proposed transaction, we would need only 937,001 of our public shares (or approximately 5.1% of our public shares) to be voted in favor of the transaction in order to have such transaction approved (assuming that only a quorum was present at the meeting, that the over-allotment option is not exercised and that the initial stockholders do not purchase any units in this offering or units or shares in the after-market).</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Conversion/Tender Rights</w:t>
      </w:r>
    </w:p>
    <w:p>
      <w:pPr>
        <w:spacing w:after="0" w:line="13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any meeting called to approve an initial business combination, public stockholders may seek to convert their public shares, regardless of whether they vote for or against the proposed business combination,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less any taxes then due but not yet paid. A public stockholder may be required to vote for or against a proposed business combination in order to have his, her or its shares of common stock redeemed for cash. If required to do so, and the stockholder fails to vote for or against a proposed business combination, that stockholder would not be able to have his, her or its shares of common stock redeemed. Notwithstanding the foregoing, our initial stockholders have agreed, pursuant to written letter agreements with us, not to convert any public shares held by them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If we hold a meeting to approve an initial business combination, a holder will always have the ability to vote against a proposed business combination and not seek conversion of his, her or its shares.</w:t>
      </w:r>
    </w:p>
    <w:p>
      <w:pPr>
        <w:spacing w:after="0" w:line="11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Alternatively, if we engage in a tender offer, each public stockholder will be provided the opportunity to sell its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initial stockholders, officers and directors will not have conversion rights with respect to any shares of common stock owned by them, directly or indirectly, whether acquired prior to this offering or purchased by them in this offering or in the aftermarket.</w:t>
      </w:r>
    </w:p>
    <w:p>
      <w:pPr>
        <w:spacing w:after="0" w:line="8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her or its shares if the holder wishes to seek to exercise his conversion rights. Under Delaware law, we are required to provide at least 10 days’ advance notice of any stockholder meeting, which would be the minimum amount of time a stockholder would have to determine whether to exercise conversion rights. As a result, if we require public stockholders who wish to convert their shares of common stock into the right to receive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 The conversion rights will include the requirement that a beneficial holder must identify itself in order to validly redeem its shares.</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Any request to convert or tender such shares, once made, may be withdrawn at any time up to the vote on the proposed business combination or expiration of the tender offer. Furthermore, if a holder of a public share delivered its certificate in connection with an election of their conversion or tender and subsequently decides prior to the vote on the business combination or the expiration of the tender offer not to elect to exercise such rights, it may simply request that the transfer agent return the certificate (physically or electronically).</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If the initial business combination is not approved or completed for any reason, then our public stockholders who elected to exercise their conversion or tender rights would not be entitled to convert their shares for the applicable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 In such case, we will promptly return any shares delivered by public 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 of Trust Account if No Business Combination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do not complete a business combination within 15 months (or up to 18 months, as applicable)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w:t>
      </w:r>
    </w:p>
    <w:p>
      <w:pPr>
        <w:spacing w:after="0" w:line="3" w:lineRule="exact"/>
        <w:rPr>
          <w:sz w:val="20"/>
          <w:szCs w:val="20"/>
          <w:color w:val="auto"/>
        </w:rPr>
      </w:pPr>
    </w:p>
    <w:p>
      <w:pPr>
        <w:jc w:val="both"/>
        <w:ind w:left="460" w:right="459" w:hanging="6"/>
        <w:spacing w:after="0" w:line="255" w:lineRule="auto"/>
        <w:tabs>
          <w:tab w:leader="none" w:pos="79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our obligations under Delaware law to provide for claims of creditors and the requirements of other applicable law. There will be no redemption rights or liquidating distributions with respect to our rights or warrants, which will expire worthless if we fail to complete our business combination within the time period.</w:t>
      </w:r>
    </w:p>
    <w:p>
      <w:pPr>
        <w:spacing w:after="0" w:line="11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However, if we anticipate that we may not be able to consummate our initial business combination within 15 months, our initial stockholders or their affiliates may, but are not obligated to, extend the period of time to consummate an initial business combination one time by up to an additional three months (for a total of up to 18 months to complete an initial business combination) without the need for a separate stockholder vote. Pursuant to the terms of our amended and restated certificate of incorporation and the trust agreement to be entered into between us and Continental Stock Transfer &amp; Trust Company on the date of this prospectus, the only way to extend the time available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for us to consummate our initial business combination without the need for a separate stockholder vote is for our initial stockholders or their affiliates or designees, upon five days’ advance notice prior to the applicable deadline, to deposit into the trust account $1,500,000, or $1,725,000 if the underwriters’ over-allotment option is exercised in full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 In the event that they elected to extend the time to complete a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22"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month (or up to the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month, as applicable) from the closing of this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1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refuses to execute such a waiver, we will execute an agreement with that entity only if our management first determines that we would be unable to obtain, on a reasonable basis, substantially similar services or opportunities from another entity willing to execute</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0" w:name="page71"/>
    <w:bookmarkEnd w:id="7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such a waiver. Examples of instances where we may engage a third party that refuses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third parties execute such agreements with us, they will not seek recourse against the trust account. Certain of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$10.10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such insiders’ financial net worth and believes they will be able to satisfy any indemnification obligations that may arise. However, these insiders may not be able to satisfy their indemnification obligations, as we have not required them to retain any assets to provide for their indemnification obligations, nor have we taken any further steps to ensure that they will be able to satisfy any indemnification obligations that arise. Moreover, these insiders will not be liable to our public stockholders, and instead will only have liability to us. As a result, if we liquidate, the per-share distribution from the trust account could be less than the estimated $10.10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w:t>
      </w:r>
    </w:p>
    <w:p>
      <w:pPr>
        <w:spacing w:after="0" w:line="13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$50,000), and have agreed not to seek repayment of such expenses. Each holder of public shares will receive a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$10.10.</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contains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in connection with any such vote. Our insiders have agreed to waive any conversion rights with respect to any insider shares and any public shares they may hold in connection with any vote to amend our certificate of incorporation. Specifically, our certificate of incorporation provides, among other things, that:</w:t>
      </w:r>
    </w:p>
    <w:p>
      <w:pPr>
        <w:spacing w:after="0" w:line="124" w:lineRule="exact"/>
        <w:rPr>
          <w:sz w:val="20"/>
          <w:szCs w:val="20"/>
          <w:color w:val="auto"/>
        </w:rPr>
      </w:pPr>
    </w:p>
    <w:p>
      <w:pPr>
        <w:jc w:val="both"/>
        <w:ind w:left="1320" w:right="459" w:hanging="434"/>
        <w:spacing w:after="0" w:line="254" w:lineRule="auto"/>
        <w:tabs>
          <w:tab w:leader="none" w:pos="13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9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initial business combination is not consummated within 15 months (or up to 18 months, as applicable) of the closing of this offering, then our existence will terminate and we will distribute all amounts in the trust account to all of our public holders of shares of common stock;</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this offering, $151,500,000, or $174,225,000 if the over-allotment option is exercised in full, shall be placed into the trust account;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Potential Revisions to Agreements with Insiders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Each of our insiders has entered into a letter agreement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85" w:lineRule="exact"/>
        <w:rPr>
          <w:sz w:val="20"/>
          <w:szCs w:val="20"/>
          <w:color w:val="auto"/>
        </w:rPr>
      </w:pPr>
    </w:p>
    <w:p>
      <w:pPr>
        <w:jc w:val="both"/>
        <w:ind w:left="1320" w:right="459" w:hanging="434"/>
        <w:spacing w:after="0" w:line="266" w:lineRule="auto"/>
        <w:tabs>
          <w:tab w:leader="none" w:pos="15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81"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2" w:name="page73"/>
    <w:bookmarkEnd w:id="7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ind w:left="1320" w:right="459" w:hanging="434"/>
        <w:spacing w:after="0" w:line="282" w:lineRule="auto"/>
        <w:tabs>
          <w:tab w:leader="none" w:pos="13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transfer of our securities could be amended to allow transfer to third parties who were not members of our original management team;</w:t>
      </w:r>
    </w:p>
    <w:p>
      <w:pPr>
        <w:spacing w:after="0" w:line="6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2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our management team to not propose amendments to our organizational documents could be amended to allow them to propose such changes to our stockholders;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insiders to not receive any compensation in connection with a business combination could be modified in order to allow them to receive such compensation; and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obtain a valuation for any target business affiliated with our insiders, in the event it was too expensive to do so.</w:t>
      </w:r>
    </w:p>
    <w:p>
      <w:pPr>
        <w:spacing w:after="0" w:line="9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Except as specified above, stockholders would not be required to be given the opportunity to redeem their shares in connection with such changes. Such changes could result in:</w:t>
      </w:r>
    </w:p>
    <w:p>
      <w:pPr>
        <w:spacing w:after="0" w:line="67" w:lineRule="exact"/>
        <w:rPr>
          <w:sz w:val="20"/>
          <w:szCs w:val="20"/>
          <w:color w:val="auto"/>
        </w:rPr>
      </w:pPr>
    </w:p>
    <w:p>
      <w:pPr>
        <w:jc w:val="both"/>
        <w:ind w:left="1320" w:right="459" w:hanging="434"/>
        <w:spacing w:after="0" w:line="266" w:lineRule="auto"/>
        <w:tabs>
          <w:tab w:leader="none" w:pos="13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8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being able to vote against a business combination or in favor of changes to our organizational documents;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being controlled by a new management team that our stockholders did not elect to invest with;</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receiving compensation in connection with a business combination; and</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8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closing a transaction with one of their affiliates without receiving an independent valuation of such business.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on the income earned on the trust account)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will pay to Chardan Capital Markets, LLC, an affiliate of Chardan Investments, a fee of $10,000 per month for use of office space and certain office and secretarial services. The office space will be located at 1 East Putnam Avenue, Floor 4, Greenwich, CT 06830.</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currently have 4 executive officers. These individuals are not obligated to devote any specific number of hours to our matters but they intend to devote as much of their time as they deem necessary to our affairs until we</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3" w:name="page74"/>
    <w:bookmarkEnd w:id="7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Periodic Reporting and Audited Financial Statements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register our units, shares of common stock, rights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will be required to comply with the internal control requirements of the Sarbanes-Oxley Act beginning for the fiscal year ending December 31, 2021.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27" w:lineRule="exact"/>
        <w:rPr>
          <w:sz w:val="20"/>
          <w:szCs w:val="20"/>
          <w:color w:val="auto"/>
        </w:rPr>
      </w:pPr>
    </w:p>
    <w:p>
      <w:pPr>
        <w:jc w:val="both"/>
        <w:ind w:left="460" w:right="459" w:hanging="6"/>
        <w:spacing w:after="0" w:line="25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last business day of our most recently completed second fiscal quarter, and (2) the date on which we have issued more than $1.0 billion in non-convertible debt securities during the prior three-year period. References herein to “emerging growth company” shall have the meaning associated with it in the JOBS Act.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Comparison to Offerings of Blank Check Companies Subject to Rule 419</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upon the consummation of this offering, and we will file a Current Report on Form 8-K, including an audited balance sheet demonstrating this fact.</w:t>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6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800"/>
        <w:spacing w:after="0"/>
        <w:tabs>
          <w:tab w:leader="none" w:pos="3620" w:val="left"/>
        </w:tabs>
        <w:rPr>
          <w:sz w:val="20"/>
          <w:szCs w:val="20"/>
          <w:color w:val="auto"/>
        </w:rPr>
      </w:pPr>
      <w:r>
        <w:rPr>
          <w:rFonts w:ascii="Times New Roman" w:cs="Times New Roman" w:eastAsia="Times New Roman" w:hAnsi="Times New Roman"/>
          <w:sz w:val="16"/>
          <w:szCs w:val="16"/>
          <w:b w:val="1"/>
          <w:bCs w:val="1"/>
          <w:color w:val="auto"/>
        </w:rPr>
        <w:t>Terms of the Offering</w:t>
      </w:r>
      <w:r>
        <w:rPr>
          <w:sz w:val="20"/>
          <w:szCs w:val="20"/>
          <w:color w:val="auto"/>
        </w:rPr>
        <w:tab/>
      </w:r>
      <w:r>
        <w:rPr>
          <w:rFonts w:ascii="Times New Roman" w:cs="Times New Roman" w:eastAsia="Times New Roman" w:hAnsi="Times New Roman"/>
          <w:sz w:val="16"/>
          <w:szCs w:val="16"/>
          <w:b w:val="1"/>
          <w:bCs w:val="1"/>
          <w:color w:val="auto"/>
        </w:rPr>
        <w:t>Terms Under a Rule 419 Offering</w:t>
      </w:r>
    </w:p>
    <w:p>
      <w:pPr>
        <w:spacing w:after="0" w:line="70" w:lineRule="exact"/>
        <w:rPr>
          <w:sz w:val="20"/>
          <w:szCs w:val="20"/>
          <w:color w:val="auto"/>
        </w:rPr>
      </w:pPr>
    </w:p>
    <w:p>
      <w:pPr>
        <w:jc w:val="both"/>
        <w:ind w:right="459"/>
        <w:spacing w:after="0" w:line="254" w:lineRule="auto"/>
        <w:rPr>
          <w:sz w:val="20"/>
          <w:szCs w:val="20"/>
          <w:color w:val="auto"/>
        </w:rPr>
      </w:pPr>
      <w:r>
        <w:rPr>
          <w:rFonts w:ascii="Times New Roman" w:cs="Times New Roman" w:eastAsia="Times New Roman" w:hAnsi="Times New Roman"/>
          <w:sz w:val="18"/>
          <w:szCs w:val="18"/>
          <w:color w:val="auto"/>
        </w:rPr>
        <w:t>$151,500,000 of the net offering proceeds $132,300,000 of the offering proceeds and proceeds from the sale of the private would be required to be deposited into warrants will be deposited into a trust either an escrow account with an insured account in the United States, maintained depositary institution or in a separate bank by Continental Stock Transfer &amp; Trust account established by a broker-dealer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-691515</wp:posOffset>
            </wp:positionV>
            <wp:extent cx="40633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Company, acting as trustee.</w:t>
      </w:r>
      <w:r>
        <w:rPr>
          <w:sz w:val="20"/>
          <w:szCs w:val="20"/>
          <w:color w:val="auto"/>
        </w:rPr>
        <w:tab/>
      </w:r>
      <w:r>
        <w:rPr>
          <w:rFonts w:ascii="Times New Roman" w:cs="Times New Roman" w:eastAsia="Times New Roman" w:hAnsi="Times New Roman"/>
          <w:sz w:val="18"/>
          <w:szCs w:val="18"/>
          <w:color w:val="auto"/>
        </w:rPr>
        <w:t>which the broker-dealer acts as trustee for</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persons having the beneficial interests in the</w:t>
      </w:r>
    </w:p>
    <w:p>
      <w:pPr>
        <w:spacing w:after="0" w:line="2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account.</w:t>
      </w:r>
    </w:p>
    <w:p>
      <w:pPr>
        <w:spacing w:after="0" w:line="162" w:lineRule="exact"/>
        <w:rPr>
          <w:sz w:val="20"/>
          <w:szCs w:val="20"/>
          <w:color w:val="auto"/>
        </w:rPr>
      </w:pPr>
    </w:p>
    <w:p>
      <w:pPr>
        <w:sectPr>
          <w:pgSz w:w="11900" w:h="16838" w:orient="portrait"/>
          <w:cols w:equalWidth="0" w:num="2">
            <w:col w:w="1860" w:space="300"/>
            <w:col w:w="685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 of net</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$151,500,000  of  the  net  offering</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Proceeds could be invested only in specified</w:t>
            </w:r>
          </w:p>
        </w:tc>
      </w:tr>
      <w:tr>
        <w:trPr>
          <w:trHeight w:val="220"/>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proceeds and proceeds from the sale of the</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such as a money market fund</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private warrants held in trust will only be</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meeting  conditions  of  the  Investment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invested  in  United  States  government</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Act or in securities that are direct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treasury  bills,  bonds  or  notes  with  a</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obligations of, or obligations guaranteed as</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maturity of 183 days or less or in money</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to principal or interest by, the United States.</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  funds  meeting  the  applicable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under Rule 2a-7 promulgated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 the Investment Company Act and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that  invest  solely  in  United  States</w:t>
            </w:r>
          </w:p>
        </w:tc>
        <w:tc>
          <w:tcPr>
            <w:tcW w:w="3260" w:type="dxa"/>
            <w:vAlign w:val="bottom"/>
          </w:tcPr>
          <w:p>
            <w:pPr>
              <w:spacing w:after="0"/>
              <w:rPr>
                <w:sz w:val="18"/>
                <w:szCs w:val="18"/>
                <w:color w:val="auto"/>
              </w:rPr>
            </w:pPr>
          </w:p>
        </w:tc>
      </w:tr>
      <w:tr>
        <w:trPr>
          <w:trHeight w:val="234"/>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government treasuries.</w:t>
            </w:r>
          </w:p>
        </w:tc>
        <w:tc>
          <w:tcPr>
            <w:tcW w:w="3260" w:type="dxa"/>
            <w:vAlign w:val="bottom"/>
          </w:tcPr>
          <w:p>
            <w:pPr>
              <w:spacing w:after="0"/>
              <w:rPr>
                <w:sz w:val="20"/>
                <w:szCs w:val="20"/>
                <w:color w:val="auto"/>
              </w:rPr>
            </w:pPr>
          </w:p>
        </w:tc>
      </w:tr>
      <w:tr>
        <w:trPr>
          <w:trHeight w:val="383"/>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Limitation on</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initial target business that we acquire</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 would be restricted from acquiring a</w:t>
            </w: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 or net</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must have a fair market value equal to at</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target business unless the fair value of such</w:t>
            </w: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assets of target</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least 80% of the balance in our trust</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  or  net  assets  to  be  acquired</w:t>
            </w:r>
          </w:p>
        </w:tc>
      </w:tr>
      <w:tr>
        <w:trPr>
          <w:trHeight w:val="220"/>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 net of taxes payable at the time of</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 at least 80% of the maximum</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execution of a definitive agreement for</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offering proceeds.</w:t>
            </w:r>
          </w:p>
        </w:tc>
      </w:tr>
      <w:tr>
        <w:trPr>
          <w:trHeight w:val="234"/>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our initial business combination.</w:t>
            </w:r>
          </w:p>
        </w:tc>
        <w:tc>
          <w:tcPr>
            <w:tcW w:w="3260" w:type="dxa"/>
            <w:vAlign w:val="bottom"/>
          </w:tcPr>
          <w:p>
            <w:pPr>
              <w:spacing w:after="0"/>
              <w:rPr>
                <w:sz w:val="20"/>
                <w:szCs w:val="20"/>
                <w:color w:val="auto"/>
              </w:rPr>
            </w:pPr>
          </w:p>
        </w:tc>
      </w:tr>
      <w:tr>
        <w:trPr>
          <w:trHeight w:val="383"/>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Trading of securities</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units may commence trading on or</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trading of the units or the underlying</w:t>
            </w:r>
          </w:p>
        </w:tc>
      </w:tr>
      <w:tr>
        <w:trPr>
          <w:trHeight w:val="220"/>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promptly after the date of this prospectus.</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would  be  permitted  until  the</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shares of common stock, rights and</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completion  of  a  business  combination.</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warrants comprising the units will begin to</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During this period, the securities would be</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trade separately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held in the escrow or trust account.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of this prospectus unless Chardan</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informs us of its decision to allow earlier</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separate   trading   (based   upon   its</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assessment of the relative strengths of the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markets and small capitalization</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blank check companies in general, and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trading pattern of, and demand for, our</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in particular), provided we have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filed with the SEC a Current Report on</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8-K,  which  includes  an  audited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sheet reflecting our receipt of the</w:t>
            </w:r>
          </w:p>
        </w:tc>
        <w:tc>
          <w:tcPr>
            <w:tcW w:w="3260" w:type="dxa"/>
            <w:vAlign w:val="bottom"/>
          </w:tcPr>
          <w:p>
            <w:pPr>
              <w:spacing w:after="0"/>
              <w:rPr>
                <w:sz w:val="18"/>
                <w:szCs w:val="18"/>
                <w:color w:val="auto"/>
              </w:rPr>
            </w:pPr>
          </w:p>
        </w:tc>
      </w:tr>
      <w:tr>
        <w:trPr>
          <w:trHeight w:val="234"/>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proceeds of this offering.</w:t>
            </w:r>
          </w:p>
        </w:tc>
        <w:tc>
          <w:tcPr>
            <w:tcW w:w="3260" w:type="dxa"/>
            <w:vAlign w:val="bottom"/>
          </w:tcPr>
          <w:p>
            <w:pPr>
              <w:spacing w:after="0"/>
              <w:rPr>
                <w:sz w:val="20"/>
                <w:szCs w:val="20"/>
                <w:color w:val="auto"/>
              </w:rPr>
            </w:pPr>
          </w:p>
        </w:tc>
      </w:tr>
      <w:tr>
        <w:trPr>
          <w:trHeight w:val="446"/>
        </w:trPr>
        <w:tc>
          <w:tcPr>
            <w:tcW w:w="16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71</w:t>
            </w: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type w:val="continuous"/>
        </w:sectPr>
      </w:pPr>
    </w:p>
    <w:bookmarkStart w:id="75" w:name="page76"/>
    <w:bookmarkEnd w:id="75"/>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Exercise of</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Terms of the Offering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Terms Under a Rule 419 Offering</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296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296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The warrants cannot be exercised until</w:t>
            </w:r>
          </w:p>
        </w:tc>
        <w:tc>
          <w:tcPr>
            <w:tcW w:w="100" w:type="dxa"/>
            <w:vAlign w:val="bottom"/>
            <w:vMerge w:val="continue"/>
          </w:tcPr>
          <w:p>
            <w:pPr>
              <w:spacing w:after="0"/>
              <w:rPr>
                <w:sz w:val="16"/>
                <w:szCs w:val="16"/>
                <w:color w:val="auto"/>
              </w:rPr>
            </w:pPr>
          </w:p>
        </w:tc>
        <w:tc>
          <w:tcPr>
            <w:tcW w:w="3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The warrants could be exercised prior to</w:t>
            </w:r>
          </w:p>
        </w:tc>
        <w:tc>
          <w:tcPr>
            <w:tcW w:w="0" w:type="dxa"/>
            <w:vAlign w:val="bottom"/>
          </w:tcPr>
          <w:p>
            <w:pPr>
              <w:spacing w:after="0"/>
              <w:rPr>
                <w:sz w:val="1"/>
                <w:szCs w:val="1"/>
                <w:color w:val="auto"/>
              </w:rPr>
            </w:pPr>
          </w:p>
        </w:tc>
      </w:tr>
      <w:tr>
        <w:trPr>
          <w:trHeight w:val="216"/>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w:t>
            </w: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completion</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4"/>
              </w:rPr>
              <w:t>business</w:t>
            </w: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completion of a business combination,</w:t>
            </w:r>
          </w:p>
        </w:tc>
        <w:tc>
          <w:tcPr>
            <w:tcW w:w="0" w:type="dxa"/>
            <w:vAlign w:val="bottom"/>
          </w:tcPr>
          <w:p>
            <w:pPr>
              <w:spacing w:after="0"/>
              <w:rPr>
                <w:sz w:val="1"/>
                <w:szCs w:val="1"/>
                <w:color w:val="auto"/>
              </w:rPr>
            </w:pPr>
          </w:p>
        </w:tc>
      </w:tr>
      <w:tr>
        <w:trPr>
          <w:trHeight w:val="216"/>
        </w:trPr>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combination and, accordingly, will be</w:t>
            </w: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but securities received and cash paid in</w:t>
            </w:r>
          </w:p>
        </w:tc>
        <w:tc>
          <w:tcPr>
            <w:tcW w:w="0" w:type="dxa"/>
            <w:vAlign w:val="bottom"/>
          </w:tcPr>
          <w:p>
            <w:pPr>
              <w:spacing w:after="0"/>
              <w:rPr>
                <w:sz w:val="1"/>
                <w:szCs w:val="1"/>
                <w:color w:val="auto"/>
              </w:rPr>
            </w:pPr>
          </w:p>
        </w:tc>
      </w:tr>
      <w:tr>
        <w:trPr>
          <w:trHeight w:val="216"/>
        </w:trPr>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exercised only after the trust account has</w:t>
            </w: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connection with the exercise would be</w:t>
            </w:r>
          </w:p>
        </w:tc>
        <w:tc>
          <w:tcPr>
            <w:tcW w:w="0" w:type="dxa"/>
            <w:vAlign w:val="bottom"/>
          </w:tcPr>
          <w:p>
            <w:pPr>
              <w:spacing w:after="0"/>
              <w:rPr>
                <w:sz w:val="1"/>
                <w:szCs w:val="1"/>
                <w:color w:val="auto"/>
              </w:rPr>
            </w:pPr>
          </w:p>
        </w:tc>
      </w:tr>
      <w:tr>
        <w:trPr>
          <w:trHeight w:val="234"/>
        </w:trPr>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been terminated and distributed.</w:t>
            </w:r>
          </w:p>
        </w:tc>
        <w:tc>
          <w:tcPr>
            <w:tcW w:w="640" w:type="dxa"/>
            <w:vAlign w:val="bottom"/>
          </w:tcPr>
          <w:p>
            <w:pPr>
              <w:spacing w:after="0"/>
              <w:rPr>
                <w:sz w:val="20"/>
                <w:szCs w:val="20"/>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deposited in the escrow or trust account.</w:t>
            </w:r>
          </w:p>
        </w:tc>
        <w:tc>
          <w:tcPr>
            <w:tcW w:w="0" w:type="dxa"/>
            <w:vAlign w:val="bottom"/>
          </w:tcPr>
          <w:p>
            <w:pPr>
              <w:spacing w:after="0"/>
              <w:rPr>
                <w:sz w:val="1"/>
                <w:szCs w:val="1"/>
                <w:color w:val="auto"/>
              </w:rPr>
            </w:pPr>
          </w:p>
        </w:tc>
      </w:tr>
    </w:tbl>
    <w:p>
      <w:pPr>
        <w:spacing w:after="0" w:line="167" w:lineRule="exact"/>
        <w:rPr>
          <w:sz w:val="20"/>
          <w:szCs w:val="20"/>
          <w:color w:val="auto"/>
        </w:rPr>
      </w:pPr>
    </w:p>
    <w:p>
      <w:pPr>
        <w:sectPr>
          <w:pgSz w:w="11900" w:h="16838" w:orient="portrait"/>
          <w:cols w:equalWidth="0" w:num="2">
            <w:col w:w="1740" w:space="640"/>
            <w:col w:w="6639"/>
          </w:cols>
          <w:pgMar w:left="1440" w:top="270" w:right="1440" w:bottom="1440" w:gutter="0" w:footer="0" w:header="0"/>
        </w:sectPr>
      </w:pPr>
    </w:p>
    <w:tbl>
      <w:tblPr>
        <w:tblLayout w:type="fixed"/>
        <w:tblInd w:w="46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Election to remain an</w:t>
            </w: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We will either (1) give our stockholders</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prospectus</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containing</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information</w:t>
            </w:r>
          </w:p>
        </w:tc>
      </w:tr>
      <w:tr>
        <w:trPr>
          <w:trHeight w:val="220"/>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investor</w:t>
            </w: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opportunity to vote on the business</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required by the SEC would be sent to each</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combination or (2) provide our public</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investor. Each investor would be given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stockholders with the opportunity to sell</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opportunity  to  notify  the  company,  in</w:t>
            </w:r>
          </w:p>
        </w:tc>
      </w:tr>
      <w:tr>
        <w:trPr>
          <w:trHeight w:val="214"/>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their public shares to us in a tender offer</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writing, within a period of no less than 20</w:t>
            </w:r>
          </w:p>
        </w:tc>
      </w:tr>
      <w:tr>
        <w:trPr>
          <w:trHeight w:val="218"/>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 xml:space="preserve">for cash equal 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days</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more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aggregate amount then on deposit in</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w w:val="99"/>
              </w:rPr>
              <w:t>45 business days from the effective date of</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trust account, less taxes. If we hold a</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the post-effective amendment, to decide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meeting to approve a proposed business</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whether he, she or it elects to remain a</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combination,   we   will   send   each</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stockholder of the company or require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stockholder a proxy statement containing</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return of his or her investment. If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information required by the SEC. Under</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company has not received the notification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Delaware law, we must provide at least</w:t>
            </w:r>
          </w:p>
        </w:tc>
        <w:tc>
          <w:tcPr>
            <w:tcW w:w="3140" w:type="dxa"/>
            <w:vAlign w:val="bottom"/>
            <w:gridSpan w:val="7"/>
          </w:tcPr>
          <w:p>
            <w:pPr>
              <w:ind w:left="40"/>
              <w:spacing w:after="0" w:line="216" w:lineRule="exact"/>
              <w:rPr>
                <w:sz w:val="20"/>
                <w:szCs w:val="20"/>
                <w:color w:val="auto"/>
              </w:rPr>
            </w:pPr>
            <w:r>
              <w:rPr>
                <w:rFonts w:ascii="Times New Roman" w:cs="Times New Roman" w:eastAsia="Times New Roman" w:hAnsi="Times New Roman"/>
                <w:sz w:val="18"/>
                <w:szCs w:val="18"/>
                <w:color w:val="auto"/>
              </w:rPr>
              <w:t>by the end of the 45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business day, funds</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10 days’ advance notice of any meeting</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and interest or dividends, if any, held in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 stockholders. Accordingly, this is the</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the  trust  or  escrow  account  would</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minimum amount of time we would need</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automatically   be   returned   to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to provide holders to determine whether</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stockholder. Unless a sufficient number of</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to exercise their rights to convert their</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investors elect to remain investors, all of</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shares into cash at such a meeting or to</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the deposited funds in the escrow account</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remain  an  investor  in  our  company.</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must be returned to all investors and none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Alternatively,  if  we  do  not  hold  a</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w:t>
            </w: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securities</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issued.</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meeting and instead conduct a tender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offer, we will conduct such tender offer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 accordance with the tender offer rules</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  the  SEC  and  file  tender  offer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documents  with  the  SEC  which  will</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contain substantially the same financial</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and other information about the initial</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business combination as we would have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4"/>
        </w:trPr>
        <w:tc>
          <w:tcPr>
            <w:tcW w:w="180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included</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87"/>
        </w:trPr>
        <w:tc>
          <w:tcPr>
            <w:tcW w:w="1800" w:type="dxa"/>
            <w:vAlign w:val="bottom"/>
          </w:tcPr>
          <w:p>
            <w:pPr>
              <w:spacing w:after="0"/>
              <w:rPr>
                <w:sz w:val="24"/>
                <w:szCs w:val="24"/>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tender offer rules require us to hold</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tender offer open for at least 20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business days. Accordingly, this is the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minimum amount of time we would need</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to provide holders to determine whether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they want to sell their shares to us in the</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tender offer or remain an investor in our</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4"/>
        </w:trPr>
        <w:tc>
          <w:tcPr>
            <w:tcW w:w="180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83"/>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Pursuant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our</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certificate</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If   an   acquisition   has   not   been</w:t>
            </w:r>
          </w:p>
        </w:tc>
      </w:tr>
      <w:tr>
        <w:trPr>
          <w:trHeight w:val="220"/>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deadline</w:t>
            </w: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incorporation, if we do not complete an</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consummated within 18 months after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initial business combination within 15</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effective date of the initial registration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months  (or  up  to  18  months,  as</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statement,  funds  held  in  the  trust  or</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applicable) from the consummation of</w:t>
            </w:r>
          </w:p>
        </w:tc>
        <w:tc>
          <w:tcPr>
            <w:tcW w:w="314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escrow  account  would  be  returned  to</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this offering, it will trigger our automatic</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investors.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4"/>
        </w:trPr>
        <w:tc>
          <w:tcPr>
            <w:tcW w:w="1800" w:type="dxa"/>
            <w:vAlign w:val="bottom"/>
          </w:tcPr>
          <w:p>
            <w:pPr>
              <w:spacing w:after="0"/>
              <w:rPr>
                <w:sz w:val="20"/>
                <w:szCs w:val="20"/>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winding up, dissolution and liquidation.</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1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type w:val="continuous"/>
        </w:sectPr>
      </w:pPr>
    </w:p>
    <w:bookmarkStart w:id="76" w:name="page77"/>
    <w:bookmarkEnd w:id="76"/>
    <w:p>
      <w:pPr>
        <w:jc w:val="center"/>
        <w:ind w:left="2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64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Interest earned on the funds in the trust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left="800"/>
        <w:spacing w:after="0"/>
        <w:tabs>
          <w:tab w:leader="none" w:pos="3620" w:val="left"/>
        </w:tabs>
        <w:rPr>
          <w:sz w:val="20"/>
          <w:szCs w:val="20"/>
          <w:color w:val="auto"/>
        </w:rPr>
      </w:pPr>
      <w:r>
        <w:rPr>
          <w:rFonts w:ascii="Times New Roman" w:cs="Times New Roman" w:eastAsia="Times New Roman" w:hAnsi="Times New Roman"/>
          <w:sz w:val="16"/>
          <w:szCs w:val="16"/>
          <w:b w:val="1"/>
          <w:bCs w:val="1"/>
          <w:color w:val="auto"/>
        </w:rPr>
        <w:t>Terms of the Offering</w:t>
      </w:r>
      <w:r>
        <w:rPr>
          <w:sz w:val="20"/>
          <w:szCs w:val="20"/>
          <w:color w:val="auto"/>
        </w:rPr>
        <w:tab/>
      </w:r>
      <w:r>
        <w:rPr>
          <w:rFonts w:ascii="Times New Roman" w:cs="Times New Roman" w:eastAsia="Times New Roman" w:hAnsi="Times New Roman"/>
          <w:sz w:val="16"/>
          <w:szCs w:val="16"/>
          <w:b w:val="1"/>
          <w:bCs w:val="1"/>
          <w:color w:val="auto"/>
        </w:rPr>
        <w:t>Terms Under a Rule 419 Offering</w:t>
      </w:r>
    </w:p>
    <w:p>
      <w:pPr>
        <w:spacing w:after="0" w:line="70" w:lineRule="exact"/>
        <w:rPr>
          <w:sz w:val="20"/>
          <w:szCs w:val="20"/>
          <w:color w:val="auto"/>
        </w:rPr>
      </w:pPr>
    </w:p>
    <w:p>
      <w:pPr>
        <w:ind w:right="459"/>
        <w:spacing w:after="0" w:line="255" w:lineRule="auto"/>
        <w:rPr>
          <w:sz w:val="20"/>
          <w:szCs w:val="20"/>
          <w:color w:val="auto"/>
        </w:rPr>
      </w:pPr>
      <w:r>
        <w:rPr>
          <w:rFonts w:ascii="Times New Roman" w:cs="Times New Roman" w:eastAsia="Times New Roman" w:hAnsi="Times New Roman"/>
          <w:sz w:val="18"/>
          <w:szCs w:val="18"/>
          <w:color w:val="auto"/>
        </w:rPr>
        <w:t>There can be released to us, from time to All interest earned on the funds in the trust time, any interest earned on the funds in account will be held in trust for the benefit the trust account that we may need to pay of public stockholders until the earlier of our tax obligations. The remaining interest the completion of a business combination earned on the funds in the trust account and our liquidation upon failure to effect a will not be released until the earlier of the business combination within the allotted completion of a business combination and time. our entry into liquidation upon failure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-974090</wp:posOffset>
            </wp:positionV>
            <wp:extent cx="40633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a business combination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allotted time.</w:t>
      </w:r>
    </w:p>
    <w:p>
      <w:pPr>
        <w:spacing w:after="0" w:line="176" w:lineRule="exact"/>
        <w:rPr>
          <w:sz w:val="20"/>
          <w:szCs w:val="20"/>
          <w:color w:val="auto"/>
        </w:rPr>
      </w:pPr>
    </w:p>
    <w:p>
      <w:pPr>
        <w:sectPr>
          <w:pgSz w:w="11900" w:h="16838" w:orient="portrait"/>
          <w:cols w:equalWidth="0" w:num="2">
            <w:col w:w="1940" w:space="220"/>
            <w:col w:w="6859"/>
          </w:cols>
          <w:pgMar w:left="1440" w:top="270" w:right="1440" w:bottom="1440" w:gutter="0" w:footer="0" w:header="0"/>
        </w:sectPr>
      </w:pPr>
    </w:p>
    <w:p>
      <w:pPr>
        <w:jc w:val="both"/>
        <w:ind w:left="2160" w:right="459" w:hanging="1700"/>
        <w:spacing w:after="0" w:line="255" w:lineRule="auto"/>
        <w:tabs>
          <w:tab w:leader="none" w:pos="2140" w:val="left"/>
        </w:tabs>
        <w:rPr>
          <w:sz w:val="20"/>
          <w:szCs w:val="20"/>
          <w:color w:val="auto"/>
        </w:rPr>
      </w:pPr>
      <w:r>
        <w:rPr>
          <w:rFonts w:ascii="Times New Roman" w:cs="Times New Roman" w:eastAsia="Times New Roman" w:hAnsi="Times New Roman"/>
          <w:sz w:val="18"/>
          <w:szCs w:val="18"/>
          <w:b w:val="1"/>
          <w:bCs w:val="1"/>
          <w:color w:val="auto"/>
        </w:rPr>
        <w:t>Release of funds</w:t>
      </w:r>
      <w:r>
        <w:rPr>
          <w:sz w:val="20"/>
          <w:szCs w:val="20"/>
          <w:color w:val="auto"/>
        </w:rPr>
        <w:tab/>
      </w:r>
      <w:r>
        <w:rPr>
          <w:rFonts w:ascii="Times New Roman" w:cs="Times New Roman" w:eastAsia="Times New Roman" w:hAnsi="Times New Roman"/>
          <w:sz w:val="18"/>
          <w:szCs w:val="18"/>
          <w:color w:val="auto"/>
        </w:rPr>
        <w:t>Except for interest earned on the funds The proceeds held in the escrow account held in the trust account that may be would not be released until the earlier of the released to us to pay our tax obligations, completion of a business combination or the the proceeds held in the trust account will failure to effect a business combination not be released until the earlier of the within the allotted time.</w:t>
      </w:r>
    </w:p>
    <w:p>
      <w:pPr>
        <w:spacing w:after="0" w:line="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completion of a business combination (in</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which case, the proceeds released to us</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will be net of the funds used to pay</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converting or tendering stockholders, as</w:t>
      </w:r>
    </w:p>
    <w:p>
      <w:pPr>
        <w:spacing w:after="0" w:line="9" w:lineRule="exact"/>
        <w:rPr>
          <w:sz w:val="20"/>
          <w:szCs w:val="20"/>
          <w:color w:val="auto"/>
        </w:rPr>
      </w:pPr>
    </w:p>
    <w:p>
      <w:pPr>
        <w:ind w:left="2160"/>
        <w:spacing w:after="0"/>
        <w:tabs>
          <w:tab w:leader="none" w:pos="2560" w:val="left"/>
          <w:tab w:leader="none" w:pos="3240" w:val="left"/>
          <w:tab w:leader="none" w:pos="3720" w:val="left"/>
          <w:tab w:leader="none" w:pos="4480" w:val="left"/>
          <w:tab w:leader="none" w:pos="5020" w:val="left"/>
        </w:tabs>
        <w:rPr>
          <w:sz w:val="20"/>
          <w:szCs w:val="20"/>
          <w:color w:val="auto"/>
        </w:rPr>
      </w:pPr>
      <w:r>
        <w:rPr>
          <w:rFonts w:ascii="Times New Roman" w:cs="Times New Roman" w:eastAsia="Times New Roman" w:hAnsi="Times New Roman"/>
          <w:sz w:val="18"/>
          <w:szCs w:val="18"/>
          <w:color w:val="auto"/>
        </w:rPr>
        <w:t>the</w:t>
        <w:tab/>
        <w:t>trustee</w:t>
        <w:tab/>
        <w:t>will</w:t>
        <w:tab/>
        <w:t>directly</w:t>
        <w:tab/>
        <w:t>send</w:t>
        <w:tab/>
        <w:t>the</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appropriate portion of the amount held in</w:t>
      </w:r>
    </w:p>
    <w:p>
      <w:pPr>
        <w:spacing w:after="0" w:line="9" w:lineRule="exact"/>
        <w:rPr>
          <w:sz w:val="20"/>
          <w:szCs w:val="20"/>
          <w:color w:val="auto"/>
        </w:rPr>
      </w:pPr>
    </w:p>
    <w:p>
      <w:pPr>
        <w:ind w:left="2160"/>
        <w:spacing w:after="0"/>
        <w:tabs>
          <w:tab w:leader="none" w:pos="2620" w:val="left"/>
          <w:tab w:leader="none" w:pos="2920" w:val="left"/>
          <w:tab w:leader="none" w:pos="3300" w:val="left"/>
          <w:tab w:leader="none" w:pos="4240" w:val="left"/>
          <w:tab w:leader="none" w:pos="4560" w:val="left"/>
        </w:tabs>
        <w:rPr>
          <w:sz w:val="20"/>
          <w:szCs w:val="20"/>
          <w:color w:val="auto"/>
        </w:rPr>
      </w:pPr>
      <w:r>
        <w:rPr>
          <w:rFonts w:ascii="Times New Roman" w:cs="Times New Roman" w:eastAsia="Times New Roman" w:hAnsi="Times New Roman"/>
          <w:sz w:val="18"/>
          <w:szCs w:val="18"/>
          <w:color w:val="auto"/>
        </w:rPr>
        <w:t>trust</w:t>
        <w:tab/>
        <w:t>to</w:t>
        <w:tab/>
        <w:t>the</w:t>
        <w:tab/>
        <w:t>converting</w:t>
        <w:tab/>
        <w:t>or</w:t>
        <w:tab/>
        <w:t>tendering</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stockholders at the time of the business</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combination) and the liquidation of our</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trust  account  upon  failure  to  effect  a</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business combination within the allotted</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7" w:name="page78"/>
    <w:bookmarkEnd w:id="7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current directors, director nominees and executive officers are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5120" w:type="dxa"/>
            <w:vAlign w:val="bottom"/>
          </w:tcPr>
          <w:p>
            <w:pPr>
              <w:ind w:left="228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7"/>
        </w:trPr>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120" w:type="dxa"/>
            <w:vAlign w:val="bottom"/>
            <w:tcBorders>
              <w:bottom w:val="single" w:sz="8" w:color="auto"/>
            </w:tcBorders>
          </w:tcPr>
          <w:p>
            <w:pPr>
              <w:spacing w:after="0"/>
              <w:rPr>
                <w:sz w:val="4"/>
                <w:szCs w:val="4"/>
                <w:color w:val="auto"/>
              </w:rPr>
            </w:pPr>
          </w:p>
        </w:tc>
      </w:tr>
      <w:tr>
        <w:trPr>
          <w:trHeight w:val="243"/>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Scheetz</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Chief Executive Officer, Director</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MacDonald</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Secretary, Director</w:t>
            </w:r>
          </w:p>
        </w:tc>
      </w:tr>
      <w:tr>
        <w:trPr>
          <w:trHeight w:val="49"/>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Brock Strasbourger</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Prasad Phatak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Investment Officer</w:t>
            </w:r>
          </w:p>
        </w:tc>
      </w:tr>
      <w:tr>
        <w:trPr>
          <w:trHeight w:val="49"/>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4"/>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Jonas Grossman</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Woodrow H. Levin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9"/>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Weil</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Atkinson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9"/>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Ahrens</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Van der Lande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Nominee</w:t>
            </w:r>
          </w:p>
        </w:tc>
      </w:tr>
    </w:tbl>
    <w:p>
      <w:pPr>
        <w:spacing w:after="0" w:line="20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Edward Scheetz, 55, has been our Chief Executive Officer and Chairman since August 2020. He is also the co-founder, Chief Executive Officer and Chairman of Ventoux Acquisition. From November, 2016 until present,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Chief Executive Officer of Morgans Hotel Group Co. In 2006, he took Morgans public (NASDAQ: MHGC). Morgans was the developer, owner and operator of such iconic hotel properties as Delano and Shore Club in Miami, Mondrian in Los Angeles, Morgans, Royalton, Paramount and Hudson in New York, and Sanderson and St. Martin’s Lane in London. In 1997, Mr. Scheetz co-founded NorthStar Capital Investment Corp. (“NCIC”). While at NCIC, Mr. Scheetz co-founded real estate investment trust NorthStar Realty Finance Corp., which went public in 2004 (NYSE: 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 involved with Wyndham Hotels, assisted the Chief Financial Officer in restructuring The Trammell Crow Company, and was a Principal at Trammell Crow Ventures. Mr. Scheetz graduated from Princeton University where he earned an A.B. in Economics. We believe Mr. Scheetz is well qualified to serve as a director based on his extensive industry and transaction expertise and wide network of relationships with industry participants.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Matthew MacDonald, 36, has been our Chief Financial Officer and Secretary, and a director since August 2020. He is also the co-founder and Chief Financial Officer of Ventoux Acquisition. Prior to co-founding Ventoux Acquisition in August 2020, Mr. MacDonald worked at Hyatt Hotels Corporation as the Vice President of Capital Strategy and Wellness Development, where he focused on acquiring hospitality companies and brands. Mr. MacDonald joined Hyatt in January 2017 as a result of Hyatt’s acquisition of Miraval Group, a leading hospitality wellness company. Mr. MacDonald joined Miraval Group, a KSL Capital portfolio company, as Vice President of Development in May 2016 following four years at Starwood Hotels and Resorts. Mr. MacDonald is a graduate of the University of Denver and received a Master in Real Estate Finance from New York University. We believe Mr. MacDonald is qualified to serve on our board of directors because of his experience in sourcing, negotiating and executing merger transactions within the hospitality, leisure, travel and dining sectors.</w:t>
      </w:r>
    </w:p>
    <w:p>
      <w:pPr>
        <w:spacing w:after="0" w:line="111"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Brock Strasbourger, 33, has been our Chief Operating Officer since October 2020. He is also the Chief Operating Officer of Ventoux Acquisition. Prior to his work at Ventoux Acquisition, Mr. Strasbourger worked for Convene since December 2018 as the Vice President and Head of Strategic Partnerships, focusing on corporate development, opening new revenue streams, and driving growth through external channels. Prior to Convene, Mr. Strasbourger was the Vice President of Digital at OTG Management, an airport hospitality and technology business, from March 2016 through November 2018 and spent nearly three years at Fancy.com as the Head of Business. To begin his career, Mr. Strasbourger spent nearly four years on the Emerging Markets Fixed Income Sales and Trading desk at Barclays Capital (NYSE: BCS). Mr. Strasbourger is a graduate from the University of Michigan with honors and distinction.</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8" w:name="page79"/>
    <w:bookmarkEnd w:id="7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Prasad Phatak, 38, has been our Chief Investment Officer since September 2020. He is also the Chief Investment Officer of Ventoux Acquisition. Since July 2011, Mr. Phatak has been the Managing Member of Tappan Street Partners LLC, where he has led the investment research and portfolio management for several private investment funds these past nine years. Additionally, from December 2019 to September 2020, Mr. Phatak was a Partner at Markley Capital Management, a US-focused investment firm. Mr. Phatak founded Tappan Street Partners after leaving Eton Park Capital Management, where he began as a Research Associate in October 2005 and focused on investing in both public and private investments in a variety of industries. Prior to Eton Park, Mr. Phatak worked as a private equity associate for Madison Dearborn Partners from July 2005 to October 2005, and began his career in July 2003 at the Blackstone Group (NYSE: BX) in the Restructuring and Reorganization Advisory Group, where he worked for two years as an investment banking analyst, analyzing complex corporate restructurings in both out of court and Chapter 11 reorganizations. Mr. Phatak graduated with high distinction from the University of Michigan Ross School of Business with a B.B.A. in Finance and Accounting in May 2003.</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Jonas Grossman, 46, has been our director since July 2019. Mr. Grossman was the Chief Executive Officer and President of Chardan Healthcare Acquisition Corp. from March 2018 until its merger in October 2019 with BiomX (NYSE: PHGE). Mr. Grossman is currently a director of BiomX and since March 2020 is also a director of LifeSci Acquisition Corp., a special purpose acquisition company that recently announced a business combination with Vincera Pharma, Inc. Since April 2020, Mr. Grossman has been the Chief Executive Officer and President of Chardan Healthcare Acquisition 2 Corp., a special purpose acquisition company. Mr. Grossman has served as Partner and Head of Capital Markets for Chardan Capital Markets, LLC, a New York headquartered broker/dealer, since December 2003, and has served as President of Chardan Capital Markets, LLC since September 2015. Since 2003, Mr. Grossman has overseen the firm’s investment banking and capital markets activities and initiatives. He has extensive transactional experience having led or managed more than 400 transactions during his tenure at Chardan.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We believe Mr. Grossman is qualified to serve on our board of directors because of his long-running capital markets experience as well as his previous company board positions.</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Woodrow (“Woody”) H. Levin, 42, has agreed to become our director as of the effective date of the registration statement of which this prospectus is part. Mr. Levin is the founder, and has been the Chief Executive Officer since February 2019, of Extend, Inc. Mr. Levin was the Chief Executive Officer of 3.0 Capital GP, LLC from November 2017 until January 2019. From September 2015 until October 2017, Mr. Levin served as Vice President of Growth at DocuSign, Inc. (NASDAQ: DOCU). In addition, Mr. Levin served as the founder and Chief Executive Officer of Estate Assist, Inc., from February 2014 to September 2015 (at which time it was acquired), and BringIt, Inc., from June 2009 to September 2012 (at which time it was acquired by DocuSign). Before that, Mr. Levin served as Director Emerging Business — Office of the CTO at International Game Technology PLC (NYSE: IGT). Since May 2013, Mr. Levin has served as a member of the board of directors of DraftKings Inc. (NASDAQ: DKNG), and he has served as a member of the board of directors of Extend, Inc. since February 2019. Since September 2020, Mr. Levin has been a member of the board of directors of 10X Capital Venture Acquisition Corp., a special purpose acquisition company. Mr. Levin received his J.D. from Chicago-Kent College of Law, Illinois Institute of Technology, and his B.A. from the University of Wisconsin. We believe Mr. Levin is qualified to serve on our board of directors because of his extensive experience and knowledge as an executive for technology companies.</w:t>
      </w:r>
    </w:p>
    <w:p>
      <w:pPr>
        <w:spacing w:after="0" w:line="11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Alex Weil, 49, has agreed to become our director as of the effective date of the registration statement of which this prospectus is a part. Mr. Weil has served as Managing Director and Co-Head of Fintech Investment Banking at Chardan Capital Markets, LLC, a New York headquartered broker/dealer, since March 2020. From January 2018 to March 2020, Mr. Weil served as Managing Director and Head of Insurtech 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based on his extensive capital markets and transaction management experience and network of relationships.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9" w:name="page80"/>
    <w:bookmarkEnd w:id="7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Julie Atkinson, 47, has agreed to become our director as of the effective date of the registration statement of which this prospectus is a part. Ms. Atkinson served as Chief Marketing Officer for Founders Table Restaurant Group since October 2019.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Since December 2017, Ms. Atkinson has served as a member of the Board of Directors of Bright Horizons Family Solutions Inc. (NYSE: BFAM). Ms. Atkinson holds a B.A. in English and Political Science from Amherst College. We believe Ms. Atkinson is qualified to serve on our board of directors because of her 20-year track record of executing innovative strategic and tactical leadership for global consumer brands.</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Christian “Chris” Ahrens, 44, has agreed to become our director as of the effective date of the registration statement of which this prospectus is a part. Mr. Ahrens has been an Advisor with Certares Management LLC since October 2017. From January 2015 until September 2017 Mr. Ahrens was a Partner with Certares. Prior to December 2015 Mr. Ahrens was a Managing Director at One Equity Partners, the private equity investing arm of JPMorgan Chase, which he joined in September 2001. Mr Ahrens has served as a board member at Internova Travel Group since January 2015. Mr. Ahrens received his A.B. from Princeton University. We believe Mr. Ahrens is qualified to serve on our board of directors because of his experience in corporate finance and investing.</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Bernard A. Van der Lande, 38, has agreed to become our director as of the effective date of the registration statement of which this prospectus is part. Mr. Van der Lande has been a Managing Director of Cindat USA LLC since January 2020. Mr. Van der Lande was Chief Issuance Officer of Templum, Inc. from February 2019 until August 2019. From November 2017 until January 2019, Mr. Van der Lande served as Managing Director of Easterly Capital, LLC. Before that, Mr. Van der Lande was with CBRE, Inc. from January 2013 until November 2017, where he served in capacities of Managing Director of its investment banking division, Capital Advisors, and Senior Vice President of its international hotels brokerage business. In addition, Mr. Van der Lande served as Managing Director of Hodges Ward Elliott’s Lodging Capital Markets business, where he worked from October 2008 until December 2012. Mr. Van der Lande received his B.A. from Davidson College. We believe Mr. Van der Lande is qualified to serve on our board of directors because of his extensive experience in the global capital markets, public and private markets, and with cross-border lodging and hospitality transactions, as well as his knowledge as an executive for emerging technology, and private equity companies.</w:t>
      </w:r>
    </w:p>
    <w:p>
      <w:pPr>
        <w:spacing w:after="0" w:line="10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Ventoux Acquisition has agreed with one of its members to re-nominate each of our current directors for any election of directors we hold prior to the closing of our initial business combination, and that it will vote in favor of the election of such persons.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Upon consummation of this offering, our board of directors will have seven members, five of whom will be deemed “independent” under SEC and Nasdaq rules. We may not hold an annual meeting of stockholders until after we consummate our initial business combination.</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directors may consist of a chairman of the board, and that our officers may consist of chief executive officer, president, chief financial officer, executive vice president(s), vice president(s), secretary, treasurer and such other officers as may be determined by the board of directors.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 executive officer has received any cash compensation for services rendered to us. Commencing on the date of this prospectus through the completion of our initial business combination with a target business, we will pay to Chardan Capital Markets, LLC, an affiliate of Chardan Investments, a fee of $10,000 per month for providing us with 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initial business combination.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five are “independent directors” as defined in the Nasdaq listing standards and applicable SEC rules. Our independent directors will have regularly scheduled meetings at which only independent directors are present.</w:t>
      </w:r>
    </w:p>
    <w:p>
      <w:pPr>
        <w:spacing w:after="0" w:line="11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 party transactions must be approved by our audit committee and a majority of disinterested directors.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Effective as of the date of this prospectus, we have established an audit committee of the board of directors, which will consist of Mr. Weil, Mr. Levin, and Mr. Ahrens each of whom is an independent director. Mr. Weil will serve as chairman of the audit committee. The audit committee’s duties, which are specified in our Audit Committee Charter, include, but are not limited to:</w:t>
      </w:r>
    </w:p>
    <w:p>
      <w:pPr>
        <w:spacing w:after="0" w:line="112" w:lineRule="exact"/>
        <w:rPr>
          <w:sz w:val="20"/>
          <w:szCs w:val="20"/>
          <w:color w:val="auto"/>
        </w:rPr>
      </w:pPr>
    </w:p>
    <w:p>
      <w:pPr>
        <w:jc w:val="both"/>
        <w:ind w:left="1320" w:right="479" w:hanging="434"/>
        <w:spacing w:after="0" w:line="266" w:lineRule="auto"/>
        <w:tabs>
          <w:tab w:leader="none" w:pos="131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auditor significant financial reporting issues and judgments made in connection with the preparation of our financial statements;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major risk assessment and risk management policies;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auditor;</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related party transactions;</w:t>
      </w:r>
    </w:p>
    <w:p>
      <w:pPr>
        <w:spacing w:after="0" w:line="157" w:lineRule="exact"/>
        <w:rPr>
          <w:rFonts w:ascii="Times New Roman" w:cs="Times New Roman" w:eastAsia="Times New Roman" w:hAnsi="Times New Roman"/>
          <w:sz w:val="18"/>
          <w:szCs w:val="18"/>
          <w:color w:val="auto"/>
        </w:rPr>
      </w:pPr>
    </w:p>
    <w:p>
      <w:pPr>
        <w:ind w:left="4420" w:right="739" w:hanging="3534"/>
        <w:spacing w:after="0" w:line="485"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1" w:name="page82"/>
    <w:bookmarkEnd w:id="8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6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auditor, including the fees and terms of the services to be performed;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auditor;</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reimbursement of expenses incurred by our management team in identifying potential target businesses.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Financial Experts on Audit Committee</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Weil qualifies as an “audit committee financial expert,” as defined under rules and regulations of the SEC.</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Effective as of the date of this prospectus, we have established a nominating and corporate governance committee of the board of directors, which will consist of Mr. Weil, Mr. Ahrens, and Ms. Atkinson, each of whom is an independent director under Nasdaq’s listing standards. Mr. Ahrens is the Chairperson of the nominating and corporate governance committee. The nominating and corporate governance committee is responsible for overseeing the selection of persons to be nominated to serve on our board of directors. The nominating and corporate governance committee considers persons identified by its members, management, stockholders, investment bankers and others.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Guidelines for Selecting Director Nominees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guidelines for selecting nominees, which are specified in the Nominating and Corporate Governance Committee Charter, generally provide that persons to be nominated:</w:t>
      </w:r>
    </w:p>
    <w:p>
      <w:pPr>
        <w:spacing w:after="0" w:line="81" w:lineRule="exact"/>
        <w:rPr>
          <w:sz w:val="20"/>
          <w:szCs w:val="20"/>
          <w:color w:val="auto"/>
        </w:rPr>
      </w:pPr>
    </w:p>
    <w:p>
      <w:pPr>
        <w:ind w:left="1320" w:right="479" w:hanging="434"/>
        <w:spacing w:after="0" w:line="282" w:lineRule="auto"/>
        <w:tabs>
          <w:tab w:leader="none" w:pos="1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stockholders.</w:t>
      </w:r>
    </w:p>
    <w:p>
      <w:pPr>
        <w:spacing w:after="0" w:line="8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a number of qualifications relating to management and leadership experience, background and integrity and professionalism in evaluating a person’s candidacy for membership on the board of directors.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does not distinguish among nominees recommended by stockholders and other persons.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have established a compensation committee of the board of directors consisting of Mr. Levin, Ms. Atkinson, and Mr. Van der Lande, each of whom is an independent director. Mr. Levin will serve as chairman of the compensation committee. We will adopt a compensation committee charter, which will detail the principal functions of the compensation committee, including:</w:t>
      </w:r>
    </w:p>
    <w:p>
      <w:pPr>
        <w:spacing w:after="0" w:line="116" w:lineRule="exact"/>
        <w:rPr>
          <w:sz w:val="20"/>
          <w:szCs w:val="20"/>
          <w:color w:val="auto"/>
        </w:rPr>
      </w:pPr>
    </w:p>
    <w:p>
      <w:pPr>
        <w:jc w:val="both"/>
        <w:ind w:left="1320" w:right="459" w:hanging="434"/>
        <w:spacing w:after="0" w:line="261" w:lineRule="auto"/>
        <w:tabs>
          <w:tab w:leader="none" w:pos="13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executive officers and employees;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charter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Investors should be aware of the following potential conflicts of interest:</w:t>
      </w:r>
    </w:p>
    <w:p>
      <w:pPr>
        <w:spacing w:after="0" w:line="158" w:lineRule="exact"/>
        <w:rPr>
          <w:sz w:val="20"/>
          <w:szCs w:val="20"/>
          <w:color w:val="auto"/>
        </w:rPr>
      </w:pPr>
    </w:p>
    <w:p>
      <w:pPr>
        <w:jc w:val="both"/>
        <w:ind w:left="1320" w:right="479" w:hanging="434"/>
        <w:spacing w:after="0" w:line="266" w:lineRule="auto"/>
        <w:tabs>
          <w:tab w:leader="none" w:pos="158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4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0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in the future become affiliated with entities, including other blank check companies, engaged in business activities similar to those intended to be conducted by our company.</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1320" w:right="459" w:hanging="434"/>
        <w:spacing w:after="0" w:line="266" w:lineRule="auto"/>
        <w:tabs>
          <w:tab w:leader="none" w:pos="139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consummate our initial business combination, our officers, directors and other insiders will not receive reimbursement for any out-of-pocket expenses incurred by them to the extent that such expenses exceed the amount of available proceeds not deposited in the trust account.</w:t>
      </w:r>
    </w:p>
    <w:p>
      <w:pPr>
        <w:spacing w:after="0" w:line="81"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4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warrants. Furthermore, Ventoux Acquisition and Chardan Investments have agreed that the private warrants will not be sold or transferred by it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51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Chardan Capital Markets, LLC as an advisor in connection with our initial business combination, pursuant to the business combination marketing agreement described under “Underwriting (Conflicts of Interest) — Business Combination Marketing Agreement.” We will pay Chardan Capital Markets, LLC a marketing fee for such services upon the consummation of our initial business combination in an amount equal to, in the aggregate, 3.5% of the gross proceeds of this offering including any proceeds from the full or partial exercise of the over-allotment option, or $5,250,00 if the underwriters’ over-allotment option is not exercised (or $6,037,500 if the underwriters’ over-allotment option is exercised in full). As a result, Chardan Capital Markets, LLC will not be entitled to such fee unless we consummate our initial business combination.</w:t>
      </w:r>
    </w:p>
    <w:p>
      <w:pPr>
        <w:spacing w:after="0" w:line="94"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general, officers and directors of a corporation incorporated under the laws of the State of Delaware are required to present business opportunities to a corporation if:</w:t>
      </w:r>
    </w:p>
    <w:p>
      <w:pPr>
        <w:spacing w:after="0" w:line="67" w:lineRule="exact"/>
        <w:rPr>
          <w:sz w:val="20"/>
          <w:szCs w:val="20"/>
          <w:color w:val="auto"/>
        </w:rPr>
      </w:pPr>
    </w:p>
    <w:p>
      <w:pPr>
        <w:ind w:left="1300" w:hanging="41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could financially undertake the opportunity;</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is within the corporation’s line of business; and</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not be fair to the corporation and its stockholders for the opportunity not to be brought to the attention of the corporation.</w:t>
      </w:r>
    </w:p>
    <w:p>
      <w:pPr>
        <w:spacing w:after="0" w:line="6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15 months (or up to 18 months, as applicable)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Furthermore, Mr. Grossman is a director of each of LifeSci Acquisition Corp. and Chardan Healthcare Acquisition 2 Corp., and an officer of Chardan Healthcare Acquisition 2 Corp. Mr. Levin is a director of 10X Capital Venture Acquisition Corp. Each of LifeSci Acquisition Corp., Chardan Healthcare Acquisition 2 Corp. and 10X Capital Venture Acquisition Corp. is a special purpose acquisition company that is seeking a target for a business combination. These entities may have priority over us in connection with potential target business identified by each of them. These affiliations may limit the number of potential targets these individuals present to us for purposes of completing a business combination.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current material pre-existing fiduciary or contractual obligations of our officers, directors and director nominees: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Individual</w:t>
            </w:r>
          </w:p>
        </w:tc>
        <w:tc>
          <w:tcPr>
            <w:tcW w:w="100" w:type="dxa"/>
            <w:vAlign w:val="bottom"/>
          </w:tcPr>
          <w:p>
            <w:pPr>
              <w:spacing w:after="0"/>
              <w:rPr>
                <w:sz w:val="18"/>
                <w:szCs w:val="18"/>
                <w:color w:val="auto"/>
              </w:rPr>
            </w:pPr>
          </w:p>
        </w:tc>
        <w:tc>
          <w:tcPr>
            <w:tcW w:w="29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Name of Affiliated Company</w:t>
            </w:r>
          </w:p>
        </w:tc>
        <w:tc>
          <w:tcPr>
            <w:tcW w:w="100" w:type="dxa"/>
            <w:vAlign w:val="bottom"/>
          </w:tcPr>
          <w:p>
            <w:pPr>
              <w:spacing w:after="0"/>
              <w:rPr>
                <w:sz w:val="18"/>
                <w:szCs w:val="18"/>
                <w:color w:val="auto"/>
              </w:rPr>
            </w:pP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Entity’s Business</w:t>
            </w:r>
          </w:p>
        </w:tc>
        <w:tc>
          <w:tcPr>
            <w:tcW w:w="168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Affiliation</w:t>
            </w:r>
          </w:p>
        </w:tc>
        <w:tc>
          <w:tcPr>
            <w:tcW w:w="0" w:type="dxa"/>
            <w:vAlign w:val="bottom"/>
          </w:tcPr>
          <w:p>
            <w:pPr>
              <w:spacing w:after="0"/>
              <w:rPr>
                <w:sz w:val="1"/>
                <w:szCs w:val="1"/>
                <w:color w:val="auto"/>
              </w:rPr>
            </w:pPr>
          </w:p>
        </w:tc>
      </w:tr>
      <w:tr>
        <w:trPr>
          <w:trHeight w:val="46"/>
        </w:trPr>
        <w:tc>
          <w:tcPr>
            <w:tcW w:w="14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Edward Scheetz</w:t>
            </w:r>
          </w:p>
        </w:tc>
        <w:tc>
          <w:tcPr>
            <w:tcW w:w="100" w:type="dxa"/>
            <w:vAlign w:val="bottom"/>
            <w:vMerge w:val="continue"/>
          </w:tcPr>
          <w:p>
            <w:pPr>
              <w:spacing w:after="0"/>
              <w:rPr>
                <w:sz w:val="16"/>
                <w:szCs w:val="16"/>
                <w:color w:val="auto"/>
              </w:rPr>
            </w:pPr>
          </w:p>
        </w:tc>
        <w:tc>
          <w:tcPr>
            <w:tcW w:w="2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Ventoux Acquisition Holdings LLC</w:t>
            </w:r>
          </w:p>
        </w:tc>
        <w:tc>
          <w:tcPr>
            <w:tcW w:w="100" w:type="dxa"/>
            <w:vAlign w:val="bottom"/>
            <w:vMerge w:val="continue"/>
          </w:tcPr>
          <w:p>
            <w:pPr>
              <w:spacing w:after="0"/>
              <w:rPr>
                <w:sz w:val="16"/>
                <w:szCs w:val="16"/>
                <w:color w:val="auto"/>
              </w:rPr>
            </w:pPr>
          </w:p>
        </w:tc>
        <w:tc>
          <w:tcPr>
            <w:tcW w:w="1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Co-Sponsor</w:t>
            </w:r>
          </w:p>
        </w:tc>
        <w:tc>
          <w:tcPr>
            <w:tcW w:w="100" w:type="dxa"/>
            <w:vAlign w:val="bottom"/>
            <w:vMerge w:val="continue"/>
          </w:tcPr>
          <w:p>
            <w:pPr>
              <w:spacing w:after="0"/>
              <w:rPr>
                <w:sz w:val="16"/>
                <w:szCs w:val="16"/>
                <w:color w:val="auto"/>
              </w:rPr>
            </w:pPr>
          </w:p>
        </w:tc>
        <w:tc>
          <w:tcPr>
            <w:tcW w:w="1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Co-Founder,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 and</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Chairman Officer</w:t>
            </w:r>
          </w:p>
        </w:tc>
        <w:tc>
          <w:tcPr>
            <w:tcW w:w="0" w:type="dxa"/>
            <w:vAlign w:val="bottom"/>
          </w:tcPr>
          <w:p>
            <w:pPr>
              <w:spacing w:after="0"/>
              <w:rPr>
                <w:sz w:val="1"/>
                <w:szCs w:val="1"/>
                <w:color w:val="auto"/>
              </w:rPr>
            </w:pPr>
          </w:p>
        </w:tc>
      </w:tr>
      <w:tr>
        <w:trPr>
          <w:trHeight w:val="37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Matthew</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Co-Sponsor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Co-Founder and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MacDonald</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38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Brock Strasbourger</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Co-Sponsor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38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Prasad Phatak</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Co-Sponsor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Investment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Tappan Street Partners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Hedge fund</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41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Jonas Grossman</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Chardan International Investments,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Co-Sponsor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252"/>
        </w:trPr>
        <w:tc>
          <w:tcPr>
            <w:tcW w:w="1480" w:type="dxa"/>
            <w:vAlign w:val="bottom"/>
          </w:tcPr>
          <w:p>
            <w:pPr>
              <w:spacing w:after="0"/>
              <w:rPr>
                <w:sz w:val="21"/>
                <w:szCs w:val="21"/>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Investment bank</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President, Partner and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Head of Capital</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Markets</w:t>
            </w: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BiomX, Inc.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Pre-clinical</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microbiome company</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developing both natural</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engineered phage-</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based therapies for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acne and chronic</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diseases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LifeSci Acquisition Corp.</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Blank check company</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480" w:type="dxa"/>
            <w:vAlign w:val="bottom"/>
          </w:tcPr>
          <w:p>
            <w:pPr>
              <w:spacing w:after="0"/>
              <w:rPr>
                <w:sz w:val="23"/>
                <w:szCs w:val="23"/>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Chardan Healthcare Acquisition 2 Corp.</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Blank check company</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 and President,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Cornix Advisors,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Hedge fund</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Founding Partner</w:t>
            </w:r>
          </w:p>
        </w:tc>
        <w:tc>
          <w:tcPr>
            <w:tcW w:w="0" w:type="dxa"/>
            <w:vAlign w:val="bottom"/>
          </w:tcPr>
          <w:p>
            <w:pPr>
              <w:spacing w:after="0"/>
              <w:rPr>
                <w:sz w:val="1"/>
                <w:szCs w:val="1"/>
                <w:color w:val="auto"/>
              </w:rPr>
            </w:pPr>
          </w:p>
        </w:tc>
      </w:tr>
      <w:tr>
        <w:trPr>
          <w:trHeight w:val="40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Woodrow</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Extend, Inc.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 focused on</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w w:val="97"/>
              </w:rPr>
              <w:t>(“Woody”) H. Levin</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API-first solution for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 and 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merchants to offer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extended warranties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protection plans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480" w:type="dxa"/>
            <w:vAlign w:val="bottom"/>
          </w:tcPr>
          <w:p>
            <w:pPr>
              <w:spacing w:after="0"/>
              <w:rPr>
                <w:sz w:val="21"/>
                <w:szCs w:val="21"/>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3.0 Capital GP,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Hedge fund</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DraftKings Inc.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 focused on</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digital sports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entertainment and</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gaming</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10X Capital Venture Acquisition Corp.</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Blank check company</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0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Alex Weil</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Investment bank</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and Co-Head of</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Fintech Investment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Banking</w:t>
            </w:r>
          </w:p>
        </w:tc>
        <w:tc>
          <w:tcPr>
            <w:tcW w:w="0" w:type="dxa"/>
            <w:vAlign w:val="bottom"/>
          </w:tcPr>
          <w:p>
            <w:pPr>
              <w:spacing w:after="0"/>
              <w:rPr>
                <w:sz w:val="1"/>
                <w:szCs w:val="1"/>
                <w:color w:val="auto"/>
              </w:rPr>
            </w:pPr>
          </w:p>
        </w:tc>
      </w:tr>
      <w:tr>
        <w:trPr>
          <w:trHeight w:val="446"/>
        </w:trPr>
        <w:tc>
          <w:tcPr>
            <w:tcW w:w="14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ind w:left="248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Individual</w:t>
            </w:r>
          </w:p>
        </w:tc>
        <w:tc>
          <w:tcPr>
            <w:tcW w:w="100" w:type="dxa"/>
            <w:vAlign w:val="bottom"/>
          </w:tcPr>
          <w:p>
            <w:pPr>
              <w:spacing w:after="0"/>
              <w:rPr>
                <w:sz w:val="18"/>
                <w:szCs w:val="18"/>
                <w:color w:val="auto"/>
              </w:rPr>
            </w:pPr>
          </w:p>
        </w:tc>
        <w:tc>
          <w:tcPr>
            <w:tcW w:w="298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Name of Affiliated Company</w:t>
            </w:r>
          </w:p>
        </w:tc>
        <w:tc>
          <w:tcPr>
            <w:tcW w:w="18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Entity’s Business</w:t>
            </w:r>
          </w:p>
        </w:tc>
        <w:tc>
          <w:tcPr>
            <w:tcW w:w="170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Affiliation</w:t>
            </w:r>
          </w:p>
        </w:tc>
        <w:tc>
          <w:tcPr>
            <w:tcW w:w="0" w:type="dxa"/>
            <w:vAlign w:val="bottom"/>
          </w:tcPr>
          <w:p>
            <w:pPr>
              <w:spacing w:after="0"/>
              <w:rPr>
                <w:sz w:val="1"/>
                <w:szCs w:val="1"/>
                <w:color w:val="auto"/>
              </w:rPr>
            </w:pPr>
          </w:p>
        </w:tc>
      </w:tr>
      <w:tr>
        <w:trPr>
          <w:trHeight w:val="47"/>
        </w:trPr>
        <w:tc>
          <w:tcPr>
            <w:tcW w:w="14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Julie Atkinson</w:t>
            </w:r>
          </w:p>
        </w:tc>
        <w:tc>
          <w:tcPr>
            <w:tcW w:w="100" w:type="dxa"/>
            <w:vAlign w:val="bottom"/>
            <w:vMerge w:val="continue"/>
          </w:tcPr>
          <w:p>
            <w:pPr>
              <w:spacing w:after="0"/>
              <w:rPr>
                <w:sz w:val="16"/>
                <w:szCs w:val="16"/>
                <w:color w:val="auto"/>
              </w:rPr>
            </w:pPr>
          </w:p>
        </w:tc>
        <w:tc>
          <w:tcPr>
            <w:tcW w:w="2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Founders Table Restaurant Group</w:t>
            </w:r>
          </w:p>
        </w:tc>
        <w:tc>
          <w:tcPr>
            <w:tcW w:w="100" w:type="dxa"/>
            <w:vAlign w:val="bottom"/>
            <w:vMerge w:val="continue"/>
          </w:tcPr>
          <w:p>
            <w:pPr>
              <w:spacing w:after="0"/>
              <w:rPr>
                <w:sz w:val="16"/>
                <w:szCs w:val="16"/>
                <w:color w:val="auto"/>
              </w:rPr>
            </w:pPr>
          </w:p>
        </w:tc>
        <w:tc>
          <w:tcPr>
            <w:tcW w:w="1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Company focused on</w:t>
            </w:r>
          </w:p>
        </w:tc>
        <w:tc>
          <w:tcPr>
            <w:tcW w:w="100" w:type="dxa"/>
            <w:vAlign w:val="bottom"/>
            <w:vMerge w:val="continue"/>
          </w:tcPr>
          <w:p>
            <w:pPr>
              <w:spacing w:after="0"/>
              <w:rPr>
                <w:sz w:val="16"/>
                <w:szCs w:val="16"/>
                <w:color w:val="auto"/>
              </w:rPr>
            </w:pPr>
          </w:p>
        </w:tc>
        <w:tc>
          <w:tcPr>
            <w:tcW w:w="1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Marketing</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creation, acquisition</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cultivation of</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founder led-restaurant</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companies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Bright Horizons Family Solutions Inc.</w:t>
            </w: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Provider of child care</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early education,</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dependent care, and</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workforce education</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Christian (“Chris”)</w:t>
            </w: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Certares</w:t>
            </w: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Advisor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Ahrens</w:t>
            </w: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company</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Internova Travel Group</w:t>
            </w: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focused on</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 services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Bernard Van der</w:t>
            </w: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Cindat</w:t>
            </w: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Lande</w:t>
            </w: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platform</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insiders, including our officers and directors, have agreed to vote any shares of common stock held by them in favor of our initial business combination. In addition, they have agreed to waive their respective rights to receive any amounts held in the trust account with respect to their insider shares if we are unable to complete our initial business combination within the required time frame. If they purchase shares of common stock in this offering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To further minimize conflicts of interest, we have agreed not to consummate our initial business combination with an entity that is affiliated with any of our officers, directors or other insiders, unless we have obtained (i) an opinion from an independent investment banking firm that the business combination is fair to our stockholders from a financial point of view and (ii) the approval of a majority of our disinterested and independent directors.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resulting from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prospectus.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accordance with the terms of such policy and insures us against our obligations to indemnify the directors and officers.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(assuming none of the individuals listed purchase units in this offering), by:</w:t>
      </w:r>
    </w:p>
    <w:p>
      <w:pPr>
        <w:spacing w:after="0" w:line="112" w:lineRule="exact"/>
        <w:rPr>
          <w:sz w:val="20"/>
          <w:szCs w:val="20"/>
          <w:color w:val="auto"/>
        </w:rPr>
      </w:pPr>
    </w:p>
    <w:p>
      <w:pPr>
        <w:ind w:left="1320" w:right="479" w:hanging="434"/>
        <w:spacing w:after="0" w:line="282" w:lineRule="auto"/>
        <w:tabs>
          <w:tab w:leader="none" w:pos="133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issued and outstanding shares of common stock;</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officers and directors;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officers and directors as a group.</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shares of common stock beneficially owned by them. The following table does not reflect record of beneficial ownership of any shares of common stock issuable upon exercise of the warrants, as the warrants are not exercisable within 60 days of the date of this prospectus.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52"/>
        </w:trPr>
        <w:tc>
          <w:tcPr>
            <w:tcW w:w="3160" w:type="dxa"/>
            <w:vAlign w:val="bottom"/>
          </w:tcPr>
          <w:p>
            <w:pPr>
              <w:spacing w:after="0"/>
              <w:rPr>
                <w:sz w:val="21"/>
                <w:szCs w:val="21"/>
                <w:color w:val="auto"/>
              </w:rPr>
            </w:pPr>
          </w:p>
        </w:tc>
        <w:tc>
          <w:tcPr>
            <w:tcW w:w="240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Prior to Offering</w:t>
            </w:r>
          </w:p>
        </w:tc>
        <w:tc>
          <w:tcPr>
            <w:tcW w:w="2540" w:type="dxa"/>
            <w:vAlign w:val="bottom"/>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After Offering</w:t>
            </w:r>
            <w:r>
              <w:rPr>
                <w:rFonts w:ascii="Times New Roman" w:cs="Times New Roman" w:eastAsia="Times New Roman" w:hAnsi="Times New Roman"/>
                <w:sz w:val="18"/>
                <w:szCs w:val="18"/>
                <w:b w:val="1"/>
                <w:bCs w:val="1"/>
                <w:color w:val="auto"/>
                <w:vertAlign w:val="superscript"/>
              </w:rPr>
              <w:t>(2)</w:t>
            </w:r>
          </w:p>
        </w:tc>
      </w:tr>
      <w:tr>
        <w:trPr>
          <w:trHeight w:val="187"/>
        </w:trPr>
        <w:tc>
          <w:tcPr>
            <w:tcW w:w="31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8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203"/>
        </w:trPr>
        <w:tc>
          <w:tcPr>
            <w:tcW w:w="31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03"/>
        </w:trPr>
        <w:tc>
          <w:tcPr>
            <w:tcW w:w="31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and Nature of</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and Nature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03"/>
        </w:trPr>
        <w:tc>
          <w:tcPr>
            <w:tcW w:w="31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r>
      <w:tr>
        <w:trPr>
          <w:trHeight w:val="250"/>
        </w:trPr>
        <w:tc>
          <w:tcPr>
            <w:tcW w:w="3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r>
              <w:rPr>
                <w:rFonts w:ascii="Times New Roman" w:cs="Times New Roman" w:eastAsia="Times New Roman" w:hAnsi="Times New Roman"/>
                <w:sz w:val="18"/>
                <w:szCs w:val="18"/>
                <w:b w:val="1"/>
                <w:bCs w:val="1"/>
                <w:color w:val="auto"/>
                <w:vertAlign w:val="superscript"/>
              </w:rPr>
              <w:t>(1)</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bl>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30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0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Edward Scheetz</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6"/>
                <w:szCs w:val="16"/>
                <w:color w:val="auto"/>
              </w:rPr>
              <w:t>2,728,875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5"/>
              </w:rPr>
              <w:t>(3)</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6"/>
                <w:szCs w:val="16"/>
                <w:color w:val="auto"/>
              </w:rPr>
              <w:t>63.3%</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6"/>
                <w:szCs w:val="16"/>
                <w:color w:val="auto"/>
              </w:rPr>
              <w:t>2,365,348</w:t>
            </w:r>
          </w:p>
        </w:tc>
        <w:tc>
          <w:tcPr>
            <w:tcW w:w="13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30"/>
        </w:trPr>
        <w:tc>
          <w:tcPr>
            <w:tcW w:w="3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
        </w:trPr>
        <w:tc>
          <w:tcPr>
            <w:tcW w:w="30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1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Matthew MacDonald</w:t>
            </w:r>
          </w:p>
        </w:tc>
        <w:tc>
          <w:tcPr>
            <w:tcW w:w="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2,728,875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85"/>
              </w:rPr>
              <w:t>(3)</w:t>
            </w:r>
          </w:p>
        </w:tc>
        <w:tc>
          <w:tcPr>
            <w:tcW w:w="10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15"/>
                <w:szCs w:val="15"/>
                <w:color w:val="auto"/>
              </w:rPr>
            </w:pPr>
          </w:p>
        </w:tc>
        <w:tc>
          <w:tcPr>
            <w:tcW w:w="12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2,365,348</w:t>
            </w:r>
          </w:p>
        </w:tc>
        <w:tc>
          <w:tcPr>
            <w:tcW w:w="13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30"/>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
        </w:trPr>
        <w:tc>
          <w:tcPr>
            <w:tcW w:w="308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Brock Strasbourger</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Prasad Phatak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31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Jonas Grossman</w:t>
            </w:r>
          </w:p>
        </w:tc>
        <w:tc>
          <w:tcPr>
            <w:tcW w:w="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1,493,625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5"/>
              </w:rPr>
              <w:t>(4)</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1,294,652</w:t>
            </w:r>
          </w:p>
        </w:tc>
        <w:tc>
          <w:tcPr>
            <w:tcW w:w="1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30"/>
        </w:trPr>
        <w:tc>
          <w:tcPr>
            <w:tcW w:w="3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
        </w:trPr>
        <w:tc>
          <w:tcPr>
            <w:tcW w:w="30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Weil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1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Woodrow H. Levin</w:t>
            </w:r>
          </w:p>
        </w:tc>
        <w:tc>
          <w:tcPr>
            <w:tcW w:w="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22,500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5"/>
              </w:rPr>
              <w:t>(5)</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71"/>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22,500</w:t>
            </w:r>
          </w:p>
        </w:tc>
        <w:tc>
          <w:tcPr>
            <w:tcW w:w="1300" w:type="dxa"/>
            <w:vAlign w:val="bottom"/>
            <w:shd w:val="clear" w:color="auto" w:fill="CCEEFF"/>
          </w:tcPr>
          <w:p>
            <w:pPr>
              <w:jc w:val="right"/>
              <w:ind w:right="91"/>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
        </w:trPr>
        <w:tc>
          <w:tcPr>
            <w:tcW w:w="3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
        </w:trPr>
        <w:tc>
          <w:tcPr>
            <w:tcW w:w="30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Atkinson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Ahrens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Van der Lande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0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officers and directors as a group</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 individuals)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4,245,000</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3,727,500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8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Ventoux Acquisition Holdings LLC</w:t>
            </w:r>
            <w:r>
              <w:rPr>
                <w:rFonts w:ascii="Times New Roman" w:cs="Times New Roman" w:eastAsia="Times New Roman" w:hAnsi="Times New Roman"/>
                <w:sz w:val="20"/>
                <w:szCs w:val="20"/>
                <w:color w:val="auto"/>
                <w:vertAlign w:val="superscript"/>
              </w:rPr>
              <w:t>(6)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2,728,875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2,365,348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75"/>
        </w:trPr>
        <w:tc>
          <w:tcPr>
            <w:tcW w:w="31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Chardan International Investments, LLC</w:t>
            </w:r>
          </w:p>
        </w:tc>
        <w:tc>
          <w:tcPr>
            <w:tcW w:w="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1,493,625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5"/>
              </w:rPr>
              <w:t>(4)</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1,294,652</w:t>
            </w:r>
          </w:p>
        </w:tc>
        <w:tc>
          <w:tcPr>
            <w:tcW w:w="1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30"/>
        </w:trPr>
        <w:tc>
          <w:tcPr>
            <w:tcW w:w="3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40" w:type="dxa"/>
            <w:vAlign w:val="bottom"/>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
        </w:trPr>
        <w:tc>
          <w:tcPr>
            <w:tcW w:w="30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6" w:lineRule="exact"/>
        <w:rPr>
          <w:sz w:val="20"/>
          <w:szCs w:val="20"/>
          <w:color w:val="auto"/>
        </w:rPr>
      </w:pPr>
    </w:p>
    <w:p>
      <w:pPr>
        <w:ind w:left="880" w:right="479" w:hanging="426"/>
        <w:spacing w:after="0" w:line="264" w:lineRule="auto"/>
        <w:tabs>
          <w:tab w:leader="none" w:pos="89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each of the individuals is c/o Ventoux CCM Acquisition Corp., 1 East Putnam Avenue, Floor 4, Greenwich, CT 06830.</w:t>
      </w:r>
    </w:p>
    <w:p>
      <w:pPr>
        <w:ind w:left="880" w:right="479" w:hanging="426"/>
        <w:spacing w:after="0" w:line="264" w:lineRule="auto"/>
        <w:tabs>
          <w:tab w:leader="none" w:pos="91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no exercise of the over-allotment option and, therefore, the forfeiture of an aggregate of 562,500 shares of common stock held by our initial stockholders.</w:t>
      </w:r>
    </w:p>
    <w:p>
      <w:pPr>
        <w:ind w:left="880" w:right="459" w:hanging="426"/>
        <w:spacing w:after="0" w:line="264" w:lineRule="auto"/>
        <w:tabs>
          <w:tab w:leader="none" w:pos="942"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of common stock owned by Ventoux Acquisition Holdings LLC, for which Edward Scheetz and Matthew MacDonald are the managing members.</w:t>
      </w:r>
    </w:p>
    <w:p>
      <w:pPr>
        <w:jc w:val="both"/>
        <w:ind w:left="880" w:right="479" w:hanging="426"/>
        <w:spacing w:after="0" w:line="264" w:lineRule="auto"/>
        <w:tabs>
          <w:tab w:leader="none" w:pos="887"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of common stock owned by Chardan International Investments, LLC, for which Jonas Grossman is the managing member. Chardan International Investments, LLC is an affiliate of Chardan Capital Markets, LLC, the representative of the underwriters in this offering.</w:t>
      </w:r>
    </w:p>
    <w:p>
      <w:pPr>
        <w:ind w:left="880" w:right="479" w:hanging="426"/>
        <w:spacing w:after="0" w:line="264" w:lineRule="auto"/>
        <w:tabs>
          <w:tab w:leader="none" w:pos="1019"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of common stock owned by Blind 1212, LLC for which Woodrow H. Levin is the sole and managing member.</w:t>
      </w:r>
    </w:p>
    <w:p>
      <w:pPr>
        <w:ind w:left="880" w:hanging="426"/>
        <w:spacing w:after="0"/>
        <w:tabs>
          <w:tab w:leader="none" w:pos="8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Edward Scheetz and Matthew MacDonald are the managing members of Ventoux Acquisition Holdings LLC.</w:t>
      </w:r>
    </w:p>
    <w:p>
      <w:pPr>
        <w:spacing w:after="0" w:line="15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Immediately after this offering, our initial stockholders will beneficially own 20% of the then issued and outstanding shares of common stock (assuming none of them purchase any units offered by this prospectus).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the underwriters do not exercise all or a portion of the over-allotment option, our initial stockholders will have up to an aggregate 562,500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All of the insider shares issued and outstanding prior to the date of this prospectus will be placed in escrow with Continental Stock Transfer &amp; Trust Company, as escrow agent, until (1) with respect to 50% of the insider shares, the earlier of six months after the date of the consummation of our initial business combination and the date on which the closing price of our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insider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 Up to 562,500 of the insider shares may also be released from escrow earlier than this date for forfeiture and cancellation if the over-allotment option is not exercised in full as described above.</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During the escrow period, the holders of these shares will not be able to sell or transfer their securities except (1) to any persons (including their affiliates and stockholders) participating in the private placement of the private warrants, officers, directors, stockholders, employees and members of our co-sponsors and their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w:t>
      </w:r>
    </w:p>
    <w:p>
      <w:pPr>
        <w:spacing w:after="0" w:line="3" w:lineRule="exact"/>
        <w:rPr>
          <w:sz w:val="20"/>
          <w:szCs w:val="20"/>
          <w:color w:val="auto"/>
        </w:rPr>
      </w:pPr>
    </w:p>
    <w:p>
      <w:pPr>
        <w:jc w:val="both"/>
        <w:ind w:left="460" w:right="479" w:hanging="6"/>
        <w:spacing w:after="0" w:line="251" w:lineRule="auto"/>
        <w:tabs>
          <w:tab w:leader="none" w:pos="74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qualified domestic relations order, (7) by certain pledges to secure obligations incurred in connection with purchases of our securities, (8) by private sales at prices no greater than the price at which the shares were originally purchased or (9) for the cancellation of up to 562,500 shares of common stock subject to forfeiture to the extent that the underwriters’ over-allotment is not exercised in full or in part or in connection with the consummation of our initial business combination, in each case (except for clause 9 or with our prior consent) where the transferee agrees to the terms of the escrow agreement and the insider letter,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 trust account, none of our initial stockholders will receive any portion of the liquidation proceeds with respect to their insider shares.</w:t>
      </w:r>
    </w:p>
    <w:p>
      <w:pPr>
        <w:spacing w:after="0" w:line="111"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private warrants and any shares of common stock issued upon conversion or exercise thereof are subject to transfer restrictions pursuant to lock-up provisions in a letter agreement with us to be entered into by Ventoux Acquisition, Chardan Investments, officers, directors and advisors of the Company. Those lock-up provisions provide that such securities are not transferable or salable until 30 days after the completion of our initial business combination, except (a) to our officers or directors, any affiliates or family members of any of our officers or directors, any members of Ventoux Acquisition or Chardan Investments, or any affiliates of Ventoux Acquisition or Chardan Investments;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Ventoux Acquisition or Chardan Investments, provided, however, that in the case of clauses</w:t>
      </w:r>
    </w:p>
    <w:p>
      <w:pPr>
        <w:spacing w:after="0" w:line="11" w:lineRule="exact"/>
        <w:rPr>
          <w:sz w:val="20"/>
          <w:szCs w:val="20"/>
          <w:color w:val="auto"/>
        </w:rPr>
      </w:pPr>
    </w:p>
    <w:p>
      <w:pPr>
        <w:jc w:val="both"/>
        <w:ind w:left="460" w:right="479" w:hanging="6"/>
        <w:spacing w:after="0" w:line="253" w:lineRule="auto"/>
        <w:tabs>
          <w:tab w:leader="none" w:pos="7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(e) or (g), these permitted transferees must enter into a written agreement agreeing to be bound by these transfer restrictions and the other restrictions contained in the letter agreements and by the same agreements entered into by Ventoux Acquisition, Chardan Investments, officers, directors and advisors of the Company, as the case may be, with respect to such securities (including provisions relating to voting, the trust account and liquidation distributions described elsewhere in this prospectus).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 If we do not complete our initial business combination within 15 months (or up to 18 months, as applicable) from the closing of this offering, the proceeds from the sale of the private warrants will be included in the liquidating distribution to the holders of our public shares. 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120" w:lineRule="exact"/>
        <w:rPr>
          <w:sz w:val="20"/>
          <w:szCs w:val="20"/>
          <w:color w:val="auto"/>
        </w:rPr>
      </w:pPr>
    </w:p>
    <w:p>
      <w:pPr>
        <w:jc w:val="both"/>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In order to meet our working capital needs following the consummation of this offering,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will not be repaid. Loans made by Chardan Capital Markets, LLC or any of its related persons will not be convertible into private warrants and Chardan Capital Markets, LLC or any of its related persons will have no recourse with respect to their ability to convert their loans into private warrants.</w:t>
      </w:r>
    </w:p>
    <w:p>
      <w:pPr>
        <w:spacing w:after="0" w:line="12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Each of Ventoux Acquisition Holdings LLC and Chardan International Investments, LLC is a “promoter,” as that term is defined under the federal securities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TRANSACTIONS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19, 2019, Chardan Investments purchased 5,000,000 shares of common stock from us for $25,000. On July 23, 2020, Chardan Investments sold 3,250,000 shares of common stock back to us for</w:t>
      </w: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On December 15, 2020, Ventoux Acquisition transferred 22,500 shares of common stock to Cindat, and, on December 17, 2020, Ventoux Acquisition transferred an aggregate of 67,500 shares of common stock to three of our directors. As of the date hereof, Ventoux Acquisition holds 2,728,875 shares of common stock. The founder shares include an aggregate of up to 562,500 shares that are subject to forfeiture to the extent that the underwriters’ over-allotment option is not exercised in full or in part.</w:t>
      </w:r>
    </w:p>
    <w:p>
      <w:pPr>
        <w:spacing w:after="0" w:line="12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the underwriters do not exercise all or a portion of their over-allotment option, our initial stockholders have agreed that up to an aggregate of 562,500 shares of common stock in proportion to the portion of the over-allotment option that was not exercised are subject to forfeiture and would be immediately cancelled.</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the underwriters determine the size of the offering should be increased (including pursuant to Rule 462(b) under the Securities Act) or decreased, a share capitalizations or a contribution back to capital, as applicable, would be effectuated in order to maintain our initial stockholder’s ownership at 20% of the number of shares issued and outstanding after the closing of this offering.</w:t>
      </w:r>
    </w:p>
    <w:p>
      <w:pPr>
        <w:spacing w:after="0" w:line="9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Ventoux Acquisition, our co-sponsor and an affiliate of certain of our directors and officers, has committed to purchase from us an aggregate of 4,000,000 warrants (or 4,450,000 warrants if the over-allotment option is exercised in full), and Chardan Investments, our co-sponsor and an affiliate of one of our directors and Chardan Capital Markets,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$6,000,000 (or $6,675,000 if the over-allotment option is exercised in full) we will receive from the sale of the private warrants, $3,500,000 (or $3,950,000 if the over-allotment option is exercised in full) will be used for offering expenses and $1,000,000 will be used for working capital, the remaining funds will be placed in the trust account. If we do not complete our initial business combination within 15 months (or up to 18 months, as applicable) from the closing of this offering, the proceeds from the sale of the private warrants will be included in the liquidating distribution to the holders of our public shares. 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order to meet our working capital needs following the consummation of this offering, our initial stockholders, officers and directors and their respective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(which, for example, would result in the holders being issued private warrants to purchase 500,000 shares of common stock if $500,000 of notes were so converted). Such private warrants will be identical to the private warrants to be issued 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would not be repaid. Loans made by Chardan Capital Markets, LLC or any of its related persons will not be convertible into private warrants and Chardan Capital Markets, LLC or any of its related persons will have no recourse with respect to their ability to convert their loans into private warrants.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The holders of our insider shares issued and outstanding on the date of this prospectus, as well as the holders of the private warrants (and all underlying securities),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our consummation of a business combination. </w:t>
      </w:r>
      <w:r>
        <w:rPr>
          <w:rFonts w:ascii="Times New Roman" w:cs="Times New Roman" w:eastAsia="Times New Roman" w:hAnsi="Times New Roman"/>
          <w:sz w:val="18"/>
          <w:szCs w:val="18"/>
          <w:i w:val="1"/>
          <w:iCs w:val="1"/>
          <w:color w:val="auto"/>
        </w:rPr>
        <w:t>We will bear the expenses incurred in connection with the 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any such registration statements. </w:t>
      </w:r>
      <w:r>
        <w:rPr>
          <w:rFonts w:ascii="Times New Roman" w:cs="Times New Roman" w:eastAsia="Times New Roman" w:hAnsi="Times New Roman"/>
          <w:sz w:val="18"/>
          <w:szCs w:val="18"/>
          <w:color w:val="auto"/>
        </w:rPr>
        <w:t>Chardan Capital Markets, LLC and its related persons may not,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private warrants (and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2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August 20, 2020, we issued an unsecured promissory note to Ventoux Acquisition, pursuant to which the Company may borrow up to an aggregate principal amount of $250,000. The promissory note is non-interest bearing and will be payable promptly after consummation of this offering or the date on which we determine not to conduct this offering. As of September 30, 2020, there was $153,018 outstanding under the promissory note.</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will reimburse our officers and directors for any reasonable out-of-pocket business expenses incurred by them in connection with certain activities on our behalf such as identifying and investigating possible target businesses and business combinations.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11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enter into indemnity agreements with each of our officers and directors. These agreements will require us to indemnify these individuals to the fullest extent permitted under Delaware law and to advance expenses incurred as a result of any proceeding against them as to which they could be indemnified to the fullest extent permitted by applicable law and our amended and restated certificate of incorporation.</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will also pay to Chardan Capital Markets, LLC, the representative of the underwriters in this offering and an affiliate of one of our co-sponsors, an underwriting discount of $0.20 per unit purchased by it in this offering. We have also engaged Chardan Capital Markets, LLC as an advisor in connection with our business combination, pursuant to the Business Combination Marketing Agreement described under “Underwriting (Conflicts of Interest) — Business Combination Marketing Agreement.” We will pay Chardan Capital Markets, LLC the marketing fee for such services upon the consummation of our initial business combination in an amount equal to, in the aggregate, 3.5% of the gross proceeds of this offering, including any proceeds from the full or partial exercise of the underwriters’ over-allotment option. As a result, Chardan Capital Markets, LLC will not be entitled to such fee unless we consummate our initial business combination. The marketing fee payable to Chardan Capital Markets, LLC upon consummation of the initial business combination is $5,250,000 (or $6,037,500 if the underwriters’ over-allotment option is exercised in full). Mr. Grossman, who is one of our directors, and Mr. Weil, who has agreed to become our director as of the effective date of the registration statement of which this prospectus is a part, are affiliated with Chardan Capital Markets, LLC.</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disinterested independent directors or the members of our board who do not have an interest in the transaction, in either case who</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2" w:name="page93"/>
    <w:bookmarkEnd w:id="9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Policy</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Code of Ethics, which we will adopt upon consummation of this offering, will require us to avoid, wherever possible, all related party transactions that could result in actual or potential conflicts of interests, except under guidelines approved by the board of directors (or the audit committee). Related 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personal benefits as a result of his or her position.</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audit committee, pursuant to its written charter, will be responsible for reviewing and approving related 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require each of our directors and executive officers to complete a directors’ and officers’ questionnaire that elicits information about related party transactions.</w:t>
      </w:r>
    </w:p>
    <w:p>
      <w:pPr>
        <w:spacing w:after="0" w:line="11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To further minimize potential conflicts of interest, we have agreed not to consummate a business combination with an entity which is affiliated with any of our initial stockholders unless we obtain an opinion from an independent investment banking firm that the business combination is fair to our stockholders from a financial point of view. Furthermore, in no event will any of our existing officers, directors or initial stockholders, or any entity with which they are affiliated, be paid any finder’s fee, consulting fee or other compensation prior to, or for any services they render in order to effectuate, the consummation of a business combination.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Pursuant to our amended certificate of incorporation, our authorized capital stock consists of 50,000,000 shares of common stock, par value $0.0001, and 1,000,000 shares of preferred stock, par value $0.0001. As of the date of this prospectus, 4,312,500 shares of common stock are issued and outstanding, held by our co-sponsors, our directors, and affiliates of our management team and directors. No preferred shares are issued or outstanding.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Each unit consists of one share of common stock, one right and one warrant. Each right entitles the holder to receive one-twentieth (1/20) of a share of common stock. Each warrant entitles the holder thereof to purchase one-half of one share of common stock at a price of $11.50 per whole share, subject to adjustment as described in this prospectus. Each warrant will become exercisable on the later of one year after the closing of this offering or the consummation of an initial business combination, and will expire five years after the completion of an initial business combination, or earlier upon redemption.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shares of common stock, rights and warrants comprising the units will not be separately traded until 90 days after the effective date of this prospectus unless Chardan informs us of its decision to allow earlier separate trading, but in no event will the shares of common stock, rights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consummation of this offering, which is anticipated to take place three business days after the date of this prospectus. The audited balance sheet will reflect proceeds we received from the exercise of the over-allotment option if such option is exercised prior to the filing of the Current Report on Form 8-K.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1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will not issue fractional shares upon conversion of the rights once the units separate, and no cash will be payable in lieu thereof. As a result, you must have 20 rights to receive one share of common stock at the closing of the initial business combination.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immediately prior to this offering, including both the insider shares and any shares acquired in this offering or following this offering in the open market, in favor of the proposed business combination.</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9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Pursuant to our certificate of incorporation, if we do not consummate our initial business combination within 15 months (or up to 18 months, as applicable) from the closing of this offering,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law. Our insiders have agreed to waive their rights to share in any distribution with respect to their insider shares. However, if we anticipate that we may not be able to consummate our initial business combination within 15 months, our initial stockholders or their affiliates may, but are not obligated to, extend the period of time to consummate an initial business combination one time by up to an additional three months (for a total of up to 18 months to complete an initial business combination) without the need for a separate stockholder vote.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without the need for a separate stockholder vote is for our initial stockholders or their affiliates or designees, upon five days’ advance notice prior to the applicable deadline, to deposit into the trust account $1,500,000, or $1,725,000 if the underwriters’ over-allotment option is exercised in full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 In the event that they elected to extend the time to complete our initial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 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or for working capital purposes,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There are no shares of preferred stock outstanding.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No warrants are currently outstanding. Each public warrant entitles the registered holder to purchase one-half of one share of common stock at a price of $11.50 per whole share, subject to adjustment as described below, at any time commencing on the later of one year after the closing of this offering or the consummation of an initial business combination. However, no public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120 days from the closing of our initial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warrants will expire five years from the closing of our initial business combination at 5:00 p.m., New York City time.</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private warrants will be identical to the public warrants underlying the units being offered by this prospectus except that (i) each private warrant is exercisable for one share of common stock at an exercise price of $11.50 per share, and (ii) such private warrants will be exercisable for cash (even if a registration statement covering the shares of common stock issuable upon exercise of such warrants is not effective) or on a cashless basis, at the holder’s option, and will not be redeemable by us, in each case so long as they are still held by the initial purchasers or their affiliates. The private warrants purchased by Chardan Investments will not be exercisable more than five years from the effective date of the registration statement, of which this prospectus forms a part, in accordance with FINRA Rule 5110(g)(8), as long as Chardan Capital Markets, LLC or any of its related persons beneficially own these private warrants.</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may call the outstanding warrants for redemption (excluding the private warrants but including any warrants already issued upon exercise of the unit purchase option), in whole and not in part, at a price of $0.01 per warrant:</w:t>
      </w:r>
    </w:p>
    <w:p>
      <w:pPr>
        <w:spacing w:after="0" w:line="95" w:lineRule="exact"/>
        <w:rPr>
          <w:sz w:val="20"/>
          <w:szCs w:val="20"/>
          <w:color w:val="auto"/>
        </w:rPr>
      </w:pPr>
    </w:p>
    <w:p>
      <w:pPr>
        <w:ind w:left="1300" w:hanging="41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$16.50 per share, for any 20 trading days within a 30-day trading period ending on the third business day prior to the notice of redemption to warrant holders,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99"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The “fair market value” shall mean the average reported last sale price of our common stock for the 10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our common shares at the time the warrants are called for redemption, our cash needs at such time and concerns regarding dilutive share issuances.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6" w:name="page97"/>
    <w:bookmarkEnd w:id="9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 majority of the then outstanding warrants in order to make any change that adversely affects the interests of the registered holders.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on exercise of the warrants may be adjusted in certain circumstances including in the event of a share dividend, extraordinary dividend or our recapitalization, reorganization, merger or consolidation. In addition, if we issue additional shares of common stock or equity-linked securities for capital raising purposes in connection with the closing of our initial business combination at a newly issued price of less than $9.20 per share of common stock (with such issue price or effective issue price to be determined in good faith by our board of directors and, in the case of any such issuance to our initial stockholders or their affiliates, without taking into account any founder shares or private warrants held by them, as applicable, prior to such issuance), the exercise price of the warrants will be adjusted (to the nearest cent) to be equal to 115% of the newly issued price and the $16.50 per share redemption trigger price described below under will be adjusted (to the nearest cent) to be equal to 165% of the market value (the volume weighted average trading price of the common stock during the 20 trading day period starting on the trading day prior to the consummation of an initial business combination).</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Except as described above, no public warrants will be exercisable for cash, and we will not be obligated to issue shares of common stock unless at the time a holder seeks to exercise such warrant, a prospectus relating to the shares of common stock issuable upon exercise of the warrants is current and the shares of common stock have been registered or qualified or deemed to be exempt under the securities laws of the state of residence of the holder of the warrants. Under the terms of the warrant agreement, we have agreed to use our best efforts to meet these conditions and to maintain a current prospectus relating to the shares of common stock issuable upon exercise of the warrants until the expiration of the warrants. However, we cannot assure you that we will be able to do so and, if we do not maintain a current prospectus relating to the shares of common stock issuable upon exercise of the warrants, holders will be unable to exercise their warrants, and we will not be required to settle any such warrant exercise. If the prospectus relating to the shares of common stock issuable upon the exercise of the warrants is not current or if the common stock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w:t>
      </w:r>
    </w:p>
    <w:p>
      <w:pPr>
        <w:spacing w:after="0" w:line="13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4.99% or 9.99% (or such other amount as a holder may specify) of common stock outstanding.</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common stock to be issued to the warrant holder.</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Arrangements with respect to the Certain Warrants</w:t>
      </w:r>
    </w:p>
    <w:p>
      <w:pPr>
        <w:spacing w:after="0" w:line="148"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have agreed that so long as the private warrants are still held by the initial purchasers or their affiliates, we will not redeem such warrants, and we will allow the holders to exercise such warrants on a cashless basis (even if a registration statement covering the shares of common stock issuable upon exercise of such warrants is not effective). However, once any of the foregoing warrants are transferred from the initial purchasers or their affiliates, these arrangements will no longer apply. Furthermore, because the private warrants will be issued in a private transaction, the holders and their transferees will be allowed to exercise the private warrants for cash even if a registration statement covering the shares of common stock issuable upon exercise of such warrants is not effective and receive unregistered shares of common stock.</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Each right represents the right to receive one-twentieth (1/20) of one share of common stock upon the consummation of our initial business combination, so each holder of 20 rights will receive one share of common stock upon consummation of our initial business combination, whether or not we will be the surviving entity and even if the holder of such right redeemed all common stock held by him, her or it in connection with the initial business combination or an amendment to our amended and restated certificate of incorporation with respect to our pre-business combination activities. No fractional shares will be issued upon conversion of any rights, so holders must hold rights in denominations of 20 in order to receive a share of our common stock at the closing of our initial business combination. No additional consideration will be required to be paid by a holder of rights in order to receive his, her or its additional common stock upon consummation of an initial business combination as the consideration related thereto has been included in the unit purchase price paid for by investors in this offering. The shares issuable upon exchange of the rights will be freely tradable (except to the extent held by affiliates of ours).</w:t>
      </w:r>
    </w:p>
    <w:p>
      <w:pPr>
        <w:spacing w:after="0" w:line="12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As soon as practicable upon the occurrence of our initial business combination, we will direct holders of the rights to return their rights certificates to Continental Stock Transfer &amp; Trust Company, in its capacity as rights agent. Upon receipt of the rights certificate, in a business combination in which we will be the surviving entity, we will issue to the registered holder of such rights the number of full shares of our common stock to which the holder is entitled.</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enter into a definitive agreement for a business combination in which we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his, her or its rights in order to receive the one-twentieth (1/20) share underlying each right (without paying any additional consideration) upon consummation of the business combination. More specifically, the right holder will be required to indicate his, her or its election to convert the rights into underlying shares as well as to return the original rights certificates to us.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within the required time period and we liquidate the funds held in the trust account, holders of rights will not receive any of such funds with respect to their rights, nor will they receive any distribution from our assets held outside of the trust account with respect to such rights, and the rights will expire worthless.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Promptly upon the consummation of our initial business combination, we will direct registered holders of the rights to return their rights to our rights agent. Upon receipt of the rights, the rights agent will issue to the registered holder of such right(s) the number of full shares of common stock to which he, she or it is entitled. We will notify registered holders of the rights to deliver their rights to the rights agent promptly upon consummation of such business combination and have been informed by the rights agent that the process of exchanging their rights for common stock should take no more than a matter of days. The foregoing exchange of rights is solely ministerial in nature and is not intended to provide us with any means of avoiding our obligation to issue the shares underlying the rights upon consummation of our initial business combination. Other than confirming that the rights delivered by a registered holder are valid, we will have no ability to avoid delivery of the shares underlying the rights. Nevertheless, there are no contractual penalties for failure to deliver securities to the holders of the rights upon consummation of an initial business combination. Additionally, in no event will we be required to net cash settle the rights. Accordingly, the rights may expire worthless.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will not issue any fractional shares upon conversions of the rights once the units separate, and no cash will be payable in lieu thereof. As a result, a holder must have 20 rights to receive one share of common stock at the closing of the initial business combination. In the event that any holder would otherwise be entitled to any fractional share upon exchange of his, her or its rights, we will reserve the option, to the fullest extent permitted by applicable law, to deal with any such fractional entitlement at the relevant time as we see fit, which would include the rounding down of any entitlement to receive common stock to the nearest whole share (and in effect extinguishing any fractional entitlement), or the holder being entitled to hold any remaining fractional entitlement (without any share being issued) and to aggregate the same with any future fractional entitlement to receive shares in the company until the holder is entitled to receive a whole number. Any rounding down and extinguishment may be done with or without any in lieu cash payment or other compensation being made to the holder of the relevant rights, such that value received on exchange of the rights may be considered less than the value that the holder would otherwise expect to receive. All holders of rights shall be treated in the same manner with respect to the issuance of shares upon conversions of the rights.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Transfer Agent, Rights and Warrant Agent</w:t>
      </w:r>
    </w:p>
    <w:p>
      <w:pPr>
        <w:spacing w:after="0" w:line="162" w:lineRule="exact"/>
        <w:rPr>
          <w:sz w:val="20"/>
          <w:szCs w:val="20"/>
          <w:color w:val="auto"/>
        </w:rPr>
      </w:pPr>
    </w:p>
    <w:p>
      <w:pPr>
        <w:jc w:val="both"/>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The transfer agent for our shares of common stock, rights agent for our rights and warrant agent for our warrants is Continental Stock Transfer &amp; Trust Company, 1 State Street,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10004.</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Certificate of Incorporation and Bylaws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99" w:lineRule="exact"/>
        <w:rPr>
          <w:sz w:val="20"/>
          <w:szCs w:val="20"/>
          <w:color w:val="auto"/>
        </w:rPr>
      </w:pPr>
    </w:p>
    <w:p>
      <w:pPr>
        <w:ind w:left="1320" w:right="459" w:hanging="434"/>
        <w:spacing w:after="0" w:line="282" w:lineRule="auto"/>
        <w:tabs>
          <w:tab w:leader="none" w:pos="16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81"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8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co-sponsors and their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bylaws provide that special meetings of our stockholders may be called only by a majority vote of our board of directors, by our chief executive officer or by our chairman.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 and director nominations</w:t>
      </w:r>
    </w:p>
    <w:p>
      <w:pPr>
        <w:spacing w:after="0" w:line="162" w:lineRule="exact"/>
        <w:rPr>
          <w:sz w:val="20"/>
          <w:szCs w:val="20"/>
          <w:color w:val="auto"/>
        </w:rPr>
      </w:pPr>
    </w:p>
    <w:p>
      <w:pPr>
        <w:jc w:val="both"/>
        <w:ind w:left="460" w:right="459" w:firstLine="432"/>
        <w:spacing w:after="0" w:line="247" w:lineRule="auto"/>
        <w:rPr>
          <w:sz w:val="20"/>
          <w:szCs w:val="20"/>
          <w:color w:val="auto"/>
        </w:rPr>
      </w:pPr>
      <w:r>
        <w:rPr>
          <w:rFonts w:ascii="Times New Roman" w:cs="Times New Roman" w:eastAsia="Times New Roman" w:hAnsi="Times New Roman"/>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nor earlier than the opening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for certain lawsuits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shall be the sole and exclusive forum for any (1) derivative action or proceeding brought on behalf of our company, (2) action asserting a claim of breach of a fiduciary duty owed by any director, officer, employee or agent of our company to our company or our stockholders, (3) action asserting a claim arising pursuant to any provision of the DGCL or our amended and restated certificate of incorporation or our bylaws, or (4) action asserting a claim governed by the internal affairs doctrine, in each case subject to the Court of Chancery having personal jurisdiction over the indispensable parties named as defendants therein. Notwithstanding the foregoing, the inclusion of such provision in our amended and restated certificate of incorporation will not be deemed to be a waiver of our obligation to comply with federal securities laws, rules and regulations, and the provisions of this paragraph will not apply to suits brought to enforce any liability or duty created by the Exchange Act or any other claim for which the federal district courts of the United States of America shall be the sole and exclusive forum. Although we believe this provision benefits us by providing increased consistency in the application of Delaware law in the types of lawsuits to which it applies, the provision may have the effect of discouraging lawsuits against our directors and officers. Furthermore, the enforceability of choice of forum provisions in other companies’ certificates of incorporation has been challenged in legal proceedings, and it is possible that a court could find these types of provisions to be inapplicable or unenforceable.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0" w:name="page101"/>
    <w:bookmarkEnd w:id="10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ELIGIBLE FOR FUTURE SALE</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Immediately after this offering, we will have 18,750,000 shares of common stock issued and outstanding, or 21,562,500 shares of common stock if the over-allotment option is exercised in full. Of these shares, the 15,000,000 shares sold in this offering, or 17,250,000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 All of those shares will not be transferable except in limited circumstances described elsewhere in this prospectus.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Rule 144</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person who has beneficially owned restricted shares of our common stock, rights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our common stock, rights or warrants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24" w:lineRule="exact"/>
        <w:rPr>
          <w:sz w:val="20"/>
          <w:szCs w:val="20"/>
          <w:color w:val="auto"/>
        </w:rPr>
      </w:pPr>
    </w:p>
    <w:p>
      <w:pPr>
        <w:jc w:val="both"/>
        <w:ind w:left="1320" w:right="459" w:hanging="434"/>
        <w:spacing w:after="0" w:line="266" w:lineRule="auto"/>
        <w:tabs>
          <w:tab w:leader="none" w:pos="131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common stock then issued and outstanding, which will equal 187,500 shares immediately after this offering (or 215,625 if the over-allotment option is exercised in full);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the shares of common stock during the four calendar weeks preceding the filing of a notice on Form 144 with respect to the sale.</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Sales under Rule 144 are also limited by manner of sale provisions and notice requirements and to the availability of current public information about us.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Historically, the SEC staff had taken the position that Rule 144 is not available for the resale of securities initially issued by companies that are, or previously were, blank check companies, like us. The SEC has codified and expanded this position in the amendments discussed above by prohibiting the use of Rule 144 for resale of securities issued by any shell companies (other than business combination related shell companies) or any issuer that has been at any time previously a shell company. The SEC has provided an important exception to this prohibition, however, if the following conditions are met:</w:t>
      </w:r>
    </w:p>
    <w:p>
      <w:pPr>
        <w:spacing w:after="0" w:line="106" w:lineRule="exact"/>
        <w:rPr>
          <w:sz w:val="20"/>
          <w:szCs w:val="20"/>
          <w:color w:val="auto"/>
        </w:rPr>
      </w:pPr>
    </w:p>
    <w:p>
      <w:pPr>
        <w:ind w:left="1300" w:hanging="41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9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a result, it is likely that pursuant to Rule 144, our initial stockholders will be able to sell their insider shares freely without registration one year after we have completed our initial business combination assuming they are not an affiliate of ours at that time.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1" w:name="page102"/>
    <w:bookmarkEnd w:id="10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Stockholder Rights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The holders of our insider shares issued and outstanding on the date of this prospectus, as well as the holders of the private warrants (and underlying securities),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t>
      </w:r>
      <w:r>
        <w:rPr>
          <w:rFonts w:ascii="Times New Roman" w:cs="Times New Roman" w:eastAsia="Times New Roman" w:hAnsi="Times New Roman"/>
          <w:sz w:val="18"/>
          <w:szCs w:val="18"/>
          <w:i w:val="1"/>
          <w:iCs w:val="1"/>
          <w:color w:val="auto"/>
        </w:rPr>
        <w:t>We will bear the expenses incurred in connection with the filing of any such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Chardan Capital Markets, LLC and its related persons may not, with respect to the private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intend to offer our securities described in this prospectus through the underwriters named below. Chardan Capital Markets, LLC is the representative for the underwriters. We have entered into an underwriting agreement with the representative. Subject to the terms and conditions of the underwriting agreement, each of the underwriters has severally agreed to purchase from us the number of units listed next to its name in the following table:</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212"/>
        </w:trPr>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Underwriter</w:t>
            </w:r>
          </w:p>
        </w:tc>
        <w:tc>
          <w:tcPr>
            <w:tcW w:w="126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of Units</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Riley Securities, Inc.</w:t>
            </w:r>
          </w:p>
        </w:tc>
        <w:tc>
          <w:tcPr>
            <w:tcW w:w="1260" w:type="dxa"/>
            <w:vAlign w:val="bottom"/>
          </w:tcPr>
          <w:p>
            <w:pPr>
              <w:spacing w:after="0"/>
              <w:rPr>
                <w:sz w:val="21"/>
                <w:szCs w:val="21"/>
                <w:color w:val="auto"/>
              </w:rPr>
            </w:pPr>
          </w:p>
        </w:tc>
      </w:tr>
      <w:tr>
        <w:trPr>
          <w:trHeight w:val="41"/>
        </w:trPr>
        <w:tc>
          <w:tcPr>
            <w:tcW w:w="6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 copy of the form of underwriting agreement has been filed as an exhibit to the registration statement of which this prospectus forms a part.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of our Securities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intend to apply to list our units, shares of common stock, rights and warrants on Nasdaq under the symbols “VTAQU,” “VTAQ,” “VTAQR” and “VTAQW,” respectively. We expect that our units will be listed on Nasdaq on or promptly after the effective date of the registration statement. Following the date that our shares of common stock, rights and warrants are eligible to trade separately, we anticipate that our shares of common stock, rights and warrants will be listed separately and as a unit on Nasdaq. We cannot guarantee that our securities will continue to be listed on Nasdaq after this offering.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have granted the underwriters an option to buy up to 2,250,000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Units sold by the underwriters to the public will initially be offered at the offering price set forth on the cover of this prospectus. Any units sold by the underwriters to securities dealers may be sold at a discount of up to $[•] per unit from the public offering price. Any of these securities dealers may resell any units purchased from the underwriters to other brokers or dealers at a discount of up to $[•] per unit from the public offering price. If all of the units are not sold at the initial public offering price, the representative may change the offering price and the other selling terms. Upon execution of the underwriting agreement, the underwriters will be obligated to purchase the units at the prices and upon the terms stated therein, and, as a result, will thereafter bear any risk associated with changing the offering price to the public or other selling terms.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agreed to reimburse the underwriters for accountable out-of-pocket expenses up to an aggregate amount of $200,000, including, but not limited to, travel, due diligence expenses, reasonable fees and expenses of its legal counsel, accountable roadshow expenses, background checks on our principal shareholders, directors and officers and fees and expenses related to the review by FINRA (not to exceed $26,375).</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also agreed to provide Chardan Capital Markets, LLC with a right of first refusal to participate as lead book running manager for any public or private securities offerings for a period of eighteen (18) months following the consummation of our initial business combination, with at least 30% of the economics for any such offering. In accordance with FINRA Rule 5110(g)(6), such right of first refusal shall not have a duration of more than three years from the effective date of the registration statement of which this prospectus forms a part.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unit and total underwriting discounts and commissions we will pay to the underwriters assuming both no exercise and full exercise of the underwriters’ over-allotment option to purchase up to an additional 2,250,000 units.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Without</w:t>
            </w:r>
          </w:p>
        </w:tc>
        <w:tc>
          <w:tcPr>
            <w:tcW w:w="100" w:type="dxa"/>
            <w:vAlign w:val="bottom"/>
          </w:tcPr>
          <w:p>
            <w:pPr>
              <w:spacing w:after="0"/>
              <w:rPr>
                <w:sz w:val="17"/>
                <w:szCs w:val="17"/>
                <w:color w:val="auto"/>
              </w:rPr>
            </w:pP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With</w:t>
            </w:r>
          </w:p>
        </w:tc>
      </w:tr>
      <w:tr>
        <w:trPr>
          <w:trHeight w:val="212"/>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Per Unit</w:t>
            </w:r>
          </w:p>
        </w:tc>
        <w:tc>
          <w:tcPr>
            <w:tcW w:w="6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Over-allotment</w:t>
            </w:r>
          </w:p>
        </w:tc>
        <w:tc>
          <w:tcPr>
            <w:tcW w:w="1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9"/>
              </w:rPr>
              <w:t>Over-allotment</w:t>
            </w:r>
          </w:p>
        </w:tc>
      </w:tr>
      <w:tr>
        <w:trPr>
          <w:trHeight w:val="47"/>
        </w:trPr>
        <w:tc>
          <w:tcPr>
            <w:tcW w:w="43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172,500,000</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Discount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3,450,000</w:t>
            </w:r>
          </w:p>
        </w:tc>
      </w:tr>
      <w:tr>
        <w:trPr>
          <w:trHeight w:val="40"/>
        </w:trPr>
        <w:tc>
          <w:tcPr>
            <w:tcW w:w="4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8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169,050,000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offering expenses are estimated at $500,000.</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a business combination marketing agreement, dated as of the date of this prospectus, we have engaged Chardan Capital Markets, LLC as an advisor in connection with our initial business combination to assist us in holding meetings with our stockholders to discuss the potential business combination and the target business’s attributes, introduce us to potential investors that are interested in purchasing our securities in connection with the potential business combination, assist us in obtaining stockholder approval for the business combination and assist us with our press releases and public filings in connection with the business combination. We will pay Chardan Capital Markets, LLC a marketing fee for such services upon the consummation of our initial business combination in an amount equal to, in the aggregate, 3.5% of the gross proceeds of this offering, including any proceeds from the full or partial exercise of the underwriters’ over-allotment option. As a result, Chardan Capital Markets, LLC will not be entitled to such fee unless we consummate our initial business combination. A copy of the form of business combination marketing agreement has been filed as an exhibit to the registration statement of which this prospectus forms a part.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Pricing of Securities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have been advised by the representative of the underwriters that the underwriters propose to offer the units to the public at the offering price set forth on the cover page of this prospectus.</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any of our securities. The public offering price of the units and the terms of the rights and warrants were negotiated between us and the representative. Factors considered in determining the prices and terms of the units, including the shares of common stock, rights and warrants underlying the units, include:</w:t>
      </w:r>
    </w:p>
    <w:p>
      <w:pPr>
        <w:spacing w:after="0" w:line="112" w:lineRule="exact"/>
        <w:rPr>
          <w:sz w:val="20"/>
          <w:szCs w:val="20"/>
          <w:color w:val="auto"/>
        </w:rPr>
      </w:pPr>
    </w:p>
    <w:p>
      <w:pPr>
        <w:ind w:left="1320" w:right="479" w:hanging="434"/>
        <w:spacing w:after="0" w:line="282" w:lineRule="auto"/>
        <w:tabs>
          <w:tab w:leader="none" w:pos="158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amount of net proceeds being placed into the trust account;</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and their experience in identifying operating companies;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the offering;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144" w:lineRule="exact"/>
        <w:rPr>
          <w:sz w:val="20"/>
          <w:szCs w:val="20"/>
          <w:color w:val="auto"/>
        </w:rPr>
      </w:pPr>
    </w:p>
    <w:p>
      <w:pPr>
        <w:jc w:val="both"/>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Regulatory Restrictions on Purchase of Securities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Rules of the SEC may limit the ability of the underwriters to bid for or purchase our units before the distribution of the units is completed. However, the underwriters may engage in the following activities in accordance with the rules:</w:t>
      </w:r>
    </w:p>
    <w:p>
      <w:pPr>
        <w:spacing w:after="0" w:line="108" w:lineRule="exact"/>
        <w:rPr>
          <w:sz w:val="20"/>
          <w:szCs w:val="20"/>
          <w:color w:val="auto"/>
        </w:rPr>
      </w:pPr>
    </w:p>
    <w:p>
      <w:pPr>
        <w:jc w:val="both"/>
        <w:ind w:left="1320" w:right="459" w:hanging="434"/>
        <w:spacing w:after="0" w:line="266" w:lineRule="auto"/>
        <w:tabs>
          <w:tab w:leader="none" w:pos="152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Stabilizing Transactions</w:t>
      </w:r>
      <w:r>
        <w:rPr>
          <w:rFonts w:ascii="Times New Roman" w:cs="Times New Roman" w:eastAsia="Times New Roman" w:hAnsi="Times New Roman"/>
          <w:sz w:val="18"/>
          <w:szCs w:val="18"/>
          <w:color w:val="auto"/>
        </w:rPr>
        <w:t>. The underwriters may make bids or purchases for the purpose of preventing or retarding a decline in the price of our units, as long as stabilizing bids do not exceed the offering price of $10.00 and the underwriters comply with all other applicable rules.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47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Over-Allotments and Syndicate Coverage Transactions</w:t>
      </w:r>
      <w:r>
        <w:rPr>
          <w:rFonts w:ascii="Times New Roman" w:cs="Times New Roman" w:eastAsia="Times New Roman" w:hAnsi="Times New Roman"/>
          <w:sz w:val="18"/>
          <w:szCs w:val="18"/>
          <w:color w:val="auto"/>
        </w:rPr>
        <w:t>. The underwriters may create a short position in our units by selling more of our 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113"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Penalty Bids</w:t>
      </w:r>
      <w:r>
        <w:rPr>
          <w:rFonts w:ascii="Times New Roman" w:cs="Times New Roman" w:eastAsia="Times New Roman" w:hAnsi="Times New Roman"/>
          <w:sz w:val="18"/>
          <w:szCs w:val="18"/>
          <w:color w:val="auto"/>
        </w:rPr>
        <w:t>. The representative may reclaim a selling concession from a syndicate member when the units originally sold by the syndicate member are purchased in a stabilizing or syndicate covering transaction to cover syndicate short positions.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Neither we nor the underwriters make any representation or prediction as to the effect that the transactions described above may have on the price of our securities. These transactions may occur on Nasdaq, in the over-the-counter market or on any trading market. If any of these transactions are commenced, they may be discontinued without notice at any time.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Chardan Investments, our co-sponsor, is an affiliate of Chardan Capital Markets, LLC, the representative of the underwriters in this offering, and Messrs. Grossman and Weil are affiliated with Chardan Capital Markets, LLC. As a result, Chardan Capital Markets, LLC is deemed to have a “conflict of interest” within the meaning of Rule 5121.</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Accordingly, this offering is being made in compliance with the applicable requirements of Rule 5121. Rule 5121 requires that a “qualified independent underwriter,” as defined in Rule 5121, participate in the preparation of the registration statement and prospectus and exercise the usual standards of due diligence with respect thereto. B. Riley Securities, Inc. has agreed to act as a “qualified independent underwriter” for this offering. B. Riley Securities, Inc. will receive $100,000 for acting as a qualified independent underwriter. We have agreed to indemnify B. Riley Securities,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Terms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Except as set forth above, including with respect to the business combination marketing agreement,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5" w:name="page106"/>
    <w:bookmarkEnd w:id="10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16"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Chardan Investments, an entity affiliated with Jonas Grossman and Chardan Capital Markets, LLC, has committed to purchase from us an aggregate of 2,000,000 warrants (or 2,225,000 if the over-allotment option is exercised in full) at $1.00 per private warrant for a total purchase price of $2,000,000 (or $2,225,000 if the over-allotment option is exercised in full). Each private warrant is exercisable for one share of common stock at an exercise price of $11.50 per share. These purchases will take place on a private placement basis simultaneously with the consummation of this offering.</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private warrants and the shares that are issuable upon exercise of the private warrants have been deemed compensation by FINRA and are therefore subject to a 180-day lock-up pursuant to FINRA Rule 5110(e)(1) commencing on the effective date of the registration statement of which this prospectus forms a part. Pursuant to FINRA Rule 5110(e)(1), these securities will not be sold during the offering, or sold, transferred, assigned, pledged, or hypothecated, or be the subject of any hedging, short sale, derivative, put or call transaction that would result in the economic disposition of the securities by any person for a period of 180 days immediately following the effective date of the registration statement of which this prospectus forms a part or commencement of sales of the public offering, except to any underwriter and selected dealer participating in the offering and their bona fide officers or partners, provided that all securities so transferred remain subject to the lockup restriction above for the remainder of the time period. We have granted the holders of private warrants the registration rights as described under the section “Securities Eligible for Future Sale — Registration and Stockholder Rights.”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some liabilities, including civil liabilities under the Securities Act, or to contribute to payments the underwriters may be required to make in this respect.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Resale Restrictions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Representations of Purchasers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 Canadian purchaser will be required to represent to us and the dealer from whom the purchase confirmation is received that:</w:t>
      </w:r>
    </w:p>
    <w:p>
      <w:pPr>
        <w:spacing w:after="0" w:line="54" w:lineRule="exact"/>
        <w:rPr>
          <w:sz w:val="20"/>
          <w:szCs w:val="20"/>
          <w:color w:val="auto"/>
        </w:rPr>
      </w:pPr>
    </w:p>
    <w:p>
      <w:pPr>
        <w:ind w:left="1320" w:right="459" w:hanging="434"/>
        <w:spacing w:after="0" w:line="282" w:lineRule="auto"/>
        <w:tabs>
          <w:tab w:leader="none" w:pos="152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entitled under applicable provincial securities laws to purchase our securities without the benefit of a prospectus qualified under those securities laws;</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that the purchaser is purchasing as principal and not as agent;</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 and</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9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and consents to the provision of specified information concerning its purchase of our securities to the regulatory authority that by law is entitled to collect the information.</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6" w:name="page107"/>
    <w:bookmarkEnd w:id="10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Rights of Action — Ontario Purchasers Only</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Enforcement of Legal Rights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Collection of Personal Information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Loeb &amp; Loeb LLP, is acting as United States counsel in connection with the registration of our securities under the Securities Act and will pass on the validity of the securities offered in the prospectus. Greenberg Traurig, LLP, is acting as counsel for the underwriters in this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financial statements of Ventoux CCM Acquisition Corp. as of December 31, 2019, and for the period from July 10, 2019 (inception) through December 31, 2019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which contains the Form S-1 and other reports, proxy and information statements and information regarding issuers that file electronically with the SEC.</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8" w:name="page109"/>
    <w:bookmarkEnd w:id="10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1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744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10">
              <w:r>
                <w:rPr>
                  <w:rFonts w:ascii="Times New Roman" w:cs="Times New Roman" w:eastAsia="Times New Roman" w:hAnsi="Times New Roman"/>
                  <w:sz w:val="18"/>
                  <w:szCs w:val="18"/>
                  <w:u w:val="single" w:color="auto"/>
                  <w:color w:val="0000EE"/>
                </w:rPr>
                <w:t>Report of Independent Registered Public Accounting Firm</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F-2</w:t>
            </w:r>
          </w:p>
        </w:tc>
      </w:tr>
      <w:tr>
        <w:trPr>
          <w:trHeight w:val="283"/>
        </w:trPr>
        <w:tc>
          <w:tcPr>
            <w:tcW w:w="7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3"/>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6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Balance Sheets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F-3</w:t>
            </w:r>
          </w:p>
        </w:tc>
      </w:tr>
      <w:tr>
        <w:trPr>
          <w:trHeight w:val="40"/>
        </w:trPr>
        <w:tc>
          <w:tcPr>
            <w:tcW w:w="74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3"/>
        </w:trPr>
        <w:tc>
          <w:tcPr>
            <w:tcW w:w="744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Statements of Operations</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F-4</w:t>
            </w:r>
          </w:p>
        </w:tc>
      </w:tr>
      <w:tr>
        <w:trPr>
          <w:trHeight w:val="243"/>
        </w:trPr>
        <w:tc>
          <w:tcPr>
            <w:tcW w:w="7440" w:type="dxa"/>
            <w:vAlign w:val="bottom"/>
          </w:tcPr>
          <w:p>
            <w:pPr>
              <w:spacing w:after="0"/>
              <w:rPr>
                <w:rFonts w:ascii="Times New Roman" w:cs="Times New Roman" w:eastAsia="Times New Roman" w:hAnsi="Times New Roman"/>
                <w:sz w:val="18"/>
                <w:szCs w:val="18"/>
                <w:u w:val="single" w:color="auto"/>
                <w:color w:val="0000EE"/>
              </w:rPr>
            </w:pPr>
            <w:hyperlink w:anchor="page113">
              <w:r>
                <w:rPr>
                  <w:rFonts w:ascii="Times New Roman" w:cs="Times New Roman" w:eastAsia="Times New Roman" w:hAnsi="Times New Roman"/>
                  <w:sz w:val="18"/>
                  <w:szCs w:val="18"/>
                  <w:u w:val="single" w:color="auto"/>
                  <w:color w:val="0000EE"/>
                </w:rPr>
                <w:t>Statements of Changes in Stockholder’s Equity</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F-5</w:t>
            </w:r>
          </w:p>
        </w:tc>
      </w:tr>
      <w:tr>
        <w:trPr>
          <w:trHeight w:val="40"/>
        </w:trPr>
        <w:tc>
          <w:tcPr>
            <w:tcW w:w="74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4"/>
        </w:trPr>
        <w:tc>
          <w:tcPr>
            <w:tcW w:w="744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14">
              <w:r>
                <w:rPr>
                  <w:rFonts w:ascii="Times New Roman" w:cs="Times New Roman" w:eastAsia="Times New Roman" w:hAnsi="Times New Roman"/>
                  <w:sz w:val="18"/>
                  <w:szCs w:val="18"/>
                  <w:u w:val="single" w:color="auto"/>
                  <w:color w:val="0000EE"/>
                </w:rPr>
                <w:t>Statements of Cash Flows</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F-6</w:t>
            </w:r>
          </w:p>
        </w:tc>
      </w:tr>
      <w:tr>
        <w:trPr>
          <w:trHeight w:val="243"/>
        </w:trPr>
        <w:tc>
          <w:tcPr>
            <w:tcW w:w="7440" w:type="dxa"/>
            <w:vAlign w:val="bottom"/>
          </w:tcPr>
          <w:p>
            <w:pPr>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Notes to Financial Statements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F-7</w:t>
            </w:r>
          </w:p>
        </w:tc>
      </w:tr>
      <w:tr>
        <w:trPr>
          <w:trHeight w:val="432"/>
        </w:trPr>
        <w:tc>
          <w:tcPr>
            <w:tcW w:w="7440" w:type="dxa"/>
            <w:vAlign w:val="bottom"/>
            <w:tcBorders>
              <w:bottom w:val="single" w:sz="8" w:color="auto"/>
            </w:tcBorders>
          </w:tcPr>
          <w:p>
            <w:pPr>
              <w:ind w:left="3920"/>
              <w:spacing w:after="0"/>
              <w:rPr>
                <w:sz w:val="20"/>
                <w:szCs w:val="20"/>
                <w:color w:val="auto"/>
              </w:rPr>
            </w:pPr>
            <w:r>
              <w:rPr>
                <w:rFonts w:ascii="Times New Roman" w:cs="Times New Roman" w:eastAsia="Times New Roman" w:hAnsi="Times New Roman"/>
                <w:sz w:val="18"/>
                <w:szCs w:val="18"/>
                <w:color w:val="auto"/>
              </w:rPr>
              <w:t>F-1</w:t>
            </w: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 and the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balance sheet of Ventoux CCM Acquisition Corp. (the “Company”) as of December 31, 2019, the related statements of operations, changes in stockholder’s equity and cash flows for the period from July 10, 2019 (inception) through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July 10, 2019 (inception) through December 31, 2019, in conformity with accounting principles generally accepted in the United States of America.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16, 2020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(audited)</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 –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65,640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111,843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177,483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0" w:type="dxa"/>
            <w:vAlign w:val="bottom"/>
          </w:tcPr>
          <w:p>
            <w:pPr>
              <w:spacing w:after="0"/>
              <w:rPr>
                <w:sz w:val="1"/>
                <w:szCs w:val="1"/>
                <w:color w:val="auto"/>
              </w:rPr>
            </w:pPr>
          </w:p>
        </w:tc>
      </w:tr>
      <w:tr>
        <w:trPr>
          <w:trHeight w:val="271"/>
        </w:trPr>
        <w:tc>
          <w:tcPr>
            <w:tcW w:w="56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 – accrued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153,018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154,018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1,450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225425</wp:posOffset>
            </wp:positionV>
            <wp:extent cx="5143500" cy="1803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54" w:lineRule="exact"/>
        <w:rPr>
          <w:sz w:val="20"/>
          <w:szCs w:val="20"/>
          <w:color w:val="auto"/>
        </w:rPr>
      </w:pPr>
    </w:p>
    <w:p>
      <w:pPr>
        <w:ind w:left="820" w:right="80" w:hanging="179"/>
        <w:spacing w:after="0" w:line="274" w:lineRule="auto"/>
        <w:rPr>
          <w:sz w:val="20"/>
          <w:szCs w:val="20"/>
          <w:color w:val="auto"/>
        </w:rPr>
      </w:pPr>
      <w:r>
        <w:rPr>
          <w:rFonts w:ascii="Times New Roman" w:cs="Times New Roman" w:eastAsia="Times New Roman" w:hAnsi="Times New Roman"/>
          <w:sz w:val="18"/>
          <w:szCs w:val="18"/>
          <w:color w:val="auto"/>
        </w:rPr>
        <w:t>Common stock, $0.0001 par value; 5,000,000 shares authorized; 4,312,500 shares issued and outstanding</w:t>
      </w:r>
      <w:r>
        <w:rPr>
          <w:rFonts w:ascii="Times New Roman" w:cs="Times New Roman" w:eastAsia="Times New Roman" w:hAnsi="Times New Roman"/>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-4445</wp:posOffset>
            </wp:positionV>
            <wp:extent cx="5143500"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60" w:hanging="1341"/>
        <w:spacing w:after="0"/>
        <w:tabs>
          <w:tab w:leader="none" w:pos="2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w:t>
      </w:r>
    </w:p>
    <w:p>
      <w:pPr>
        <w:spacing w:after="0" w:line="76"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24,569</w:t>
      </w:r>
      <w:r>
        <w:rPr>
          <w:rFonts w:ascii="Times New Roman" w:cs="Times New Roman" w:eastAsia="Times New Roman" w:hAnsi="Times New Roman"/>
          <w:sz w:val="17"/>
          <w:szCs w:val="17"/>
          <w:color w:val="auto"/>
        </w:rPr>
        <w:t>24,569</w:t>
      </w:r>
    </w:p>
    <w:p>
      <w:pPr>
        <w:spacing w:after="0" w:line="76"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(1,535)</w:t>
      </w:r>
      <w:r>
        <w:rPr>
          <w:rFonts w:ascii="Times New Roman" w:cs="Times New Roman" w:eastAsia="Times New Roman" w:hAnsi="Times New Roman"/>
          <w:sz w:val="17"/>
          <w:szCs w:val="17"/>
          <w:color w:val="auto"/>
        </w:rPr>
        <w:t>(1,450)</w:t>
      </w:r>
    </w:p>
    <w:p>
      <w:pPr>
        <w:spacing w:after="0" w:line="86" w:lineRule="exact"/>
        <w:rPr>
          <w:sz w:val="20"/>
          <w:szCs w:val="20"/>
          <w:color w:val="auto"/>
        </w:rPr>
      </w:pPr>
    </w:p>
    <w:p>
      <w:pPr>
        <w:ind w:left="50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23,465</w:t>
      </w:r>
      <w:r>
        <w:rPr>
          <w:sz w:val="20"/>
          <w:szCs w:val="20"/>
          <w:color w:val="auto"/>
        </w:rPr>
        <w:tab/>
      </w:r>
      <w:r>
        <w:rPr>
          <w:rFonts w:ascii="Times New Roman" w:cs="Times New Roman" w:eastAsia="Times New Roman" w:hAnsi="Times New Roman"/>
          <w:sz w:val="18"/>
          <w:szCs w:val="18"/>
          <w:b w:val="1"/>
          <w:bCs w:val="1"/>
          <w:color w:val="auto"/>
        </w:rPr>
        <w:t>23,550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36830</wp:posOffset>
            </wp:positionV>
            <wp:extent cx="1482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57" w:lineRule="exact"/>
        <w:rPr>
          <w:sz w:val="20"/>
          <w:szCs w:val="20"/>
          <w:color w:val="auto"/>
        </w:rPr>
      </w:pPr>
    </w:p>
    <w:p>
      <w:pPr>
        <w:spacing w:after="0"/>
        <w:tabs>
          <w:tab w:leader="none" w:pos="380" w:val="left"/>
          <w:tab w:leader="none" w:pos="1200" w:val="left"/>
          <w:tab w:leader="none" w:pos="18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177,483</w:t>
        <w:tab/>
        <w:t>$</w:t>
      </w:r>
      <w:r>
        <w:rPr>
          <w:sz w:val="20"/>
          <w:szCs w:val="20"/>
          <w:color w:val="auto"/>
        </w:rPr>
        <w:tab/>
      </w:r>
      <w:r>
        <w:rPr>
          <w:rFonts w:ascii="Times New Roman" w:cs="Times New Roman" w:eastAsia="Times New Roman" w:hAnsi="Times New Roman"/>
          <w:sz w:val="17"/>
          <w:szCs w:val="17"/>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148272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82725" cy="2540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5360" w:space="720"/>
            <w:col w:w="293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jc w:val="both"/>
        <w:ind w:left="880" w:right="479" w:hanging="426"/>
        <w:spacing w:after="0" w:line="276" w:lineRule="auto"/>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up to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1" w:name="page112"/>
    <w:bookmarkEnd w:id="11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July 10,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July 10,</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2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1"/>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(audited)</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43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r>
              <w:rPr>
                <w:rFonts w:ascii="Times New Roman" w:cs="Times New Roman" w:eastAsia="Times New Roman" w:hAnsi="Times New Roman"/>
                <w:sz w:val="20"/>
                <w:szCs w:val="20"/>
                <w:color w:val="auto"/>
                <w:vertAlign w:val="superscript"/>
              </w:rPr>
              <w:t>(1)</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vMerge w:val="restart"/>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1"/>
        </w:trPr>
        <w:tc>
          <w:tcPr>
            <w:tcW w:w="4360" w:type="dxa"/>
            <w:vAlign w:val="bottom"/>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jc w:val="both"/>
        <w:ind w:left="880" w:right="459" w:hanging="426"/>
        <w:spacing w:after="0" w:line="276" w:lineRule="auto"/>
        <w:tabs>
          <w:tab w:leader="none" w:pos="88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an aggregate of up to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2" w:name="page113"/>
    <w:bookmarkEnd w:id="11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1760" w:type="dxa"/>
            <w:vAlign w:val="bottom"/>
            <w:gridSpan w:val="6"/>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7"/>
                <w:szCs w:val="17"/>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77"/>
        </w:trPr>
        <w:tc>
          <w:tcPr>
            <w:tcW w:w="3280" w:type="dxa"/>
            <w:vAlign w:val="bottom"/>
          </w:tcPr>
          <w:p>
            <w:pPr>
              <w:spacing w:after="0"/>
              <w:rPr>
                <w:sz w:val="6"/>
                <w:szCs w:val="6"/>
                <w:color w:val="auto"/>
              </w:rPr>
            </w:pPr>
          </w:p>
        </w:tc>
        <w:tc>
          <w:tcPr>
            <w:tcW w:w="1760" w:type="dxa"/>
            <w:vAlign w:val="bottom"/>
            <w:gridSpan w:val="6"/>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6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47"/>
        </w:trPr>
        <w:tc>
          <w:tcPr>
            <w:tcW w:w="32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60" w:type="dxa"/>
            <w:vAlign w:val="bottom"/>
            <w:gridSpan w:val="5"/>
            <w:vMerge w:val="continue"/>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3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60" w:type="dxa"/>
            <w:vAlign w:val="bottom"/>
            <w:gridSpan w:val="5"/>
            <w:vMerge w:val="continue"/>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2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47"/>
        </w:trPr>
        <w:tc>
          <w:tcPr>
            <w:tcW w:w="32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July 10, 2019 (inception)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to Initial</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20"/>
                <w:szCs w:val="20"/>
                <w:color w:val="auto"/>
                <w:vertAlign w:val="superscript"/>
              </w:rPr>
              <w:t>(1)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4,312,500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24,569</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32"/>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2019 (audited)</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4,312,500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24,569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23,550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3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74"/>
        </w:trPr>
        <w:tc>
          <w:tcPr>
            <w:tcW w:w="32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 September 30, 2020</w:t>
            </w: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4,312,500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24,569</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(1,535</w:t>
            </w: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23,465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jc w:val="both"/>
        <w:ind w:left="880" w:right="459" w:hanging="426"/>
        <w:spacing w:after="0" w:line="276" w:lineRule="auto"/>
        <w:tabs>
          <w:tab w:leader="none" w:pos="972"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 from</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July 10,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July 10,</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40" w:type="dxa"/>
            <w:vAlign w:val="bottom"/>
          </w:tcPr>
          <w:p>
            <w:pPr>
              <w:spacing w:after="0"/>
              <w:rPr>
                <w:sz w:val="17"/>
                <w:szCs w:val="17"/>
                <w:color w:val="auto"/>
              </w:rPr>
            </w:pP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(inception)</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Through</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Through</w:t>
            </w:r>
          </w:p>
        </w:tc>
      </w:tr>
      <w:tr>
        <w:trPr>
          <w:trHeight w:val="203"/>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40" w:type="dxa"/>
            <w:vAlign w:val="bottom"/>
          </w:tcPr>
          <w:p>
            <w:pPr>
              <w:spacing w:after="0"/>
              <w:rPr>
                <w:sz w:val="18"/>
                <w:szCs w:val="18"/>
                <w:color w:val="auto"/>
              </w:rPr>
            </w:pPr>
          </w:p>
        </w:tc>
      </w:tr>
      <w:tr>
        <w:trPr>
          <w:trHeight w:val="47"/>
        </w:trPr>
        <w:tc>
          <w:tcPr>
            <w:tcW w:w="4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4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(unaudited)</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6"/>
        </w:trPr>
        <w:tc>
          <w:tcPr>
            <w:tcW w:w="4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(1,450)</w:t>
            </w:r>
          </w:p>
        </w:tc>
      </w:tr>
      <w:tr>
        <w:trPr>
          <w:trHeight w:val="40"/>
        </w:trPr>
        <w:tc>
          <w:tcPr>
            <w:tcW w:w="4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1,450</w:t>
            </w:r>
          </w:p>
        </w:tc>
      </w:tr>
      <w:tr>
        <w:trPr>
          <w:trHeight w:val="27"/>
        </w:trPr>
        <w:tc>
          <w:tcPr>
            <w:tcW w:w="4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7"/>
        </w:trPr>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to Initial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25,000</w:t>
            </w:r>
          </w:p>
        </w:tc>
      </w:tr>
      <w:tr>
        <w:trPr>
          <w:trHeight w:val="40"/>
        </w:trPr>
        <w:tc>
          <w:tcPr>
            <w:tcW w:w="4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promissory notes – related party</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(103,825)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41,175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25,000</w:t>
            </w:r>
          </w:p>
        </w:tc>
      </w:tr>
      <w:tr>
        <w:trPr>
          <w:trHeight w:val="232"/>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40,640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40" w:type="dxa"/>
            <w:vAlign w:val="bottom"/>
          </w:tcPr>
          <w:p>
            <w:pPr>
              <w:spacing w:after="0"/>
              <w:rPr>
                <w:sz w:val="20"/>
                <w:szCs w:val="20"/>
                <w:color w:val="auto"/>
              </w:rPr>
            </w:pPr>
          </w:p>
        </w:tc>
      </w:tr>
      <w:tr>
        <w:trPr>
          <w:trHeight w:val="32"/>
        </w:trPr>
        <w:tc>
          <w:tcPr>
            <w:tcW w:w="4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83"/>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2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65,640</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40" w:type="dxa"/>
            <w:vAlign w:val="bottom"/>
            <w:tcBorders>
              <w:bottom w:val="single" w:sz="8" w:color="CCEEFF"/>
            </w:tcBorders>
          </w:tcPr>
          <w:p>
            <w:pPr>
              <w:spacing w:after="0"/>
              <w:rPr>
                <w:sz w:val="24"/>
                <w:szCs w:val="24"/>
                <w:color w:val="auto"/>
              </w:rPr>
            </w:pPr>
          </w:p>
        </w:tc>
      </w:tr>
      <w:tr>
        <w:trPr>
          <w:trHeight w:val="270"/>
        </w:trPr>
        <w:tc>
          <w:tcPr>
            <w:tcW w:w="4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4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offering costs paid through promissory note –</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5"/>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Ventoux CCM Acquisition Corp. (formerly known as Chardan Global Acquisition Corp.) (the “Company”) was incorporated in Delaware on July 10, 2019. The Company was formed for the purpose of entering into a merger, share exchange, asset acquisition, stock purchase, recapitalization, reorganization or other similar business transaction with one or more businesses or entities that the Company has not yet identified (a “Business Combination”).</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September 30, 2020 (unaudited) and December 31, 2019, the Company had not commenced any operations. All activity through September 30, 2020 relates to the Company’s formation and the proposed initial public offering (“Proposed Public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Company’s ability to commence operations is contingent upon obtaining adequate financial resources through a Proposed Public Offering of 15,000,000 units at $10.00 per unit (or 17,250,000 units if the underwriters’ over-allotment option is exercised in full) (the “Units”), which is discussed in Note 3, and the sale of 6,000,000 warrants (or 6,675,000 warrants if the underwriters’ over-allotment option is exercised in full) (the “Private Warrants”), at a price of $1.00 per warrant, in a private placement to Ventoux Acquisition Holdings LLC (“Ventoux Acquisition”), the co-sponsor and an affiliate of certain of the Company’s directors, and Chardan International Investments, LLC (“Chardan Investments”), the co-sponsor and an affiliate of certain of the Company’s directors of Chardan Capital Markets, LLC, that will close simultaneously with the Proposed Public Offering.</w:t>
      </w:r>
    </w:p>
    <w:p>
      <w:pPr>
        <w:spacing w:after="0" w:line="121"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Proposed Public Offering and the sale of the Private Warrants,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(as defined below) (net of amounts previously released to the Company to pay its tax obligations)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There is no assurance that the Company will be able to successfully effect a Business Combination. Upon the closing of the Proposed Public Offering, management has agreed that $10.10 per Unit sold in the Proposed Public Offering and the proceeds from the sale of the Private Warrants will be held in a trust account (“Trust Account”) and invested in U.S. government securities, within the meaning set forth in Section 2(a)(16) of the Investment Company Act of 1940, as amended (the “Investment Company Act”), with a maturity of 183 days or less or in any open-ended investment company that holds itself out as a money market fund meeting the conditions of Rule 2a-7 of the Investment Company Act, as determined by the Company, until the earlier of:</w:t>
      </w:r>
    </w:p>
    <w:p>
      <w:pPr>
        <w:spacing w:after="0" w:line="10" w:lineRule="exact"/>
        <w:rPr>
          <w:sz w:val="20"/>
          <w:szCs w:val="20"/>
          <w:color w:val="auto"/>
        </w:rPr>
      </w:pPr>
    </w:p>
    <w:p>
      <w:pPr>
        <w:ind w:left="460" w:right="479" w:hanging="6"/>
        <w:spacing w:after="0" w:line="260" w:lineRule="auto"/>
        <w:tabs>
          <w:tab w:leader="none" w:pos="69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Business Combination or (ii) the distribution of the funds in the Trust Account as described below.</w:t>
      </w:r>
    </w:p>
    <w:p>
      <w:pPr>
        <w:spacing w:after="0" w:line="11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will provide its stockholders with the opportunity to redeem all or a portion of their shares included in the Units sold in the Proposed Public Offering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Company may require stockholders to vote for or against the Business Combination to be able to redeem their shares, and stockholders who do not vote, or who abstain from voting, on the Business Combination will not be able to redeem their shares. The stockholders will be entitled to redeem their shares for a pro rata portion of the amount then on deposit in the Trust Account (initially approximately $10.10 per share, plus any pro rata interest earned on the funds held in the Trust Account and not previously released to the Company to pay its tax obligations). There will be no redemption rights upon the completion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5" w:name="page116"/>
    <w:bookmarkEnd w:id="11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of a Business Combination with respect to the Company’s rights or warrants. The common stock subject to redemption will be recorded at a redemption value and classified as temporary equity upon the completion of the Proposed Public Offering, in accordance with Accounting Standards Codification (“ASC”) Topic 480 “Distinguishing Liabilities from Equity.”</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Ventoux Acquisition, Chardan Investments and any other initial stockholders of the Company’s common stock prior to the Proposed Public Offering (collectively, the “Initial Stockholders”) have agreed to (a) vote their Founder Shares (as defined in Note 5) and any Public Shares held by them in favor of a Business Combination and (b) not to convert any shares (including Founder Shares)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Company seeks stockholder approval of a Business Combination and the Company does not conduct redemptions pursuant to the tender offer rules, a stockholder, together with any affiliate of such stockholder or any other person with whom such stockholder is acting in concert or as a “group” (as defined in Section 13(d)(3) of the Securities Exchange Act of 1934, as amended (the “Exchange Act”)), will be restricted from redeeming their shares with respect to more than an aggregate of 20% of the Public Shares.</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will have until 15 months from the closing of the Proposed Public Offering to consummate a Business Combination. However, if the Company anticipates that it may not be able to consummate a Business Combination within 15 months, the Company may extend the period of time to consummate a Business Combination one time by an additional three months (for a total of 18 months to complete a Business Combination) (the “Combination Period”). In order to extend the time available for the Company to consummate a Business Combination, the Initial Stockholders or their affiliates or designees must deposit into the Trust Account $1,500,000, or $1,725,000 if the underwriters’ over-allotment option is exercised in full ($0.10 per Public Share in either case), on or prior to the date of the applicable deadline.</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The proceeds deposited in the Trust Account could, however, become subject to claims of creditors.</w:t>
      </w:r>
    </w:p>
    <w:p>
      <w:pPr>
        <w:spacing w:after="0" w:line="11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Initial Stockholders have agreed to (i) waive their redemption rights with respect to Founder Shares and any Public Shares they may acquire during or after the Proposed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hanging="6"/>
        <w:spacing w:after="0" w:line="256" w:lineRule="auto"/>
        <w:tabs>
          <w:tab w:leader="none" w:pos="79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order to protect the amounts held in the Trust Account, certain affiliates of the Initial Stockholders (the “Insiders”)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Insiders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Going Concern Consideration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“Disclosures of Uncertainties about an Entity’s Ability to Continue as a Going Concern,” management has determined that the Company has access to funds from the co-sponsors that are sufficient to fund the working capital needs of the Company until the earlier of the consummation of the Proposed Public Offering or one year from the issuance of these financial statements.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accompanying unaudited financial statements as of and for the nine months ended September 30, 2020 have been prepared in accordance with GAAP for interim financial information and Article 8 of Regulation S-X. In the opinion of management of the Company, all adjustment (consisting of normal accruals) considered for a fair presentation have been included. Operating results for the nine months ended September 30, 2020 are not necessarily indicative of the results that may be expected for the year ending December 31, 2020.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September 30, 2020 and December 31, 2019.</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Deferred offering costs consist of legal, accounting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2020 and December 31, 2019. The Company is currently not aware of any issues under review that could result in significant payments, accruals or material deviation from its position.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deemed to be de minimis for the nine months ended September 30, 2020, for the period from July 10, 2019 (inception) through September 30, 2019 and for the period from July 10, 2019 (inception) through December 31, 2019.</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Per Common Share</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Net loss per share is computed by dividing net loss by the weighted average number of shares of common stock outstanding during the period, excluding shares of common stock subject to forfeiture. Weighted average shares were reduced for the effect of an aggregate of 562,500 shares of common stock that are subject to forfeiture if the over-allotment option is not exercised by the underwriters (see Note 5). At September 30, 2020 and September 30, 2019 and December 31, 2019, the Company did not have any dilutive securities or other contracts that could, potentially, be exercised or converted into shares of common stock and then share in the earnings of the Company. As a result, diluted loss per share is the same as basic loss per share for the periods presented.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At September 30, 2020 and December 31, 2019, the Company has not experienced losses on this account and management believes the Company is not exposed to significant risks on such account.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820, “Fair Value Measurement,” approximates the carrying amounts represented in the accompanying balance sheets, primarily due to their short-term nature.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Public Offering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Pursuant to the Proposed Public Offering, the Company will offer for sale 15,000,000 Units (or 17,250,000 Units if the underwriters’ over-allotment option is exercised in full), at a purchase price of $10.00 per Unit. Each Unit will consist of one share of common stock, one right to receive one-twentieth (1/20) of one share of common stock upon the consummation of a Business Combination and one warrant (“Public Warrant”). Each Public Warrant entitles the holder to purchase one-half of one share of common stock at an exercise price of $11.50 per share (see Note 7).</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Proposed Public Offering, Ventoux Acquisition and Chardan Investments have to committed to an investment in the Private Warrants. Ventoux Acquisition has committed to purchase an aggregate of 4,000,000 Private Warrants (or 4,450,000 Private Warrants if the over-allotment option is exercised in full), and Chardan Investments has committed to purchase an aggregate of 2,000,000 Private Warrants (or 2,225,000 Private Warrants if the over-allotment option is exercised in full), at $1.00 per Private Warrant resulting in s combined aggregate purchase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Private Placement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price of $6,000,000 (or $6,675,000 is the over-allotment option is exercised in full), in a private placement that will occur simultaneously with the consummation of the Proposed Public Offering. Each Private Warrant is exercisable to purchase one share of common stock at an exercise price of $11.50.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There will be no redemption rights or liquidating distributions from the Trust Account with respect to the Private Warrants.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September 19, 2019, Chardan Investments purchased 5,000,000 shares (the “Founder Shares”) for an aggregate price of $25,000. 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On December 15, 2020, Ventoux Acquisition transferred 22,500 Founder Shares to Cindat USA LLC, an affiliate of one of the Company’s directors. As of the date hereof, Ventoux Acquisition holds 2,796,375 Founder Shares, of which Ventoux Acquisition intends to distribute 67,500 shares to certain of the Company’s directors prior to the consummation of the Proposed Public Offering, resulting in Ventoux Acquisition holding a balance of 2,728,875 Founder Shares. All share and per-share amounts have been retroactively restated to reflect the share cancellations.</w:t>
      </w:r>
    </w:p>
    <w:p>
      <w:pPr>
        <w:spacing w:after="0" w:line="10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4,312,500 Founder Shares include an aggregate of up to 562,500 shares subject to forfeiture by the Initial Stockholders to the extent that the underwriters’ over-allotment is not exercised in full or in part, so that the Initial Stockholders will collectively own approximately 20% of the Company’s issued and outstanding shares after the Proposed Public Offering (assuming the Initial Stockholders does not purchase any Public Shares in the Proposed Public Offering). All share and per-share amounts have been retroactively restated.</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Initial Stockholders have agreed that, subject to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stock dividends, reorganizations and recapitalizations) for any 20 trading days within any 30-trading day period commencing after a Business Combination and the remaining 50% of the Founder Shares will not be transferred, assigned, sold or released from escrow until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August 20, 2020, the Company issued an unsecured promissory note to the Ventoux Acquisition (the “Promissory Note”), pursuant to which the Company may borrow up to an aggregate principal amount of $250,000. The Promissory Note is non-interest bearing and payable promptly after (i) the date on which the consummation of the Proposed Public Offering or (ii) the date on which it is determined not to consummate the Proposed Public offering. As of September 30, 2020, there was $153,018 outstanding under the Promissory Note.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5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intends to enter into an agreement, commencing on the effective date of the Proposed Public Offering through the earlier of the Company’s consummation of a Business Combination or its liquidation, to pay Chardan Capital Markets, LLC a total of $10,000 per month for office space, utilities and secretarial support.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Initial Stockholders, an affiliate of the Initial Stockholders, or the Company’s officers and directors may, but are not obligated to, loan the Company funds from time to time or at any time, as may be required (“Working Capital Loans”). Each Working Capital Loan would be evidenced by a promissory note. The notes may be repaid upon completion of a Business Combination, without interest, or, at the lender’s discretion, up to $500,000 of the notes may be converted upon completion of a Business Combination into warrants at a price of $1.00 per warrant. Such warrants would be identical to the Private Warrants. In the event that a Business Combination does not close, the Company may use a portion of the proceeds held outside the Trust Account to repay the Working Capital Loans, but no proceeds held in the Trust Account would be used to repay the Working Capital Loans. Working Capital Loans made by Chardan Capital Markets, LLC or any of its related persons will not be convertible into Private Warrants and Chardan Capital Markets, LLC and its related persons will have no recourse with respect to their ability to convert their Working Capital Loans into Private Warrants.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Extension Loans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discussed in Note 1, the Company may extend the period of time to consummate a Business Combination one time, for an additional three months (for a total of 18 months to complete a Business Combination). In order to extend the time available for the Company to consummate a Business Combination, the Initial Stockholders or their affiliates or designees must deposit into the Trust Account $1,500,000, or $1,725,000 if the underwriters’ over-allotment option is exercised in full, or $0.10 per Public Share, on or prior to the date of the applicable deadline. Any such payments would be made in the form of a loan. The terms of the promissory note to be issued in connection with any such loans have not yet been negotiated. If the Company completes a Business Combination, the Company would repay such loaned amounts out of the proceeds of the Trust Account released to the Company. If the Company does not complete a Business Combination, the Company will not repay such loans. The Initial Stockholders and their affiliates or designees are not obligated to fund the Trust Account to extend the time for the Company to complete a Business Combination.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Commitments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r>
        <w:rPr>
          <w:rFonts w:ascii="Times New Roman" w:cs="Times New Roman" w:eastAsia="Times New Roman" w:hAnsi="Times New Roman"/>
          <w:sz w:val="18"/>
          <w:szCs w:val="18"/>
          <w:b w:val="1"/>
          <w:bCs w:val="1"/>
          <w:color w:val="auto"/>
        </w:rPr>
        <w: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and Stockholder Rights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and the Private Warrants and securities that may be issued upon conversion of Working Capital Loans will be entitled to registration and stockholder rights pursuant to an agreement to 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6 — Commitments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consummates a Business Combination. In addition, the holders have certain “piggy-back” registration rights with respect to registration statements filed subsequent to the consummation of a Business Combination. The registration rights agreement does not contain liquidating damages or other cash settlement provisions resulting from delays in registering the Company’s securities. The Company will bear the expenses incurred in connection with the filing of any such registration statements. Chardan Capital Markets, LLC and its related persons may not, with respect to the private warrants (and the shares that are issuable upon exercise of the private warrants) purchased by Chardan Investments, (i) have more than one demand registration right at our expense, (ii) exercise their demand registration rights more than five (5) years from the effective date of the registration statement of which this prospectus forms a part, and (iii) exercise their “piggy-back” registration rights more than seven (7) years from the effective date of the registration statement of which this prospectus forms a part, as long as Chardan Capital Markets, LLC or any of its related persons are beneficial owners of private warrants.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will grant the underwriters a 45-day option from the date of the Proposed Public Offering to purchase up to 2,250,000 additional Units to cover over-allotments, if any, at the Proposed Public Offering price less the underwriting discounts and commissions.</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underwriters will be entitled to a cash underwriting discount of $0.20 per Unit, or $3,000,000 in the aggregate (or $3,450,000 if the over-allotment option is exercised in full), payable upon the closing of the Proposed Public Offering.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has engaged Chardan Capital Markets, LLC as an advisor in connection with a Business Combination to assist the Company in holding meetings with its stockholders to discuss the potential Business Combination and the target business’s attributes, introduce the Company to potential investors that are interested in purchasing the Company’s securities in connection with the potential Business Combination, assist the Company in obtaining stockholder approval for the Business Combination and assist the Company with its press releases and public filings in connection with the Business Combination. The Company will pay Chardan Capital Markets, LLC a marketing fee for such services upon the consummation of a Business Combination in an amount equal to, in the aggregate, 3.5% of the gross proceeds of the Proposed Public Offering, including any proceeds from the full or partial exercise of the underwriters’ over-allotment option. As a result, Chardan Capital Markets, LLC will not be entitled to such fee unless the consummates its Business Combination.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Stockholder’s Equity</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 The Company is authorized to issue 5,000,000 shares of common stock with a par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$0.0001 per share. The Company plans on filing an Amended and Restated Certificate of Incorporation prior to the closing date of the Proposed Public Offering such that the Company will increase the number of shares of common stock authorized to be issued to 50,000,000 shares of common stock. Holders of the Company’s common stock are entitled to one vote for each share. At September 30, 2020 and December 31, 2019, there were 4,312,500 shares of common stock issued and outstanding, of which 562,500 shares are subject to forfeiture to the extent that the underwriters’ over-allotment option is not exercised in full so that the Initial Stockholders will own 20% of the issued and outstanding shares after the Proposed Public Offering (assuming the Initial Stockholders do not purchase any Public Shares in the Proposed Public Offering).</w:t>
      </w:r>
    </w:p>
    <w:p>
      <w:pPr>
        <w:spacing w:after="0" w:line="107"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plans on filing an Amended and Restated Certificate of Incorporation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closing date of the Proposed Public Offering such that the Company will be authorized to issue up to 1,000,000 shares of preferred stock. As of September 30, 2020, and December 31, 2019, the Company has no authorized shares of preferred stock.</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Stockholder’s Equity </w:t>
      </w:r>
      <w:r>
        <w:rPr>
          <w:rFonts w:ascii="Times New Roman" w:cs="Times New Roman" w:eastAsia="Times New Roman" w:hAnsi="Times New Roman"/>
          <w:sz w:val="18"/>
          <w:szCs w:val="18"/>
          <w:color w:val="auto"/>
        </w:rPr>
        <w:t>(cont.)</w:t>
      </w:r>
    </w:p>
    <w:p>
      <w:pPr>
        <w:spacing w:after="0" w:line="18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—The Public Warrants will become exercisable at any time commencing on the later of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after the closing of the proposed Public Offering or the consummation of a Business Combination; provided that the Company has an effective and current registration statement covering the shares of common stock issuable upon the exercise of the Public Warrants and a current prospectus relating to such shares of common stock. Notwithstanding the foregoing, if a registration statement covering the shares of common stock issuable upon exercise of the public warrants is not effective within 120 days from the closing of a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Public Warrants will expire five years after the completion of a Business Combination or earlier upon redemption or liquidation.</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may redeem the Public Warrants:</w:t>
      </w:r>
    </w:p>
    <w:p>
      <w:pPr>
        <w:spacing w:after="0" w:line="144" w:lineRule="exact"/>
        <w:rPr>
          <w:sz w:val="20"/>
          <w:szCs w:val="20"/>
          <w:color w:val="auto"/>
        </w:rPr>
      </w:pPr>
    </w:p>
    <w:p>
      <w:pPr>
        <w:ind w:left="1300" w:hanging="41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 of common stock equals or exceeds $16.50 per share, for any 20 trading days within a 30-trading day period ending on the third business day prior to the notice of redemption to the warrant holders;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rights or warrants will not receive any of such funds with respect to their rights or warrants, nor will they receive any distribution from the Company’s assets held outside of the Trust Account with the respect to such rights or warrants. Accordingly, the rights and warrants may expire worthless.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co-sponsors or their affiliates, without taking into account any Founder Shares held by the co-sponsors or such affiliates, as applicable, prior to such issuance) (the “Newly Issued Price”),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3" w:name="page124"/>
    <w:bookmarkEnd w:id="123"/>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Stockholder’s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Private Warrants will be identical to the Public Warrants underlying the Units being sold in the Proposed Public Offering except that the Private Warrants will be exercisable for cash (even if a registration statement covering the shares of common stock issuable upon exercise of such warrants is not effective) or on a cashless basis, at the holder’s option, and will not be non-redeemable by the Company, in each case, so long as they are held by the initial purchasers or their affiliates.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w:t>
      </w:r>
      <w:r>
        <w:rPr>
          <w:rFonts w:ascii="Times New Roman" w:cs="Times New Roman" w:eastAsia="Times New Roman" w:hAnsi="Times New Roman"/>
          <w:sz w:val="18"/>
          <w:szCs w:val="18"/>
          <w:color w:val="auto"/>
        </w:rPr>
        <w:t>— Except in cases where the Company is not the surviving company in a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holder of a right will automatically receive one-twentieth (1/20) of a share of common stock upon consummation of the Business Combination, even if the holder of a right converted all shares held by him, her or it in connection with the Business Combination or an amendment to the Company’s Certificate of Incorporation with respect to its pre-business combination activities. In the event that the Company will not be the surviving company upon completion of the Business Combination, each holder of a right will be required to affirmatively convert his, her or its rights in order to receive the one-twentieth (1/20) of a share of common stock underlying each right upon consummation of the Business Combination. No additional consideration will be required to be paid by a holder of rights in order to receive his, her or its additional share of common stock upon consummation of the Business Combination. The shares issuable upon exchange of the rights will be freely tradable (except to the extent held by affiliates of the Company). If the Company enters into a definitive agreement for a Business Combination in which the Company will not be the surviving entity, the definitive agreement will provide for the holders of rights to receive the same per share consideration the holders of shares of common stock will receive in the transaction on an as-converted into common stock basis.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will not issue fractional shares in connection with an exchange of rights. As a result, the holders of the rights must hold rights in multiples of 20 in order to receive shares for all of the holders’ rights upon closing of a Business Combination. If the Company is unable to complete an initial Business Combination within the required time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Additionally, in no event will the Company be required to net cash settle the rights. Accordingly, the rights may expire worthless.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December 16, 2020, the date that the financial statements were available to be issued. Based upon this review, the Company did not identify any subsequent events that would have required adjustment or disclosure in the financial statements.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rFonts w:ascii="Times New Roman" w:cs="Times New Roman" w:eastAsia="Times New Roman" w:hAnsi="Times New Roman"/>
          <w:sz w:val="17"/>
          <w:szCs w:val="17"/>
          <w:u w:val="single" w:color="auto"/>
          <w:color w:val="0000EE"/>
        </w:rPr>
      </w:pPr>
      <w:hyperlink w:anchor="page4">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67310</wp:posOffset>
            </wp:positionV>
            <wp:extent cx="514350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110490</wp:posOffset>
            </wp:positionV>
            <wp:extent cx="514350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$150,000,000</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Ventoux CCM Acquisition Corp.</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15,000,000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13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Sole Book-Running Manager</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Chardan</w:t>
      </w: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1091565</wp:posOffset>
            </wp:positionV>
            <wp:extent cx="514350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1134110</wp:posOffset>
            </wp:positionV>
            <wp:extent cx="514350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1408430</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5" w:name="page126"/>
    <w:bookmarkEnd w:id="125"/>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estimated expenses payable by us in connection with the offering described in this registration statement (other than the underwriting discount and commissions) will be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Trustee fee</w:t>
            </w:r>
          </w:p>
        </w:tc>
        <w:tc>
          <w:tcPr>
            <w:tcW w:w="36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listing fees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filing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41"/>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78,305</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 or the DGCL.</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concerning indemnification of officers, directors, employees and agents is set forth below.</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Section 145. Indemnification of officers, directors, employees and agents; insurance.</w:t>
      </w:r>
    </w:p>
    <w:p>
      <w:pPr>
        <w:spacing w:after="0" w:line="144" w:lineRule="exact"/>
        <w:rPr>
          <w:sz w:val="20"/>
          <w:szCs w:val="20"/>
          <w:color w:val="auto"/>
        </w:rPr>
      </w:pPr>
    </w:p>
    <w:p>
      <w:pPr>
        <w:jc w:val="both"/>
        <w:ind w:left="1320" w:right="459" w:hanging="434"/>
        <w:spacing w:after="0" w:line="252" w:lineRule="auto"/>
        <w:tabs>
          <w:tab w:leader="none" w:pos="131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27"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8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59"/>
        <w:spacing w:after="0" w:line="282" w:lineRule="auto"/>
        <w:rPr>
          <w:sz w:val="20"/>
          <w:szCs w:val="20"/>
          <w:color w:val="auto"/>
        </w:rPr>
      </w:pPr>
      <w:r>
        <w:rPr>
          <w:rFonts w:ascii="Times New Roman" w:cs="Times New Roman" w:eastAsia="Times New Roman" w:hAnsi="Times New Roman"/>
          <w:sz w:val="18"/>
          <w:szCs w:val="18"/>
          <w:color w:val="auto"/>
        </w:rPr>
        <w:t>but in view of all the circumstances of the case, such person is fairly and reasonably entitled to indemnity for such expenses which the Court of Chancery or such other court shall deem proper.</w:t>
      </w:r>
    </w:p>
    <w:p>
      <w:pPr>
        <w:spacing w:after="0" w:line="94" w:lineRule="exact"/>
        <w:rPr>
          <w:sz w:val="20"/>
          <w:szCs w:val="20"/>
          <w:color w:val="auto"/>
        </w:rPr>
      </w:pPr>
    </w:p>
    <w:p>
      <w:pPr>
        <w:jc w:val="both"/>
        <w:ind w:left="1320" w:right="459" w:hanging="434"/>
        <w:spacing w:after="0" w:line="258" w:lineRule="auto"/>
        <w:tabs>
          <w:tab w:leader="none" w:pos="133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7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2"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58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of this section. Such determination shall be made, with respect to a person who is a director or officer of the corporation at the time of such determination: (1) by a majority vote of the directors who are not parties to such action, suit or proceeding, even though less than a quorum, or</w:t>
      </w:r>
    </w:p>
    <w:p>
      <w:pPr>
        <w:spacing w:after="0" w:line="1" w:lineRule="exact"/>
        <w:rPr>
          <w:rFonts w:ascii="Times New Roman" w:cs="Times New Roman" w:eastAsia="Times New Roman" w:hAnsi="Times New Roman"/>
          <w:sz w:val="18"/>
          <w:szCs w:val="18"/>
          <w:color w:val="auto"/>
        </w:rPr>
      </w:pPr>
    </w:p>
    <w:p>
      <w:pPr>
        <w:jc w:val="both"/>
        <w:ind w:left="1320" w:right="4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0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46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7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the certificate of incorporation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8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56" w:lineRule="auto"/>
        <w:rPr>
          <w:sz w:val="20"/>
          <w:szCs w:val="20"/>
          <w:color w:val="auto"/>
        </w:rPr>
      </w:pPr>
      <w:r>
        <w:rPr>
          <w:rFonts w:ascii="Times New Roman" w:cs="Times New Roman" w:eastAsia="Times New Roman" w:hAnsi="Times New Roman"/>
          <w:sz w:val="18"/>
          <w:szCs w:val="18"/>
          <w:color w:val="auto"/>
        </w:rPr>
        <w:t>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20" w:lineRule="exact"/>
        <w:rPr>
          <w:sz w:val="20"/>
          <w:szCs w:val="20"/>
          <w:color w:val="auto"/>
        </w:rPr>
      </w:pPr>
    </w:p>
    <w:p>
      <w:pPr>
        <w:jc w:val="both"/>
        <w:ind w:left="1320" w:right="479" w:hanging="434"/>
        <w:spacing w:after="0" w:line="261" w:lineRule="auto"/>
        <w:tabs>
          <w:tab w:leader="none" w:pos="131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accordance with Section 102(b)(7) of the DGCL, our certificate of incorporation provides that our directors will not be personally liable for monetary damages resulting from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2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will enter into indemnity agreements with each of our officers and directors, a form of which is filed as Exhibit 10.6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48" w:lineRule="exact"/>
        <w:rPr>
          <w:sz w:val="20"/>
          <w:szCs w:val="20"/>
          <w:color w:val="auto"/>
        </w:rPr>
      </w:pPr>
    </w:p>
    <w:p>
      <w:pPr>
        <w:jc w:val="both"/>
        <w:ind w:left="1320" w:right="459" w:hanging="434"/>
        <w:spacing w:after="0" w:line="252" w:lineRule="auto"/>
        <w:tabs>
          <w:tab w:leader="none" w:pos="143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19, 2019, Chardan International Investments, LLC purchased 5,000,000 shares of common stock from us for $25,000. On July 23, 2020, Chardan International Investments, LLC sold 3,250,000 shares of common stock back to us for $16,250. On August 25, 2020, Chardan International Investments, LLC transferred 256,375 shares of common stock back to us for nominal consideration, which shares were cancelled, resulting in Chardan International Investments, LLC holding a balance of 1,493,625 shares of common stock. On July 23, 2020, Ventoux Acquisition Holdings LLC purchased 3,250,000 shares of common stock from us for $16,250. On August 25, 2020, Ventoux Acquisition Holdings LLC transferred 431,125 shares of common stock back to us for nominal considerations, which shares were cancelled. On December 15, 2020, Ventoux Acquisition Holdings LLC transferred 22,500 shares of common stock to Cindat USA LLC, an affiliate of one of our directors, and, on December 17, 2020, Ventoux Acquisition Holdings LLC transferred an aggregate of 67,500 shares of common stock to three of our directors. As of the date hereof, Ventoux Acquisition Holdings LLC holds 2,728,875 shares of common stock. We refer to the shares held by our co-sponsors, officers and directors as “founder” shares or “insider shares. The founder shares include an aggregate of up to 562,500 shares that are subject to forfeiture to the extent that the underwriters’ over-allotment option is not exercised in full or in part. Because these offers and sales were made in transactions not involving a public offering, the shares were issued in reliance on the exemption from registration contained in Section 4(a)(2) of the Securities Act.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3" w:lineRule="auto"/>
        <w:tabs>
          <w:tab w:leader="none" w:pos="137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Ventoux Acquisition Holdings LLC has committed to purchase from us an aggregate of 4,000,000 warrants (or 4,450,000 warrants if the over-allotment option is exercised in full), and Chardan International Investments, LLC has committed to purchase from us an aggregate of 2,000,000 warrants (or 2,225,000 warrants if the over-allotment option is exercised in full), or “private warrants,” at $1.00 per private warrant for a total purchase price of $6,000,000 (or $6,675,000 if the over-allotment option is exercised in full). Each private warrant is exercisable for one (1) share of common stock at an exercise price of $11.50 per share. These purchases will take place on a private placement basis simultaneously with the consummation of this offering. Because this offer and sale is being made to existing stockholders, the sale does not involve a public offering and is being made in reliance on the exemption from registration contained in Section 4(a)(2) of the Securities Act.</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 underwriting discounts or commissions were paid with respect to such sales.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62" w:lineRule="exact"/>
        <w:rPr>
          <w:sz w:val="20"/>
          <w:szCs w:val="20"/>
          <w:color w:val="auto"/>
        </w:rPr>
      </w:pPr>
    </w:p>
    <w:p>
      <w:pPr>
        <w:ind w:left="1300" w:hanging="41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this Registration Statement: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p>
      <w:pPr>
        <w:ind w:left="460"/>
        <w:spacing w:after="0"/>
        <w:tabs>
          <w:tab w:leader="none" w:pos="4420" w:val="left"/>
        </w:tabs>
        <w:rPr>
          <w:sz w:val="20"/>
          <w:szCs w:val="20"/>
          <w:color w:val="auto"/>
        </w:rPr>
      </w:pPr>
      <w:r>
        <w:rPr>
          <w:rFonts w:ascii="Times New Roman" w:cs="Times New Roman" w:eastAsia="Times New Roman" w:hAnsi="Times New Roman"/>
          <w:sz w:val="16"/>
          <w:szCs w:val="16"/>
          <w:b w:val="1"/>
          <w:bCs w:val="1"/>
          <w:color w:val="auto"/>
        </w:rPr>
        <w:t>No.</w:t>
      </w:r>
      <w:r>
        <w:rPr>
          <w:sz w:val="20"/>
          <w:szCs w:val="20"/>
          <w:color w:val="auto"/>
        </w:rPr>
        <w:tab/>
      </w:r>
      <w:r>
        <w:rPr>
          <w:rFonts w:ascii="Times New Roman" w:cs="Times New Roman" w:eastAsia="Times New Roman" w:hAnsi="Times New Roman"/>
          <w:sz w:val="16"/>
          <w:szCs w:val="16"/>
          <w:b w:val="1"/>
          <w:bCs w:val="1"/>
          <w:color w:val="auto"/>
        </w:rPr>
        <w:t>Description</w:t>
      </w:r>
    </w:p>
    <w:p>
      <w:pPr>
        <w:sectPr>
          <w:pgSz w:w="11900" w:h="16838" w:orient="portrait"/>
          <w:cols w:equalWidth="0" w:num="1">
            <w:col w:w="9019"/>
          </w:cols>
          <w:pgMar w:left="1440" w:top="270" w:right="1440" w:bottom="947" w:gutter="0" w:footer="0" w:header="0"/>
        </w:sectPr>
      </w:pP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1.2*</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3.1*</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3.2*</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3.3*</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3.4*</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3.5*</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4.1*</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4.2*</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4.3*</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4.4*</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4.5*</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5.1*</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10.1*</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10.2*</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10.3*</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10.4*</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10.5*</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10.6*</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10.7*</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14.1*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23.1*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23.2*</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99.2*</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99.3*</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99.4*</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99.5*</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99.6*</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99.7*</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99.8*</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0">
        <w:r>
          <w:rPr>
            <w:rFonts w:ascii="Times New Roman" w:cs="Times New Roman" w:eastAsia="Times New Roman" w:hAnsi="Times New Roman"/>
            <w:sz w:val="18"/>
            <w:szCs w:val="18"/>
            <w:u w:val="single" w:color="auto"/>
            <w:color w:val="0000EE"/>
          </w:rPr>
          <w:t>Form of Underwriting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-136525</wp:posOffset>
            </wp:positionV>
            <wp:extent cx="5143500"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2">
        <w:r>
          <w:rPr>
            <w:rFonts w:ascii="Times New Roman" w:cs="Times New Roman" w:eastAsia="Times New Roman" w:hAnsi="Times New Roman"/>
            <w:sz w:val="18"/>
            <w:szCs w:val="18"/>
            <w:u w:val="single" w:color="auto"/>
            <w:color w:val="0000EE"/>
          </w:rPr>
          <w:t>Form of Business Combination Marketing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4">
        <w:r>
          <w:rPr>
            <w:rFonts w:ascii="Times New Roman" w:cs="Times New Roman" w:eastAsia="Times New Roman" w:hAnsi="Times New Roman"/>
            <w:sz w:val="18"/>
            <w:szCs w:val="18"/>
            <w:u w:val="single" w:color="auto"/>
            <w:color w:val="0000EE"/>
          </w:rPr>
          <w:t>Certificate of Incorporation.</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5">
        <w:r>
          <w:rPr>
            <w:rFonts w:ascii="Times New Roman" w:cs="Times New Roman" w:eastAsia="Times New Roman" w:hAnsi="Times New Roman"/>
            <w:sz w:val="18"/>
            <w:szCs w:val="18"/>
            <w:u w:val="single" w:color="auto"/>
            <w:color w:val="0000EE"/>
          </w:rPr>
          <w:t>Certificate of Amendment to Certificate of 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7">
        <w:r>
          <w:rPr>
            <w:rFonts w:ascii="Times New Roman" w:cs="Times New Roman" w:eastAsia="Times New Roman" w:hAnsi="Times New Roman"/>
            <w:sz w:val="18"/>
            <w:szCs w:val="18"/>
            <w:u w:val="single" w:color="auto"/>
            <w:color w:val="0000EE"/>
          </w:rPr>
          <w:t>Certificate of Amendment to Certificate of Incorporation.</w:t>
        </w:r>
      </w:hyperlink>
    </w:p>
    <w:p>
      <w:pPr>
        <w:spacing w:after="0" w:line="77" w:lineRule="exact"/>
        <w:rPr>
          <w:sz w:val="20"/>
          <w:szCs w:val="20"/>
          <w:color w:val="auto"/>
        </w:rPr>
      </w:pPr>
    </w:p>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u w:val="single" w:color="auto"/>
            <w:color w:val="0000EE"/>
          </w:rPr>
          <w:t>Form of Amended and Restated Certificate of Incorporation</w:t>
        </w:r>
        <w:r>
          <w:rPr>
            <w:rFonts w:ascii="Times New Roman" w:cs="Times New Roman" w:eastAsia="Times New Roman" w:hAnsi="Times New Roman"/>
            <w:sz w:val="18"/>
            <w:szCs w:val="18"/>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80">
        <w:r>
          <w:rPr>
            <w:rFonts w:ascii="Times New Roman" w:cs="Times New Roman" w:eastAsia="Times New Roman" w:hAnsi="Times New Roman"/>
            <w:sz w:val="18"/>
            <w:szCs w:val="18"/>
            <w:u w:val="single" w:color="auto"/>
            <w:color w:val="0000EE"/>
          </w:rPr>
          <w:t>Bylaws.</w:t>
        </w:r>
      </w:hyperlink>
    </w:p>
    <w:p>
      <w:pPr>
        <w:spacing w:after="0" w:line="77" w:lineRule="exact"/>
        <w:rPr>
          <w:sz w:val="20"/>
          <w:szCs w:val="20"/>
          <w:color w:val="auto"/>
        </w:rPr>
      </w:pPr>
    </w:p>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u w:val="single" w:color="auto"/>
            <w:color w:val="0000EE"/>
          </w:rPr>
          <w:t>Specimen Unit Certificate</w:t>
        </w:r>
        <w:r>
          <w:rPr>
            <w:rFonts w:ascii="Times New Roman" w:cs="Times New Roman" w:eastAsia="Times New Roman" w:hAnsi="Times New Roman"/>
            <w:sz w:val="18"/>
            <w:szCs w:val="18"/>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83">
        <w:r>
          <w:rPr>
            <w:rFonts w:ascii="Times New Roman" w:cs="Times New Roman" w:eastAsia="Times New Roman" w:hAnsi="Times New Roman"/>
            <w:sz w:val="18"/>
            <w:szCs w:val="18"/>
            <w:u w:val="single" w:color="auto"/>
            <w:color w:val="0000EE"/>
          </w:rPr>
          <w:t>Specimen Common Stock Certificate.</w:t>
        </w:r>
      </w:hyperlink>
    </w:p>
    <w:p>
      <w:pPr>
        <w:spacing w:after="0" w:line="77" w:lineRule="exact"/>
        <w:rPr>
          <w:sz w:val="20"/>
          <w:szCs w:val="20"/>
          <w:color w:val="auto"/>
        </w:rPr>
      </w:pPr>
    </w:p>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u w:val="single" w:color="auto"/>
            <w:color w:val="0000EE"/>
          </w:rPr>
          <w:t>Specimen Warrant Certificate</w:t>
        </w:r>
        <w:r>
          <w:rPr>
            <w:rFonts w:ascii="Times New Roman" w:cs="Times New Roman" w:eastAsia="Times New Roman" w:hAnsi="Times New Roman"/>
            <w:sz w:val="18"/>
            <w:szCs w:val="18"/>
            <w:color w:val="0000EE"/>
          </w:rPr>
          <w:t>.</w:t>
        </w:r>
      </w:hyperlink>
    </w:p>
    <w:p>
      <w:pPr>
        <w:spacing w:after="0" w:line="50" w:lineRule="exact"/>
        <w:rPr>
          <w:sz w:val="20"/>
          <w:szCs w:val="20"/>
          <w:color w:val="auto"/>
        </w:rPr>
      </w:pPr>
    </w:p>
    <w:p>
      <w:pPr>
        <w:ind w:right="459"/>
        <w:spacing w:after="0" w:line="282" w:lineRule="auto"/>
        <w:rPr>
          <w:rFonts w:ascii="Times New Roman" w:cs="Times New Roman" w:eastAsia="Times New Roman" w:hAnsi="Times New Roman"/>
          <w:sz w:val="18"/>
          <w:szCs w:val="18"/>
          <w:u w:val="single" w:color="auto"/>
          <w:color w:val="215E9E"/>
        </w:rPr>
      </w:pPr>
      <w:hyperlink r:id="rId185">
        <w:r>
          <w:rPr>
            <w:rFonts w:ascii="Times New Roman" w:cs="Times New Roman" w:eastAsia="Times New Roman" w:hAnsi="Times New Roman"/>
            <w:sz w:val="18"/>
            <w:szCs w:val="18"/>
            <w:u w:val="single" w:color="auto"/>
            <w:color w:val="215E9E"/>
          </w:rPr>
          <w:t>Form of Warrant Agreement between Continental Stock Transfer &amp; Trust Company and the</w:t>
        </w:r>
      </w:hyperlink>
      <w:r>
        <w:rPr>
          <w:rFonts w:ascii="Times New Roman" w:cs="Times New Roman" w:eastAsia="Times New Roman" w:hAnsi="Times New Roman"/>
          <w:sz w:val="18"/>
          <w:szCs w:val="18"/>
          <w:u w:val="single" w:color="auto"/>
          <w:color w:val="215E9E"/>
        </w:rPr>
        <w:t xml:space="preserve"> </w:t>
      </w:r>
      <w:hyperlink r:id="rId185">
        <w:r>
          <w:rPr>
            <w:rFonts w:ascii="Times New Roman" w:cs="Times New Roman" w:eastAsia="Times New Roman" w:hAnsi="Times New Roman"/>
            <w:sz w:val="18"/>
            <w:szCs w:val="18"/>
            <w:u w:val="single" w:color="auto"/>
            <w:color w:val="215E9E"/>
          </w:rPr>
          <w:t>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-296545</wp:posOffset>
            </wp:positionV>
            <wp:extent cx="5143500" cy="3003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rPr>
          <w:rFonts w:ascii="Times New Roman" w:cs="Times New Roman" w:eastAsia="Times New Roman" w:hAnsi="Times New Roman"/>
          <w:sz w:val="18"/>
          <w:szCs w:val="18"/>
          <w:color w:val="215E9E"/>
        </w:rPr>
      </w:pPr>
      <w:hyperlink r:id="rId187">
        <w:r>
          <w:rPr>
            <w:rFonts w:ascii="Times New Roman" w:cs="Times New Roman" w:eastAsia="Times New Roman" w:hAnsi="Times New Roman"/>
            <w:sz w:val="18"/>
            <w:szCs w:val="18"/>
            <w:u w:val="single" w:color="auto"/>
            <w:color w:val="215E9E"/>
          </w:rPr>
          <w:t>Form of Rights Agreement between Continental Stock Transfer &amp; Trust Company and the Registrant</w:t>
        </w:r>
        <w:r>
          <w:rPr>
            <w:rFonts w:ascii="Times New Roman" w:cs="Times New Roman" w:eastAsia="Times New Roman" w:hAnsi="Times New Roman"/>
            <w:sz w:val="18"/>
            <w:szCs w:val="18"/>
            <w:color w:val="215E9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89">
        <w:r>
          <w:rPr>
            <w:rFonts w:ascii="Times New Roman" w:cs="Times New Roman" w:eastAsia="Times New Roman" w:hAnsi="Times New Roman"/>
            <w:sz w:val="18"/>
            <w:szCs w:val="18"/>
            <w:u w:val="single" w:color="auto"/>
            <w:color w:val="0000EE"/>
          </w:rPr>
          <w:t>Form of Opinion of Loeb &amp; Loeb LLP.</w:t>
        </w:r>
      </w:hyperlink>
    </w:p>
    <w:p>
      <w:pPr>
        <w:spacing w:after="0" w:line="50" w:lineRule="exact"/>
        <w:rPr>
          <w:sz w:val="20"/>
          <w:szCs w:val="20"/>
          <w:color w:val="auto"/>
        </w:rPr>
      </w:pPr>
    </w:p>
    <w:p>
      <w:pPr>
        <w:ind w:right="479"/>
        <w:spacing w:after="0" w:line="273" w:lineRule="auto"/>
        <w:rPr>
          <w:rFonts w:ascii="Times New Roman" w:cs="Times New Roman" w:eastAsia="Times New Roman" w:hAnsi="Times New Roman"/>
          <w:sz w:val="18"/>
          <w:szCs w:val="18"/>
          <w:u w:val="single" w:color="auto"/>
          <w:color w:val="0000EE"/>
        </w:rPr>
      </w:pPr>
      <w:hyperlink r:id="rId190">
        <w:r>
          <w:rPr>
            <w:rFonts w:ascii="Times New Roman" w:cs="Times New Roman" w:eastAsia="Times New Roman" w:hAnsi="Times New Roman"/>
            <w:sz w:val="18"/>
            <w:szCs w:val="18"/>
            <w:u w:val="single" w:color="auto"/>
            <w:color w:val="0000EE"/>
          </w:rPr>
          <w:t>Form of Letter Agreement among the Registrant, Chardan Capital Markets, LLC and the Company’s</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officers, directors and stockholders.</w:t>
        </w:r>
      </w:hyperlink>
    </w:p>
    <w:p>
      <w:pPr>
        <w:spacing w:after="0" w:line="2" w:lineRule="exact"/>
        <w:rPr>
          <w:sz w:val="20"/>
          <w:szCs w:val="20"/>
          <w:color w:val="auto"/>
        </w:rPr>
      </w:pPr>
    </w:p>
    <w:p>
      <w:pPr>
        <w:ind w:right="459"/>
        <w:spacing w:after="0" w:line="273" w:lineRule="auto"/>
        <w:rPr>
          <w:rFonts w:ascii="Times New Roman" w:cs="Times New Roman" w:eastAsia="Times New Roman" w:hAnsi="Times New Roman"/>
          <w:sz w:val="18"/>
          <w:szCs w:val="18"/>
          <w:u w:val="single" w:color="auto"/>
          <w:color w:val="0000EE"/>
        </w:rPr>
      </w:pPr>
      <w:hyperlink r:id="rId191">
        <w:r>
          <w:rPr>
            <w:rFonts w:ascii="Times New Roman" w:cs="Times New Roman" w:eastAsia="Times New Roman" w:hAnsi="Times New Roman"/>
            <w:sz w:val="18"/>
            <w:szCs w:val="18"/>
            <w:u w:val="single" w:color="auto"/>
            <w:color w:val="0000EE"/>
          </w:rPr>
          <w:t>Form of Investment Management Trust Agreement between Continental Stock Transfer &amp; Trust</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Company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-287020</wp:posOffset>
            </wp:positionV>
            <wp:extent cx="5143500" cy="3003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right="479"/>
        <w:spacing w:after="0" w:line="273" w:lineRule="auto"/>
        <w:rPr>
          <w:rFonts w:ascii="Times New Roman" w:cs="Times New Roman" w:eastAsia="Times New Roman" w:hAnsi="Times New Roman"/>
          <w:sz w:val="18"/>
          <w:szCs w:val="18"/>
          <w:u w:val="single" w:color="auto"/>
          <w:color w:val="215E9E"/>
        </w:rPr>
      </w:pPr>
      <w:hyperlink r:id="rId193">
        <w:r>
          <w:rPr>
            <w:rFonts w:ascii="Times New Roman" w:cs="Times New Roman" w:eastAsia="Times New Roman" w:hAnsi="Times New Roman"/>
            <w:sz w:val="18"/>
            <w:szCs w:val="18"/>
            <w:u w:val="single" w:color="auto"/>
            <w:color w:val="215E9E"/>
          </w:rPr>
          <w:t>Form of Escrow Agreement between the Registrant, Continental Stock Transfer &amp; Trust Company and</w:t>
        </w:r>
      </w:hyperlink>
      <w:r>
        <w:rPr>
          <w:rFonts w:ascii="Times New Roman" w:cs="Times New Roman" w:eastAsia="Times New Roman" w:hAnsi="Times New Roman"/>
          <w:sz w:val="18"/>
          <w:szCs w:val="18"/>
          <w:u w:val="single" w:color="auto"/>
          <w:color w:val="215E9E"/>
        </w:rPr>
        <w:t xml:space="preserve"> </w:t>
      </w:r>
      <w:hyperlink r:id="rId193">
        <w:r>
          <w:rPr>
            <w:rFonts w:ascii="Times New Roman" w:cs="Times New Roman" w:eastAsia="Times New Roman" w:hAnsi="Times New Roman"/>
            <w:sz w:val="18"/>
            <w:szCs w:val="18"/>
            <w:u w:val="single" w:color="auto"/>
            <w:color w:val="215E9E"/>
          </w:rPr>
          <w:t>the Initial Stockholders.</w:t>
        </w:r>
      </w:hyperlink>
    </w:p>
    <w:p>
      <w:pPr>
        <w:spacing w:after="0" w:line="2" w:lineRule="exact"/>
        <w:rPr>
          <w:sz w:val="20"/>
          <w:szCs w:val="20"/>
          <w:color w:val="auto"/>
        </w:rPr>
      </w:pPr>
    </w:p>
    <w:p>
      <w:pPr>
        <w:ind w:right="459"/>
        <w:spacing w:after="0" w:line="273" w:lineRule="auto"/>
        <w:rPr>
          <w:rFonts w:ascii="Times New Roman" w:cs="Times New Roman" w:eastAsia="Times New Roman" w:hAnsi="Times New Roman"/>
          <w:sz w:val="18"/>
          <w:szCs w:val="18"/>
          <w:u w:val="single" w:color="auto"/>
          <w:color w:val="0000EE"/>
        </w:rPr>
      </w:pPr>
      <w:hyperlink r:id="rId194">
        <w:r>
          <w:rPr>
            <w:rFonts w:ascii="Times New Roman" w:cs="Times New Roman" w:eastAsia="Times New Roman" w:hAnsi="Times New Roman"/>
            <w:sz w:val="18"/>
            <w:szCs w:val="18"/>
            <w:u w:val="single" w:color="auto"/>
            <w:color w:val="0000EE"/>
          </w:rPr>
          <w:t>Form of Registration Rights Agreement among the Registrant, the Initial Stockholders and Continental</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Stock Transfer &amp; Trust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-287020</wp:posOffset>
            </wp:positionV>
            <wp:extent cx="5143500" cy="3003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right="459"/>
        <w:spacing w:after="0" w:line="282" w:lineRule="auto"/>
        <w:rPr>
          <w:rFonts w:ascii="Times New Roman" w:cs="Times New Roman" w:eastAsia="Times New Roman" w:hAnsi="Times New Roman"/>
          <w:sz w:val="18"/>
          <w:szCs w:val="18"/>
          <w:u w:val="single" w:color="auto"/>
          <w:color w:val="0000EE"/>
        </w:rPr>
      </w:pPr>
      <w:hyperlink r:id="rId196">
        <w:r>
          <w:rPr>
            <w:rFonts w:ascii="Times New Roman" w:cs="Times New Roman" w:eastAsia="Times New Roman" w:hAnsi="Times New Roman"/>
            <w:sz w:val="18"/>
            <w:szCs w:val="18"/>
            <w:u w:val="single" w:color="auto"/>
            <w:color w:val="0000EE"/>
          </w:rPr>
          <w:t>Form of Subscription Agreement among the Registrant, the Initial Stockholders and Chardan Capital</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Markets,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2540</wp:posOffset>
            </wp:positionV>
            <wp:extent cx="5143500"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EE"/>
        </w:rPr>
      </w:pPr>
      <w:hyperlink r:id="rId198">
        <w:r>
          <w:rPr>
            <w:rFonts w:ascii="Times New Roman" w:cs="Times New Roman" w:eastAsia="Times New Roman" w:hAnsi="Times New Roman"/>
            <w:sz w:val="18"/>
            <w:szCs w:val="18"/>
            <w:u w:val="single" w:color="auto"/>
            <w:color w:val="0000EE"/>
          </w:rPr>
          <w:t>Form of Indemnity Agreement.</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99">
        <w:r>
          <w:rPr>
            <w:rFonts w:ascii="Times New Roman" w:cs="Times New Roman" w:eastAsia="Times New Roman" w:hAnsi="Times New Roman"/>
            <w:sz w:val="18"/>
            <w:szCs w:val="18"/>
            <w:u w:val="single" w:color="auto"/>
            <w:color w:val="0000EE"/>
          </w:rPr>
          <w:t>Form of Administrative Services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01">
        <w:r>
          <w:rPr>
            <w:rFonts w:ascii="Times New Roman" w:cs="Times New Roman" w:eastAsia="Times New Roman" w:hAnsi="Times New Roman"/>
            <w:sz w:val="18"/>
            <w:szCs w:val="18"/>
            <w:u w:val="single" w:color="auto"/>
            <w:color w:val="0000EE"/>
          </w:rPr>
          <w:t>Form of Code of Ethics.</w:t>
        </w:r>
      </w:hyperlink>
    </w:p>
    <w:p>
      <w:pPr>
        <w:spacing w:after="0" w:line="77" w:lineRule="exact"/>
        <w:rPr>
          <w:sz w:val="20"/>
          <w:szCs w:val="20"/>
          <w:color w:val="auto"/>
        </w:rPr>
      </w:pPr>
    </w:p>
    <w:p>
      <w:pPr>
        <w:spacing w:after="0"/>
        <w:rPr>
          <w:rFonts w:ascii="Times New Roman" w:cs="Times New Roman" w:eastAsia="Times New Roman" w:hAnsi="Times New Roman"/>
          <w:sz w:val="18"/>
          <w:szCs w:val="18"/>
          <w:color w:val="215E9E"/>
        </w:rPr>
      </w:pPr>
      <w:hyperlink r:id="rId202">
        <w:r>
          <w:rPr>
            <w:rFonts w:ascii="Times New Roman" w:cs="Times New Roman" w:eastAsia="Times New Roman" w:hAnsi="Times New Roman"/>
            <w:sz w:val="18"/>
            <w:szCs w:val="18"/>
            <w:u w:val="single" w:color="auto"/>
            <w:color w:val="215E9E"/>
          </w:rPr>
          <w:t>Consent of WithumSmith+Brown, P.C</w:t>
        </w:r>
        <w:r>
          <w:rPr>
            <w:rFonts w:ascii="Times New Roman" w:cs="Times New Roman" w:eastAsia="Times New Roman" w:hAnsi="Times New Roman"/>
            <w:sz w:val="18"/>
            <w:szCs w:val="18"/>
            <w:color w:val="215E9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803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89">
        <w:r>
          <w:rPr>
            <w:rFonts w:ascii="Times New Roman" w:cs="Times New Roman" w:eastAsia="Times New Roman" w:hAnsi="Times New Roman"/>
            <w:sz w:val="18"/>
            <w:szCs w:val="18"/>
            <w:u w:val="single" w:color="auto"/>
            <w:color w:val="0000EE"/>
          </w:rPr>
          <w:t>Consent of Loeb &amp; Loeb LLP (included in Exhibit 5.1).</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04">
        <w:r>
          <w:rPr>
            <w:rFonts w:ascii="Times New Roman" w:cs="Times New Roman" w:eastAsia="Times New Roman" w:hAnsi="Times New Roman"/>
            <w:sz w:val="18"/>
            <w:szCs w:val="18"/>
            <w:u w:val="single" w:color="auto"/>
            <w:color w:val="0000EE"/>
          </w:rPr>
          <w:t>Form of Nominating and Corporate Governance Committee Charter.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80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u w:val="single" w:color="auto"/>
            <w:color w:val="0000EE"/>
          </w:rPr>
          <w:t>Form of Audit Committee Charter</w:t>
        </w:r>
        <w:r>
          <w:rPr>
            <w:rFonts w:ascii="Times New Roman" w:cs="Times New Roman" w:eastAsia="Times New Roman" w:hAnsi="Times New Roman"/>
            <w:sz w:val="18"/>
            <w:szCs w:val="18"/>
            <w:color w:val="0000EE"/>
          </w:rPr>
          <w:t>.</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07">
        <w:r>
          <w:rPr>
            <w:rFonts w:ascii="Times New Roman" w:cs="Times New Roman" w:eastAsia="Times New Roman" w:hAnsi="Times New Roman"/>
            <w:sz w:val="18"/>
            <w:szCs w:val="18"/>
            <w:u w:val="single" w:color="auto"/>
            <w:color w:val="0000EE"/>
          </w:rPr>
          <w:t>Form of Compensation Committee Charter.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803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09">
        <w:r>
          <w:rPr>
            <w:rFonts w:ascii="Times New Roman" w:cs="Times New Roman" w:eastAsia="Times New Roman" w:hAnsi="Times New Roman"/>
            <w:sz w:val="18"/>
            <w:szCs w:val="18"/>
            <w:u w:val="single" w:color="auto"/>
            <w:color w:val="0000EE"/>
          </w:rPr>
          <w:t>Consent of Alex Weil.</w:t>
        </w:r>
      </w:hyperlink>
    </w:p>
    <w:p>
      <w:pPr>
        <w:spacing w:after="0" w:line="7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10">
        <w:r>
          <w:rPr>
            <w:rFonts w:ascii="Times New Roman" w:cs="Times New Roman" w:eastAsia="Times New Roman" w:hAnsi="Times New Roman"/>
            <w:sz w:val="18"/>
            <w:szCs w:val="18"/>
            <w:u w:val="single" w:color="auto"/>
            <w:color w:val="0000EE"/>
          </w:rPr>
          <w:t>Consent of Woodrow H. Levin.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12">
        <w:r>
          <w:rPr>
            <w:rFonts w:ascii="Times New Roman" w:cs="Times New Roman" w:eastAsia="Times New Roman" w:hAnsi="Times New Roman"/>
            <w:sz w:val="18"/>
            <w:szCs w:val="18"/>
            <w:u w:val="single" w:color="auto"/>
            <w:color w:val="0000EE"/>
          </w:rPr>
          <w:t>Consent of Julie Atkinson.</w:t>
        </w:r>
      </w:hyperlink>
    </w:p>
    <w:p>
      <w:pPr>
        <w:spacing w:after="0" w:line="77" w:lineRule="exact"/>
        <w:rPr>
          <w:sz w:val="20"/>
          <w:szCs w:val="20"/>
          <w:color w:val="auto"/>
        </w:rPr>
      </w:pPr>
    </w:p>
    <w:p>
      <w:pPr>
        <w:spacing w:after="0"/>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u w:val="single" w:color="auto"/>
            <w:color w:val="0000EE"/>
          </w:rPr>
          <w:t>Consent of Christian Ahrens</w:t>
        </w:r>
        <w:r>
          <w:rPr>
            <w:rFonts w:ascii="Times New Roman" w:cs="Times New Roman" w:eastAsia="Times New Roman" w:hAnsi="Times New Roman"/>
            <w:sz w:val="18"/>
            <w:szCs w:val="18"/>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Times New Roman" w:cs="Times New Roman" w:eastAsia="Times New Roman" w:hAnsi="Times New Roman"/>
          <w:sz w:val="18"/>
          <w:szCs w:val="18"/>
          <w:u w:val="single" w:color="auto"/>
          <w:color w:val="215E9E"/>
        </w:rPr>
      </w:pPr>
      <w:hyperlink r:id="rId215">
        <w:r>
          <w:rPr>
            <w:rFonts w:ascii="Times New Roman" w:cs="Times New Roman" w:eastAsia="Times New Roman" w:hAnsi="Times New Roman"/>
            <w:sz w:val="18"/>
            <w:szCs w:val="18"/>
            <w:u w:val="single" w:color="auto"/>
            <w:color w:val="215E9E"/>
          </w:rPr>
          <w:t>Consent of Bernard Van der Lande.</w:t>
        </w:r>
      </w:hyperlink>
    </w:p>
    <w:p>
      <w:pPr>
        <w:spacing w:after="0" w:line="108" w:lineRule="exact"/>
        <w:rPr>
          <w:sz w:val="20"/>
          <w:szCs w:val="20"/>
          <w:color w:val="auto"/>
        </w:rPr>
      </w:pPr>
    </w:p>
    <w:p>
      <w:pPr>
        <w:sectPr>
          <w:pgSz w:w="11900" w:h="16838" w:orient="portrait"/>
          <w:cols w:equalWidth="0" w:num="2">
            <w:col w:w="860" w:space="260"/>
            <w:col w:w="7899"/>
          </w:cols>
          <w:pgMar w:left="1440" w:top="270" w:right="1440" w:bottom="947"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60" w:hanging="406"/>
        <w:spacing w:after="0"/>
        <w:tabs>
          <w:tab w:leader="none" w:pos="8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ectPr>
          <w:pgSz w:w="11900" w:h="16838" w:orient="portrait"/>
          <w:cols w:equalWidth="0" w:num="1">
            <w:col w:w="9019"/>
          </w:cols>
          <w:pgMar w:left="1440" w:top="270" w:right="1440" w:bottom="947" w:gutter="0" w:footer="0" w:header="0"/>
          <w:type w:val="continuous"/>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947" w:gutter="0" w:footer="0" w:header="0"/>
          <w:type w:val="continuous"/>
        </w:sectPr>
      </w:pPr>
    </w:p>
    <w:bookmarkStart w:id="130" w:name="page131"/>
    <w:bookmarkEnd w:id="130"/>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sz w:val="20"/>
          <w:szCs w:val="20"/>
          <w:color w:val="auto"/>
        </w:rPr>
      </w:pPr>
    </w:p>
    <w:p>
      <w:pPr>
        <w:jc w:val="both"/>
        <w:ind w:left="1320" w:right="479" w:hanging="434"/>
        <w:spacing w:after="0" w:line="266" w:lineRule="auto"/>
        <w:tabs>
          <w:tab w:leader="none" w:pos="13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8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44"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75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2"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73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1" w:lineRule="exact"/>
        <w:rPr>
          <w:rFonts w:ascii="Times New Roman" w:cs="Times New Roman" w:eastAsia="Times New Roman" w:hAnsi="Times New Roman"/>
          <w:sz w:val="18"/>
          <w:szCs w:val="18"/>
          <w:color w:val="auto"/>
        </w:rPr>
      </w:pPr>
    </w:p>
    <w:p>
      <w:pPr>
        <w:ind w:left="2180" w:right="479" w:hanging="430"/>
        <w:spacing w:after="0" w:line="282" w:lineRule="auto"/>
        <w:tabs>
          <w:tab w:leader="none" w:pos="2209"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80"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24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an undersigned registrant;</w:t>
      </w:r>
    </w:p>
    <w:p>
      <w:pPr>
        <w:spacing w:after="0" w:line="94" w:lineRule="exact"/>
        <w:rPr>
          <w:rFonts w:ascii="Times New Roman" w:cs="Times New Roman" w:eastAsia="Times New Roman" w:hAnsi="Times New Roman"/>
          <w:sz w:val="18"/>
          <w:szCs w:val="18"/>
          <w:color w:val="auto"/>
        </w:rPr>
      </w:pPr>
    </w:p>
    <w:p>
      <w:pPr>
        <w:jc w:val="both"/>
        <w:ind w:left="2180" w:right="479" w:hanging="430"/>
        <w:spacing w:after="0" w:line="266" w:lineRule="auto"/>
        <w:tabs>
          <w:tab w:leader="none" w:pos="2241"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180" w:right="479" w:hanging="430"/>
        <w:spacing w:after="0" w:line="282" w:lineRule="auto"/>
        <w:tabs>
          <w:tab w:leader="none" w:pos="2229"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280" w:hanging="394"/>
        <w:spacing w:after="0"/>
        <w:tabs>
          <w:tab w:leader="none" w:pos="12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57" w:lineRule="exact"/>
        <w:rPr>
          <w:rFonts w:ascii="Times New Roman" w:cs="Times New Roman" w:eastAsia="Times New Roman" w:hAnsi="Times New Roman"/>
          <w:sz w:val="18"/>
          <w:szCs w:val="18"/>
          <w:color w:val="auto"/>
        </w:rPr>
      </w:pPr>
    </w:p>
    <w:p>
      <w:pPr>
        <w:jc w:val="both"/>
        <w:ind w:left="1760" w:right="459" w:hanging="442"/>
        <w:spacing w:after="0" w:line="258" w:lineRule="auto"/>
        <w:tabs>
          <w:tab w:leader="none" w:pos="178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5"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82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59" w:firstLine="432"/>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New York, on the 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day of December, 2020.</w:t>
      </w:r>
    </w:p>
    <w:p>
      <w:pPr>
        <w:spacing w:after="0" w:line="11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189" w:lineRule="exact"/>
        <w:rPr>
          <w:sz w:val="20"/>
          <w:szCs w:val="20"/>
          <w:color w:val="auto"/>
        </w:rPr>
      </w:pPr>
    </w:p>
    <w:p>
      <w:pPr>
        <w:ind w:left="434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51435</wp:posOffset>
            </wp:positionV>
            <wp:extent cx="22720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2272030" cy="8890"/>
                    </a:xfrm>
                    <a:prstGeom prst="rect">
                      <a:avLst/>
                    </a:prstGeom>
                    <a:noFill/>
                  </pic:spPr>
                </pic:pic>
              </a:graphicData>
            </a:graphic>
          </wp:anchor>
        </w:drawing>
      </w:r>
    </w:p>
    <w:p>
      <w:pPr>
        <w:spacing w:after="0" w:line="70" w:lineRule="exact"/>
        <w:rPr>
          <w:sz w:val="20"/>
          <w:szCs w:val="20"/>
          <w:color w:val="auto"/>
        </w:rPr>
      </w:pPr>
    </w:p>
    <w:p>
      <w:pPr>
        <w:ind w:left="434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Edward Scheetz</w:t>
      </w:r>
    </w:p>
    <w:p>
      <w:pPr>
        <w:spacing w:after="0" w:line="77" w:lineRule="exact"/>
        <w:rPr>
          <w:sz w:val="20"/>
          <w:szCs w:val="20"/>
          <w:color w:val="auto"/>
        </w:rPr>
      </w:pPr>
    </w:p>
    <w:p>
      <w:pPr>
        <w:ind w:left="434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4240" w:type="dxa"/>
            <w:vAlign w:val="bottom"/>
            <w:gridSpan w:val="2"/>
          </w:tcPr>
          <w:p>
            <w:pPr>
              <w:ind w:left="180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7"/>
        </w:trPr>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 Edward Scheetz</w:t>
            </w:r>
          </w:p>
        </w:tc>
        <w:tc>
          <w:tcPr>
            <w:tcW w:w="4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Chairman, Chief Executive Officer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21,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43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Edward Scheetz</w:t>
            </w:r>
          </w:p>
        </w:tc>
        <w:tc>
          <w:tcPr>
            <w:tcW w:w="4340" w:type="dxa"/>
            <w:vAlign w:val="bottom"/>
            <w:gridSpan w:val="3"/>
            <w:vMerge w:val="continue"/>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 Matthew MacDonald</w:t>
            </w:r>
          </w:p>
        </w:tc>
        <w:tc>
          <w:tcPr>
            <w:tcW w:w="4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21,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43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 Secretary</w:t>
            </w: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Matthew MacDonald</w:t>
            </w:r>
          </w:p>
        </w:tc>
        <w:tc>
          <w:tcPr>
            <w:tcW w:w="4340" w:type="dxa"/>
            <w:vAlign w:val="bottom"/>
            <w:gridSpan w:val="3"/>
            <w:vMerge w:val="continue"/>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Director</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 Jonas Grossman</w:t>
            </w:r>
          </w:p>
        </w:tc>
        <w:tc>
          <w:tcPr>
            <w:tcW w:w="4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21,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Jonas Grossman</w:t>
            </w:r>
          </w:p>
        </w:tc>
        <w:tc>
          <w:tcPr>
            <w:tcW w:w="1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2"/>
          </w:tcPr>
          <w:p>
            <w:pPr>
              <w:ind w:left="1680"/>
              <w:spacing w:after="0"/>
              <w:rPr>
                <w:sz w:val="20"/>
                <w:szCs w:val="20"/>
                <w:color w:val="auto"/>
              </w:rPr>
            </w:pPr>
            <w:r>
              <w:rPr>
                <w:rFonts w:ascii="Times New Roman" w:cs="Times New Roman" w:eastAsia="Times New Roman" w:hAnsi="Times New Roman"/>
                <w:sz w:val="18"/>
                <w:szCs w:val="18"/>
                <w:color w:val="auto"/>
              </w:rPr>
              <w:t>II-8</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1)"/>
      <w:numFmt w:val="decimal"/>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1)"/>
      <w:numFmt w:val="upperLetter"/>
      <w:start w:val="1"/>
    </w:lvl>
  </w:abstractNum>
  <w:abstractNum w:abstractNumId="6">
    <w:nsid w:val="2A487CB0"/>
    <w:multiLevelType w:val="hybridMultilevel"/>
    <w:lvl w:ilvl="0">
      <w:lvlJc w:val="left"/>
      <w:lvlText w:val="(%1)"/>
      <w:numFmt w:val="decimal"/>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1)"/>
      <w:numFmt w:val="decimal"/>
      <w:start w:val="2"/>
    </w:lvl>
  </w:abstractNum>
  <w:abstractNum w:abstractNumId="9">
    <w:nsid w:val="2CD89A32"/>
    <w:multiLevelType w:val="hybridMultilevel"/>
    <w:lvl w:ilvl="0">
      <w:lvlJc w:val="left"/>
      <w:lvlText w:val="(%1)"/>
      <w:numFmt w:val="upperLetter"/>
      <w:start w:val="2"/>
    </w:lvl>
  </w:abstractNum>
  <w:abstractNum w:abstractNumId="10">
    <w:nsid w:val="57E4CCAF"/>
    <w:multiLevelType w:val="hybridMultilevel"/>
    <w:lvl w:ilvl="0">
      <w:lvlJc w:val="left"/>
      <w:lvlText w:val="(%1)"/>
      <w:numFmt w:val="lowerRoman"/>
      <w:start w:val="3"/>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1)"/>
      <w:numFmt w:val="lowerRoman"/>
      <w:start w:val="10"/>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1)"/>
      <w:numFmt w:val="decimal"/>
      <w:start w:val="3"/>
    </w:lvl>
  </w:abstractNum>
  <w:abstractNum w:abstractNumId="23">
    <w:nsid w:val="79A1DEAA"/>
    <w:multiLevelType w:val="hybridMultilevel"/>
    <w:lvl w:ilvl="0">
      <w:lvlJc w:val="left"/>
      <w:lvlText w:val="(%1)"/>
      <w:numFmt w:val="lowerRoman"/>
      <w:start w:val="3"/>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1)"/>
      <w:numFmt w:val="decimal"/>
      <w:start w:val="1"/>
    </w:lvl>
  </w:abstractNum>
  <w:abstractNum w:abstractNumId="26">
    <w:nsid w:val="70C6A529"/>
    <w:multiLevelType w:val="hybridMultilevel"/>
    <w:lvl w:ilvl="0">
      <w:lvlJc w:val="left"/>
      <w:lvlText w:val="(%1)"/>
      <w:numFmt w:val="decimal"/>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1)"/>
      <w:numFmt w:val="lowerRoman"/>
      <w:start w:val="2"/>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1)"/>
      <w:numFmt w:val="decimal"/>
      <w:start w:val="2"/>
    </w:lvl>
  </w:abstractNum>
  <w:abstractNum w:abstractNumId="37">
    <w:nsid w:val="47398C89"/>
    <w:multiLevelType w:val="hybridMultilevel"/>
    <w:lvl w:ilvl="0">
      <w:lvlJc w:val="left"/>
      <w:lvlText w:val="(%1)"/>
      <w:numFmt w:val="lowerRoman"/>
      <w:start w:val="3"/>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1)"/>
      <w:numFmt w:val="lowerLetter"/>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1)"/>
      <w:numFmt w:val="decimal"/>
      <w:start w:val="1"/>
    </w:lvl>
  </w:abstractNum>
  <w:abstractNum w:abstractNumId="53">
    <w:nsid w:val="4AD084E9"/>
    <w:multiLevelType w:val="hybridMultilevel"/>
    <w:lvl w:ilvl="0">
      <w:lvlJc w:val="left"/>
      <w:lvlText w:val="(%1)"/>
      <w:numFmt w:val="decimal"/>
      <w:start w:val="6"/>
    </w:lvl>
  </w:abstractNum>
  <w:abstractNum w:abstractNumId="54">
    <w:nsid w:val="1F48EAA1"/>
    <w:multiLevelType w:val="hybridMultilevel"/>
    <w:lvl w:ilvl="0">
      <w:lvlJc w:val="left"/>
      <w:lvlText w:val="(%1)"/>
      <w:numFmt w:val="lowerLetter"/>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1"/>
      <w:numFmt w:val="decimal"/>
      <w:start w:val="431"/>
    </w:lvl>
  </w:abstractNum>
  <w:abstractNum w:abstractNumId="64">
    <w:nsid w:val="42C296BD"/>
    <w:multiLevelType w:val="hybridMultilevel"/>
    <w:lvl w:ilvl="0">
      <w:lvlJc w:val="left"/>
      <w:lvlText w:val="(%1)"/>
      <w:numFmt w:val="decimal"/>
      <w:start w:val="1"/>
    </w:lvl>
  </w:abstractNum>
  <w:abstractNum w:abstractNumId="65">
    <w:nsid w:val="168E121F"/>
    <w:multiLevelType w:val="hybridMultilevel"/>
    <w:lvl w:ilvl="0">
      <w:lvlJc w:val="left"/>
      <w:lvlText w:val="(%1)"/>
      <w:numFmt w:val="decimal"/>
      <w:start w:val="1"/>
    </w:lvl>
  </w:abstractNum>
  <w:abstractNum w:abstractNumId="66">
    <w:nsid w:val="1EBA5D23"/>
    <w:multiLevelType w:val="hybridMultilevel"/>
    <w:lvl w:ilvl="0">
      <w:lvlJc w:val="left"/>
      <w:lvlText w:val="(%1)"/>
      <w:numFmt w:val="decimal"/>
      <w:start w:val="1"/>
    </w:lvl>
  </w:abstractNum>
  <w:abstractNum w:abstractNumId="67">
    <w:nsid w:val="661E3F1E"/>
    <w:multiLevelType w:val="hybridMultilevel"/>
    <w:lvl w:ilvl="0">
      <w:lvlJc w:val="left"/>
      <w:lvlText w:val="(%1)"/>
      <w:numFmt w:val="lowerRoman"/>
      <w:start w:val="1"/>
    </w:lvl>
  </w:abstractNum>
  <w:abstractNum w:abstractNumId="68">
    <w:nsid w:val="5DC79EA8"/>
    <w:multiLevelType w:val="hybridMultilevel"/>
    <w:lvl w:ilvl="0">
      <w:lvlJc w:val="left"/>
      <w:lvlText w:val="(%1)"/>
      <w:numFmt w:val="lowerRoman"/>
      <w:start w:val="3"/>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1)"/>
      <w:numFmt w:val="lowerLetter"/>
      <w:start w:val="1"/>
    </w:lvl>
  </w:abstractNum>
  <w:abstractNum w:abstractNumId="71">
    <w:nsid w:val="51D9C564"/>
    <w:multiLevelType w:val="hybridMultilevel"/>
    <w:lvl w:ilvl="0">
      <w:lvlJc w:val="left"/>
      <w:lvlText w:val="(%1)"/>
      <w:numFmt w:val="lowerLetter"/>
      <w:start w:val="3"/>
    </w:lvl>
    <w:lvl w:ilvl="1">
      <w:lvlJc w:val="left"/>
      <w:lvlText w:val="(%2)"/>
      <w:numFmt w:val="lowerLetter"/>
      <w:start w:val="1"/>
    </w:lvl>
  </w:abstractNum>
  <w:abstractNum w:abstractNumId="72">
    <w:nsid w:val="613EFDC5"/>
    <w:multiLevelType w:val="hybridMultilevel"/>
    <w:lvl w:ilvl="0">
      <w:lvlJc w:val="left"/>
      <w:lvlText w:val="(%1)"/>
      <w:numFmt w:val="lowerLetter"/>
      <w:start w:val="10"/>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1)"/>
      <w:numFmt w:val="lowerLetter"/>
      <w:start w:val="1"/>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8">
    <w:nsid w:val="1A32234B"/>
    <w:multiLevelType w:val="hybridMultilevel"/>
    <w:lvl w:ilvl="0">
      <w:lvlJc w:val="left"/>
      <w:lvlText w:val="(%1)"/>
      <w:numFmt w:val="lowerLetter"/>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1" Type="http://schemas.openxmlformats.org/officeDocument/2006/relationships/image" Target="media/image163.png"/><Relationship Id="rId173" Type="http://schemas.openxmlformats.org/officeDocument/2006/relationships/image" Target="media/image164.png"/><Relationship Id="rId176" Type="http://schemas.openxmlformats.org/officeDocument/2006/relationships/image" Target="media/image165.png"/><Relationship Id="rId179" Type="http://schemas.openxmlformats.org/officeDocument/2006/relationships/image" Target="media/image166.png"/><Relationship Id="rId182" Type="http://schemas.openxmlformats.org/officeDocument/2006/relationships/image" Target="media/image167.png"/><Relationship Id="rId186" Type="http://schemas.openxmlformats.org/officeDocument/2006/relationships/image" Target="media/image168.png"/><Relationship Id="rId188" Type="http://schemas.openxmlformats.org/officeDocument/2006/relationships/image" Target="media/image169.png"/><Relationship Id="rId192" Type="http://schemas.openxmlformats.org/officeDocument/2006/relationships/image" Target="media/image170.png"/><Relationship Id="rId195" Type="http://schemas.openxmlformats.org/officeDocument/2006/relationships/image" Target="media/image171.png"/><Relationship Id="rId197" Type="http://schemas.openxmlformats.org/officeDocument/2006/relationships/image" Target="media/image172.png"/><Relationship Id="rId200" Type="http://schemas.openxmlformats.org/officeDocument/2006/relationships/image" Target="media/image173.png"/><Relationship Id="rId203" Type="http://schemas.openxmlformats.org/officeDocument/2006/relationships/image" Target="media/image174.png"/><Relationship Id="rId205" Type="http://schemas.openxmlformats.org/officeDocument/2006/relationships/image" Target="media/image175.png"/><Relationship Id="rId208" Type="http://schemas.openxmlformats.org/officeDocument/2006/relationships/image" Target="media/image176.png"/><Relationship Id="rId211" Type="http://schemas.openxmlformats.org/officeDocument/2006/relationships/image" Target="media/image177.png"/><Relationship Id="rId214" Type="http://schemas.openxmlformats.org/officeDocument/2006/relationships/image" Target="media/image178.pn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170" Type="http://schemas.openxmlformats.org/officeDocument/2006/relationships/hyperlink" Target="http://www.sec.gov/Archives/edgar/data/1822145/000121390020042648/fs12020a1ex1-1_ventouxccm.htm" TargetMode="External"/><Relationship Id="rId172" Type="http://schemas.openxmlformats.org/officeDocument/2006/relationships/hyperlink" Target="http://www.sec.gov/Archives/edgar/data/1822145/000121390020042648/fs12020a1ex1-2_ventouxccm.htm" TargetMode="External"/><Relationship Id="rId174" Type="http://schemas.openxmlformats.org/officeDocument/2006/relationships/hyperlink" Target="http://www.sec.gov/Archives/edgar/data/1822145/000121390020040143/fs12020ex3-1_ventoux.htm" TargetMode="External"/><Relationship Id="rId175" Type="http://schemas.openxmlformats.org/officeDocument/2006/relationships/hyperlink" Target="http://www.sec.gov/Archives/edgar/data/1822145/000121390020040143/fs12020ex3-2_ventoux.htm" TargetMode="External"/><Relationship Id="rId177" Type="http://schemas.openxmlformats.org/officeDocument/2006/relationships/hyperlink" Target="http://www.sec.gov/Archives/edgar/data/1822145/000121390020040143/fs12020ex3-3_ventoux.htm" TargetMode="External"/><Relationship Id="rId178" Type="http://schemas.openxmlformats.org/officeDocument/2006/relationships/hyperlink" Target="http://www.sec.gov/Archives/edgar/data/1822145/000121390020042648/fs12020a1ex3-4_ventouxccm.htm" TargetMode="External"/><Relationship Id="rId180" Type="http://schemas.openxmlformats.org/officeDocument/2006/relationships/hyperlink" Target="http://www.sec.gov/Archives/edgar/data/1822145/000121390020040143/fs12020ex3-5_ventoux.htm" TargetMode="External"/><Relationship Id="rId181" Type="http://schemas.openxmlformats.org/officeDocument/2006/relationships/hyperlink" Target="http://www.sec.gov/Archives/edgar/data/1822145/000121390020042648/fs12020a1ex4-1_ventouxccm.htm" TargetMode="External"/><Relationship Id="rId183" Type="http://schemas.openxmlformats.org/officeDocument/2006/relationships/hyperlink" Target="http://www.sec.gov/Archives/edgar/data/1822145/000121390020042648/fs12020a1ex4-2_ventouxccm.htm" TargetMode="External"/><Relationship Id="rId184" Type="http://schemas.openxmlformats.org/officeDocument/2006/relationships/hyperlink" Target="http://www.sec.gov/Archives/edgar/data/1822145/000121390020042648/fs12020a1ex4-3_ventouxccm.htm" TargetMode="External"/><Relationship Id="rId185" Type="http://schemas.openxmlformats.org/officeDocument/2006/relationships/hyperlink" Target="http://www.sec.gov/Archives/edgar/data/1822145/000121390020043047/fs12020a2ex4-4_ventouxccm.htm" TargetMode="External"/><Relationship Id="rId187" Type="http://schemas.openxmlformats.org/officeDocument/2006/relationships/hyperlink" Target="http://www.sec.gov/Archives/edgar/data/1822145/000121390020043047/fs12020a2ex4-5_ventouxccm.htm" TargetMode="External"/><Relationship Id="rId189" Type="http://schemas.openxmlformats.org/officeDocument/2006/relationships/hyperlink" Target="http://www.sec.gov/Archives/edgar/data/1822145/000121390020042648/fs12020a1ex5-1_ventouxccm.htm" TargetMode="External"/><Relationship Id="rId190" Type="http://schemas.openxmlformats.org/officeDocument/2006/relationships/hyperlink" Target="http://www.sec.gov/Archives/edgar/data/1822145/000121390020042648/fs12020a1ex10-1_ventouxccm.htm" TargetMode="External"/><Relationship Id="rId191" Type="http://schemas.openxmlformats.org/officeDocument/2006/relationships/hyperlink" Target="http://www.sec.gov/Archives/edgar/data/1822145/000121390020042648/fs12020a1ex10-2_ventouxccm.htm" TargetMode="External"/><Relationship Id="rId193" Type="http://schemas.openxmlformats.org/officeDocument/2006/relationships/hyperlink" Target="http://www.sec.gov/Archives/edgar/data/1822145/000121390020042648/fs12020a1ex10-3_ventouxccm.htm" TargetMode="External"/><Relationship Id="rId194" Type="http://schemas.openxmlformats.org/officeDocument/2006/relationships/hyperlink" Target="http://www.sec.gov/Archives/edgar/data/1822145/000121390020042648/fs12020a1ex10-4_ventouxccm.htm" TargetMode="External"/><Relationship Id="rId196" Type="http://schemas.openxmlformats.org/officeDocument/2006/relationships/hyperlink" Target="http://www.sec.gov/Archives/edgar/data/1822145/000121390020042648/fs12020a1ex10-5_ventouxccm.htm" TargetMode="External"/><Relationship Id="rId198" Type="http://schemas.openxmlformats.org/officeDocument/2006/relationships/hyperlink" Target="http://www.sec.gov/Archives/edgar/data/1822145/000121390020042648/fs12020a1ex10-6_ventouxccm.htm" TargetMode="External"/><Relationship Id="rId199" Type="http://schemas.openxmlformats.org/officeDocument/2006/relationships/hyperlink" Target="http://www.sec.gov/Archives/edgar/data/1822145/000121390020042648/fs12020a1ex10-7_ventouxccm.htm" TargetMode="External"/><Relationship Id="rId201" Type="http://schemas.openxmlformats.org/officeDocument/2006/relationships/hyperlink" Target="http://www.sec.gov/Archives/edgar/data/1822145/000121390020042648/fs12020a1ex14-1_ventouxccm.htm" TargetMode="External"/><Relationship Id="rId202" Type="http://schemas.openxmlformats.org/officeDocument/2006/relationships/hyperlink" Target="http://www.sec.gov/Archives/edgar/data/1822145/000121390020043047/fs12020a2ex23-1_ventouxccm.htm" TargetMode="External"/><Relationship Id="rId204" Type="http://schemas.openxmlformats.org/officeDocument/2006/relationships/hyperlink" Target="http://www.sec.gov/Archives/edgar/data/1822145/000121390020042648/fs12020a1ex99-1_ventouxccm.htm" TargetMode="External"/><Relationship Id="rId206" Type="http://schemas.openxmlformats.org/officeDocument/2006/relationships/hyperlink" Target="http://www.sec.gov/Archives/edgar/data/1822145/000121390020042648/fs12020a1ex99-2_ventouxccm.htm" TargetMode="External"/><Relationship Id="rId207" Type="http://schemas.openxmlformats.org/officeDocument/2006/relationships/hyperlink" Target="http://www.sec.gov/Archives/edgar/data/1822145/000121390020042648/fs12020a1ex99-3_ventouxccm.htm" TargetMode="External"/><Relationship Id="rId209" Type="http://schemas.openxmlformats.org/officeDocument/2006/relationships/hyperlink" Target="http://www.sec.gov/Archives/edgar/data/1822145/000121390020040143/fs12020ex99-4_ventoux.htm" TargetMode="External"/><Relationship Id="rId210" Type="http://schemas.openxmlformats.org/officeDocument/2006/relationships/hyperlink" Target="http://www.sec.gov/Archives/edgar/data/1822145/000121390020040143/fs12020ex99-5_ventoux.htm" TargetMode="External"/><Relationship Id="rId212" Type="http://schemas.openxmlformats.org/officeDocument/2006/relationships/hyperlink" Target="https://www.sec.gov/Archives/edgar/data/1822145/000121390020040143/fs12020ex99-6_ventoux.htm" TargetMode="External"/><Relationship Id="rId213" Type="http://schemas.openxmlformats.org/officeDocument/2006/relationships/hyperlink" Target="http://www.sec.gov/Archives/edgar/data/1822145/000121390020040143/fs12020ex99-7_ventoux.htm" TargetMode="External"/><Relationship Id="rId215" Type="http://schemas.openxmlformats.org/officeDocument/2006/relationships/hyperlink" Target="http://www.sec.gov/Archives/edgar/data/1822145/000121390020042648/fs12020a1ex99-8_ventouxcc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2020-12-21T14:26:56Z</dcterms:created>
  <dcterms:modified xsi:type="dcterms:W3CDTF">2020-12-21T14:26:56Z</dcterms:modified>
</cp:coreProperties>
</file>