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80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Lopdrup Kim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80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70,744</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280" w:type="dxa"/>
            <w:vAlign w:val="bottom"/>
            <w:gridSpan w:val="2"/>
          </w:tcPr>
          <w:p>
            <w:pPr>
              <w:jc w:val="right"/>
              <w:ind w:right="261"/>
              <w:spacing w:after="0"/>
              <w:rPr>
                <w:sz w:val="20"/>
                <w:szCs w:val="20"/>
                <w:color w:val="auto"/>
              </w:rPr>
            </w:pPr>
            <w:r>
              <w:rPr>
                <w:rFonts w:ascii="Times New Roman" w:cs="Times New Roman" w:eastAsia="Times New Roman" w:hAnsi="Times New Roman"/>
                <w:sz w:val="13"/>
                <w:szCs w:val="13"/>
                <w:color w:val="008000"/>
              </w:rPr>
              <w:t>(2)(3)</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09/21/2027</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17,375</w:t>
            </w:r>
          </w:p>
        </w:tc>
        <w:tc>
          <w:tcPr>
            <w:tcW w:w="4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8000"/>
              </w:rPr>
              <w:t>(2)(3)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60,744 restricted stock units that vest in equal monthly installments through October 15, 2024.</w:t>
      </w:r>
    </w:p>
    <w:p>
      <w:pPr>
        <w:spacing w:after="0" w:line="52"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right to receive shares of the Issuer's common stock pursuant to the Business Combination Agreement, as defined below. The Reporting Person is entitled to receive the Earn-Out Shares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(as defined below), and one-half will be issued to the Reporting Person if the VWAP of the Issuer common stock equals or exceeds $15.00 over 20 trading days within any 30 trading day period on or before the fifth anniversary of the Closing Date. Pursuant to the Agreement and Plan of Merger, dated as of November 10, 2021, as amended (the "Merger Agreement"), (Continued in footnote 3)</w:t>
      </w:r>
    </w:p>
    <w:p>
      <w:pPr>
        <w:spacing w:after="0" w:line="33" w:lineRule="exact"/>
        <w:rPr>
          <w:rFonts w:ascii="Times New Roman" w:cs="Times New Roman" w:eastAsia="Times New Roman" w:hAnsi="Times New Roman"/>
          <w:sz w:val="15"/>
          <w:szCs w:val="15"/>
          <w:color w:val="008000"/>
        </w:rPr>
      </w:pPr>
    </w:p>
    <w:p>
      <w:pPr>
        <w:ind w:left="40" w:right="12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2) entered into by and among Ventoux CCM Acquisition Corp. (which subsequently changed its name to "Presto Automation Inc.", the "Issuer"), Ventoux Merger Sub I Inc. and Ventoux Merger Sub II LLC, each a wholly owned subsidiary of Ventoux CCM Acquisition Corp., and E La Carte, Inc. ("Old Presto"), the Issuer acquired Old Presto (the "Business Combination"). Pursuant to the terms of the Merger Agreement, each share of Old Presto common stock, option or restricted stock unit, as applicable, outstanding immediately prior to the closing of the Business Combination was entitled to receive 0.8099 shares of Issuer common stock, option, or restricted stock unit, respectively, and certain earnout shares ("Earn-Out Shares"). The Business Combination closed on September 21, 2022 (the "Closing Date").</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0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Rajat Suri, Ashish Gupta,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31, 2022</w:t>
      </w:r>
    </w:p>
    <w:p>
      <w:pPr>
        <w:spacing w:after="0" w:line="30" w:lineRule="exact"/>
        <w:rPr>
          <w:sz w:val="20"/>
          <w:szCs w:val="20"/>
          <w:color w:val="auto"/>
        </w:rPr>
      </w:pPr>
    </w:p>
    <w:p>
      <w:pPr>
        <w:ind w:left="6580"/>
        <w:spacing w:after="0"/>
        <w:tabs>
          <w:tab w:leader="none" w:pos="7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Kim Axel Lopdrup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15875</wp:posOffset>
            </wp:positionV>
            <wp:extent cx="24968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3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0"/>
          <w:szCs w:val="20"/>
          <w:color w:val="auto"/>
        </w:rPr>
        <w:t>Name: Kim Axel Lopdrup</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292333"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2022-10-03T18:02:37Z</dcterms:created>
  <dcterms:modified xsi:type="dcterms:W3CDTF">2022-10-03T18:02:37Z</dcterms:modified>
</cp:coreProperties>
</file>