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5255895</wp:posOffset>
            </wp:positionH>
            <wp:positionV relativeFrom="paragraph">
              <wp:posOffset>-586740</wp:posOffset>
            </wp:positionV>
            <wp:extent cx="8255" cy="587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8737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-594995</wp:posOffset>
            </wp:positionV>
            <wp:extent cx="8255" cy="595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563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-570865</wp:posOffset>
            </wp:positionV>
            <wp:extent cx="1270635" cy="548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480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24765</wp:posOffset>
            </wp:positionV>
            <wp:extent cx="6972300" cy="1691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69164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180" w:space="460"/>
            <w:col w:w="8440"/>
          </w:cols>
          <w:pgMar w:left="460" w:top="218"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Macdonald Matthew</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C/O VENTOUX CCM ACQUISITION CORP.</w:t>
      </w:r>
    </w:p>
    <w:p>
      <w:pPr>
        <w:spacing w:after="0" w:line="78"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 EAST PUTNAM AVENUE, FLOOR 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Ventoux CCM Acquisition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VTAQU</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6"/>
          <w:szCs w:val="16"/>
          <w:color w:val="0000FF"/>
        </w:rPr>
        <w:t>12/30/2020</w:t>
      </w:r>
    </w:p>
    <w:p>
      <w:pPr>
        <w:spacing w:after="0" w:line="20" w:lineRule="exact"/>
        <w:rPr>
          <w:sz w:val="24"/>
          <w:szCs w:val="24"/>
          <w:color w:val="auto"/>
        </w:rPr>
      </w:pPr>
      <w:r>
        <w:rPr>
          <w:sz w:val="24"/>
          <w:szCs w:val="24"/>
          <w:color w:val="auto"/>
        </w:rPr>
        <w:br w:type="column"/>
      </w:r>
    </w:p>
    <w:p>
      <w:pPr>
        <w:ind w:left="-9" w:right="720" w:firstLine="9"/>
        <w:spacing w:after="0" w:line="230"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1" w:type="dxa"/>
        <w:tblCellMar>
          <w:top w:w="0" w:type="dxa"/>
          <w:left w:w="0" w:type="dxa"/>
          <w:bottom w:w="0" w:type="dxa"/>
          <w:right w:w="0" w:type="dxa"/>
        </w:tblCellMar>
      </w:tblPr>
      <w:tr>
        <w:trPr>
          <w:trHeight w:val="207"/>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2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260" w:type="dxa"/>
            <w:vAlign w:val="bottom"/>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2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260" w:type="dxa"/>
            <w:vAlign w:val="bottom"/>
          </w:tcPr>
          <w:p>
            <w:pPr>
              <w:ind w:left="48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2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26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091"/>
        <w:spacing w:after="0"/>
        <w:rPr>
          <w:sz w:val="20"/>
          <w:szCs w:val="20"/>
          <w:color w:val="auto"/>
        </w:rPr>
      </w:pPr>
      <w:r>
        <w:rPr>
          <w:rFonts w:ascii="Arial" w:cs="Arial" w:eastAsia="Arial" w:hAnsi="Arial"/>
          <w:sz w:val="16"/>
          <w:szCs w:val="16"/>
          <w:color w:val="0000FF"/>
        </w:rPr>
        <w:t>CFO, Secretary</w:t>
      </w:r>
    </w:p>
    <w:p>
      <w:pPr>
        <w:spacing w:after="0" w:line="474" w:lineRule="exact"/>
        <w:rPr>
          <w:sz w:val="24"/>
          <w:szCs w:val="24"/>
          <w:color w:val="auto"/>
        </w:rPr>
      </w:pPr>
    </w:p>
    <w:p>
      <w:pPr>
        <w:sectPr>
          <w:pgSz w:w="11900" w:h="16838" w:orient="portrait"/>
          <w:cols w:equalWidth="0" w:num="3">
            <w:col w:w="3180" w:space="720"/>
            <w:col w:w="3480" w:space="349"/>
            <w:col w:w="3351"/>
          </w:cols>
          <w:pgMar w:left="460" w:top="218" w:right="359" w:bottom="1440" w:gutter="0" w:footer="0" w:header="0"/>
          <w:type w:val="continuous"/>
        </w:sectPr>
      </w:pPr>
    </w:p>
    <w:p>
      <w:pPr>
        <w:spacing w:after="0" w:line="125"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Arial" w:cs="Arial" w:eastAsia="Arial" w:hAnsi="Arial"/>
                <w:sz w:val="16"/>
                <w:szCs w:val="16"/>
                <w:color w:val="0000FF"/>
              </w:rPr>
              <w:t>GREENWICH</w:t>
            </w:r>
          </w:p>
        </w:tc>
        <w:tc>
          <w:tcPr>
            <w:tcW w:w="920" w:type="dxa"/>
            <w:vAlign w:val="bottom"/>
          </w:tcPr>
          <w:p>
            <w:pPr>
              <w:ind w:left="120"/>
              <w:spacing w:after="0"/>
              <w:rPr>
                <w:sz w:val="20"/>
                <w:szCs w:val="20"/>
                <w:color w:val="auto"/>
              </w:rPr>
            </w:pPr>
            <w:r>
              <w:rPr>
                <w:rFonts w:ascii="Arial" w:cs="Arial" w:eastAsia="Arial" w:hAnsi="Arial"/>
                <w:sz w:val="16"/>
                <w:szCs w:val="16"/>
                <w:color w:val="0000FF"/>
              </w:rPr>
              <w:t>CT</w:t>
            </w:r>
          </w:p>
        </w:tc>
        <w:tc>
          <w:tcPr>
            <w:tcW w:w="1620" w:type="dxa"/>
            <w:vAlign w:val="bottom"/>
          </w:tcPr>
          <w:p>
            <w:pPr>
              <w:ind w:left="420"/>
              <w:spacing w:after="0"/>
              <w:rPr>
                <w:sz w:val="20"/>
                <w:szCs w:val="20"/>
                <w:color w:val="auto"/>
              </w:rPr>
            </w:pPr>
            <w:r>
              <w:rPr>
                <w:rFonts w:ascii="Arial" w:cs="Arial" w:eastAsia="Arial" w:hAnsi="Arial"/>
                <w:sz w:val="16"/>
                <w:szCs w:val="16"/>
                <w:color w:val="0000FF"/>
              </w:rPr>
              <w:t>06830</w:t>
            </w:r>
          </w:p>
        </w:tc>
      </w:tr>
      <w:tr>
        <w:trPr>
          <w:trHeight w:val="145"/>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40"/>
        <w:spacing w:after="0" w:line="217"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9" w:lineRule="exact"/>
        <w:rPr>
          <w:sz w:val="24"/>
          <w:szCs w:val="24"/>
          <w:color w:val="auto"/>
        </w:rPr>
      </w:pPr>
    </w:p>
    <w:p>
      <w:pPr>
        <w:jc w:val="right"/>
        <w:ind w:right="220"/>
        <w:spacing w:after="0"/>
        <w:rPr>
          <w:sz w:val="20"/>
          <w:szCs w:val="20"/>
          <w:color w:val="auto"/>
        </w:rPr>
      </w:pPr>
      <w:r>
        <w:rPr>
          <w:rFonts w:ascii="Arial" w:cs="Arial" w:eastAsia="Arial" w:hAnsi="Arial"/>
          <w:sz w:val="13"/>
          <w:szCs w:val="13"/>
          <w:color w:val="auto"/>
        </w:rPr>
        <w:t>Form filed by More than One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207645</wp:posOffset>
            </wp:positionV>
            <wp:extent cx="6972300" cy="849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849630"/>
                    </a:xfrm>
                    <a:prstGeom prst="rect">
                      <a:avLst/>
                    </a:prstGeom>
                    <a:noFill/>
                  </pic:spPr>
                </pic:pic>
              </a:graphicData>
            </a:graphic>
          </wp:anchor>
        </w:drawing>
      </w:r>
    </w:p>
    <w:p>
      <w:pPr>
        <w:spacing w:after="0" w:line="385" w:lineRule="exact"/>
        <w:rPr>
          <w:sz w:val="24"/>
          <w:szCs w:val="24"/>
          <w:color w:val="auto"/>
        </w:rPr>
      </w:pPr>
    </w:p>
    <w:p>
      <w:pPr>
        <w:sectPr>
          <w:pgSz w:w="11900" w:h="16838" w:orient="portrait"/>
          <w:cols w:equalWidth="0" w:num="2">
            <w:col w:w="3760" w:space="140"/>
            <w:col w:w="718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40"/>
              <w:spacing w:after="0" w:line="122"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035800" cy="1802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800" cy="1802765"/>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90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900" w:type="dxa"/>
            <w:vAlign w:val="bottom"/>
          </w:tcPr>
          <w:p>
            <w:pPr>
              <w:ind w:left="20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660" w:type="dxa"/>
            <w:vAlign w:val="bottom"/>
          </w:tcPr>
          <w:p>
            <w:pPr>
              <w:spacing w:after="0"/>
              <w:rPr>
                <w:sz w:val="20"/>
                <w:szCs w:val="20"/>
                <w:color w:val="auto"/>
              </w:rPr>
            </w:pPr>
            <w:r>
              <w:rPr>
                <w:rFonts w:ascii="Arial" w:cs="Arial" w:eastAsia="Arial" w:hAnsi="Arial"/>
                <w:sz w:val="13"/>
                <w:szCs w:val="13"/>
                <w:color w:val="0000FF"/>
              </w:rPr>
              <w:t>Warrants</w:t>
            </w:r>
          </w:p>
        </w:tc>
        <w:tc>
          <w:tcPr>
            <w:tcW w:w="7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60" w:type="dxa"/>
            <w:vAlign w:val="bottom"/>
          </w:tcPr>
          <w:p>
            <w:pPr>
              <w:spacing w:after="0" w:line="138" w:lineRule="exact"/>
              <w:rPr>
                <w:sz w:val="20"/>
                <w:szCs w:val="20"/>
                <w:color w:val="auto"/>
              </w:rPr>
            </w:pPr>
            <w:r>
              <w:rPr>
                <w:rFonts w:ascii="Arial" w:cs="Arial" w:eastAsia="Arial" w:hAnsi="Arial"/>
                <w:sz w:val="13"/>
                <w:szCs w:val="13"/>
                <w:color w:val="0000FF"/>
              </w:rPr>
              <w:t>to</w:t>
            </w:r>
          </w:p>
        </w:tc>
        <w:tc>
          <w:tcPr>
            <w:tcW w:w="7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28"/>
              <w:spacing w:after="0"/>
              <w:rPr>
                <w:sz w:val="20"/>
                <w:szCs w:val="20"/>
                <w:color w:val="auto"/>
              </w:rPr>
            </w:pPr>
            <w:r>
              <w:rPr>
                <w:rFonts w:ascii="Arial" w:cs="Arial" w:eastAsia="Arial" w:hAnsi="Arial"/>
                <w:sz w:val="10"/>
                <w:szCs w:val="10"/>
                <w:color w:val="008000"/>
              </w:rPr>
              <w:t>(2)</w:t>
            </w:r>
          </w:p>
        </w:tc>
        <w:tc>
          <w:tcPr>
            <w:tcW w:w="700" w:type="dxa"/>
            <w:vAlign w:val="bottom"/>
            <w:vMerge w:val="restart"/>
          </w:tcPr>
          <w:p>
            <w:pPr>
              <w:jc w:val="center"/>
              <w:ind w:left="60"/>
              <w:spacing w:after="0"/>
              <w:rPr>
                <w:sz w:val="20"/>
                <w:szCs w:val="20"/>
                <w:color w:val="auto"/>
              </w:rPr>
            </w:pPr>
            <w:r>
              <w:rPr>
                <w:rFonts w:ascii="Arial" w:cs="Arial" w:eastAsia="Arial" w:hAnsi="Arial"/>
                <w:sz w:val="13"/>
                <w:szCs w:val="13"/>
                <w:color w:val="0000FF"/>
                <w:w w:val="87"/>
              </w:rPr>
              <w:t>Common</w:t>
            </w:r>
          </w:p>
        </w:tc>
        <w:tc>
          <w:tcPr>
            <w:tcW w:w="900" w:type="dxa"/>
            <w:vAlign w:val="bottom"/>
            <w:vMerge w:val="restart"/>
          </w:tcPr>
          <w:p>
            <w:pPr>
              <w:jc w:val="right"/>
              <w:ind w:right="99"/>
              <w:spacing w:after="0"/>
              <w:rPr>
                <w:sz w:val="20"/>
                <w:szCs w:val="20"/>
                <w:color w:val="auto"/>
              </w:rPr>
            </w:pPr>
            <w:r>
              <w:rPr>
                <w:rFonts w:ascii="Arial" w:cs="Arial" w:eastAsia="Arial" w:hAnsi="Arial"/>
                <w:sz w:val="16"/>
                <w:szCs w:val="16"/>
                <w:color w:val="0000FF"/>
                <w:w w:val="98"/>
              </w:rPr>
              <w:t>4,000,000</w:t>
            </w: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vMerge w:val="restart"/>
          </w:tcPr>
          <w:p>
            <w:pPr>
              <w:ind w:left="20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60" w:type="dxa"/>
            <w:vAlign w:val="bottom"/>
            <w:vMerge w:val="restart"/>
          </w:tcPr>
          <w:p>
            <w:pPr>
              <w:spacing w:after="0" w:line="148" w:lineRule="exact"/>
              <w:rPr>
                <w:sz w:val="20"/>
                <w:szCs w:val="20"/>
                <w:color w:val="auto"/>
              </w:rPr>
            </w:pPr>
            <w:r>
              <w:rPr>
                <w:rFonts w:ascii="Arial" w:cs="Arial" w:eastAsia="Arial" w:hAnsi="Arial"/>
                <w:sz w:val="13"/>
                <w:szCs w:val="13"/>
                <w:color w:val="0000FF"/>
              </w:rPr>
              <w:t>purchase</w:t>
            </w:r>
          </w:p>
        </w:tc>
        <w:tc>
          <w:tcPr>
            <w:tcW w:w="700" w:type="dxa"/>
            <w:vAlign w:val="bottom"/>
            <w:vMerge w:val="restart"/>
          </w:tcPr>
          <w:p>
            <w:pPr>
              <w:jc w:val="right"/>
              <w:ind w:right="18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11.5</w:t>
            </w:r>
          </w:p>
        </w:tc>
        <w:tc>
          <w:tcPr>
            <w:tcW w:w="1540" w:type="dxa"/>
            <w:vAlign w:val="bottom"/>
            <w:vMerge w:val="restart"/>
          </w:tcPr>
          <w:p>
            <w:pPr>
              <w:jc w:val="right"/>
              <w:ind w:right="677"/>
              <w:spacing w:after="0" w:line="148" w:lineRule="exact"/>
              <w:rPr>
                <w:sz w:val="20"/>
                <w:szCs w:val="20"/>
                <w:color w:val="auto"/>
              </w:rPr>
            </w:pPr>
            <w:r>
              <w:rPr>
                <w:rFonts w:ascii="Arial" w:cs="Arial" w:eastAsia="Arial" w:hAnsi="Arial"/>
                <w:sz w:val="13"/>
                <w:szCs w:val="13"/>
                <w:color w:val="0000FF"/>
              </w:rPr>
              <w:t>12/30/2020</w:t>
            </w:r>
          </w:p>
        </w:tc>
        <w:tc>
          <w:tcPr>
            <w:tcW w:w="1100" w:type="dxa"/>
            <w:vAlign w:val="bottom"/>
            <w:vMerge w:val="restart"/>
          </w:tcPr>
          <w:p>
            <w:pPr>
              <w:ind w:left="740"/>
              <w:spacing w:after="0" w:line="148" w:lineRule="exact"/>
              <w:rPr>
                <w:sz w:val="20"/>
                <w:szCs w:val="20"/>
                <w:color w:val="auto"/>
              </w:rPr>
            </w:pPr>
            <w:r>
              <w:rPr>
                <w:rFonts w:ascii="Arial" w:cs="Arial" w:eastAsia="Arial" w:hAnsi="Arial"/>
                <w:sz w:val="13"/>
                <w:szCs w:val="13"/>
                <w:color w:val="0000FF"/>
              </w:rPr>
              <w:t>P</w:t>
            </w:r>
          </w:p>
        </w:tc>
        <w:tc>
          <w:tcPr>
            <w:tcW w:w="1140" w:type="dxa"/>
            <w:vAlign w:val="bottom"/>
            <w:vMerge w:val="restart"/>
          </w:tcPr>
          <w:p>
            <w:pPr>
              <w:jc w:val="right"/>
              <w:ind w:right="277"/>
              <w:spacing w:after="0" w:line="148" w:lineRule="exact"/>
              <w:rPr>
                <w:sz w:val="20"/>
                <w:szCs w:val="20"/>
                <w:color w:val="auto"/>
              </w:rPr>
            </w:pPr>
            <w:r>
              <w:rPr>
                <w:rFonts w:ascii="Arial" w:cs="Arial" w:eastAsia="Arial" w:hAnsi="Arial"/>
                <w:sz w:val="13"/>
                <w:szCs w:val="13"/>
                <w:color w:val="0000FF"/>
              </w:rPr>
              <w:t>4,000,000</w:t>
            </w:r>
          </w:p>
        </w:tc>
        <w:tc>
          <w:tcPr>
            <w:tcW w:w="76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520" w:type="dxa"/>
            <w:vAlign w:val="bottom"/>
            <w:vMerge w:val="restart"/>
          </w:tcPr>
          <w:p>
            <w:pPr>
              <w:jc w:val="right"/>
              <w:ind w:right="18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w:t>
            </w:r>
          </w:p>
        </w:tc>
        <w:tc>
          <w:tcPr>
            <w:tcW w:w="1000" w:type="dxa"/>
            <w:vAlign w:val="bottom"/>
            <w:vMerge w:val="restart"/>
          </w:tcPr>
          <w:p>
            <w:pPr>
              <w:jc w:val="right"/>
              <w:ind w:right="197"/>
              <w:spacing w:after="0" w:line="148" w:lineRule="exact"/>
              <w:rPr>
                <w:sz w:val="20"/>
                <w:szCs w:val="20"/>
                <w:color w:val="auto"/>
              </w:rPr>
            </w:pPr>
            <w:r>
              <w:rPr>
                <w:rFonts w:ascii="Arial" w:cs="Arial" w:eastAsia="Arial" w:hAnsi="Arial"/>
                <w:sz w:val="13"/>
                <w:szCs w:val="13"/>
                <w:color w:val="0000FF"/>
              </w:rPr>
              <w:t>4,000,000</w:t>
            </w:r>
          </w:p>
        </w:tc>
        <w:tc>
          <w:tcPr>
            <w:tcW w:w="520" w:type="dxa"/>
            <w:vAlign w:val="bottom"/>
            <w:vMerge w:val="restart"/>
          </w:tcPr>
          <w:p>
            <w:pPr>
              <w:ind w:left="280"/>
              <w:spacing w:after="0" w:line="148" w:lineRule="exact"/>
              <w:rPr>
                <w:sz w:val="20"/>
                <w:szCs w:val="20"/>
                <w:color w:val="auto"/>
              </w:rPr>
            </w:pPr>
            <w:r>
              <w:rPr>
                <w:rFonts w:ascii="Arial" w:cs="Arial" w:eastAsia="Arial" w:hAnsi="Arial"/>
                <w:sz w:val="13"/>
                <w:szCs w:val="13"/>
                <w:color w:val="0000FF"/>
              </w:rPr>
              <w:t>I</w:t>
            </w: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6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00" w:type="dxa"/>
            <w:vAlign w:val="bottom"/>
            <w:vMerge w:val="restart"/>
          </w:tcPr>
          <w:p>
            <w:pPr>
              <w:jc w:val="center"/>
              <w:ind w:left="60"/>
              <w:spacing w:after="0" w:line="101" w:lineRule="exact"/>
              <w:rPr>
                <w:sz w:val="20"/>
                <w:szCs w:val="20"/>
                <w:color w:val="auto"/>
              </w:rPr>
            </w:pPr>
            <w:r>
              <w:rPr>
                <w:rFonts w:ascii="Arial" w:cs="Arial" w:eastAsia="Arial" w:hAnsi="Arial"/>
                <w:sz w:val="11"/>
                <w:szCs w:val="11"/>
                <w:color w:val="0000FF"/>
              </w:rPr>
              <w:t>Stock</w:t>
            </w:r>
          </w:p>
        </w:tc>
        <w:tc>
          <w:tcPr>
            <w:tcW w:w="9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60" w:type="dxa"/>
            <w:vAlign w:val="bottom"/>
            <w:vMerge w:val="restart"/>
          </w:tcPr>
          <w:p>
            <w:pPr>
              <w:ind w:left="200"/>
              <w:spacing w:after="0" w:line="101" w:lineRule="exact"/>
              <w:rPr>
                <w:sz w:val="20"/>
                <w:szCs w:val="20"/>
                <w:color w:val="auto"/>
              </w:rPr>
            </w:pPr>
            <w:r>
              <w:rPr>
                <w:rFonts w:ascii="Arial" w:cs="Arial" w:eastAsia="Arial" w:hAnsi="Arial"/>
                <w:sz w:val="8"/>
                <w:szCs w:val="8"/>
                <w:color w:val="0000FF"/>
              </w:rPr>
              <w:t>Footnote</w:t>
            </w:r>
            <w:r>
              <w:rPr>
                <w:rFonts w:ascii="Arial" w:cs="Arial" w:eastAsia="Arial" w:hAnsi="Arial"/>
                <w:sz w:val="11"/>
                <w:szCs w:val="11"/>
                <w:color w:val="008000"/>
                <w:vertAlign w:val="superscript"/>
              </w:rPr>
              <w:t>(3)</w:t>
            </w:r>
          </w:p>
        </w:tc>
        <w:tc>
          <w:tcPr>
            <w:tcW w:w="0" w:type="dxa"/>
            <w:vAlign w:val="bottom"/>
          </w:tcPr>
          <w:p>
            <w:pPr>
              <w:spacing w:after="0"/>
              <w:rPr>
                <w:sz w:val="1"/>
                <w:szCs w:val="1"/>
                <w:color w:val="auto"/>
              </w:rPr>
            </w:pPr>
          </w:p>
        </w:tc>
      </w:tr>
      <w:tr>
        <w:trPr>
          <w:trHeight w:val="21"/>
        </w:trPr>
        <w:tc>
          <w:tcPr>
            <w:tcW w:w="66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60" w:type="dxa"/>
            <w:vAlign w:val="bottom"/>
          </w:tcPr>
          <w:p>
            <w:pPr>
              <w:spacing w:after="0" w:line="138" w:lineRule="exact"/>
              <w:rPr>
                <w:sz w:val="20"/>
                <w:szCs w:val="20"/>
                <w:color w:val="auto"/>
              </w:rPr>
            </w:pPr>
            <w:r>
              <w:rPr>
                <w:rFonts w:ascii="Arial" w:cs="Arial" w:eastAsia="Arial" w:hAnsi="Arial"/>
                <w:sz w:val="13"/>
                <w:szCs w:val="13"/>
                <w:color w:val="0000FF"/>
              </w:rPr>
              <w:t>Common</w:t>
            </w:r>
          </w:p>
        </w:tc>
        <w:tc>
          <w:tcPr>
            <w:tcW w:w="7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Stock</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60" w:hanging="122"/>
        <w:spacing w:after="0"/>
        <w:tabs>
          <w:tab w:leader="none" w:pos="16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warrants become exercisable on the later of (i) twelve (12) months from the closing of the registrant's initial public offering or (ii) the consummation of the registrant's initial business combination.</w:t>
      </w:r>
    </w:p>
    <w:p>
      <w:pPr>
        <w:spacing w:after="0" w:line="61" w:lineRule="exact"/>
        <w:rPr>
          <w:rFonts w:ascii="Arial" w:cs="Arial" w:eastAsia="Arial" w:hAnsi="Arial"/>
          <w:sz w:val="11"/>
          <w:szCs w:val="11"/>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warrants expire five (5) years after the completion of the registrant's initial business combination.</w:t>
      </w:r>
    </w:p>
    <w:p>
      <w:pPr>
        <w:spacing w:after="0" w:line="38"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Warrants owned by Ventoux Acquisition Holdings LLC, for which Edward Scheetz and Matthew MacDonald are the managing members.</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580" w:type="dxa"/>
            <w:vAlign w:val="bottom"/>
          </w:tcPr>
          <w:p>
            <w:pPr>
              <w:spacing w:after="0"/>
              <w:rPr>
                <w:sz w:val="20"/>
                <w:szCs w:val="20"/>
                <w:color w:val="auto"/>
              </w:rPr>
            </w:pPr>
            <w:r>
              <w:rPr>
                <w:rFonts w:ascii="Arial" w:cs="Arial" w:eastAsia="Arial" w:hAnsi="Arial"/>
                <w:sz w:val="16"/>
                <w:szCs w:val="16"/>
                <w:color w:val="0000FF"/>
                <w:w w:val="93"/>
              </w:rPr>
              <w:t>/s/ Matthew MacDonald</w:t>
            </w:r>
          </w:p>
        </w:tc>
        <w:tc>
          <w:tcPr>
            <w:tcW w:w="420" w:type="dxa"/>
            <w:vAlign w:val="bottom"/>
          </w:tcPr>
          <w:p>
            <w:pPr>
              <w:spacing w:after="0"/>
              <w:rPr>
                <w:sz w:val="16"/>
                <w:szCs w:val="16"/>
                <w:color w:val="auto"/>
              </w:rPr>
            </w:pPr>
          </w:p>
        </w:tc>
        <w:tc>
          <w:tcPr>
            <w:tcW w:w="940" w:type="dxa"/>
            <w:vAlign w:val="bottom"/>
            <w:gridSpan w:val="2"/>
          </w:tcPr>
          <w:p>
            <w:pPr>
              <w:ind w:left="200"/>
              <w:spacing w:after="0"/>
              <w:rPr>
                <w:sz w:val="20"/>
                <w:szCs w:val="20"/>
                <w:color w:val="auto"/>
              </w:rPr>
            </w:pPr>
            <w:r>
              <w:rPr>
                <w:rFonts w:ascii="Arial" w:cs="Arial" w:eastAsia="Arial" w:hAnsi="Arial"/>
                <w:sz w:val="16"/>
                <w:szCs w:val="16"/>
                <w:color w:val="0000FF"/>
                <w:w w:val="89"/>
              </w:rPr>
              <w:t>12/30/2020</w:t>
            </w:r>
          </w:p>
        </w:tc>
      </w:tr>
      <w:tr>
        <w:trPr>
          <w:trHeight w:val="20"/>
        </w:trPr>
        <w:tc>
          <w:tcPr>
            <w:tcW w:w="1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16"/>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2"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37141" TargetMode="External"/><Relationship Id="rId14"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2020-12-30T16:00:02Z</dcterms:created>
  <dcterms:modified xsi:type="dcterms:W3CDTF">2020-12-30T16:00:02Z</dcterms:modified>
</cp:coreProperties>
</file>