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17"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9"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18"/>
          <w:szCs w:val="18"/>
          <w:color w:val="auto"/>
        </w:rPr>
        <w:t>Date of Report (Date of earliest event reported): March 17, 2023</w:t>
      </w:r>
    </w:p>
    <w:p>
      <w:pPr>
        <w:spacing w:after="0" w:line="11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8"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84-2968594</w:t>
            </w:r>
          </w:p>
        </w:tc>
      </w:tr>
      <w:tr>
        <w:trPr>
          <w:trHeight w:val="191"/>
        </w:trPr>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985 Industrial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Carlos, CA 94070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(650) 817-9012</w:t>
      </w:r>
    </w:p>
    <w:p>
      <w:pPr>
        <w:spacing w:after="0" w:line="117"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7"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3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w:t>
            </w:r>
          </w:p>
        </w:tc>
        <w:tc>
          <w:tcPr>
            <w:tcW w:w="18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PRST</w:t>
            </w:r>
          </w:p>
        </w:tc>
        <w:tc>
          <w:tcPr>
            <w:tcW w:w="20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per share</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Warrants, each whole warrant exercisable</w:t>
            </w:r>
          </w:p>
        </w:tc>
        <w:tc>
          <w:tcPr>
            <w:tcW w:w="2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PRSTW</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for one share of common stock</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r>
    </w:tbl>
    <w:p>
      <w:pPr>
        <w:spacing w:after="0" w:line="103" w:lineRule="exact"/>
        <w:rPr>
          <w:sz w:val="24"/>
          <w:szCs w:val="24"/>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2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jc w:val="both"/>
        <w:ind w:left="60" w:right="5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485140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64770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right="519"/>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6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On March 17, 2023, Presto Automation Inc. (the “Company”) appointed Stanley Mbugua, age 52, the Company’s Chief Accounting Officer, a newly-created position for the Company. Prior to joining Presto, Mr. Mbugua served as Chief Accounting Officer at Skillz Inc. (NYSE: SKLZ), a mobile eSports platform, a position he held since 2021. Mr. Mbugua served as Group Vice President and Chief Accounting Officer of Rimini Street, a software company delivering third-party enterprise software support for Oracle, SAP, JD Edwards, PeopleSoft, Siebel, and other applications, from 2017 to 2021. From 2015 to 2017, Mr. Mbugua served as Senior Director and Corporate Controller at Lattice Semiconductor, a manufacturer of high-performance programmable logic devices. Mr. Mbugua is a Certified Public Accountant and has a Bachelor’s degree from the University of Nairobi.</w:t>
      </w:r>
    </w:p>
    <w:p>
      <w:pPr>
        <w:spacing w:after="0" w:line="19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Mr. Mbugua will be entitled to receive an annual base salary of $340,000 and an annual bonus opportunity of 30% of his base salary. Mr. Mbugua will be granted 250,000 restricted stock units (“RSUs”) pursuant to the Company’s 2022 Incentive Award Plan, 25% of which will vest on February 6, 2024, with the remainder vesting in equal installments monthly over the next 36 months thereafter. Mr. Mbugua is also entitled to participate in or receive benefits under the employee benefit programs maintained by the Company, including its health, dental, vision, life and disability insurance benefits.</w:t>
      </w:r>
    </w:p>
    <w:p>
      <w:pPr>
        <w:spacing w:after="0" w:line="187"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Mr. Mbugua has no family relationships, as defined in Item 401 of Regulation S-K under the Securities Exchange Act of 1934, as amended (the “Exchange Act”), with any director or executive officer of the Company, and there are no arrangements or understandings with any person pursuant to which he will be selected as an officer of the Company. In addition, there have been no transactions directly or indirectly involving Mr. Mbugua that would be required to be disclosed pursuant to Item 404(a) of Regulation S-K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1276985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8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17145</wp:posOffset>
            </wp:positionV>
            <wp:extent cx="263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075" cy="8255"/>
                    </a:xfrm>
                    <a:prstGeom prst="rect">
                      <a:avLst/>
                    </a:prstGeom>
                    <a:noFill/>
                  </pic:spPr>
                </pic:pic>
              </a:graphicData>
            </a:graphic>
          </wp:anchor>
        </w:drawing>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Susan Shinoff</w:t>
      </w:r>
    </w:p>
    <w:p>
      <w:pPr>
        <w:spacing w:after="0" w:line="23" w:lineRule="exact"/>
        <w:rPr>
          <w:sz w:val="20"/>
          <w:szCs w:val="20"/>
          <w:color w:val="auto"/>
        </w:rPr>
      </w:pPr>
    </w:p>
    <w:p>
      <w:pPr>
        <w:ind w:left="4800"/>
        <w:spacing w:after="0"/>
        <w:tabs>
          <w:tab w:leader="none" w:pos="5320" w:val="left"/>
        </w:tabs>
        <w:rPr>
          <w:sz w:val="20"/>
          <w:szCs w:val="20"/>
          <w:color w:val="auto"/>
        </w:rPr>
      </w:pPr>
      <w:r>
        <w:rPr>
          <w:rFonts w:ascii="Times New Roman" w:cs="Times New Roman" w:eastAsia="Times New Roman" w:hAnsi="Times New Roman"/>
          <w:sz w:val="18"/>
          <w:szCs w:val="18"/>
          <w:color w:val="auto"/>
        </w:rPr>
        <w:t>Title:</w:t>
        <w:tab/>
        <w:t>General Counsel and Corporate Secretary</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Dated: March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506095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577850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2023-03-21T11:54:41Z</dcterms:created>
  <dcterms:modified xsi:type="dcterms:W3CDTF">2023-03-21T11:54:41Z</dcterms:modified>
</cp:coreProperties>
</file>