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SECURITIES EXCHANGE ACT OF 1934</w:t>
      </w:r>
    </w:p>
    <w:p>
      <w:pPr>
        <w:spacing w:after="0" w:line="103"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Date of Report (Date of earliest event reported): February 14, 2023</w:t>
      </w:r>
    </w:p>
    <w:p>
      <w:pPr>
        <w:spacing w:after="0" w:line="11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2840" w:type="dxa"/>
            <w:vAlign w:val="bottom"/>
          </w:tcPr>
          <w:p>
            <w:pPr>
              <w:jc w:val="right"/>
              <w:ind w:right="95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b w:val="1"/>
                <w:bCs w:val="1"/>
                <w:color w:val="auto"/>
                <w:w w:val="89"/>
              </w:rPr>
              <w:t>84-2968594</w:t>
            </w:r>
          </w:p>
        </w:tc>
      </w:tr>
      <w:tr>
        <w:trPr>
          <w:trHeight w:val="195"/>
        </w:trPr>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985 Industrial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99"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Registrant’s telephone number, including area code</w:t>
      </w:r>
      <w:r>
        <w:rPr>
          <w:rFonts w:ascii="Arial" w:cs="Arial" w:eastAsia="Arial" w:hAnsi="Arial"/>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3"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Trading Symbol(s)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3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Warrants, each whole warrant exercisable</w:t>
            </w:r>
          </w:p>
        </w:tc>
        <w:tc>
          <w:tcPr>
            <w:tcW w:w="29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PRSTW</w:t>
            </w: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7" w:lineRule="exact"/>
        <w:rPr>
          <w:sz w:val="24"/>
          <w:szCs w:val="24"/>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2" w:lineRule="exact"/>
        <w:rPr>
          <w:rFonts w:ascii="MS PGothic" w:cs="MS PGothic" w:eastAsia="MS PGothic" w:hAnsi="MS PGothic"/>
          <w:sz w:val="17"/>
          <w:szCs w:val="17"/>
          <w:color w:val="auto"/>
        </w:rPr>
      </w:pPr>
    </w:p>
    <w:p>
      <w:pPr>
        <w:ind w:left="380" w:hanging="325"/>
        <w:spacing w:after="0"/>
        <w:tabs>
          <w:tab w:leader="none" w:pos="3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37" w:lineRule="exact"/>
        <w:rPr>
          <w:sz w:val="24"/>
          <w:szCs w:val="24"/>
          <w:color w:val="auto"/>
        </w:rPr>
      </w:pPr>
    </w:p>
    <w:p>
      <w:pPr>
        <w:jc w:val="both"/>
        <w:ind w:left="60" w:right="79"/>
        <w:spacing w:after="0" w:line="33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108585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89"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On February 14, 2023, Presto Automation Inc. (the “Company”) issued a press release announcing the Company’s financial results for the quarter ended December 31, 2022.</w:t>
      </w:r>
    </w:p>
    <w:p>
      <w:pPr>
        <w:spacing w:after="0" w:line="143"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 copy of the Company’s press release is attached hereto as Exhibit 99.1 and is hereby incorporated by reference in this Item 2.02. The information and exhibit contained in this Item 2.02 is being furnished and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3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 Exhibits.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8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8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4"/>
                <w:szCs w:val="14"/>
                <w:color w:val="auto"/>
              </w:rPr>
            </w:pPr>
          </w:p>
        </w:tc>
        <w:tc>
          <w:tcPr>
            <w:tcW w:w="79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Press Release, dated February 14, 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0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 the Inline XBRL document)</w:t>
            </w:r>
          </w:p>
        </w:tc>
        <w:tc>
          <w:tcPr>
            <w:tcW w:w="0" w:type="dxa"/>
            <w:vAlign w:val="bottom"/>
          </w:tcPr>
          <w:p>
            <w:pPr>
              <w:spacing w:after="0"/>
              <w:rPr>
                <w:sz w:val="1"/>
                <w:szCs w:val="1"/>
                <w:color w:val="auto"/>
              </w:rPr>
            </w:pPr>
          </w:p>
        </w:tc>
      </w:tr>
      <w:tr>
        <w:trPr>
          <w:trHeight w:val="1829"/>
        </w:trPr>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5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14605</wp:posOffset>
            </wp:positionV>
            <wp:extent cx="263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Name: Ashish Gupta</w:t>
      </w:r>
    </w:p>
    <w:p>
      <w:pPr>
        <w:spacing w:after="0" w:line="23" w:lineRule="exact"/>
        <w:rPr>
          <w:sz w:val="20"/>
          <w:szCs w:val="20"/>
          <w:color w:val="auto"/>
        </w:rPr>
      </w:pPr>
    </w:p>
    <w:p>
      <w:pPr>
        <w:ind w:left="4800"/>
        <w:spacing w:after="0"/>
        <w:tabs>
          <w:tab w:leader="none" w:pos="53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February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320" w:lineRule="exact"/>
        <w:rPr>
          <w:sz w:val="20"/>
          <w:szCs w:val="20"/>
          <w:color w:val="auto"/>
        </w:rPr>
      </w:pPr>
    </w:p>
    <w:p>
      <w:pPr>
        <w:ind w:left="1140"/>
        <w:spacing w:after="0"/>
        <w:rPr>
          <w:sz w:val="20"/>
          <w:szCs w:val="20"/>
          <w:color w:val="auto"/>
        </w:rPr>
      </w:pPr>
      <w:r>
        <w:rPr>
          <w:rFonts w:ascii="Arial" w:cs="Arial" w:eastAsia="Arial" w:hAnsi="Arial"/>
          <w:sz w:val="20"/>
          <w:szCs w:val="20"/>
          <w:b w:val="1"/>
          <w:bCs w:val="1"/>
          <w:color w:val="auto"/>
        </w:rPr>
        <w:t>Presto Automation Inc. Announces Second Quarter Fiscal 2023 Financial Results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9"/>
          <w:szCs w:val="19"/>
          <w:b w:val="1"/>
          <w:bCs w:val="1"/>
          <w:i w:val="1"/>
          <w:iCs w:val="1"/>
          <w:color w:val="auto"/>
        </w:rPr>
        <w:t>Continues momentum with Presto Voice™ A.I. platform by adding Del Taco Restaurants as second drive-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thru enterprise customer</w:t>
      </w:r>
    </w:p>
    <w:p>
      <w:pPr>
        <w:spacing w:after="0" w:line="1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 xml:space="preserve">SAN CARLOS, CA - February 14, 2023 - </w:t>
      </w:r>
      <w:r>
        <w:rPr>
          <w:rFonts w:ascii="Arial" w:cs="Arial" w:eastAsia="Arial" w:hAnsi="Arial"/>
          <w:sz w:val="20"/>
          <w:szCs w:val="20"/>
          <w:color w:val="auto"/>
        </w:rPr>
        <w:t>Presto Automation (“Presto” or the “Company”) (NASDAQ: PRST), a</w:t>
      </w:r>
      <w:r>
        <w:rPr>
          <w:rFonts w:ascii="Arial" w:cs="Arial" w:eastAsia="Arial" w:hAnsi="Arial"/>
          <w:sz w:val="20"/>
          <w:szCs w:val="20"/>
          <w:b w:val="1"/>
          <w:bCs w:val="1"/>
          <w:color w:val="auto"/>
        </w:rPr>
        <w:t xml:space="preserve"> </w:t>
      </w:r>
      <w:r>
        <w:rPr>
          <w:rFonts w:ascii="Arial" w:cs="Arial" w:eastAsia="Arial" w:hAnsi="Arial"/>
          <w:sz w:val="20"/>
          <w:szCs w:val="20"/>
          <w:color w:val="auto"/>
        </w:rPr>
        <w:t>provider in the labor automation technology industry, today announced financial results for the second quarter 2023 ended December 31, 2022.</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“It has been exciting to see artificial intelligence gain mainstream recognition with the emergence of chatGPT and large language models (LLMs). One of our early investors was Sam Altman, CEO of OpenAI. We have been leveraging GPT-3 in some of our AI solutions for a while now,” Mr. Suri said. “We are pleased to announce that Presto has continued to expand our drive-thru Voice A.I. solution with the signing of Del Taco, a deal that offers a $10M ARR opportunity. We are also continuing to scale Presto Voice AI, with approximately 300 drive-thru locations now implemented, and customer cash collections grew 50% quarter over quarter. Presto voice AI products are also installed in pilots in QSR chains with 15,000 drive-thrus, which represents a $200M ARR opportunity</w:t>
      </w:r>
      <w:r>
        <w:rPr>
          <w:rFonts w:ascii="Arial" w:cs="Arial" w:eastAsia="Arial" w:hAnsi="Arial"/>
          <w:sz w:val="19"/>
          <w:szCs w:val="19"/>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Financial Highlights</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For the second quarter of fiscal 2023, compared to the second quarter of fiscal 2022:</w:t>
      </w:r>
    </w:p>
    <w:p>
      <w:pPr>
        <w:spacing w:after="0" w:line="17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Total Revenue</w:t>
      </w:r>
      <w:r>
        <w:rPr>
          <w:rFonts w:ascii="Arial" w:cs="Arial" w:eastAsia="Arial" w:hAnsi="Arial"/>
          <w:sz w:val="20"/>
          <w:szCs w:val="20"/>
          <w:color w:val="auto"/>
        </w:rPr>
        <w:t>: Total revenue was $7.4 million down 4% compared to $7.7 million for 2022.</w:t>
      </w:r>
    </w:p>
    <w:p>
      <w:pPr>
        <w:spacing w:after="0" w:line="23" w:lineRule="exact"/>
        <w:rPr>
          <w:rFonts w:ascii="Arial" w:cs="Arial" w:eastAsia="Arial" w:hAnsi="Arial"/>
          <w:sz w:val="20"/>
          <w:szCs w:val="20"/>
          <w:color w:val="auto"/>
        </w:rPr>
      </w:pPr>
    </w:p>
    <w:p>
      <w:pPr>
        <w:jc w:val="both"/>
        <w:ind w:left="660" w:right="160" w:hanging="328"/>
        <w:spacing w:after="0" w:line="230" w:lineRule="auto"/>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ARR</w:t>
      </w:r>
      <w:r>
        <w:rPr>
          <w:rFonts w:ascii="Arial" w:cs="Arial" w:eastAsia="Arial" w:hAnsi="Arial"/>
          <w:sz w:val="20"/>
          <w:szCs w:val="20"/>
          <w:color w:val="auto"/>
        </w:rPr>
        <w:t>: ARR was $29 million, a decrease of 4% year-over-year. ARR would have been $32 million but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accounting treatment related to a specific customer contract that precluded the recognition of certain revenues related to the contract.</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Net Loss</w:t>
      </w:r>
      <w:r>
        <w:rPr>
          <w:rFonts w:ascii="Arial" w:cs="Arial" w:eastAsia="Arial" w:hAnsi="Arial"/>
          <w:sz w:val="20"/>
          <w:szCs w:val="20"/>
          <w:color w:val="auto"/>
        </w:rPr>
        <w:t>: Net loss improved to $(17) million, compared to $(24) million for 2022.</w:t>
      </w:r>
    </w:p>
    <w:p>
      <w:pPr>
        <w:ind w:left="660" w:hanging="328"/>
        <w:spacing w:after="0"/>
        <w:tabs>
          <w:tab w:leader="none" w:pos="66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Adjusted EBITDA</w:t>
      </w:r>
      <w:r>
        <w:rPr>
          <w:rFonts w:ascii="Arial" w:cs="Arial" w:eastAsia="Arial" w:hAnsi="Arial"/>
          <w:sz w:val="20"/>
          <w:szCs w:val="20"/>
          <w:color w:val="auto"/>
        </w:rPr>
        <w:t>*: Adjusted EBITDA loss was $(10) million for 2023, compared to $(5) million for 2022.</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2023 Business Highlights</w:t>
      </w:r>
    </w:p>
    <w:p>
      <w:pPr>
        <w:spacing w:after="0" w:line="20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 xml:space="preserve">Signed Del Taco as second enterprise customer </w:t>
      </w:r>
      <w:r>
        <w:rPr>
          <w:rFonts w:ascii="Arial" w:cs="Arial" w:eastAsia="Arial" w:hAnsi="Arial"/>
          <w:sz w:val="20"/>
          <w:szCs w:val="20"/>
          <w:i w:val="1"/>
          <w:iCs w:val="1"/>
          <w:color w:val="auto"/>
        </w:rPr>
        <w:t>Voice</w:t>
      </w:r>
      <w:r>
        <w:rPr>
          <w:rFonts w:ascii="Arial" w:cs="Arial" w:eastAsia="Arial" w:hAnsi="Arial"/>
          <w:sz w:val="20"/>
          <w:szCs w:val="20"/>
          <w:color w:val="auto"/>
        </w:rPr>
        <w:t xml:space="preserve"> A.I. for drive-thru.</w:t>
      </w:r>
    </w:p>
    <w:p>
      <w:pPr>
        <w:spacing w:after="0" w:line="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Initiated expense rationalization program in effort to reduce overall operating expenses.</w:t>
      </w:r>
    </w:p>
    <w:p>
      <w:pPr>
        <w:spacing w:after="0" w:line="202"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*Adjusted EBITDA is a non-GAAP financial measure defined under “Non-GAAP Financial Measures,” and is reconciled to net income, the closest comparable GAAP measure, at the end of this release.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Outlook Update</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year ending June 30, 2023:</w:t>
      </w:r>
    </w:p>
    <w:p>
      <w:pPr>
        <w:spacing w:after="0" w:line="191" w:lineRule="exact"/>
        <w:rPr>
          <w:sz w:val="20"/>
          <w:szCs w:val="20"/>
          <w:color w:val="auto"/>
        </w:rPr>
      </w:pPr>
    </w:p>
    <w:p>
      <w:pPr>
        <w:ind w:left="1300" w:hanging="320"/>
        <w:spacing w:after="0"/>
        <w:tabs>
          <w:tab w:leader="none" w:pos="1300" w:val="left"/>
        </w:tabs>
        <w:numPr>
          <w:ilvl w:val="0"/>
          <w:numId w:val="4"/>
        </w:numPr>
        <w:rPr>
          <w:rFonts w:ascii="Courier New" w:cs="Courier New" w:eastAsia="Courier New" w:hAnsi="Courier New"/>
          <w:sz w:val="20"/>
          <w:szCs w:val="20"/>
          <w:color w:val="auto"/>
        </w:rPr>
      </w:pPr>
      <w:r>
        <w:rPr>
          <w:rFonts w:ascii="Arial" w:cs="Arial" w:eastAsia="Arial" w:hAnsi="Arial"/>
          <w:sz w:val="20"/>
          <w:szCs w:val="20"/>
          <w:color w:val="auto"/>
        </w:rPr>
        <w:t>The Company expects reported ARR to be between $28 - $30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6" w:right="99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Second Quarter 2023 Conference Call</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Presto Automation will host a conference call today at 4:30 PM ET to review the Company’s financial results for the quarter ended December 31, 2022. The call will be accessible by telephone at 877-407-0792 (domestic) or 201-689-8555 (international) using passcode 13736036. The call will also be available live via webcast on the Company’s investor relations website here or directly here. A telephone replay of the conference will be available at 844-512-2921 with access code 13736036 and will be available until 11:59 PM ET on Tuesday, February 28, 2023. An archive of the webcast will also be available shortly after the call and will remain available for 90 days.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This press release includes Adjusted EBITDA, which is a financial measure that is not calculated in accordance with Generally Accepted Accounting Principles in the United States (“GAAP”). We believe Adjusted EBITDA is useful for comparing our financial performance to other companies and from period to period by excluding the impact of certain items that do not reflect our core operating performance, thereby providing consistency and direct comparability with our past financial performance and between fiscal periods.</w:t>
      </w:r>
    </w:p>
    <w:p>
      <w:pPr>
        <w:spacing w:after="0" w:line="199"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Adjusted EBITDA is defined as net loss, adjusted to exclude interest, other income (expense), net loss on debt extinguishment, income taxes, depreciation and amortization expense, stock-based compensation expense, fair value adjustments on warrant liabilities and convertible promissory notes, merger related ancillary costs, and hardware repair expenses related to COVID and COVID-related expenses due to damage from liquid ingress.</w:t>
      </w:r>
    </w:p>
    <w:p>
      <w:pPr>
        <w:spacing w:after="0" w:line="19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We include this non-GAAP measure because it used by management to evaluate our core operating performance and trends and to make strategic decisions regarding the allocation of capital and new investments. A reconciliation of Adjusted EBITDA to its most comparable GAAP financial measure is included below under “Reconciliation from GAAP to Non-GAAP Results” at the end of this release.</w:t>
      </w:r>
    </w:p>
    <w:p>
      <w:pPr>
        <w:spacing w:after="0" w:line="198"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In addition, we use Annual Revenue Run-Rate, or ARR, as a key business metric to evaluate our business, identify trends, formulate business plans and make strategic decisions. We calculate ARR by annualizing quarterly revenue at the end of the fiscal quarter. Our calculation of ARR may differ from similarly titled metrics presented by other companies, and the amount of revenue we recognize over any 12-month period may differ significantly from the ARR at the beginning of that period.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Presto</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Presto overlays next-generation digital solutions onto the physical world. Our enterprise-grade touch, vision, and voice technologies help hospitality businesses thrive while delighting guests. With over 250,000 systems shipped, we are one of the largest labor automation technology providers in the industry. Founded by a number of MIT students in 2008, Presto is headquartered in Silicon Valley, California with customers, including some top 20 restaurant chains,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Forward Looking Statements</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(the “Securities Act”), and Section 21E of the Securities Exchange Act of 1934, as amended (the “Exchange Act”). Statements that refer to projections ,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management’s current expectations and assumptions about future events and are based on currently available information as to the outcome and timing of future events. The forward-looking statements speak only as of the date of this press release or as of the date they are made. Except as otherwise required by applicable law, Presto disclaims any duty to update any forward-looking statements, all of which are expressly qualified by the statements in this section, to reflect events or circumstances after the date of this press release. Presto cautions you that these forward-looking statements are subject to numerous risks and uncertainties, most of which are difficult to predict and many of which are beyond the control of Presto. In addition, Presto cautions you that the forward-looking statements contained in this press release are subject to the following risks and uncertainties: our ability to manage our growth effectively, to sustain our recent revenue growth or attract new customers; the limited operating history with our new Vision and Voice products in a new and developing market; our ability to achieve revenue growth while our expenses increase; continued adverse impacts from COVID-19 (including as a result of global supply chain shortages); the loss of any of our three largest customers or a reduction in their business with us; our ability to improve and enhance the functionality, performance, reliability, design, security, or scalability of our platform to respond to customers’ evolving needs; our ability to protect the security of our customers’’ information; changing privacy laws, regulations and standards, and our ability to comply with contractual obligations and laws related to data privacy and security; unfavorable conditions in the restaurant industry or the global economy, including with respect to food, labor, and occupancy costs; the availability of capital or financing on acceptable terms, if at all; financial covenants and other restrictions on our actions contained in our financing agreements that may limit our operational flexibility; the length and unpredictability of our sales cycles and the amount of investments required in sales efforts; material weaknesses in our internal control over financial reporting and, our ability to remediate these deficiencies; our ability to continue as a going concern; our ability to receive additional financing in a timely manner; shortages, price increases, changes, delays or discontinuations of hardware; our ability to maintain relationships with our payment processors; our relies on computer hardware, licensed software and services rendered by third parties; U.S. laws and regulations (including with respect to payment transaction processing), many of which are unsettled and still developing, and our or our customers’ ability to comply with such laws and regulations; significant changes in U.S. and international trade policies that restrict imports or increase tariffs; any requirements to collect additional sales taxes or be subject to other tax liabilities that may increase the costs to our customers; our ability to adequately protect our intellectual property rights; claims by third parties of intellectual property infringement; our use of open-source software in our platform; and other economic, business, competitive and/or regulatory factors affecting Presto’s business generally as set forth in our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835660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PRESTO AUTOMATION INC.</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ind w:right="-15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56"/>
        </w:trPr>
        <w:tc>
          <w:tcPr>
            <w:tcW w:w="432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Platform</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4,131</w:t>
            </w:r>
          </w:p>
        </w:tc>
        <w:tc>
          <w:tcPr>
            <w:tcW w:w="120" w:type="dxa"/>
            <w:vAlign w:val="bottom"/>
          </w:tcPr>
          <w:p>
            <w:pPr>
              <w:spacing w:after="0"/>
              <w:rPr>
                <w:sz w:val="17"/>
                <w:szCs w:val="17"/>
                <w:color w:val="auto"/>
              </w:rPr>
            </w:pP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5,134</w:t>
            </w:r>
          </w:p>
        </w:tc>
        <w:tc>
          <w:tcPr>
            <w:tcW w:w="120" w:type="dxa"/>
            <w:vAlign w:val="bottom"/>
          </w:tcPr>
          <w:p>
            <w:pPr>
              <w:spacing w:after="0"/>
              <w:rPr>
                <w:sz w:val="17"/>
                <w:szCs w:val="17"/>
                <w:color w:val="auto"/>
              </w:rPr>
            </w:pP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8,529</w:t>
            </w:r>
          </w:p>
        </w:tc>
        <w:tc>
          <w:tcPr>
            <w:tcW w:w="22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3" w:lineRule="exact"/>
              <w:rPr>
                <w:sz w:val="20"/>
                <w:szCs w:val="20"/>
                <w:color w:val="auto"/>
              </w:rPr>
            </w:pPr>
            <w:r>
              <w:rPr>
                <w:rFonts w:ascii="Arial" w:cs="Arial" w:eastAsia="Arial" w:hAnsi="Arial"/>
                <w:sz w:val="18"/>
                <w:szCs w:val="18"/>
                <w:color w:val="auto"/>
              </w:rPr>
              <w:t>Transaction</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6,180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Total revenue</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7,352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7,696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14,709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14,925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Platform</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4,219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3,793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8,208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Transaction</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5,477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3" w:lineRule="exact"/>
              <w:rPr>
                <w:sz w:val="20"/>
                <w:szCs w:val="20"/>
                <w:color w:val="auto"/>
              </w:rPr>
            </w:pPr>
            <w:r>
              <w:rPr>
                <w:rFonts w:ascii="Arial" w:cs="Arial" w:eastAsia="Arial" w:hAnsi="Arial"/>
                <w:sz w:val="18"/>
                <w:szCs w:val="18"/>
                <w:color w:val="auto"/>
              </w:rPr>
              <w:t>Depreciation and impairment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 cost of revenue</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6,484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14,267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ind w:left="140"/>
              <w:spacing w:after="0" w:line="195" w:lineRule="exact"/>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1,212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442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Research and development (1)</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11,381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Sales and marketing (1)</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2,227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4,626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2,825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General and administrative (1)</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6,276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12,200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3" w:lineRule="exact"/>
              <w:rPr>
                <w:sz w:val="20"/>
                <w:szCs w:val="20"/>
                <w:color w:val="auto"/>
              </w:rPr>
            </w:pPr>
            <w:r>
              <w:rPr>
                <w:rFonts w:ascii="Arial" w:cs="Arial" w:eastAsia="Arial" w:hAnsi="Arial"/>
                <w:sz w:val="18"/>
                <w:szCs w:val="18"/>
                <w:color w:val="auto"/>
              </w:rPr>
              <w:t>Loss on infrequent product repairs</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28,207</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(13,606)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(6,430)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(27,765)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(13,607)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Change in fair value of warrants and convertible</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tcPr>
          <w:p>
            <w:pPr>
              <w:ind w:left="260"/>
              <w:spacing w:after="0" w:line="202" w:lineRule="exact"/>
              <w:rPr>
                <w:sz w:val="20"/>
                <w:szCs w:val="20"/>
                <w:color w:val="auto"/>
              </w:rPr>
            </w:pPr>
            <w:r>
              <w:rPr>
                <w:rFonts w:ascii="Arial" w:cs="Arial" w:eastAsia="Arial" w:hAnsi="Arial"/>
                <w:sz w:val="18"/>
                <w:szCs w:val="18"/>
                <w:color w:val="auto"/>
              </w:rPr>
              <w:t>promissory notes</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59,444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(29,770)</w:t>
            </w: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(6,406)</w:t>
            </w:r>
          </w:p>
        </w:tc>
        <w:tc>
          <w:tcPr>
            <w:tcW w:w="18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Loss on early extinguishment of debt</w:t>
            </w: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(8,095)</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Other financing and financial instrument (costs)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260"/>
              <w:spacing w:after="0" w:line="202" w:lineRule="exact"/>
              <w:rPr>
                <w:sz w:val="20"/>
                <w:szCs w:val="20"/>
                <w:color w:val="auto"/>
              </w:rPr>
            </w:pPr>
            <w:r>
              <w:rPr>
                <w:rFonts w:ascii="Arial" w:cs="Arial" w:eastAsia="Arial" w:hAnsi="Arial"/>
                <w:sz w:val="18"/>
                <w:szCs w:val="18"/>
                <w:color w:val="auto"/>
              </w:rPr>
              <w:t>income, net</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(1,768)</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3" w:lineRule="exact"/>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tcPr>
          <w:p>
            <w:pPr>
              <w:spacing w:after="0" w:line="196"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45,530</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(29,385)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Pr>
          <w:p>
            <w:pPr>
              <w:spacing w:after="0" w:line="195" w:lineRule="exact"/>
              <w:rPr>
                <w:sz w:val="20"/>
                <w:szCs w:val="20"/>
                <w:color w:val="auto"/>
              </w:rPr>
            </w:pPr>
            <w:r>
              <w:rPr>
                <w:rFonts w:ascii="Arial" w:cs="Arial" w:eastAsia="Arial" w:hAnsi="Arial"/>
                <w:sz w:val="18"/>
                <w:szCs w:val="18"/>
                <w:color w:val="auto"/>
              </w:rPr>
              <w:t>Income (loss) before provision for income taxes</w:t>
            </w:r>
          </w:p>
        </w:tc>
        <w:tc>
          <w:tcPr>
            <w:tcW w:w="12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(17,024)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(23,483)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17,765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(42,992)</w:t>
            </w:r>
          </w:p>
        </w:tc>
        <w:tc>
          <w:tcPr>
            <w:tcW w:w="0" w:type="dxa"/>
            <w:vAlign w:val="bottom"/>
          </w:tcPr>
          <w:p>
            <w:pPr>
              <w:spacing w:after="0"/>
              <w:rPr>
                <w:sz w:val="1"/>
                <w:szCs w:val="1"/>
                <w:color w:val="auto"/>
              </w:rPr>
            </w:pPr>
          </w:p>
        </w:tc>
      </w:tr>
      <w:tr>
        <w:trPr>
          <w:trHeight w:val="202"/>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Net income (loss) and comprehensive income</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(17,029)</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(23,507)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17,760</w:t>
            </w:r>
          </w:p>
        </w:tc>
        <w:tc>
          <w:tcPr>
            <w:tcW w:w="2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(43,016)</w:t>
            </w: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line="190" w:lineRule="exact"/>
              <w:rPr>
                <w:sz w:val="20"/>
                <w:szCs w:val="20"/>
                <w:color w:val="auto"/>
              </w:rPr>
            </w:pPr>
            <w:r>
              <w:rPr>
                <w:rFonts w:ascii="Arial" w:cs="Arial" w:eastAsia="Arial" w:hAnsi="Arial"/>
                <w:sz w:val="18"/>
                <w:szCs w:val="18"/>
                <w:color w:val="auto"/>
              </w:rPr>
              <w:t>(loss)</w:t>
            </w:r>
          </w:p>
        </w:tc>
        <w:tc>
          <w:tcPr>
            <w:tcW w:w="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40"/>
              <w:spacing w:after="0"/>
              <w:rPr>
                <w:sz w:val="20"/>
                <w:szCs w:val="20"/>
                <w:color w:val="auto"/>
              </w:rPr>
            </w:pPr>
            <w:r>
              <w:rPr>
                <w:rFonts w:ascii="Arial" w:cs="Arial" w:eastAsia="Arial" w:hAnsi="Arial"/>
                <w:sz w:val="18"/>
                <w:szCs w:val="18"/>
                <w:color w:val="auto"/>
              </w:rPr>
              <w:t>stockholders:</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12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(0.86)</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0"/>
        </w:trPr>
        <w:tc>
          <w:tcPr>
            <w:tcW w:w="4320" w:type="dxa"/>
            <w:vAlign w:val="bottom"/>
          </w:tcPr>
          <w:p>
            <w:pPr>
              <w:spacing w:after="0" w:line="190" w:lineRule="exact"/>
              <w:rPr>
                <w:sz w:val="20"/>
                <w:szCs w:val="20"/>
                <w:color w:val="auto"/>
              </w:rPr>
            </w:pPr>
            <w:r>
              <w:rPr>
                <w:rFonts w:ascii="Arial" w:cs="Arial" w:eastAsia="Arial" w:hAnsi="Arial"/>
                <w:sz w:val="18"/>
                <w:szCs w:val="18"/>
                <w:color w:val="auto"/>
              </w:rPr>
              <w:t>Basic</w:t>
            </w:r>
          </w:p>
        </w:tc>
        <w:tc>
          <w:tcPr>
            <w:tcW w:w="12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tcPr>
          <w:p>
            <w:pPr>
              <w:spacing w:after="0" w:line="183"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(0.86)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0.35</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195" w:lineRule="exact"/>
              <w:rPr>
                <w:sz w:val="20"/>
                <w:szCs w:val="20"/>
                <w:color w:val="auto"/>
              </w:rPr>
            </w:pPr>
            <w:r>
              <w:rPr>
                <w:rFonts w:ascii="Arial" w:cs="Arial" w:eastAsia="Arial" w:hAnsi="Arial"/>
                <w:sz w:val="18"/>
                <w:szCs w:val="18"/>
                <w:color w:val="auto"/>
              </w:rPr>
              <w:t>Weighted-average shares used in computing net</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income (loss) per share attributable to common</w:t>
            </w: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50,998,941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27,211,309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40,475,200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27,157,425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line="190" w:lineRule="exact"/>
              <w:rPr>
                <w:sz w:val="20"/>
                <w:szCs w:val="20"/>
                <w:color w:val="auto"/>
              </w:rPr>
            </w:pPr>
            <w:r>
              <w:rPr>
                <w:rFonts w:ascii="Arial" w:cs="Arial" w:eastAsia="Arial" w:hAnsi="Arial"/>
                <w:sz w:val="18"/>
                <w:szCs w:val="18"/>
                <w:color w:val="auto"/>
              </w:rPr>
              <w:t>stockholders, basic</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line="195" w:lineRule="exact"/>
              <w:rPr>
                <w:sz w:val="20"/>
                <w:szCs w:val="20"/>
                <w:color w:val="auto"/>
              </w:rPr>
            </w:pPr>
            <w:r>
              <w:rPr>
                <w:rFonts w:ascii="Arial" w:cs="Arial" w:eastAsia="Arial" w:hAnsi="Arial"/>
                <w:sz w:val="18"/>
                <w:szCs w:val="18"/>
                <w:color w:val="auto"/>
              </w:rPr>
              <w:t>Weighted-average shares used in computing net</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140"/>
              <w:spacing w:after="0" w:line="202" w:lineRule="exact"/>
              <w:rPr>
                <w:sz w:val="20"/>
                <w:szCs w:val="20"/>
                <w:color w:val="auto"/>
              </w:rPr>
            </w:pPr>
            <w:r>
              <w:rPr>
                <w:rFonts w:ascii="Arial" w:cs="Arial" w:eastAsia="Arial" w:hAnsi="Arial"/>
                <w:sz w:val="18"/>
                <w:szCs w:val="18"/>
                <w:color w:val="auto"/>
              </w:rPr>
              <w:t>income (loss) per share attributable to common</w:t>
            </w: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50,998,941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27,211,309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50,775,172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27,157,425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320" w:type="dxa"/>
            <w:vAlign w:val="bottom"/>
          </w:tcPr>
          <w:p>
            <w:pPr>
              <w:ind w:left="140"/>
              <w:spacing w:after="0" w:line="190" w:lineRule="exact"/>
              <w:rPr>
                <w:sz w:val="20"/>
                <w:szCs w:val="20"/>
                <w:color w:val="auto"/>
              </w:rPr>
            </w:pPr>
            <w:r>
              <w:rPr>
                <w:rFonts w:ascii="Arial" w:cs="Arial" w:eastAsia="Arial" w:hAnsi="Arial"/>
                <w:sz w:val="18"/>
                <w:szCs w:val="18"/>
                <w:color w:val="auto"/>
              </w:rPr>
              <w:t>stockholders, diluted</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Includes stock-based compensation expense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8" w:right="1059" w:bottom="1440" w:gutter="0" w:footer="0" w:header="0"/>
        </w:sectPr>
      </w:pPr>
    </w:p>
    <w:bookmarkStart w:id="7" w:name="page8"/>
    <w:bookmarkEnd w:id="7"/>
    <w:tbl>
      <w:tblPr>
        <w:tblLayout w:type="fixed"/>
        <w:tblInd w:w="10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Three Months Ended December 31,</w:t>
            </w:r>
          </w:p>
        </w:tc>
        <w:tc>
          <w:tcPr>
            <w:tcW w:w="500" w:type="dxa"/>
            <w:vAlign w:val="bottom"/>
          </w:tcPr>
          <w:p>
            <w:pPr>
              <w:spacing w:after="0"/>
              <w:rPr>
                <w:sz w:val="14"/>
                <w:szCs w:val="14"/>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75"/>
        </w:trPr>
        <w:tc>
          <w:tcPr>
            <w:tcW w:w="324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32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555</w:t>
            </w:r>
          </w:p>
        </w:tc>
        <w:tc>
          <w:tcPr>
            <w:tcW w:w="400" w:type="dxa"/>
            <w:vAlign w:val="bottom"/>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145</w:t>
            </w:r>
          </w:p>
        </w:tc>
        <w:tc>
          <w:tcPr>
            <w:tcW w:w="500" w:type="dxa"/>
            <w:vAlign w:val="bottom"/>
          </w:tcPr>
          <w:p>
            <w:pPr>
              <w:spacing w:after="0"/>
              <w:rPr>
                <w:sz w:val="16"/>
                <w:szCs w:val="16"/>
                <w:color w:val="auto"/>
              </w:rPr>
            </w:pPr>
          </w:p>
        </w:tc>
        <w:tc>
          <w:tcPr>
            <w:tcW w:w="240" w:type="dxa"/>
            <w:vAlign w:val="bottom"/>
          </w:tcPr>
          <w:p>
            <w:pPr>
              <w:jc w:val="right"/>
              <w:ind w:right="56"/>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732</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336</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3"/>
        </w:trPr>
        <w:tc>
          <w:tcPr>
            <w:tcW w:w="3240" w:type="dxa"/>
            <w:vAlign w:val="bottom"/>
          </w:tcPr>
          <w:p>
            <w:pPr>
              <w:spacing w:after="0" w:line="203" w:lineRule="exact"/>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1,749</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210</w:t>
            </w:r>
          </w:p>
        </w:tc>
        <w:tc>
          <w:tcPr>
            <w:tcW w:w="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3,808</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196"/>
        </w:trPr>
        <w:tc>
          <w:tcPr>
            <w:tcW w:w="324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2,528</w:t>
            </w:r>
          </w:p>
        </w:tc>
        <w:tc>
          <w:tcPr>
            <w:tcW w:w="40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w:t>
            </w:r>
          </w:p>
        </w:tc>
        <w:tc>
          <w:tcPr>
            <w:tcW w:w="500" w:type="dxa"/>
            <w:vAlign w:val="bottom"/>
          </w:tcPr>
          <w:p>
            <w:pPr>
              <w:spacing w:after="0"/>
              <w:rPr>
                <w:sz w:val="17"/>
                <w:szCs w:val="17"/>
                <w:color w:val="auto"/>
              </w:rPr>
            </w:pPr>
          </w:p>
        </w:tc>
        <w:tc>
          <w:tcPr>
            <w:tcW w:w="240" w:type="dxa"/>
            <w:vAlign w:val="bottom"/>
            <w:tcBorders>
              <w:bottom w:val="single" w:sz="8" w:color="auto"/>
            </w:tcBorders>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4,876</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*For the three and six months ended December 31, 2022, such amount reflects $1,696 and $1,874, respectively, of stock-based compensation expense related to earn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20"/>
          <w:szCs w:val="20"/>
          <w:b w:val="1"/>
          <w:bCs w:val="1"/>
          <w:color w:val="auto"/>
        </w:rPr>
        <w:t>PRESTO AUTOMATION INC.</w:t>
      </w:r>
    </w:p>
    <w:p>
      <w:pPr>
        <w:jc w:val="center"/>
        <w:ind w:right="-99"/>
        <w:spacing w:after="0" w:line="236" w:lineRule="auto"/>
        <w:rPr>
          <w:sz w:val="20"/>
          <w:szCs w:val="20"/>
          <w:color w:val="auto"/>
        </w:rPr>
      </w:pPr>
      <w:r>
        <w:rPr>
          <w:rFonts w:ascii="Arial" w:cs="Arial" w:eastAsia="Arial" w:hAnsi="Arial"/>
          <w:sz w:val="20"/>
          <w:szCs w:val="20"/>
          <w:b w:val="1"/>
          <w:bCs w:val="1"/>
          <w:color w:val="auto"/>
        </w:rPr>
        <w:t>CONDENSED CONSOLIDATED BALANCE SHEETS</w:t>
      </w:r>
    </w:p>
    <w:p>
      <w:pPr>
        <w:jc w:val="center"/>
        <w:ind w:right="-99"/>
        <w:spacing w:after="0" w:line="225" w:lineRule="auto"/>
        <w:rPr>
          <w:sz w:val="20"/>
          <w:szCs w:val="20"/>
          <w:color w:val="auto"/>
        </w:rPr>
      </w:pPr>
      <w:r>
        <w:rPr>
          <w:rFonts w:ascii="Arial" w:cs="Arial" w:eastAsia="Arial" w:hAnsi="Arial"/>
          <w:sz w:val="20"/>
          <w:szCs w:val="20"/>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(in thousands, except share and par value)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38,211</w:t>
            </w:r>
          </w:p>
        </w:tc>
        <w:tc>
          <w:tcPr>
            <w:tcW w:w="1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2,572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Deferred costs, current</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4,780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8,443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3"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7280" w:type="dxa"/>
            <w:vAlign w:val="bottom"/>
          </w:tcPr>
          <w:p>
            <w:pPr>
              <w:ind w:left="140"/>
              <w:spacing w:after="0"/>
              <w:rPr>
                <w:sz w:val="20"/>
                <w:szCs w:val="20"/>
                <w:color w:val="auto"/>
              </w:rPr>
            </w:pPr>
            <w:r>
              <w:rPr>
                <w:rFonts w:ascii="Arial" w:cs="Arial" w:eastAsia="Arial" w:hAnsi="Arial"/>
                <w:sz w:val="18"/>
                <w:szCs w:val="18"/>
                <w:color w:val="auto"/>
              </w:rPr>
              <w:t>Deferred costs, net of current portion</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Investment in non-affiliate</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Deferred transaction costs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6,942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4,226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3" w:lineRule="exact"/>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2,982</w:t>
            </w:r>
          </w:p>
        </w:tc>
        <w:tc>
          <w:tcPr>
            <w:tcW w:w="120" w:type="dxa"/>
            <w:vAlign w:val="bottom"/>
          </w:tcPr>
          <w:p>
            <w:pPr>
              <w:spacing w:after="0"/>
              <w:rPr>
                <w:sz w:val="17"/>
                <w:szCs w:val="17"/>
                <w:color w:val="auto"/>
              </w:rPr>
            </w:pP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5,916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6,215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Financing obligations, current</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6,786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Term loans, current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25,443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Convertible promissory notes and embedded warrants, current</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89,663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3" w:lineRule="exact"/>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10,532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280" w:type="dxa"/>
            <w:vAlign w:val="bottom"/>
          </w:tcPr>
          <w:p>
            <w:pPr>
              <w:ind w:left="14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146,609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7280" w:type="dxa"/>
            <w:vAlign w:val="bottom"/>
          </w:tcPr>
          <w:p>
            <w:pPr>
              <w:ind w:left="140"/>
              <w:spacing w:after="0"/>
              <w:rPr>
                <w:sz w:val="20"/>
                <w:szCs w:val="20"/>
                <w:color w:val="auto"/>
              </w:rPr>
            </w:pPr>
            <w:r>
              <w:rPr>
                <w:rFonts w:ascii="Arial" w:cs="Arial" w:eastAsia="Arial" w:hAnsi="Arial"/>
                <w:sz w:val="18"/>
                <w:szCs w:val="18"/>
                <w:color w:val="auto"/>
              </w:rPr>
              <w:t>Term loans, noncurrent</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52,022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PPP loans</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2,362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4,149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 net of current portion</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3" w:lineRule="exact"/>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73,398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152,995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Preferred stock, $0.0001 par value–1,500,000 shares authorized as of December 31,</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60"/>
              <w:spacing w:after="0" w:line="202" w:lineRule="exact"/>
              <w:rPr>
                <w:sz w:val="20"/>
                <w:szCs w:val="20"/>
                <w:color w:val="auto"/>
              </w:rPr>
            </w:pPr>
            <w:r>
              <w:rPr>
                <w:rFonts w:ascii="Arial" w:cs="Arial" w:eastAsia="Arial" w:hAnsi="Arial"/>
                <w:sz w:val="18"/>
                <w:szCs w:val="18"/>
                <w:color w:val="auto"/>
              </w:rPr>
              <w:t>2022 and June 30, 2022, respectively; no shares issued and outstanding as of</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60"/>
              <w:spacing w:after="0" w:line="202" w:lineRule="exact"/>
              <w:rPr>
                <w:sz w:val="20"/>
                <w:szCs w:val="20"/>
                <w:color w:val="auto"/>
              </w:rPr>
            </w:pPr>
            <w:r>
              <w:rPr>
                <w:rFonts w:ascii="Arial" w:cs="Arial" w:eastAsia="Arial" w:hAnsi="Arial"/>
                <w:sz w:val="18"/>
                <w:szCs w:val="18"/>
                <w:color w:val="auto"/>
              </w:rPr>
              <w:t>December 31, 2022 and June 30, 2022, respectively</w:t>
            </w:r>
          </w:p>
        </w:tc>
        <w:tc>
          <w:tcPr>
            <w:tcW w:w="1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Common stock, $0.0001 par value–180,000,000 shares authorized as of December</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60"/>
              <w:spacing w:after="0" w:line="202" w:lineRule="exact"/>
              <w:rPr>
                <w:sz w:val="20"/>
                <w:szCs w:val="20"/>
                <w:color w:val="auto"/>
              </w:rPr>
            </w:pPr>
            <w:r>
              <w:rPr>
                <w:rFonts w:ascii="Arial" w:cs="Arial" w:eastAsia="Arial" w:hAnsi="Arial"/>
                <w:sz w:val="18"/>
                <w:szCs w:val="18"/>
                <w:color w:val="auto"/>
              </w:rPr>
              <w:t>31, 2022 and June 30, 2022, respectively; 51,231,608 and 27,974,439 shares issued</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260"/>
              <w:spacing w:after="0" w:line="202" w:lineRule="exact"/>
              <w:rPr>
                <w:sz w:val="20"/>
                <w:szCs w:val="20"/>
                <w:color w:val="auto"/>
              </w:rPr>
            </w:pPr>
            <w:r>
              <w:rPr>
                <w:rFonts w:ascii="Arial" w:cs="Arial" w:eastAsia="Arial" w:hAnsi="Arial"/>
                <w:sz w:val="18"/>
                <w:szCs w:val="18"/>
                <w:color w:val="auto"/>
              </w:rPr>
              <w:t>and outstanding as of December 31, 2022 and June 30, 2022, respectively</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170,794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78,321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ind w:left="140"/>
              <w:spacing w:after="0" w:line="203"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7"/>
                <w:szCs w:val="17"/>
                <w:color w:val="auto"/>
              </w:rPr>
            </w:pPr>
          </w:p>
        </w:tc>
        <w:tc>
          <w:tcPr>
            <w:tcW w:w="13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(183,023)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(200,783)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line="196" w:lineRule="exact"/>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(122,459)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tcPr>
          <w:p>
            <w:pPr>
              <w:ind w:left="140"/>
              <w:spacing w:after="0" w:line="196" w:lineRule="exact"/>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61,174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6"/>
        </w:trPr>
        <w:tc>
          <w:tcPr>
            <w:tcW w:w="7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1" w:right="99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PRESTO AUTOMATION INC.</w:t>
      </w:r>
    </w:p>
    <w:p>
      <w:pPr>
        <w:jc w:val="center"/>
        <w:spacing w:after="0" w:line="236" w:lineRule="auto"/>
        <w:rPr>
          <w:sz w:val="20"/>
          <w:szCs w:val="20"/>
          <w:color w:val="auto"/>
        </w:rPr>
      </w:pPr>
      <w:r>
        <w:rPr>
          <w:rFonts w:ascii="Arial" w:cs="Arial" w:eastAsia="Arial" w:hAnsi="Arial"/>
          <w:sz w:val="20"/>
          <w:szCs w:val="20"/>
          <w:b w:val="1"/>
          <w:bCs w:val="1"/>
          <w:color w:val="auto"/>
        </w:rPr>
        <w:t>CONDENSED CONSOLIDATED STATEMENTS OF CASH FLOWS</w:t>
      </w:r>
    </w:p>
    <w:p>
      <w:pPr>
        <w:jc w:val="center"/>
        <w:spacing w:after="0" w:line="225" w:lineRule="auto"/>
        <w:rPr>
          <w:sz w:val="20"/>
          <w:szCs w:val="20"/>
          <w:color w:val="auto"/>
        </w:rPr>
      </w:pPr>
      <w:r>
        <w:rPr>
          <w:rFonts w:ascii="Arial" w:cs="Arial" w:eastAsia="Arial" w:hAnsi="Arial"/>
          <w:sz w:val="20"/>
          <w:szCs w:val="20"/>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55"/>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0"/>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70"/>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17,760</w:t>
            </w:r>
          </w:p>
        </w:tc>
        <w:tc>
          <w:tcPr>
            <w:tcW w:w="2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(43,016)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Depreciation, amortization and impairment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1,053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3,002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Earnout share stock-based compensation expense to option and RSU holders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Contra-revenue associated with warrant agreement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Noncash expense attributable to fairvalue liabilities assumed in Merger</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Change in fair value of liability classified warrants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(11,188)</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2,768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Change in fair value of warrants and convertible promissory notes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(48,271)</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26,909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debt discount and debt issuance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1,884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Loss on extinguishment of debt and financing obligations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8,095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Paid-in-kind interest expense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2,366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Share and warrant cost on termination of convertible note agreement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Forgiveness of PPP Loan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(2,000)</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Change in fair value of unvested founder shares liability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(1,160)</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Noncash lease expense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(1,054)</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Deferred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6,308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(1,155)</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1,388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(4,777)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Vendor financing facility</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(6,792)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(2,090)</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(6,627)</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(7,305)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3" w:lineRule="exact"/>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(699)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(26,561)</w:t>
            </w: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(30,291)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(171)</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Payments relating to capitalized software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3" w:lineRule="exact"/>
              <w:rPr>
                <w:sz w:val="20"/>
                <w:szCs w:val="20"/>
                <w:color w:val="auto"/>
              </w:rPr>
            </w:pPr>
            <w:r>
              <w:rPr>
                <w:rFonts w:ascii="Arial" w:cs="Arial" w:eastAsia="Arial" w:hAnsi="Arial"/>
                <w:sz w:val="18"/>
                <w:szCs w:val="18"/>
                <w:color w:val="auto"/>
              </w:rPr>
              <w:t>Investment in non-affiliate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(2,000)</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(4,630)</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5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from the exercise of common stock options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from the issuance of term loans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60,250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(1,094)</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Repayment of term loans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(32,980)</w:t>
            </w: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Payment of penalties and other costs on extinguishment of debt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(6,144)</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from issuance of convertible promissory notes and embedded warrants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from issuance of financing obligations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Principal payments of financing obligations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(2,657)</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2" w:lineRule="exact"/>
              <w:rPr>
                <w:sz w:val="20"/>
                <w:szCs w:val="20"/>
                <w:color w:val="auto"/>
              </w:rPr>
            </w:pPr>
            <w:r>
              <w:rPr>
                <w:rFonts w:ascii="Arial" w:cs="Arial" w:eastAsia="Arial" w:hAnsi="Arial"/>
                <w:sz w:val="18"/>
                <w:szCs w:val="18"/>
                <w:color w:val="auto"/>
              </w:rPr>
              <w:t>Contributions from Merger and PIPE financing, net of transaction costs and other payments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49,840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3" w:lineRule="exact"/>
              <w:rPr>
                <w:sz w:val="20"/>
                <w:szCs w:val="20"/>
                <w:color w:val="auto"/>
              </w:rPr>
            </w:pPr>
            <w:r>
              <w:rPr>
                <w:rFonts w:ascii="Arial" w:cs="Arial" w:eastAsia="Arial" w:hAnsi="Arial"/>
                <w:sz w:val="18"/>
                <w:szCs w:val="18"/>
                <w:color w:val="auto"/>
              </w:rPr>
              <w:t>Payment of deferred transaction costs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(1,890)</w:t>
            </w:r>
          </w:p>
        </w:tc>
        <w:tc>
          <w:tcPr>
            <w:tcW w:w="240" w:type="dxa"/>
            <w:vAlign w:val="bottom"/>
          </w:tcPr>
          <w:p>
            <w:pPr>
              <w:spacing w:after="0"/>
              <w:rPr>
                <w:sz w:val="17"/>
                <w:szCs w:val="17"/>
                <w:color w:val="auto"/>
              </w:rPr>
            </w:pPr>
          </w:p>
        </w:tc>
        <w:tc>
          <w:tcPr>
            <w:tcW w:w="8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520"/>
              <w:spacing w:after="0" w:line="196" w:lineRule="exact"/>
              <w:rPr>
                <w:sz w:val="20"/>
                <w:szCs w:val="20"/>
                <w:color w:val="auto"/>
              </w:rPr>
            </w:pPr>
            <w:r>
              <w:rPr>
                <w:rFonts w:ascii="Arial" w:cs="Arial" w:eastAsia="Arial" w:hAnsi="Arial"/>
                <w:sz w:val="18"/>
                <w:szCs w:val="18"/>
                <w:b w:val="1"/>
                <w:bCs w:val="1"/>
                <w:color w:val="auto"/>
              </w:rPr>
              <w:t>Net cash provided (used in) by financing activities</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66,385</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520" w:type="dxa"/>
            <w:vAlign w:val="bottom"/>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35,194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(31,273)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140"/>
              <w:spacing w:after="0" w:line="203" w:lineRule="exact"/>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3,017</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36,909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520" w:type="dxa"/>
            <w:vAlign w:val="bottom"/>
          </w:tcPr>
          <w:p>
            <w:pPr>
              <w:ind w:left="140"/>
              <w:spacing w:after="0" w:line="196" w:lineRule="exact"/>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38,211</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7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1" w:right="9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55"/>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3"/>
                <w:szCs w:val="13"/>
                <w:color w:val="auto"/>
              </w:rPr>
            </w:pPr>
          </w:p>
        </w:tc>
        <w:tc>
          <w:tcPr>
            <w:tcW w:w="1020" w:type="dxa"/>
            <w:vAlign w:val="bottom"/>
          </w:tcPr>
          <w:p>
            <w:pPr>
              <w:jc w:val="right"/>
              <w:ind w:right="491"/>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5"/>
        </w:trPr>
        <w:tc>
          <w:tcPr>
            <w:tcW w:w="75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Capitalization of stock-based compensation expense to capitalized software</w:t>
            </w:r>
          </w:p>
        </w:tc>
        <w:tc>
          <w:tcPr>
            <w:tcW w:w="220" w:type="dxa"/>
            <w:vAlign w:val="bottom"/>
          </w:tcPr>
          <w:p>
            <w:pPr>
              <w:jc w:val="right"/>
              <w:ind w:right="39"/>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459</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Issuance of warrants</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853</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Capital contribution from shareholder in conjunction with Credit Agreement</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2,779</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Issuance of warrants in conjunction with Senior Term Loan</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2,076</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Issuance of warrants in conjunction with Lago Term Loan</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843</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Convertible note conversion to common stock</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41,392</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Reclassification of warrants from liabilities to equity</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830</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Recognition of liability classified warrants upon Merger</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9,388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Recognition of Unvested Founder Shares liability</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1,588</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Forgiveness of PPP Loan</w:t>
            </w:r>
          </w:p>
        </w:tc>
        <w:tc>
          <w:tcPr>
            <w:tcW w:w="220" w:type="dxa"/>
            <w:vAlign w:val="bottom"/>
          </w:tcPr>
          <w:p>
            <w:pPr>
              <w:spacing w:after="0"/>
              <w:rPr>
                <w:sz w:val="17"/>
                <w:szCs w:val="17"/>
                <w:color w:val="auto"/>
              </w:rPr>
            </w:pPr>
          </w:p>
        </w:tc>
        <w:tc>
          <w:tcPr>
            <w:tcW w:w="102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(2,000)</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(2,599)</w:t>
            </w:r>
          </w:p>
        </w:tc>
        <w:tc>
          <w:tcPr>
            <w:tcW w:w="0" w:type="dxa"/>
            <w:vAlign w:val="bottom"/>
          </w:tcPr>
          <w:p>
            <w:pPr>
              <w:spacing w:after="0"/>
              <w:rPr>
                <w:sz w:val="1"/>
                <w:szCs w:val="1"/>
                <w:color w:val="auto"/>
              </w:rPr>
            </w:pPr>
          </w:p>
        </w:tc>
      </w:tr>
      <w:tr>
        <w:trPr>
          <w:trHeight w:val="203"/>
        </w:trPr>
        <w:tc>
          <w:tcPr>
            <w:tcW w:w="7560" w:type="dxa"/>
            <w:vAlign w:val="bottom"/>
          </w:tcPr>
          <w:p>
            <w:pPr>
              <w:ind w:left="140"/>
              <w:spacing w:after="0" w:line="202" w:lineRule="exact"/>
              <w:rPr>
                <w:sz w:val="20"/>
                <w:szCs w:val="20"/>
                <w:color w:val="auto"/>
              </w:rPr>
            </w:pPr>
            <w:r>
              <w:rPr>
                <w:rFonts w:ascii="Arial" w:cs="Arial" w:eastAsia="Arial" w:hAnsi="Arial"/>
                <w:sz w:val="18"/>
                <w:szCs w:val="18"/>
                <w:color w:val="auto"/>
              </w:rPr>
              <w:t>Transaction costs recorded in accounts payable and accrued liabilities</w:t>
            </w:r>
          </w:p>
        </w:tc>
        <w:tc>
          <w:tcPr>
            <w:tcW w:w="220" w:type="dxa"/>
            <w:vAlign w:val="bottom"/>
          </w:tcPr>
          <w:p>
            <w:pPr>
              <w:spacing w:after="0"/>
              <w:rPr>
                <w:sz w:val="17"/>
                <w:szCs w:val="17"/>
                <w:color w:val="auto"/>
              </w:rPr>
            </w:pPr>
          </w:p>
        </w:tc>
        <w:tc>
          <w:tcPr>
            <w:tcW w:w="1020" w:type="dxa"/>
            <w:vAlign w:val="bottom"/>
          </w:tcPr>
          <w:p>
            <w:pPr>
              <w:jc w:val="right"/>
              <w:ind w:right="191"/>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217"/>
        </w:trPr>
        <w:tc>
          <w:tcPr>
            <w:tcW w:w="7560" w:type="dxa"/>
            <w:vAlign w:val="bottom"/>
          </w:tcPr>
          <w:p>
            <w:pPr>
              <w:ind w:left="140"/>
              <w:spacing w:after="0"/>
              <w:rPr>
                <w:sz w:val="20"/>
                <w:szCs w:val="20"/>
                <w:color w:val="auto"/>
              </w:rPr>
            </w:pPr>
            <w:r>
              <w:rPr>
                <w:rFonts w:ascii="Arial" w:cs="Arial" w:eastAsia="Arial" w:hAnsi="Arial"/>
                <w:sz w:val="18"/>
                <w:szCs w:val="18"/>
                <w:color w:val="auto"/>
              </w:rPr>
              <w:t>Right of use asset in exchange for operating lease liability</w:t>
            </w:r>
          </w:p>
        </w:tc>
        <w:tc>
          <w:tcPr>
            <w:tcW w:w="220" w:type="dxa"/>
            <w:vAlign w:val="bottom"/>
          </w:tcPr>
          <w:p>
            <w:pPr>
              <w:spacing w:after="0"/>
              <w:rPr>
                <w:sz w:val="18"/>
                <w:szCs w:val="18"/>
                <w:color w:val="auto"/>
              </w:rPr>
            </w:pPr>
          </w:p>
        </w:tc>
        <w:tc>
          <w:tcPr>
            <w:tcW w:w="1020" w:type="dxa"/>
            <w:vAlign w:val="bottom"/>
          </w:tcPr>
          <w:p>
            <w:pPr>
              <w:jc w:val="right"/>
              <w:ind w:right="191"/>
              <w:spacing w:after="0"/>
              <w:rPr>
                <w:sz w:val="20"/>
                <w:szCs w:val="20"/>
                <w:color w:val="auto"/>
              </w:rPr>
            </w:pPr>
            <w:r>
              <w:rPr>
                <w:rFonts w:ascii="Arial" w:cs="Arial" w:eastAsia="Arial" w:hAnsi="Arial"/>
                <w:sz w:val="18"/>
                <w:szCs w:val="18"/>
                <w:color w:val="auto"/>
              </w:rPr>
              <w:t>308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97"/>
        </w:trPr>
        <w:tc>
          <w:tcPr>
            <w:tcW w:w="7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9" w:right="999" w:bottom="1440" w:gutter="0" w:footer="0" w:header="0"/>
        </w:sectPr>
      </w:pPr>
    </w:p>
    <w:bookmarkStart w:id="11" w:name="page12"/>
    <w:bookmarkEnd w:id="11"/>
    <w:p>
      <w:pPr>
        <w:jc w:val="center"/>
        <w:ind w:right="-59"/>
        <w:spacing w:after="0"/>
        <w:rPr>
          <w:sz w:val="20"/>
          <w:szCs w:val="20"/>
          <w:color w:val="auto"/>
        </w:rPr>
      </w:pPr>
      <w:r>
        <w:rPr>
          <w:rFonts w:ascii="Arial" w:cs="Arial" w:eastAsia="Arial" w:hAnsi="Arial"/>
          <w:sz w:val="20"/>
          <w:szCs w:val="20"/>
          <w:b w:val="1"/>
          <w:bCs w:val="1"/>
          <w:color w:val="auto"/>
        </w:rPr>
        <w:t>PRESTO AUTOMATION INC.</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19"/>
          <w:szCs w:val="19"/>
          <w:b w:val="1"/>
          <w:bCs w:val="1"/>
          <w:color w:val="auto"/>
        </w:rPr>
        <w:t>Reconciliation from GAAP to Non-GAAP Results</w:t>
      </w:r>
    </w:p>
    <w:p>
      <w:pPr>
        <w:ind w:left="2680"/>
        <w:spacing w:after="0"/>
        <w:rPr>
          <w:sz w:val="20"/>
          <w:szCs w:val="20"/>
          <w:color w:val="auto"/>
        </w:rPr>
      </w:pPr>
      <w:r>
        <w:rPr>
          <w:rFonts w:ascii="Arial" w:cs="Arial" w:eastAsia="Arial" w:hAnsi="Arial"/>
          <w:sz w:val="19"/>
          <w:szCs w:val="19"/>
          <w:b w:val="1"/>
          <w:bCs w:val="1"/>
          <w:color w:val="auto"/>
        </w:rPr>
        <w:t>(In thousands, except per share data, unaudited)</w:t>
      </w:r>
    </w:p>
    <w:p>
      <w:pPr>
        <w:sectPr>
          <w:pgSz w:w="11900" w:h="16838" w:orient="portrait"/>
          <w:cols w:equalWidth="0" w:num="1">
            <w:col w:w="9860"/>
          </w:cols>
          <w:pgMar w:left="980" w:top="112" w:right="1059" w:bottom="1440" w:gutter="0" w:footer="0" w:header="0"/>
        </w:sectPr>
      </w:pPr>
    </w:p>
    <w:p>
      <w:pPr>
        <w:spacing w:after="0" w:line="190"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8890</wp:posOffset>
            </wp:positionV>
            <wp:extent cx="1165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9"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0</wp:posOffset>
            </wp:positionV>
            <wp:extent cx="1165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200"/>
        <w:spacing w:after="0"/>
        <w:tabs>
          <w:tab w:leader="none" w:pos="72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8890</wp:posOffset>
            </wp:positionV>
            <wp:extent cx="1191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0</wp:posOffset>
            </wp:positionV>
            <wp:extent cx="11912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tabs>
          <w:tab w:leader="none" w:pos="10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1" w:lineRule="exact"/>
        <w:rPr>
          <w:sz w:val="20"/>
          <w:szCs w:val="20"/>
          <w:color w:val="auto"/>
        </w:rPr>
      </w:pPr>
    </w:p>
    <w:p>
      <w:pPr>
        <w:sectPr>
          <w:pgSz w:w="11900" w:h="16838" w:orient="portrait"/>
          <w:cols w:equalWidth="0" w:num="2">
            <w:col w:w="7560" w:space="680"/>
            <w:col w:w="1620"/>
          </w:cols>
          <w:pgMar w:left="980" w:top="112" w:right="105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line="173" w:lineRule="exact"/>
              <w:rPr>
                <w:sz w:val="20"/>
                <w:szCs w:val="20"/>
                <w:color w:val="auto"/>
              </w:rPr>
            </w:pPr>
            <w:r>
              <w:rPr>
                <w:rFonts w:ascii="Arial" w:cs="Arial" w:eastAsia="Arial" w:hAnsi="Arial"/>
                <w:sz w:val="18"/>
                <w:szCs w:val="18"/>
                <w:b w:val="1"/>
                <w:bCs w:val="1"/>
                <w:color w:val="auto"/>
              </w:rPr>
              <w:t>Adjusted EBITDA</w:t>
            </w: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24"/>
        </w:trPr>
        <w:tc>
          <w:tcPr>
            <w:tcW w:w="594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(17,029)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17,760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(43,016)</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Interest expense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3,030</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868</w:t>
            </w: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6,406</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Other income, net</w:t>
            </w: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(327)</w:t>
            </w: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(2,355)</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845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1,053</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Provision for Income taxes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 expense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827</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c>
          <w:tcPr>
            <w:tcW w:w="10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3,002</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Earnout stock-based compensation expense</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1,696</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1,874</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Change in fair value of warrants and convertible promissory notes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16,196</w:t>
            </w:r>
          </w:p>
        </w:tc>
        <w:tc>
          <w:tcPr>
            <w:tcW w:w="100" w:type="dxa"/>
            <w:vAlign w:val="bottom"/>
          </w:tcPr>
          <w:p>
            <w:pPr>
              <w:spacing w:after="0"/>
              <w:rPr>
                <w:sz w:val="17"/>
                <w:szCs w:val="17"/>
                <w:color w:val="auto"/>
              </w:rPr>
            </w:pPr>
          </w:p>
        </w:tc>
        <w:tc>
          <w:tcPr>
            <w:tcW w:w="11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(59,444)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29,770</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Loss on extinguishment of debt and financial obligations</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337</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8,095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Other financing and financial instrument (costs) income, net</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1,768</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Deferred compensation and bonuses earned upon closing of the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940" w:type="dxa"/>
            <w:vAlign w:val="bottom"/>
          </w:tcPr>
          <w:p>
            <w:pPr>
              <w:ind w:left="260"/>
              <w:spacing w:after="0" w:line="202" w:lineRule="exact"/>
              <w:rPr>
                <w:sz w:val="20"/>
                <w:szCs w:val="20"/>
                <w:color w:val="auto"/>
              </w:rPr>
            </w:pPr>
            <w:r>
              <w:rPr>
                <w:rFonts w:ascii="Arial" w:cs="Arial" w:eastAsia="Arial" w:hAnsi="Arial"/>
                <w:sz w:val="18"/>
                <w:szCs w:val="18"/>
                <w:color w:val="auto"/>
              </w:rPr>
              <w:t>Merger</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2,232</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2"/>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Public relations fee due upon closing of the Merger</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Loss on infrequent product repairs</w:t>
            </w:r>
          </w:p>
        </w:tc>
        <w:tc>
          <w:tcPr>
            <w:tcW w:w="10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463</w:t>
            </w:r>
          </w:p>
        </w:tc>
      </w:tr>
      <w:tr>
        <w:trPr>
          <w:trHeight w:val="203"/>
        </w:trPr>
        <w:tc>
          <w:tcPr>
            <w:tcW w:w="5940" w:type="dxa"/>
            <w:vAlign w:val="bottom"/>
          </w:tcPr>
          <w:p>
            <w:pPr>
              <w:ind w:left="140"/>
              <w:spacing w:after="0" w:line="202" w:lineRule="exact"/>
              <w:rPr>
                <w:sz w:val="20"/>
                <w:szCs w:val="20"/>
                <w:color w:val="auto"/>
              </w:rPr>
            </w:pPr>
            <w:r>
              <w:rPr>
                <w:rFonts w:ascii="Arial" w:cs="Arial" w:eastAsia="Arial" w:hAnsi="Arial"/>
                <w:sz w:val="18"/>
                <w:szCs w:val="18"/>
                <w:color w:val="auto"/>
              </w:rPr>
              <w:t>Contra-revenue associated with warrant agreement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409</w:t>
            </w:r>
          </w:p>
        </w:tc>
        <w:tc>
          <w:tcPr>
            <w:tcW w:w="20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615</w:t>
            </w:r>
          </w:p>
        </w:tc>
        <w:tc>
          <w:tcPr>
            <w:tcW w:w="2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940" w:type="dxa"/>
            <w:vAlign w:val="bottom"/>
          </w:tcPr>
          <w:p>
            <w:pPr>
              <w:ind w:left="140"/>
              <w:spacing w:after="0" w:line="203" w:lineRule="exact"/>
              <w:rPr>
                <w:sz w:val="20"/>
                <w:szCs w:val="20"/>
                <w:color w:val="auto"/>
              </w:rPr>
            </w:pPr>
            <w:r>
              <w:rPr>
                <w:rFonts w:ascii="Arial" w:cs="Arial" w:eastAsia="Arial" w:hAnsi="Arial"/>
                <w:sz w:val="18"/>
                <w:szCs w:val="18"/>
                <w:color w:val="auto"/>
              </w:rPr>
              <w:t>Hardware repair expense related to COVID</w:t>
            </w: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1,110</w:t>
            </w:r>
          </w:p>
        </w:tc>
      </w:tr>
      <w:tr>
        <w:trPr>
          <w:trHeight w:val="196"/>
        </w:trPr>
        <w:tc>
          <w:tcPr>
            <w:tcW w:w="594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(10,262)</w:t>
            </w:r>
          </w:p>
        </w:tc>
        <w:tc>
          <w:tcPr>
            <w:tcW w:w="2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(4,672)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(18,947)</w:t>
            </w:r>
          </w:p>
        </w:tc>
        <w:tc>
          <w:tcPr>
            <w:tcW w:w="2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(10,027)</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5" w:lineRule="auto"/>
        <w:rPr>
          <w:sz w:val="20"/>
          <w:szCs w:val="20"/>
          <w:color w:val="auto"/>
        </w:rPr>
      </w:pPr>
      <w:r>
        <w:rPr>
          <w:rFonts w:ascii="Arial" w:cs="Arial" w:eastAsia="Arial" w:hAnsi="Arial"/>
          <w:sz w:val="20"/>
          <w:szCs w:val="20"/>
          <w:color w:val="auto"/>
        </w:rPr>
        <w:t>Chris Whitcomb, VP Investor Relations</w:t>
      </w:r>
    </w:p>
    <w:p>
      <w:pPr>
        <w:spacing w:after="0"/>
        <w:rPr>
          <w:sz w:val="20"/>
          <w:szCs w:val="20"/>
          <w:color w:val="auto"/>
        </w:rPr>
      </w:pPr>
      <w:r>
        <w:rPr>
          <w:rFonts w:ascii="Arial" w:cs="Arial" w:eastAsia="Arial" w:hAnsi="Arial"/>
          <w:sz w:val="20"/>
          <w:szCs w:val="20"/>
          <w:u w:val="single" w:color="auto"/>
          <w:color w:val="auto"/>
        </w:rPr>
        <w:t>investor@presto.com</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Media:</w:t>
      </w:r>
    </w:p>
    <w:p>
      <w:pPr>
        <w:spacing w:after="0" w:line="225" w:lineRule="auto"/>
        <w:rPr>
          <w:sz w:val="20"/>
          <w:szCs w:val="20"/>
          <w:color w:val="auto"/>
        </w:rPr>
      </w:pPr>
      <w:r>
        <w:rPr>
          <w:rFonts w:ascii="Arial" w:cs="Arial" w:eastAsia="Arial" w:hAnsi="Arial"/>
          <w:sz w:val="20"/>
          <w:szCs w:val="20"/>
          <w:color w:val="auto"/>
        </w:rPr>
        <w:t>Christopher Cast &amp; Brian Ruby</w:t>
      </w:r>
    </w:p>
    <w:p>
      <w:pPr>
        <w:spacing w:after="0"/>
        <w:rPr>
          <w:sz w:val="20"/>
          <w:szCs w:val="20"/>
          <w:color w:val="auto"/>
        </w:rPr>
      </w:pPr>
      <w:r>
        <w:rPr>
          <w:rFonts w:ascii="Arial" w:cs="Arial" w:eastAsia="Arial" w:hAnsi="Arial"/>
          <w:sz w:val="20"/>
          <w:szCs w:val="20"/>
          <w:color w:val="auto"/>
        </w:rPr>
        <w:t>media@presto.com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60"/>
      </w:cols>
      <w:pgMar w:left="980" w:top="112" w:right="10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2023-02-14T17:40:44Z</dcterms:created>
  <dcterms:modified xsi:type="dcterms:W3CDTF">2023-02-14T17:40:44Z</dcterms:modified>
</cp:coreProperties>
</file>