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Mbugua Stanley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CAO and Interim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06/11/2024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0.1158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274,623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herein were granted as restricted stock units ("RSUs"). The disposition of shares is associated with tax obligations of the reporting person associated with the vesting of RSUs.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Susan Shinoff, Attorney-in- </w:t>
      </w:r>
      <w:r>
        <w:rPr>
          <w:rFonts w:ascii="Times New Roman" w:cs="Times New Roman" w:eastAsia="Times New Roman" w:hAnsi="Times New Roman"/>
          <w:sz w:val="33"/>
          <w:szCs w:val="33"/>
          <w:color w:val="0000FF"/>
          <w:vertAlign w:val="subscript"/>
        </w:rPr>
        <w:t>06/12/2024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5441"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2024-06-12T16:11:32Z</dcterms:created>
  <dcterms:modified xsi:type="dcterms:W3CDTF">2024-06-12T16:11:32Z</dcterms:modified>
</cp:coreProperties>
</file>