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Hoffman Sasha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11/16/2023</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985 INDUSTRIAL ROAD,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30,000</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Susan Shinoff,</w:t>
            </w:r>
          </w:p>
        </w:tc>
        <w:tc>
          <w:tcPr>
            <w:tcW w:w="80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11/30/2023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The undersigned constitutes and appoints Xavier Casanova and Susan Shinoff, or any of them acting singly, as the undersigned’s true and lawful attorneys-in-fact and agents, with full power of substitution and resubstitution, for the undersigned and in the undersigned’s name, place and stead, to:</w:t>
      </w:r>
    </w:p>
    <w:p>
      <w:pPr>
        <w:spacing w:after="0" w:line="223" w:lineRule="exact"/>
        <w:rPr>
          <w:sz w:val="20"/>
          <w:szCs w:val="20"/>
          <w:color w:val="auto"/>
        </w:rPr>
      </w:pPr>
    </w:p>
    <w:p>
      <w:pPr>
        <w:jc w:val="both"/>
        <w:ind w:left="1080" w:hanging="360"/>
        <w:spacing w:after="0" w:line="245" w:lineRule="auto"/>
        <w:tabs>
          <w:tab w:leader="none" w:pos="1141"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sign, and submit to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its Electronic Data Gathering, Analysis, and Retrieval (“</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41" w:lineRule="exact"/>
        <w:rPr>
          <w:rFonts w:ascii="Times New Roman" w:cs="Times New Roman" w:eastAsia="Times New Roman" w:hAnsi="Times New Roman"/>
          <w:sz w:val="22"/>
          <w:szCs w:val="22"/>
          <w:color w:val="auto"/>
        </w:rPr>
      </w:pPr>
    </w:p>
    <w:p>
      <w:pPr>
        <w:jc w:val="both"/>
        <w:ind w:left="1080" w:hanging="360"/>
        <w:spacing w:after="0" w:line="245" w:lineRule="auto"/>
        <w:tabs>
          <w:tab w:leader="none" w:pos="105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 any and all SEC statements of beneficial ownership of securities of Presto Automation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Schedule 13G or 13D as required under Section 13(d) and Forms 3, 4 and 5 as required under Section 16(a) of the Securities Exchange Act of 1934, as amended (the “Exchange Act”),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13(d) and Section 16(a) of the Exchange Act, as fully and to all intents and purposes as the undersigned might or could do in person, hereby ratifying and confirming all that said attorneys-in-fact and agents, and each of them, may lawfully do or cause to be done by virtue hereof.</w:t>
      </w:r>
    </w:p>
    <w:p>
      <w:pPr>
        <w:spacing w:after="0" w:line="224" w:lineRule="exact"/>
        <w:rPr>
          <w:sz w:val="20"/>
          <w:szCs w:val="20"/>
          <w:color w:val="auto"/>
        </w:rPr>
      </w:pPr>
    </w:p>
    <w:p>
      <w:pPr>
        <w:jc w:val="both"/>
        <w:ind w:right="20" w:firstLine="720"/>
        <w:spacing w:after="0" w:line="273" w:lineRule="auto"/>
        <w:rPr>
          <w:sz w:val="20"/>
          <w:szCs w:val="20"/>
          <w:color w:val="auto"/>
        </w:rPr>
      </w:pPr>
      <w:r>
        <w:rPr>
          <w:rFonts w:ascii="Times New Roman" w:cs="Times New Roman" w:eastAsia="Times New Roman" w:hAnsi="Times New Roman"/>
          <w:sz w:val="22"/>
          <w:szCs w:val="22"/>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9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The authority granted hereby shall in no event be deemed to impose or create any duty on behalf of the attorneys-in-fact with respect to the undersigned’s obligations to file a Form ID, Schedule 13G or Schedule 13D as required under Section 13(d) of the Exchange Act or any Form 3, 4 or 5 with the SEC.</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/s/ Sasha Hoffman</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Sasha Hoffman</w:t>
      </w:r>
    </w:p>
    <w:sectPr>
      <w:pgSz w:w="11900" w:h="16838" w:orient="portrait"/>
      <w:cols w:equalWidth="0" w:num="1">
        <w:col w:w="10940"/>
      </w:cols>
      <w:pgMar w:left="480" w:top="3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2398"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2023-11-30T18:06:48Z</dcterms:created>
  <dcterms:modified xsi:type="dcterms:W3CDTF">2023-11-30T18:06:48Z</dcterms:modified>
</cp:coreProperties>
</file>