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rst-20231231x10q.htm"/>
        <w:bookmarkStart w:id="1" w:name="ksprst202312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24310164_067d_4d37_af00_d55d4feecaf8"/>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160"/>
        <w:ind w:left="0" w:right="0" w:hanging="0"/>
        <w:jc w:val="center"/>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December 31, 2023</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60"/>
        <w:ind w:left="0" w:right="0" w:hanging="0"/>
        <w:jc w:val="center"/>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PRESTO AUTOMATION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AKxVt3KcZkSD9Mb3dZM1UA_2_4"/>
      <w:bookmarkStart w:id="4" w:name="Tc_s-C4udz410OJnN2QqVMfjg_2_2"/>
      <w:bookmarkStart w:id="5" w:name="Tc_0y8cyYITwkaoMGsvJTv8Ug_2_0"/>
      <w:bookmarkStart w:id="6" w:name="_7b782eb9_6936_4ef2_8b0b_fe741e3013a0"/>
      <w:bookmarkStart w:id="7" w:name="Tc_AKxVt3KcZkSD9Mb3dZM1UA_2_4"/>
      <w:bookmarkStart w:id="8" w:name="Tc_s-C4udz410OJnN2QqVMfjg_2_2"/>
      <w:bookmarkStart w:id="9" w:name="Tc_0y8cyYITwkaoMGsvJTv8Ug_2_0"/>
      <w:bookmarkStart w:id="10" w:name="_7b782eb9_6936_4ef2_8b0b_fe741e3013a0"/>
      <w:bookmarkEnd w:id="7"/>
      <w:bookmarkEnd w:id="8"/>
      <w:bookmarkEnd w:id="9"/>
      <w:bookmarkEnd w:id="10"/>
    </w:p>
    <w:tbl>
      <w:tblPr>
        <w:tblW w:w="9865" w:type="dxa"/>
        <w:jc w:val="left"/>
        <w:tblInd w:w="0" w:type="dxa"/>
        <w:tblLayout w:type="fixed"/>
        <w:tblCellMar>
          <w:top w:w="0" w:type="dxa"/>
          <w:left w:w="0" w:type="dxa"/>
          <w:bottom w:w="0" w:type="dxa"/>
          <w:right w:w="0" w:type="dxa"/>
        </w:tblCellMar>
      </w:tblPr>
      <w:tblGrid>
        <w:gridCol w:w="4561"/>
        <w:gridCol w:w="326"/>
        <w:gridCol w:w="2041"/>
        <w:gridCol w:w="326"/>
        <w:gridCol w:w="261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001-39830</w:t>
            </w:r>
          </w:p>
        </w:tc>
        <w:tc>
          <w:tcPr>
            <w:tcW w:w="326" w:type="dxa"/>
            <w:tcBorders/>
            <w:vAlign w:val="center"/>
          </w:tcPr>
          <w:p>
            <w:pPr>
              <w:pStyle w:val="TableContents"/>
              <w:bidi w:val="0"/>
              <w:spacing w:before="0" w:after="0"/>
              <w:ind w:left="0" w:right="0" w:hanging="0"/>
              <w:jc w:val="left"/>
              <w:rPr/>
            </w:pPr>
            <w:r>
              <w:rPr/>
              <w:t>    </w:t>
            </w:r>
          </w:p>
        </w:tc>
        <w:tc>
          <w:tcPr>
            <w:tcW w:w="2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84-2968594</w:t>
            </w:r>
          </w:p>
        </w:tc>
      </w:tr>
      <w:tr>
        <w:trPr/>
        <w:tc>
          <w:tcPr>
            <w:tcW w:w="4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t xml:space="preserve"> </w:t>
            </w: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20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w:t>
            </w:r>
          </w:p>
        </w:tc>
        <w:tc>
          <w:tcPr>
            <w:tcW w:w="326" w:type="dxa"/>
            <w:tcBorders/>
            <w:vAlign w:val="center"/>
          </w:tcPr>
          <w:p>
            <w:pPr>
              <w:pStyle w:val="TableContents"/>
              <w:bidi w:val="0"/>
              <w:spacing w:before="0" w:after="0"/>
              <w:ind w:left="0" w:right="0" w:hanging="0"/>
              <w:jc w:val="left"/>
              <w:rPr/>
            </w:pPr>
            <w:r>
              <w:rPr/>
              <w:t>​</w:t>
            </w:r>
          </w:p>
        </w:tc>
        <w:tc>
          <w:tcPr>
            <w:tcW w:w="26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fyHb_x9D-E2wiy46MvFtlA_3_2"/>
      <w:bookmarkStart w:id="12" w:name="Tc_yhs8Fi_w80icHAK5shq6KA_3_0"/>
      <w:bookmarkStart w:id="13" w:name="Tc_PQqyr4bwBUasBk7qQ31GJQ_2_0"/>
      <w:bookmarkStart w:id="14" w:name="_e02d5295_f629_416b_b40a_26282ae29539"/>
      <w:bookmarkStart w:id="15" w:name="Tc_fyHb_x9D-E2wiy46MvFtlA_3_2"/>
      <w:bookmarkStart w:id="16" w:name="Tc_yhs8Fi_w80icHAK5shq6KA_3_0"/>
      <w:bookmarkStart w:id="17" w:name="Tc_PQqyr4bwBUasBk7qQ31GJQ_2_0"/>
      <w:bookmarkStart w:id="18" w:name="_e02d5295_f629_416b_b40a_26282ae29539"/>
      <w:bookmarkEnd w:id="15"/>
      <w:bookmarkEnd w:id="16"/>
      <w:bookmarkEnd w:id="17"/>
      <w:bookmarkEnd w:id="18"/>
    </w:p>
    <w:tbl>
      <w:tblPr>
        <w:tblW w:w="4318" w:type="dxa"/>
        <w:jc w:val="left"/>
        <w:tblInd w:w="0" w:type="dxa"/>
        <w:tblLayout w:type="fixed"/>
        <w:tblCellMar>
          <w:top w:w="0" w:type="dxa"/>
          <w:left w:w="0" w:type="dxa"/>
          <w:bottom w:w="0" w:type="dxa"/>
          <w:right w:w="0" w:type="dxa"/>
        </w:tblCellMar>
      </w:tblPr>
      <w:tblGrid>
        <w:gridCol w:w="3061"/>
        <w:gridCol w:w="326"/>
        <w:gridCol w:w="931"/>
      </w:tblGrid>
      <w:tr>
        <w:trPr/>
        <w:tc>
          <w:tcPr>
            <w:tcW w:w="306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985 Industrial Road</w:t>
              <w:br/>
              <w:t>San Carlos, California</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94070</w:t>
            </w:r>
          </w:p>
        </w:tc>
      </w:tr>
      <w:tr>
        <w:trPr/>
        <w:tc>
          <w:tcPr>
            <w:tcW w:w="30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(650) 817-9012</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WSMcd31gVkivD_oeMHGf5g_5_4"/>
      <w:bookmarkStart w:id="20" w:name="Tc_39y7OVXKtkKxHEzGlR45uw_3_4"/>
      <w:bookmarkStart w:id="21" w:name="Tc_T5TsWNxOlkyUtaEazkBGgA_2_4"/>
      <w:bookmarkStart w:id="22" w:name="Tc_a3nl7fHU9kusceSD59nHDQ_2_2"/>
      <w:bookmarkStart w:id="23" w:name="Tc_dPPuPCpbg0imO7OtQOSkyw_2_0"/>
      <w:bookmarkStart w:id="24" w:name="_1f3100bf_4945_4f3d_b3e9_07c7db070014"/>
      <w:bookmarkStart w:id="25" w:name="Tc_WSMcd31gVkivD_oeMHGf5g_5_4"/>
      <w:bookmarkStart w:id="26" w:name="Tc_39y7OVXKtkKxHEzGlR45uw_3_4"/>
      <w:bookmarkStart w:id="27" w:name="Tc_T5TsWNxOlkyUtaEazkBGgA_2_4"/>
      <w:bookmarkStart w:id="28" w:name="Tc_a3nl7fHU9kusceSD59nHDQ_2_2"/>
      <w:bookmarkStart w:id="29" w:name="Tc_dPPuPCpbg0imO7OtQOSkyw_2_0"/>
      <w:bookmarkStart w:id="30" w:name="_1f3100bf_4945_4f3d_b3e9_07c7db070014"/>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6363"/>
        <w:gridCol w:w="326"/>
        <w:gridCol w:w="1258"/>
        <w:gridCol w:w="326"/>
        <w:gridCol w:w="1932"/>
      </w:tblGrid>
      <w:tr>
        <w:trPr/>
        <w:tc>
          <w:tcPr>
            <w:tcW w:w="636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5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32" w:type="dxa"/>
            <w:tcBorders/>
            <w:vAlign w:val="center"/>
          </w:tcPr>
          <w:p>
            <w:pPr>
              <w:pStyle w:val="TableContents"/>
              <w:bidi w:val="0"/>
              <w:spacing w:before="0" w:after="283"/>
              <w:ind w:left="0" w:right="0" w:hanging="0"/>
              <w:jc w:val="left"/>
              <w:rPr>
                <w:sz w:val="4"/>
                <w:szCs w:val="4"/>
              </w:rPr>
            </w:pPr>
            <w:r>
              <w:rPr>
                <w:sz w:val="4"/>
                <w:szCs w:val="4"/>
              </w:rPr>
            </w:r>
          </w:p>
        </w:tc>
      </w:tr>
      <w:tr>
        <w:trPr/>
        <w:tc>
          <w:tcPr>
            <w:tcW w:w="636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5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32" w:type="dxa"/>
            <w:tcBorders/>
            <w:vAlign w:val="center"/>
          </w:tcPr>
          <w:p>
            <w:pPr>
              <w:pStyle w:val="TableContents"/>
              <w:bidi w:val="0"/>
              <w:spacing w:before="0" w:after="283"/>
              <w:ind w:left="0" w:right="0" w:hanging="0"/>
              <w:jc w:val="left"/>
              <w:rPr>
                <w:sz w:val="4"/>
                <w:szCs w:val="4"/>
              </w:rPr>
            </w:pPr>
            <w:r>
              <w:rPr>
                <w:sz w:val="4"/>
                <w:szCs w:val="4"/>
              </w:rPr>
            </w:r>
          </w:p>
        </w:tc>
      </w:tr>
      <w:tr>
        <w:trPr/>
        <w:tc>
          <w:tcPr>
            <w:tcW w:w="63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0"/>
              <w:ind w:left="0" w:right="0" w:hanging="0"/>
              <w:jc w:val="left"/>
              <w:rPr/>
            </w:pPr>
            <w:r>
              <w:rPr/>
              <w:t>    </w:t>
            </w:r>
          </w:p>
        </w:tc>
        <w:tc>
          <w:tcPr>
            <w:tcW w:w="1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6363"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25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PRST</w:t>
            </w:r>
          </w:p>
        </w:tc>
        <w:tc>
          <w:tcPr>
            <w:tcW w:w="326" w:type="dxa"/>
            <w:tcBorders/>
            <w:shd w:fill="CCEEFF" w:val="clear"/>
            <w:vAlign w:val="center"/>
          </w:tcPr>
          <w:p>
            <w:pPr>
              <w:pStyle w:val="TableContents"/>
              <w:bidi w:val="0"/>
              <w:spacing w:before="0" w:after="0"/>
              <w:ind w:left="0" w:right="0" w:hanging="0"/>
              <w:jc w:val="left"/>
              <w:rPr/>
            </w:pPr>
            <w:r>
              <w:rPr/>
              <w:t>​</w:t>
            </w:r>
          </w:p>
        </w:tc>
        <w:tc>
          <w:tcPr>
            <w:tcW w:w="1932"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63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32" w:type="dxa"/>
            <w:tcBorders/>
            <w:vAlign w:val="center"/>
          </w:tcPr>
          <w:p>
            <w:pPr>
              <w:pStyle w:val="TableContents"/>
              <w:bidi w:val="0"/>
              <w:spacing w:before="0" w:after="0"/>
              <w:ind w:left="0" w:right="0" w:hanging="0"/>
              <w:jc w:val="center"/>
              <w:rPr/>
            </w:pPr>
            <w:r>
              <w:rPr/>
              <w:t>​</w:t>
            </w:r>
          </w:p>
        </w:tc>
      </w:tr>
      <w:tr>
        <w:trPr/>
        <w:tc>
          <w:tcPr>
            <w:tcW w:w="636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Warrants, each whole warrant exercisable for one share of Common stock, each at an exercise price of $8.21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PRSTW</w:t>
            </w:r>
          </w:p>
        </w:tc>
        <w:tc>
          <w:tcPr>
            <w:tcW w:w="326" w:type="dxa"/>
            <w:tcBorders/>
            <w:shd w:fill="CCEEFF" w:val="clear"/>
            <w:vAlign w:val="center"/>
          </w:tcPr>
          <w:p>
            <w:pPr>
              <w:pStyle w:val="TableContents"/>
              <w:bidi w:val="0"/>
              <w:spacing w:before="0" w:after="0"/>
              <w:ind w:left="0" w:right="0" w:hanging="0"/>
              <w:jc w:val="left"/>
              <w:rPr/>
            </w:pPr>
            <w:r>
              <w:rPr/>
              <w:t>​</w:t>
            </w:r>
          </w:p>
        </w:tc>
        <w:tc>
          <w:tcPr>
            <w:tcW w:w="19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BDvDo1K2ikSUkbQnez8Ghw_5_1"/>
      <w:bookmarkStart w:id="32" w:name="Tc_eTOI5u62qUGOyzGvYUyu0g_5_0"/>
      <w:bookmarkStart w:id="33" w:name="Tc_xbcPDbjH4k-hKX_1Kw4Uuw_4_3"/>
      <w:bookmarkStart w:id="34" w:name="Tc_CKac-1LcJ0OJk1HOMyi4QA_4_2"/>
      <w:bookmarkStart w:id="35" w:name="Tc_JMCVkJuioEGeXsn1Vdv8Rw_4_1"/>
      <w:bookmarkStart w:id="36" w:name="Tc_U4C2CPijTUegYxmcBBe2Iw_3_3"/>
      <w:bookmarkStart w:id="37" w:name="Tc_bUpYlgEt30WhfXRUFbjX0g_3_2"/>
      <w:bookmarkStart w:id="38" w:name="Tc_464yWL-gAUiqKTJhBP6V1A_3_1"/>
      <w:bookmarkStart w:id="39" w:name="Tc_LRnpTdCbrEKC5tDUCueS9w_3_0"/>
      <w:bookmarkStart w:id="40" w:name="_81fc104a_1dd9_4ca1_80dd_0cd099a3f731"/>
      <w:bookmarkStart w:id="41" w:name="Tc_BDvDo1K2ikSUkbQnez8Ghw_5_1"/>
      <w:bookmarkStart w:id="42" w:name="Tc_eTOI5u62qUGOyzGvYUyu0g_5_0"/>
      <w:bookmarkStart w:id="43" w:name="Tc_xbcPDbjH4k-hKX_1Kw4Uuw_4_3"/>
      <w:bookmarkStart w:id="44" w:name="Tc_CKac-1LcJ0OJk1HOMyi4QA_4_2"/>
      <w:bookmarkStart w:id="45" w:name="Tc_JMCVkJuioEGeXsn1Vdv8Rw_4_1"/>
      <w:bookmarkStart w:id="46" w:name="Tc_U4C2CPijTUegYxmcBBe2Iw_3_3"/>
      <w:bookmarkStart w:id="47" w:name="Tc_bUpYlgEt30WhfXRUFbjX0g_3_2"/>
      <w:bookmarkStart w:id="48" w:name="Tc_464yWL-gAUiqKTJhBP6V1A_3_1"/>
      <w:bookmarkStart w:id="49" w:name="Tc_LRnpTdCbrEKC5tDUCueS9w_3_0"/>
      <w:bookmarkStart w:id="50" w:name="_81fc104a_1dd9_4ca1_80dd_0cd099a3f731"/>
      <w:bookmarkEnd w:id="41"/>
      <w:bookmarkEnd w:id="42"/>
      <w:bookmarkEnd w:id="43"/>
      <w:bookmarkEnd w:id="44"/>
      <w:bookmarkEnd w:id="45"/>
      <w:bookmarkEnd w:id="46"/>
      <w:bookmarkEnd w:id="47"/>
      <w:bookmarkEnd w:id="48"/>
      <w:bookmarkEnd w:id="49"/>
      <w:bookmarkEnd w:id="50"/>
    </w:p>
    <w:tbl>
      <w:tblPr>
        <w:tblW w:w="4849" w:type="dxa"/>
        <w:jc w:val="left"/>
        <w:tblInd w:w="0" w:type="dxa"/>
        <w:tblLayout w:type="fixed"/>
        <w:tblCellMar>
          <w:top w:w="0" w:type="dxa"/>
          <w:left w:w="0" w:type="dxa"/>
          <w:bottom w:w="0" w:type="dxa"/>
          <w:right w:w="0" w:type="dxa"/>
        </w:tblCellMar>
      </w:tblPr>
      <w:tblGrid>
        <w:gridCol w:w="2041"/>
        <w:gridCol w:w="376"/>
        <w:gridCol w:w="2011"/>
        <w:gridCol w:w="42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42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42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6"/>
        </w:rPr>
      </w:pPr>
      <w:r>
        <w:rPr>
          <w:rFonts w:ascii="Times New Roman;Times;serif" w:hAnsi="Times New Roman;Times;serif"/>
          <w:sz w:val="16"/>
        </w:rPr>
        <w:t>As of February 15, 2024, 80,791,967 shares of common stock, par value $0.0001 per share were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_052974bf_c21b_4a23_bca2_dade2ecd3a63"/>
      <w:bookmarkEnd w:id="51"/>
      <w:r>
        <w:rPr>
          <w:rFonts w:ascii="Times New Roman;Times;serif" w:hAnsi="Times New Roman;Times;serif"/>
          <w:b/>
          <w:sz w:val="20"/>
        </w:rPr>
        <w:t>PRESTO AUTOMATION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 Ended December 31, 2023</w:t>
      </w:r>
    </w:p>
    <w:p>
      <w:pPr>
        <w:pStyle w:val="TextBody"/>
        <w:bidi w:val="0"/>
        <w:spacing w:before="0" w:after="240"/>
        <w:ind w:left="0" w:right="0" w:hanging="0"/>
        <w:jc w:val="center"/>
        <w:rPr>
          <w:rFonts w:ascii="Times New Roman;Times;serif" w:hAnsi="Times New Roman;Times;serif"/>
          <w:b/>
          <w:sz w:val="20"/>
        </w:rPr>
      </w:pPr>
      <w:bookmarkStart w:id="52" w:name="TOC"/>
      <w:bookmarkEnd w:id="52"/>
      <w:r>
        <w:rPr>
          <w:rFonts w:ascii="Times New Roman;Times;serif" w:hAnsi="Times New Roman;Times;serif"/>
          <w:b/>
          <w:sz w:val="20"/>
        </w:rPr>
        <w:t>Table of Contents</w:t>
      </w:r>
    </w:p>
    <w:tbl>
      <w:tblPr>
        <w:tblW w:w="8748" w:type="dxa"/>
        <w:jc w:val="left"/>
        <w:tblInd w:w="0" w:type="dxa"/>
        <w:tblLayout w:type="fixed"/>
        <w:tblCellMar>
          <w:top w:w="0" w:type="dxa"/>
          <w:left w:w="0" w:type="dxa"/>
          <w:bottom w:w="0" w:type="dxa"/>
          <w:right w:w="0" w:type="dxa"/>
        </w:tblCellMar>
      </w:tblPr>
      <w:tblGrid>
        <w:gridCol w:w="811"/>
        <w:gridCol w:w="7366"/>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2585" cy="175260"/>
                      <wp:effectExtent l="0" t="0" r="0" b="0"/>
                      <wp:wrapNone/>
                      <wp:docPr id="3"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77" w:type="dxa"/>
            <w:gridSpan w:val="2"/>
            <w:tcBorders/>
            <w:shd w:fill="CCEEFF" w:val="clear"/>
            <w:vAlign w:val="center"/>
          </w:tcPr>
          <w:p>
            <w:pPr>
              <w:pStyle w:val="TableContents"/>
              <w:pBdr/>
              <w:bidi w:val="0"/>
              <w:spacing w:before="0" w:after="0"/>
              <w:ind w:left="0" w:right="0" w:hanging="0"/>
              <w:jc w:val="left"/>
              <w:rPr/>
            </w:pPr>
            <w:hyperlink w:anchor="CAUTIONARYSTATEMENTREGARDINGFORWARDLOOKI">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r>
      <w:tr>
        <w:trPr/>
        <w:tc>
          <w:tcPr>
            <w:tcW w:w="8177" w:type="dxa"/>
            <w:gridSpan w:val="2"/>
            <w:tcBorders/>
            <w:vAlign w:val="center"/>
          </w:tcPr>
          <w:p>
            <w:pPr>
              <w:pStyle w:val="TableContents"/>
              <w:pBdr/>
              <w:bidi w:val="0"/>
              <w:spacing w:before="0" w:after="0"/>
              <w:ind w:left="0" w:right="0" w:hanging="0"/>
              <w:jc w:val="left"/>
              <w:rPr/>
            </w:pPr>
            <w:hyperlink w:anchor="PARTIFINANCIALINFORMATION_960506">
              <w:r>
                <w:rPr>
                  <w:rStyle w:val="InternetLink"/>
                  <w:rFonts w:ascii="Times New Roman;Times;serif" w:hAnsi="Times New Roman;Times;serif"/>
                  <w:b/>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55162">
              <w:r>
                <w:rPr>
                  <w:rStyle w:val="InternetLink"/>
                  <w:rFonts w:ascii="Times New Roman;Times;serif" w:hAnsi="Times New Roman;Times;serif"/>
                  <w:b w:val="false"/>
                  <w:i w:val="false"/>
                  <w:caps w:val="false"/>
                  <w:smallCaps w:val="false"/>
                  <w:sz w:val="20"/>
                </w:rPr>
                <w:t>Condensed Consolidated Balance Sheets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SOLIDATEDSTATEMENTSOFOPERATIONS_44274">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Deficit</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Statements of Cash Flows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811" w:type="dxa"/>
            <w:tcBorders/>
            <w:shd w:fill="CCEEFF" w:val="clear"/>
            <w:vAlign w:val="center"/>
          </w:tcPr>
          <w:p>
            <w:pPr>
              <w:pStyle w:val="TableContents"/>
              <w:pBdr/>
              <w:bidi w:val="0"/>
              <w:spacing w:before="0" w:after="0"/>
              <w:ind w:left="0" w:right="0" w:hanging="0"/>
              <w:jc w:val="left"/>
              <w:rPr/>
            </w:pPr>
            <w:hyperlink w:anchor="ITEM4CONTROLSANDPROCEDURES_752359">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CONTROLSANDPROCEDURES_75235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8177" w:type="dxa"/>
            <w:gridSpan w:val="2"/>
            <w:tcBorders/>
            <w:vAlign w:val="center"/>
          </w:tcPr>
          <w:p>
            <w:pPr>
              <w:pStyle w:val="TableContents"/>
              <w:pBdr/>
              <w:bidi w:val="0"/>
              <w:spacing w:before="0" w:after="0"/>
              <w:ind w:left="0" w:right="0" w:hanging="0"/>
              <w:jc w:val="left"/>
              <w:rPr/>
            </w:pPr>
            <w:hyperlink w:anchor="PARTIIOTHERINFORMATION_874388">
              <w:r>
                <w:rPr>
                  <w:rStyle w:val="InternetLink"/>
                  <w:rFonts w:ascii="Times New Roman;Times;serif" w:hAnsi="Times New Roman;Times;serif"/>
                  <w:b/>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1LegalProceedings_429978">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LegalProceedings_429978">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11" w:type="dxa"/>
            <w:tcBorders/>
            <w:vAlign w:val="center"/>
          </w:tcPr>
          <w:p>
            <w:pPr>
              <w:pStyle w:val="TableContents"/>
              <w:pBdr/>
              <w:bidi w:val="0"/>
              <w:spacing w:before="0" w:after="0"/>
              <w:ind w:left="0" w:right="0" w:hanging="0"/>
              <w:jc w:val="left"/>
              <w:rPr/>
            </w:pPr>
            <w:hyperlink w:anchor="Item1ARiskFactors_746758">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46758">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11"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 xml:space="preserve">Unregistered Sales of Equity Securities and Use of Proceeds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11" w:type="dxa"/>
            <w:tcBorders/>
            <w:vAlign w:val="center"/>
          </w:tcPr>
          <w:p>
            <w:pPr>
              <w:pStyle w:val="TableContents"/>
              <w:pBdr/>
              <w:bidi w:val="0"/>
              <w:spacing w:before="0" w:after="0"/>
              <w:ind w:left="0" w:right="0" w:hanging="0"/>
              <w:jc w:val="left"/>
              <w:rPr/>
            </w:pPr>
            <w:hyperlink w:anchor="Item3DefaultsuponSeniorSecurities_104256">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0425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11" w:type="dxa"/>
            <w:tcBorders/>
            <w:shd w:fill="CCEEFF" w:val="clear"/>
            <w:vAlign w:val="center"/>
          </w:tcPr>
          <w:p>
            <w:pPr>
              <w:pStyle w:val="TableContents"/>
              <w:pBdr/>
              <w:bidi w:val="0"/>
              <w:spacing w:before="0" w:after="0"/>
              <w:ind w:left="0" w:right="0" w:hanging="0"/>
              <w:jc w:val="left"/>
              <w:rPr/>
            </w:pPr>
            <w:hyperlink w:anchor="Item4MineSafetyDisclosures_817186">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MineSafetyDisclosures_817186">
              <w:r>
                <w:rPr>
                  <w:rStyle w:val="InternetLink"/>
                  <w:rFonts w:ascii="Times New Roman;Times;serif" w:hAnsi="Times New Roman;Times;serif"/>
                  <w:b w:val="false"/>
                  <w:i w:val="false"/>
                  <w:caps w:val="false"/>
                  <w:smallCaps w:val="false"/>
                  <w:sz w:val="20"/>
                </w:rPr>
                <w:t>Mine Safety Disclosures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11" w:type="dxa"/>
            <w:tcBorders/>
            <w:vAlign w:val="center"/>
          </w:tcPr>
          <w:p>
            <w:pPr>
              <w:pStyle w:val="TableContents"/>
              <w:pBdr/>
              <w:bidi w:val="0"/>
              <w:spacing w:before="0" w:after="0"/>
              <w:ind w:left="0" w:right="0" w:hanging="0"/>
              <w:jc w:val="left"/>
              <w:rPr/>
            </w:pPr>
            <w:hyperlink w:anchor="Item5OtherInformation_439122">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439122">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11" w:type="dxa"/>
            <w:tcBorders/>
            <w:shd w:fill="CCEEFF" w:val="clear"/>
            <w:vAlign w:val="center"/>
          </w:tcPr>
          <w:p>
            <w:pPr>
              <w:pStyle w:val="TableContents"/>
              <w:pBdr/>
              <w:bidi w:val="0"/>
              <w:spacing w:before="0" w:after="0"/>
              <w:ind w:left="0" w:right="0" w:hanging="0"/>
              <w:jc w:val="left"/>
              <w:rPr/>
            </w:pPr>
            <w:hyperlink w:anchor="Item6Exhibits_354793">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left"/>
              <w:rPr/>
            </w:pPr>
            <w:hyperlink w:anchor="Item6Exhibits_35479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_351920">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CAUTIONARYSTATEMENTREGARDINGFORWARDLOOKI"/>
      <w:bookmarkStart w:id="54" w:name="_47184cd8_9531_48c1_9dc9_b2152b9ed36e"/>
      <w:bookmarkEnd w:id="53"/>
      <w:bookmarkEnd w:id="54"/>
      <w:r>
        <w:rPr>
          <w:rFonts w:ascii="Times New Roman;Times;serif" w:hAnsi="Times New Roman;Times;serif"/>
          <w:b/>
          <w:sz w:val="20"/>
        </w:rPr>
        <w:t>CAUTIONARY STATEMENT REGARDING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current liquidity resources raise substantial doubt about its ability to continue as a going concern and to comply with its debt covenants unless it raises additional capital to meet its obligations in the near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Presto’s limited operating history in a new and developing market makes it difficult to evaluate its current business and predict its future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Presto’s success depends on increasing the number of franchisees of our existing restaurant customers that use its solution, and, in particular, Presto Voice, and the timing of the deployments of contracted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evaluating strategic alternatives of our Presto Touch solution and considering whether to engage in a wind-down which would be a sale, partial sale or abandonment of the Presto Touch business in the coming months and we may be unable to realize the benefits we expect from doing 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Presto’s sales cycles can be long and unpredictable, and its sales efforts require a considerable investment of time and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may be adversely affected if it is unable to optimize the number of human agents required to operate its Presto Voice solution to improve its unit cost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in Presto’s senior management team have impacted its organization’s focus and it is dependent on the continued services and performance of its current senior management team.</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ability to recruit, retain, and develop qualified personnel is critical to its success and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Defects, errors or vulnerabilities in third party technology that is used in Presto’s solutions could harm its reputation and brand and adversely impact its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pricing decisions and pricing models may adversely affect its ability to attract new customers and retain existing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Presto fails to maintain a consistently high level of customer service or fails to manage its reputation, brand, business and financial results may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to Presto’s AI solutions could cause it to incur additional expenses and impact its product development program.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is subject to legal proceedings and government investigations which are costly and time-consuming to defend and may adversely affect its business, financial position,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and certain of its third-party partners, service providers, and sub processors transmit and store personal information of its customers and their consumers. If the security of this information is compromised, Presto’s reputation may be harmed, and it may be exposed to liability and loss of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is subject to stringent and changing privacy laws, regulations and standards, and contractual obligations related to data privacy and security, and noncompliance with such laws could adversely affect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Security breaches, denial of service attacks, or other hacking and phishing attacks on Presto’s systems or the systems with which Presto’s solutions integrate could harm its reputation or subject Presto to significant liability, and adversely affect its business and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is dependent upon its customers continued and unimpeded access to the internet, and upon their willingness to use the internet for commerce.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efforts to generate revenues and/or reduce expenditures may not be sufficient and may make it difficult for Presto to implement its business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has faced challenges complying with the covenants contained in its credit facility and, unless it can raise additional capital, it may need additional waivers which may not be forthcoming.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Presto requires additional capital, which additional financing is likely to result in restrictions on its operations or substantial dilution to its stockholders, to support the growth of its business, and this capital might not be available on acceptable terms, if at all</w:t>
            </w:r>
            <w:r>
              <w:rPr>
                <w:rFonts w:ascii="Times New Roman;Times;serif" w:hAnsi="Times New Roman;Times;serif"/>
                <w:b/>
                <w:i/>
                <w:sz w:val="20"/>
                <w:shd w:fill="FFFFFF" w:val="clea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the restaurant industry or the global economy could limit Presto’s ability to grow its business and materially impact its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results of operations may fluctuate from quarter to quarter and if it fails to meet the expectations of securities analysts or investors with respect to results of operations, its stock price and the value of your investment could decline.</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ability to use its net operating loss carryforwards and certain other tax attributes may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turmoil in the banking industry may negatively impact Presto’s ability to acquire financing on acceptable terms if at all, and worsening conditions or additional bank failures could result in a loss of deposits over federally insured levels.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restaurant technology industry is highly competitive. Presto may not be able to compete successfully against current and future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Mergers of or other strategic transactions by Presto’s competitors, its customers, or its partners could weaken its competitive position or reduce its revenue.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growth depends in part on reliance on third parties and its ability to integrate with third-party applications and software.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transaction revenue is partly dependent on its partners to develop and update third-party entertainment applications. The decisions of developers to remove their applications or change the terms of our commercial relationship could adversely impact Presto’s transaction revenue.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Payment transactions processed on Presto’s solutions may subject Presto to regulatory requirements and the rules of payment card networks, and other risks that could be costly and difficult to comply with or that could harm its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relies upon Amazon Web Services, Microsoft Azure and other infrastructure to operate its platform, and any disruption of or interference with its use of these providers would adversely affect its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Certain estimates and information contained in this report are based on information from third-party sources, and Presto does not independently verify the accuracy or completeness of the data contained in such sources or the methodologies for collecting such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business is subject to a variety of U.S. laws and regulations, many of which are unsettled and still developing, and Presto or its customers’ failure to comply with such laws and regulations could subject Presto to claims or otherwise adversely affect its business, financial condition,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Significant changes in U.S. and international trade policies that restrict imports or increase tariffs could have a material adverse effect on Presto’s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Presto fails to adequately protect its intellectual property rights, its competitive position could be impaired and it may lose valuable assets, generate reduced revenue and become subject to costly litigation to protect its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has been, and may in the future be, subject to claims by third parties of intellectual property infringement, which, if successful could negatively impact operations and significantly increase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uses open-source software in its platform, which could negatively affect its ability to sell its services or subject it to litigation or other 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may be unable to continue to use the domain names that it uses in its business or prevent third parties from acquiring and using domain names that infringe on, are similar to, or otherwise decrease the value of its brand, trademarks, or service marks.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senior management team has limited experience managing a public company, and regulatory compliance obligations may divert its attention from the day-to-day management of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public reporting company, Presto is subject to filing deadlines for reports that are filed pursuant to the Exchange Act, and its failure to timely file such reports may have material adverse consequences on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public reporting company, Presto is subject to rules and regulations established from time to time by the SEC regarding its internal control over financial reporting. If Presto fails to establish and maintain effective internal control over financial reporting and disclosure controls and procedures, it may not be able to accurately report its financial results or report them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has identified material weaknesses in its internal controls over financial reporting and, if it fails to remediate these deficiencies, it may not be able to accurately or timely report its financial condition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is an emerging growth company, and it cannot be certain if the reduced disclosure requirements applicable to emerging growth companies will make its common stock less attractive to investors.</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has and will continue to incur significant costs as a result of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Provisions in Presto’s Charter and Bylaws may discourage, delay or prevent a merger, acquisition or other change in control in Presto’s company that stockholders may consider favorable, including transactions in which you might otherwise receive a premium for your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Presto’s Charter provides that the Court of Chancery of the State of Delaware and the federal district courts of the United States of America are the exclusive forums for substantially all disputes between it and our stockholders, which could limit its stockholders’ ability to obtain a favorable judicial forum for disputes with Presto or its directors, officers, or employees.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market for Presto’s securities may not continue, which would adversely affect the liquidity and price of its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Nasdaq Stock Market LLC (“Nasdaq”) may delist Presto’s securities from trading on its exchange, which could limit investors’ ability to make transactions in its securities and subject Presto to additional trading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Future offerings of debt or offerings or issuances of equity securities by Presto may adversely affect the market price of Presto’s common stock or otherwise dilute all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securities or industry analysts do not publish or cease publishing research or reports about Presto, its business, or its market, or if they change their recommendations regarding Presto’s securities adversely, the price and trading volume of Presto’s securities could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may be subject to securities litigation, which is expensive and could divert management’s attention and strategic alternatives.</w:t>
            </w:r>
          </w:p>
        </w:tc>
      </w:tr>
    </w:tbl>
    <w:p>
      <w:pPr>
        <w:pStyle w:val="TextBody"/>
        <w:bidi w:val="0"/>
        <w:spacing w:before="0" w:after="240"/>
        <w:ind w:left="720" w:right="0" w:firstLine="360"/>
        <w:jc w:val="left"/>
        <w:rPr>
          <w:rFonts w:ascii="Times New Roman;Times;serif" w:hAnsi="Times New Roman;Times;serif"/>
          <w:sz w:val="20"/>
        </w:rPr>
      </w:pPr>
      <w:r>
        <w:rPr>
          <w:rFonts w:ascii="Times New Roman;Times;serif" w:hAnsi="Times New Roman;Times;serif"/>
          <w:sz w:val="20"/>
        </w:rPr>
        <w:t>We may also be impacted by other factors disclosed in this Quarterly Report on Form 10-Q and the Company’s other filings with the Securities and Exchange Commission (the “SEC”).</w:t>
      </w:r>
    </w:p>
    <w:p>
      <w:pPr>
        <w:pStyle w:val="TextBody"/>
        <w:bidi w:val="0"/>
        <w:spacing w:before="0" w:after="240"/>
        <w:ind w:left="720" w:right="0" w:firstLine="360"/>
        <w:jc w:val="left"/>
        <w:rPr>
          <w:rFonts w:ascii="Times New Roman;Times;serif" w:hAnsi="Times New Roman;Times;serif"/>
          <w:sz w:val="20"/>
        </w:rPr>
      </w:pPr>
      <w:r>
        <w:rPr>
          <w:rFonts w:ascii="Times New Roman;Times;serif" w:hAnsi="Times New Roman;Times;serif"/>
          <w:sz w:val="20"/>
        </w:rPr>
        <w:t>The Company’s forward-looking statements speak only as of the date of their initial issuance, and the Company does not undertake any obligation to update or revise publicly any forward-looking statement, whether as a result of new information, future events,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PARTIFINANCIALINFORMATION_960506"/>
      <w:bookmarkStart w:id="56" w:name="_b9852b3f_a636_4a27_8ad5_7cfd0fa4c3db"/>
      <w:bookmarkEnd w:id="55"/>
      <w:bookmarkEnd w:id="56"/>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57" w:name="Item1CondensedConsolidatedFinancialState"/>
      <w:bookmarkEnd w:id="57"/>
      <w:r>
        <w:rPr>
          <w:rFonts w:ascii="Times New Roman;Times;serif" w:hAnsi="Times New Roman;Times;serif"/>
          <w:b/>
          <w:sz w:val="20"/>
        </w:rPr>
        <w:t>Item 1.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58" w:name="CONDENSEDCONSOLIDATEDBALANCESHEETS_55162"/>
      <w:bookmarkEnd w:id="58"/>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9" w:name="Tc_ad_YZveUo0mBumUCL5T3zw_42_5"/>
      <w:bookmarkStart w:id="60" w:name="Tc_kENt8AiRFEGuMhAnXC_5kQ_42_2"/>
      <w:bookmarkStart w:id="61" w:name="Tc_YynfWM4lckCppa2QXykrhw_42_0"/>
      <w:bookmarkStart w:id="62" w:name="Tc_FQHrt2_Y20ObMtZbS2XKvQ_41_0"/>
      <w:bookmarkStart w:id="63" w:name="Tc_84a8X8LUikWTSy_1JHVu3g_40_0"/>
      <w:bookmarkStart w:id="64" w:name="Tc_ZfdzS21940u-XCk3tWNrTQ_39_0"/>
      <w:bookmarkStart w:id="65" w:name="Tc_lPu6xC7pHUGyKkdFkgXJjg_38_0"/>
      <w:bookmarkStart w:id="66" w:name="Tc_eVenyjQZu0KIsp7U6YIXGA_37_0"/>
      <w:bookmarkStart w:id="67" w:name="Tc_V7KdWS53_Uyx7EYY2t3CRg_36_0"/>
      <w:bookmarkStart w:id="68" w:name="Tc_LNIbkRWz2Um16BFxop0sVA_35_0"/>
      <w:bookmarkStart w:id="69" w:name="Tc_7U5_JNGvY0SS1CI4Wb6WfQ_33_0"/>
      <w:bookmarkStart w:id="70" w:name="Tc_kPBGv6NlTkmc7W4xj4txKA_32_0"/>
      <w:bookmarkStart w:id="71" w:name="Tc_FyY9bezrbkuRdNULUOEGwQ_31_0"/>
      <w:bookmarkStart w:id="72" w:name="Tc_xfbAJCmn_EqtHsHw9TMjcw_30_0"/>
      <w:bookmarkStart w:id="73" w:name="Tc_9eG0YNhQMEq8D8TGpxhkTA_29_3"/>
      <w:bookmarkStart w:id="74" w:name="Tc_s8W-8QiIkEy8217pu8Cevw_29_0"/>
      <w:bookmarkStart w:id="75" w:name="Tc_scR8BNS9m0SCQhwhRxN_Ww_28_0"/>
      <w:bookmarkStart w:id="76" w:name="Tc_uXI6znPFKUybIRaKd08F8A_27_0"/>
      <w:bookmarkStart w:id="77" w:name="Tc_C4vhvCRRokeEKl_UNg1t6Q_26_0"/>
      <w:bookmarkStart w:id="78" w:name="Tc_pj9cnr0BXUGnyX9OC_RB8A_25_0"/>
      <w:bookmarkStart w:id="79" w:name="Tc_XejVZOg4ik-N_rvKC-JXvg_24_0"/>
      <w:bookmarkStart w:id="80" w:name="Tc_CYX5bojfF0apGaOtnND_aQ_23_5"/>
      <w:bookmarkStart w:id="81" w:name="Tc_0bE2kL550UCXsRseWk1FYw_23_2"/>
      <w:bookmarkStart w:id="82" w:name="Tc_p2rrj3IP50SaXPR_OAyoaw_23_0"/>
      <w:bookmarkStart w:id="83" w:name="Tc_EJAHUGwGLEG_cUN4pIjTPA_22_0"/>
      <w:bookmarkStart w:id="84" w:name="Tc_qHckaa3BxEuTLpFSqjIPJw_21_0"/>
      <w:bookmarkStart w:id="85" w:name="Tc_irSfjV8W2EWYYd1YWRSZLQ_19_5"/>
      <w:bookmarkStart w:id="86" w:name="Tc_aPj6YP9SZ0SLQGIz9CazHA_19_2"/>
      <w:bookmarkStart w:id="87" w:name="Tc_GUbiHx_2IkuXKCcqyJ8KxA_19_0"/>
      <w:bookmarkStart w:id="88" w:name="Tc_I2PpUKhIh06Hyk7TABqWDA_18_0"/>
      <w:bookmarkStart w:id="89" w:name="Tc_BAByQyCUX0ud8RlDdhiYpQ_17_0"/>
      <w:bookmarkStart w:id="90" w:name="Tc_AB_hEOWS3EiZu0PLbLbXjg_16_0"/>
      <w:bookmarkStart w:id="91" w:name="Tc_VzuoFTwq0kGJ1iwk7kcjXg_15_0"/>
      <w:bookmarkStart w:id="92" w:name="Tc_MKNRmnagqk-wsbuB7Pf2Ow_14_0"/>
      <w:bookmarkStart w:id="93" w:name="Tc_PjzqGEkzJkyZ8N8ecogCKg_13_0"/>
      <w:bookmarkStart w:id="94" w:name="Tc_0VnqOXtdSEeaOpZ0G7a0ww_12_0"/>
      <w:bookmarkStart w:id="95" w:name="Tc_Q0xWmy_lgUOLO85rI_kHKg_11_0"/>
      <w:bookmarkStart w:id="96" w:name="Tc_qsGRse9EcEyvnVV1OeCKxw_10_0"/>
      <w:bookmarkStart w:id="97" w:name="Tc_vcruqChyDUKOm2LvchgLqg_9_0"/>
      <w:bookmarkStart w:id="98" w:name="Tc_3X4J2OlGi0KS3A4chs9Otw_8_0"/>
      <w:bookmarkStart w:id="99" w:name="Tc_ZLnE72ebL0e6urlTnRlKow_7_0"/>
      <w:bookmarkStart w:id="100" w:name="Tc_aps3uN3FhUOOR9RRv94ERA_6_5"/>
      <w:bookmarkStart w:id="101" w:name="Tc_X2Z5hYh_-UGCpbfNLRm9ig_6_2"/>
      <w:bookmarkStart w:id="102" w:name="Tc_PYzp9Wm-AUeR1zDRKCjPIQ_6_0"/>
      <w:bookmarkStart w:id="103" w:name="Tc_JvdnwgpzB0SXBsLYzip9dQ_5_0"/>
      <w:bookmarkStart w:id="104" w:name="Tc_fMFhTOJC5EyAgDTN5oK3Fw_4_0"/>
      <w:bookmarkStart w:id="105" w:name="Tc_r7PIVBH4EEiSjBwRtdnuyQ_3_5"/>
      <w:bookmarkStart w:id="106" w:name="Tc_chOfApzzjkS-zNCgKCo2kQ_3_2"/>
      <w:bookmarkStart w:id="107" w:name="Tc_nlprhXVB20iyFqdOpw9myg_2_5"/>
      <w:bookmarkStart w:id="108" w:name="Tc_E9_C9Bcg5E-cxN7Tlu6xRw_2_2"/>
      <w:bookmarkStart w:id="109" w:name="Tc_sDx78ogoe0yyS0cdgQ9URg_1_5"/>
      <w:bookmarkStart w:id="110" w:name="Tc_yVAWo4acF0m4zBdY8R4yfA_1_2"/>
      <w:bookmarkStart w:id="111" w:name="_66e8e904_5793_408f_9d2e_e11819d363b3"/>
      <w:bookmarkStart w:id="112" w:name="Tc_ad_YZveUo0mBumUCL5T3zw_42_5"/>
      <w:bookmarkStart w:id="113" w:name="Tc_kENt8AiRFEGuMhAnXC_5kQ_42_2"/>
      <w:bookmarkStart w:id="114" w:name="Tc_YynfWM4lckCppa2QXykrhw_42_0"/>
      <w:bookmarkStart w:id="115" w:name="Tc_FQHrt2_Y20ObMtZbS2XKvQ_41_0"/>
      <w:bookmarkStart w:id="116" w:name="Tc_84a8X8LUikWTSy_1JHVu3g_40_0"/>
      <w:bookmarkStart w:id="117" w:name="Tc_ZfdzS21940u-XCk3tWNrTQ_39_0"/>
      <w:bookmarkStart w:id="118" w:name="Tc_lPu6xC7pHUGyKkdFkgXJjg_38_0"/>
      <w:bookmarkStart w:id="119" w:name="Tc_eVenyjQZu0KIsp7U6YIXGA_37_0"/>
      <w:bookmarkStart w:id="120" w:name="Tc_V7KdWS53_Uyx7EYY2t3CRg_36_0"/>
      <w:bookmarkStart w:id="121" w:name="Tc_LNIbkRWz2Um16BFxop0sVA_35_0"/>
      <w:bookmarkStart w:id="122" w:name="Tc_7U5_JNGvY0SS1CI4Wb6WfQ_33_0"/>
      <w:bookmarkStart w:id="123" w:name="Tc_kPBGv6NlTkmc7W4xj4txKA_32_0"/>
      <w:bookmarkStart w:id="124" w:name="Tc_FyY9bezrbkuRdNULUOEGwQ_31_0"/>
      <w:bookmarkStart w:id="125" w:name="Tc_xfbAJCmn_EqtHsHw9TMjcw_30_0"/>
      <w:bookmarkStart w:id="126" w:name="Tc_9eG0YNhQMEq8D8TGpxhkTA_29_3"/>
      <w:bookmarkStart w:id="127" w:name="Tc_s8W-8QiIkEy8217pu8Cevw_29_0"/>
      <w:bookmarkStart w:id="128" w:name="Tc_scR8BNS9m0SCQhwhRxN_Ww_28_0"/>
      <w:bookmarkStart w:id="129" w:name="Tc_uXI6znPFKUybIRaKd08F8A_27_0"/>
      <w:bookmarkStart w:id="130" w:name="Tc_C4vhvCRRokeEKl_UNg1t6Q_26_0"/>
      <w:bookmarkStart w:id="131" w:name="Tc_pj9cnr0BXUGnyX9OC_RB8A_25_0"/>
      <w:bookmarkStart w:id="132" w:name="Tc_XejVZOg4ik-N_rvKC-JXvg_24_0"/>
      <w:bookmarkStart w:id="133" w:name="Tc_CYX5bojfF0apGaOtnND_aQ_23_5"/>
      <w:bookmarkStart w:id="134" w:name="Tc_0bE2kL550UCXsRseWk1FYw_23_2"/>
      <w:bookmarkStart w:id="135" w:name="Tc_p2rrj3IP50SaXPR_OAyoaw_23_0"/>
      <w:bookmarkStart w:id="136" w:name="Tc_EJAHUGwGLEG_cUN4pIjTPA_22_0"/>
      <w:bookmarkStart w:id="137" w:name="Tc_qHckaa3BxEuTLpFSqjIPJw_21_0"/>
      <w:bookmarkStart w:id="138" w:name="Tc_irSfjV8W2EWYYd1YWRSZLQ_19_5"/>
      <w:bookmarkStart w:id="139" w:name="Tc_aPj6YP9SZ0SLQGIz9CazHA_19_2"/>
      <w:bookmarkStart w:id="140" w:name="Tc_GUbiHx_2IkuXKCcqyJ8KxA_19_0"/>
      <w:bookmarkStart w:id="141" w:name="Tc_I2PpUKhIh06Hyk7TABqWDA_18_0"/>
      <w:bookmarkStart w:id="142" w:name="Tc_BAByQyCUX0ud8RlDdhiYpQ_17_0"/>
      <w:bookmarkStart w:id="143" w:name="Tc_AB_hEOWS3EiZu0PLbLbXjg_16_0"/>
      <w:bookmarkStart w:id="144" w:name="Tc_VzuoFTwq0kGJ1iwk7kcjXg_15_0"/>
      <w:bookmarkStart w:id="145" w:name="Tc_MKNRmnagqk-wsbuB7Pf2Ow_14_0"/>
      <w:bookmarkStart w:id="146" w:name="Tc_PjzqGEkzJkyZ8N8ecogCKg_13_0"/>
      <w:bookmarkStart w:id="147" w:name="Tc_0VnqOXtdSEeaOpZ0G7a0ww_12_0"/>
      <w:bookmarkStart w:id="148" w:name="Tc_Q0xWmy_lgUOLO85rI_kHKg_11_0"/>
      <w:bookmarkStart w:id="149" w:name="Tc_qsGRse9EcEyvnVV1OeCKxw_10_0"/>
      <w:bookmarkStart w:id="150" w:name="Tc_vcruqChyDUKOm2LvchgLqg_9_0"/>
      <w:bookmarkStart w:id="151" w:name="Tc_3X4J2OlGi0KS3A4chs9Otw_8_0"/>
      <w:bookmarkStart w:id="152" w:name="Tc_ZLnE72ebL0e6urlTnRlKow_7_0"/>
      <w:bookmarkStart w:id="153" w:name="Tc_aps3uN3FhUOOR9RRv94ERA_6_5"/>
      <w:bookmarkStart w:id="154" w:name="Tc_X2Z5hYh_-UGCpbfNLRm9ig_6_2"/>
      <w:bookmarkStart w:id="155" w:name="Tc_PYzp9Wm-AUeR1zDRKCjPIQ_6_0"/>
      <w:bookmarkStart w:id="156" w:name="Tc_JvdnwgpzB0SXBsLYzip9dQ_5_0"/>
      <w:bookmarkStart w:id="157" w:name="Tc_fMFhTOJC5EyAgDTN5oK3Fw_4_0"/>
      <w:bookmarkStart w:id="158" w:name="Tc_r7PIVBH4EEiSjBwRtdnuyQ_3_5"/>
      <w:bookmarkStart w:id="159" w:name="Tc_chOfApzzjkS-zNCgKCo2kQ_3_2"/>
      <w:bookmarkStart w:id="160" w:name="Tc_nlprhXVB20iyFqdOpw9myg_2_5"/>
      <w:bookmarkStart w:id="161" w:name="Tc_E9_C9Bcg5E-cxN7Tlu6xRw_2_2"/>
      <w:bookmarkStart w:id="162" w:name="Tc_sDx78ogoe0yyS0cdgQ9URg_1_5"/>
      <w:bookmarkStart w:id="163" w:name="Tc_yVAWo4acF0m4zBdY8R4yfA_1_2"/>
      <w:bookmarkStart w:id="164" w:name="_66e8e904_5793_408f_9d2e_e11819d363b3"/>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127"/>
        <w:gridCol w:w="326"/>
        <w:gridCol w:w="223"/>
        <w:gridCol w:w="860"/>
        <w:gridCol w:w="326"/>
        <w:gridCol w:w="196"/>
        <w:gridCol w:w="773"/>
        <w:gridCol w:w="374"/>
      </w:tblGrid>
      <w:tr>
        <w:trPr/>
        <w:tc>
          <w:tcPr>
            <w:tcW w:w="7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25645" cy="175260"/>
                      <wp:effectExtent l="0" t="0" r="0" b="0"/>
                      <wp:wrapNone/>
                      <wp:docPr id="4" name="Frame4"/>
                      <a:graphic xmlns:a="http://schemas.openxmlformats.org/drawingml/2006/main">
                        <a:graphicData uri="http://schemas.microsoft.com/office/word/2010/wordprocessingShape">
                          <wps:wsp>
                            <wps:cNvSpPr txBox="1"/>
                            <wps:spPr>
                              <a:xfrm>
                                <a:off x="0" y="0"/>
                                <a:ext cx="452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1605" cy="175260"/>
                      <wp:effectExtent l="0" t="0" r="0" b="0"/>
                      <wp:wrapNone/>
                      <wp:docPr id="6" name="Frame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46100" cy="175260"/>
                      <wp:effectExtent l="0" t="0" r="0" b="0"/>
                      <wp:wrapNone/>
                      <wp:docPr id="7" name="Frame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0855" cy="175260"/>
                      <wp:effectExtent l="0" t="0" r="0" b="0"/>
                      <wp:wrapNone/>
                      <wp:docPr id="10" name="Frame10"/>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7490" cy="175260"/>
                      <wp:effectExtent l="0" t="0" r="0" b="0"/>
                      <wp:wrapNone/>
                      <wp:docPr id="11" name="Frame11"/>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center"/>
              <w:rPr/>
            </w:pPr>
            <w:r>
              <w:rPr/>
              <w:t>    </w:t>
            </w:r>
          </w:p>
        </w:tc>
        <w:tc>
          <w:tcPr>
            <w:tcW w:w="9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74" w:type="dxa"/>
            <w:tcBorders/>
            <w:vAlign w:val="center"/>
          </w:tcPr>
          <w:p>
            <w:pPr>
              <w:pStyle w:val="TableContents"/>
              <w:bidi w:val="0"/>
              <w:spacing w:before="0" w:after="1"/>
              <w:ind w:left="0" w:right="0" w:hanging="0"/>
              <w:jc w:val="center"/>
              <w:rPr/>
            </w:pPr>
            <w:r>
              <w:rPr/>
              <w:t>    </w:t>
            </w:r>
          </w:p>
        </w:tc>
      </w:tr>
      <w:tr>
        <w:trPr/>
        <w:tc>
          <w:tcPr>
            <w:tcW w:w="71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9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4" w:type="dxa"/>
            <w:tcBorders/>
            <w:vAlign w:val="center"/>
          </w:tcPr>
          <w:p>
            <w:pPr>
              <w:pStyle w:val="TableContents"/>
              <w:bidi w:val="0"/>
              <w:spacing w:before="0" w:after="1"/>
              <w:ind w:left="0" w:right="0" w:hanging="0"/>
              <w:jc w:val="center"/>
              <w:rPr/>
            </w:pPr>
            <w:r>
              <w:rPr/>
              <w:t>​</w:t>
            </w:r>
          </w:p>
        </w:tc>
      </w:tr>
      <w:tr>
        <w:trPr/>
        <w:tc>
          <w:tcPr>
            <w:tcW w:w="71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vAlign w:val="center"/>
          </w:tcPr>
          <w:p>
            <w:pPr>
              <w:pStyle w:val="TableContents"/>
              <w:bidi w:val="0"/>
              <w:spacing w:before="0" w:after="1"/>
              <w:ind w:left="0" w:right="0" w:hanging="0"/>
              <w:jc w:val="center"/>
              <w:rPr/>
            </w:pPr>
            <w:r>
              <w:rPr/>
              <w:t>    </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15,143</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$124 and $746,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1,831</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2,301</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1,162</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31,066</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net of current portion</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non-affiliate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10,528</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936</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30,866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46,687</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3,295</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4,319</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obligations, current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1,676</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Term loans,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50,639</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1,284</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61,213</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obligations, net of current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25,867</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1,535</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72,695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91,914</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$0.0001 par value–1,500,000 shares authorized as of December 31, 2023 and June 30, 2023, respectively; no shares issued and outstanding as of December 31, 2023 and June 30, 2023, respectively </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$0.0001 par value–180,000,000 shares authorized as of December 31, 2023 and June 30, 2023, and 70,335,628 and 57,180,531 shares issued and outstanding as of December 31, 2023 and June 30,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206,109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190,031</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(247,945)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(235,263)</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deficit</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(41,829)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(45,227)</w:t>
            </w:r>
          </w:p>
        </w:tc>
        <w:tc>
          <w:tcPr>
            <w:tcW w:w="374" w:type="dxa"/>
            <w:tcBorders/>
            <w:vAlign w:val="center"/>
          </w:tcPr>
          <w:p>
            <w:pPr>
              <w:pStyle w:val="TableContents"/>
              <w:bidi w:val="0"/>
              <w:spacing w:before="0" w:after="1"/>
              <w:ind w:left="0" w:right="0" w:hanging="0"/>
              <w:jc w:val="left"/>
              <w:rPr/>
            </w:pPr>
            <w:r>
              <w:rPr/>
              <w:t>​</w:t>
            </w:r>
          </w:p>
        </w:tc>
      </w:tr>
      <w:tr>
        <w:trPr/>
        <w:tc>
          <w:tcPr>
            <w:tcW w:w="71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46,687</w:t>
            </w:r>
          </w:p>
        </w:tc>
        <w:tc>
          <w:tcPr>
            <w:tcW w:w="37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5" w:name="_138263a5_0853_4a9e_92f3_59bc2dcb1384"/>
      <w:bookmarkEnd w:id="165"/>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166" w:name="CONSOLIDATEDSTATEMENTSOFOPERATIONS_44274"/>
      <w:bookmarkEnd w:id="166"/>
      <w:r>
        <w:rPr>
          <w:rFonts w:ascii="Times New Roman;Times;serif" w:hAnsi="Times New Roman;Times;serif"/>
          <w:b/>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7" w:name="Tc_bFOU3XjkJUWL_T1ddz73_Q_37_0"/>
      <w:bookmarkStart w:id="168" w:name="Tc_HEEXBukSRk2rftlFJxcEMg_36_0"/>
      <w:bookmarkStart w:id="169" w:name="Tc_c97pBcqFJUOwWBXPMNbH4g_35_0"/>
      <w:bookmarkStart w:id="170" w:name="Tc_Q7AclUcjVUWLrKT6xomA2Q_34_11"/>
      <w:bookmarkStart w:id="171" w:name="Tc_l26Du2mC1ECRU1XFURtVUQ_34_8"/>
      <w:bookmarkStart w:id="172" w:name="Tc_KTNqEBGVn0WYDNfY5ZoFIg_34_5"/>
      <w:bookmarkStart w:id="173" w:name="Tc_YgMpICrWc0ygpHfT6nOmIQ_34_2"/>
      <w:bookmarkStart w:id="174" w:name="Tc_mgCpMB3HI0SYb0KESVpDMQ_34_0"/>
      <w:bookmarkStart w:id="175" w:name="Tc_IlFcsbRL6kWnsD9ZsxDN1Q_33_0"/>
      <w:bookmarkStart w:id="176" w:name="Tc_Dol-Tw6d50WC7lhlrCNwZw_32_12"/>
      <w:bookmarkStart w:id="177" w:name="Tc_ZXLMVQiUGkqBqyDEmwepxw_32_6"/>
      <w:bookmarkStart w:id="178" w:name="Tc_fmshu1s1WkSoVNwRZkJXPw_32_0"/>
      <w:bookmarkStart w:id="179" w:name="Tc_4GTijrW1SUGk1naOx96DDg_31_0"/>
      <w:bookmarkStart w:id="180" w:name="Tc_PieUy4kvV0CkbJR6KTiiSA_30_11"/>
      <w:bookmarkStart w:id="181" w:name="Tc_lYVh32m4RkqOMbNhctho7Q_30_8"/>
      <w:bookmarkStart w:id="182" w:name="Tc_rBDm55fJtkOwW3q-LpOuxw_30_5"/>
      <w:bookmarkStart w:id="183" w:name="Tc_X6j-FbXuhEWPXkmZST1DkA_30_2"/>
      <w:bookmarkStart w:id="184" w:name="Tc_MDov80HeNU6ulzICtEfZeg_30_0"/>
      <w:bookmarkStart w:id="185" w:name="Tc_DhVxZVjk3Uau0FZ2cjhv3g_29_3"/>
      <w:bookmarkStart w:id="186" w:name="Tc_43rEfn6wJ02Eegflma-87A_29_0"/>
      <w:bookmarkStart w:id="187" w:name="Tc_wE_eF6hyw0-5oiHpJR5sGg_28_0"/>
      <w:bookmarkStart w:id="188" w:name="Tc_qkLTVY5LREGLwY0tS0_T_Q_27_0"/>
      <w:bookmarkStart w:id="189" w:name="Tc_dJ90cOWjZkWSkcgkPJawFw_26_0"/>
      <w:bookmarkStart w:id="190" w:name="Tc_VT79cGl87UqOrG-FtXCd2w_25_6"/>
      <w:bookmarkStart w:id="191" w:name="Tc_fKafwiFgHUuROjWFBpqXfQ_25_0"/>
      <w:bookmarkStart w:id="192" w:name="Tc_lKyGPpahEkiaJG5Yuggp-g_24_9"/>
      <w:bookmarkStart w:id="193" w:name="Tc_xQe5RiJxnEuAAX-oxOPVyw_24_3"/>
      <w:bookmarkStart w:id="194" w:name="Tc_Xum6fLrMd0a54ER7lDEIFQ_24_0"/>
      <w:bookmarkStart w:id="195" w:name="Tc_TjUheXiqHUOXOMGiSYETmQ_23_0"/>
      <w:bookmarkStart w:id="196" w:name="Tc_M-yNeEO2gUSdylFPQKfhVg_22_0"/>
      <w:bookmarkStart w:id="197" w:name="Tc_gbH9BQT6dkqTUWFPwa76rA_21_0"/>
      <w:bookmarkStart w:id="198" w:name="Tc_EgXze5V9DUGe-g7ooRVzug_20_0"/>
      <w:bookmarkStart w:id="199" w:name="Tc_LKdLKJAM_0C5T7eW00tnZQ_19_0"/>
      <w:bookmarkStart w:id="200" w:name="Tc_7JIELuOyP0ipzoGgQ-TVKA_18_0"/>
      <w:bookmarkStart w:id="201" w:name="Tc_iIQaIh2IMUSCRFiWc5-kwQ_17_0"/>
      <w:bookmarkStart w:id="202" w:name="Tc_KaL_Sp0Pw0u19ul0G6ksyQ_16_0"/>
      <w:bookmarkStart w:id="203" w:name="Tc_QjCWKWswZEKkxanQ-l2MNg_14_0"/>
      <w:bookmarkStart w:id="204" w:name="Tc_pvIPkadfP0C0DoEKgo-GWA_13_0"/>
      <w:bookmarkStart w:id="205" w:name="Tc_otiN4WFZY0-zaL_hZ5FSpQ_12_0"/>
      <w:bookmarkStart w:id="206" w:name="Tc_XNjUVhVmYUO0QW8fjO255w_11_0"/>
      <w:bookmarkStart w:id="207" w:name="Tc_18kCREJjDkivtQrb4ZVRhw_10_0"/>
      <w:bookmarkStart w:id="208" w:name="Tc_lRNadhg9l0WFWkxICP26Ww_9_0"/>
      <w:bookmarkStart w:id="209" w:name="Tc_4WFY6tZj9kCZkFEDXRY6Lw_7_0"/>
      <w:bookmarkStart w:id="210" w:name="Tc_5CPF_IQPS0eN-XYSWSV6kg_6_0"/>
      <w:bookmarkStart w:id="211" w:name="Tc_Hu6eBp6NeEO3qYh1JjjAvg_5_11"/>
      <w:bookmarkStart w:id="212" w:name="Tc_HlgysxsM20iX_bKnb1aaTA_5_8"/>
      <w:bookmarkStart w:id="213" w:name="Tc_KJ_9VTw2GkGrYzGVhzHt5A_5_5"/>
      <w:bookmarkStart w:id="214" w:name="Tc_j3_JOCHWMkS-knGDw9R9Jg_5_2"/>
      <w:bookmarkStart w:id="215" w:name="Tc_2j5ykKedYUGCOFveviPaAw_5_0"/>
      <w:bookmarkStart w:id="216" w:name="Tc_085QegWSZUqxlMhyZ2kvRg_4_0"/>
      <w:bookmarkStart w:id="217" w:name="Tc_RJqnegAQP0OiotjuIV5lJA_3_11"/>
      <w:bookmarkStart w:id="218" w:name="Tc_onCOafogXUeQWTV2GSKLHA_3_8"/>
      <w:bookmarkStart w:id="219" w:name="Tc_w9UqY5uQMkewS9lHz5Kj9A_3_5"/>
      <w:bookmarkStart w:id="220" w:name="Tc_-TmDSiVpkES_OKA08ocgzw_3_2"/>
      <w:bookmarkStart w:id="221" w:name="Tc_foCnHJz3LEegtTlBGrEz7Q_2_8"/>
      <w:bookmarkStart w:id="222" w:name="Tc_75pMql9Pg0uICxomi1BxEw_2_2"/>
      <w:bookmarkStart w:id="223" w:name="Tc_u-LloQ9VY0Wya42iAo1cHw_1_8"/>
      <w:bookmarkStart w:id="224" w:name="Tc_IAbQLUmScU2Q5KaR-rzZWQ_1_2"/>
      <w:bookmarkStart w:id="225" w:name="_e8b42b88_85e2_49a9_b4e5_da0ef8fe9224"/>
      <w:bookmarkStart w:id="226" w:name="Tc_bFOU3XjkJUWL_T1ddz73_Q_37_0"/>
      <w:bookmarkStart w:id="227" w:name="Tc_HEEXBukSRk2rftlFJxcEMg_36_0"/>
      <w:bookmarkStart w:id="228" w:name="Tc_c97pBcqFJUOwWBXPMNbH4g_35_0"/>
      <w:bookmarkStart w:id="229" w:name="Tc_Q7AclUcjVUWLrKT6xomA2Q_34_11"/>
      <w:bookmarkStart w:id="230" w:name="Tc_l26Du2mC1ECRU1XFURtVUQ_34_8"/>
      <w:bookmarkStart w:id="231" w:name="Tc_KTNqEBGVn0WYDNfY5ZoFIg_34_5"/>
      <w:bookmarkStart w:id="232" w:name="Tc_YgMpICrWc0ygpHfT6nOmIQ_34_2"/>
      <w:bookmarkStart w:id="233" w:name="Tc_mgCpMB3HI0SYb0KESVpDMQ_34_0"/>
      <w:bookmarkStart w:id="234" w:name="Tc_IlFcsbRL6kWnsD9ZsxDN1Q_33_0"/>
      <w:bookmarkStart w:id="235" w:name="Tc_Dol-Tw6d50WC7lhlrCNwZw_32_12"/>
      <w:bookmarkStart w:id="236" w:name="Tc_ZXLMVQiUGkqBqyDEmwepxw_32_6"/>
      <w:bookmarkStart w:id="237" w:name="Tc_fmshu1s1WkSoVNwRZkJXPw_32_0"/>
      <w:bookmarkStart w:id="238" w:name="Tc_4GTijrW1SUGk1naOx96DDg_31_0"/>
      <w:bookmarkStart w:id="239" w:name="Tc_PieUy4kvV0CkbJR6KTiiSA_30_11"/>
      <w:bookmarkStart w:id="240" w:name="Tc_lYVh32m4RkqOMbNhctho7Q_30_8"/>
      <w:bookmarkStart w:id="241" w:name="Tc_rBDm55fJtkOwW3q-LpOuxw_30_5"/>
      <w:bookmarkStart w:id="242" w:name="Tc_X6j-FbXuhEWPXkmZST1DkA_30_2"/>
      <w:bookmarkStart w:id="243" w:name="Tc_MDov80HeNU6ulzICtEfZeg_30_0"/>
      <w:bookmarkStart w:id="244" w:name="Tc_DhVxZVjk3Uau0FZ2cjhv3g_29_3"/>
      <w:bookmarkStart w:id="245" w:name="Tc_43rEfn6wJ02Eegflma-87A_29_0"/>
      <w:bookmarkStart w:id="246" w:name="Tc_wE_eF6hyw0-5oiHpJR5sGg_28_0"/>
      <w:bookmarkStart w:id="247" w:name="Tc_qkLTVY5LREGLwY0tS0_T_Q_27_0"/>
      <w:bookmarkStart w:id="248" w:name="Tc_dJ90cOWjZkWSkcgkPJawFw_26_0"/>
      <w:bookmarkStart w:id="249" w:name="Tc_VT79cGl87UqOrG-FtXCd2w_25_6"/>
      <w:bookmarkStart w:id="250" w:name="Tc_fKafwiFgHUuROjWFBpqXfQ_25_0"/>
      <w:bookmarkStart w:id="251" w:name="Tc_lKyGPpahEkiaJG5Yuggp-g_24_9"/>
      <w:bookmarkStart w:id="252" w:name="Tc_xQe5RiJxnEuAAX-oxOPVyw_24_3"/>
      <w:bookmarkStart w:id="253" w:name="Tc_Xum6fLrMd0a54ER7lDEIFQ_24_0"/>
      <w:bookmarkStart w:id="254" w:name="Tc_TjUheXiqHUOXOMGiSYETmQ_23_0"/>
      <w:bookmarkStart w:id="255" w:name="Tc_M-yNeEO2gUSdylFPQKfhVg_22_0"/>
      <w:bookmarkStart w:id="256" w:name="Tc_gbH9BQT6dkqTUWFPwa76rA_21_0"/>
      <w:bookmarkStart w:id="257" w:name="Tc_EgXze5V9DUGe-g7ooRVzug_20_0"/>
      <w:bookmarkStart w:id="258" w:name="Tc_LKdLKJAM_0C5T7eW00tnZQ_19_0"/>
      <w:bookmarkStart w:id="259" w:name="Tc_7JIELuOyP0ipzoGgQ-TVKA_18_0"/>
      <w:bookmarkStart w:id="260" w:name="Tc_iIQaIh2IMUSCRFiWc5-kwQ_17_0"/>
      <w:bookmarkStart w:id="261" w:name="Tc_KaL_Sp0Pw0u19ul0G6ksyQ_16_0"/>
      <w:bookmarkStart w:id="262" w:name="Tc_QjCWKWswZEKkxanQ-l2MNg_14_0"/>
      <w:bookmarkStart w:id="263" w:name="Tc_pvIPkadfP0C0DoEKgo-GWA_13_0"/>
      <w:bookmarkStart w:id="264" w:name="Tc_otiN4WFZY0-zaL_hZ5FSpQ_12_0"/>
      <w:bookmarkStart w:id="265" w:name="Tc_XNjUVhVmYUO0QW8fjO255w_11_0"/>
      <w:bookmarkStart w:id="266" w:name="Tc_18kCREJjDkivtQrb4ZVRhw_10_0"/>
      <w:bookmarkStart w:id="267" w:name="Tc_lRNadhg9l0WFWkxICP26Ww_9_0"/>
      <w:bookmarkStart w:id="268" w:name="Tc_4WFY6tZj9kCZkFEDXRY6Lw_7_0"/>
      <w:bookmarkStart w:id="269" w:name="Tc_5CPF_IQPS0eN-XYSWSV6kg_6_0"/>
      <w:bookmarkStart w:id="270" w:name="Tc_Hu6eBp6NeEO3qYh1JjjAvg_5_11"/>
      <w:bookmarkStart w:id="271" w:name="Tc_HlgysxsM20iX_bKnb1aaTA_5_8"/>
      <w:bookmarkStart w:id="272" w:name="Tc_KJ_9VTw2GkGrYzGVhzHt5A_5_5"/>
      <w:bookmarkStart w:id="273" w:name="Tc_j3_JOCHWMkS-knGDw9R9Jg_5_2"/>
      <w:bookmarkStart w:id="274" w:name="Tc_2j5ykKedYUGCOFveviPaAw_5_0"/>
      <w:bookmarkStart w:id="275" w:name="Tc_085QegWSZUqxlMhyZ2kvRg_4_0"/>
      <w:bookmarkStart w:id="276" w:name="Tc_RJqnegAQP0OiotjuIV5lJA_3_11"/>
      <w:bookmarkStart w:id="277" w:name="Tc_onCOafogXUeQWTV2GSKLHA_3_8"/>
      <w:bookmarkStart w:id="278" w:name="Tc_w9UqY5uQMkewS9lHz5Kj9A_3_5"/>
      <w:bookmarkStart w:id="279" w:name="Tc_-TmDSiVpkES_OKA08ocgzw_3_2"/>
      <w:bookmarkStart w:id="280" w:name="Tc_foCnHJz3LEegtTlBGrEz7Q_2_8"/>
      <w:bookmarkStart w:id="281" w:name="Tc_75pMql9Pg0uICxomi1BxEw_2_2"/>
      <w:bookmarkStart w:id="282" w:name="Tc_u-LloQ9VY0Wya42iAo1cHw_1_8"/>
      <w:bookmarkStart w:id="283" w:name="Tc_IAbQLUmScU2Q5KaR-rzZWQ_1_2"/>
      <w:bookmarkStart w:id="284" w:name="_e8b42b88_85e2_49a9_b4e5_da0ef8fe9224"/>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tbl>
      <w:tblPr>
        <w:tblW w:w="10205" w:type="dxa"/>
        <w:jc w:val="left"/>
        <w:tblInd w:w="0" w:type="dxa"/>
        <w:tblLayout w:type="fixed"/>
        <w:tblCellMar>
          <w:top w:w="0" w:type="dxa"/>
          <w:left w:w="0" w:type="dxa"/>
          <w:bottom w:w="0" w:type="dxa"/>
          <w:right w:w="0" w:type="dxa"/>
        </w:tblCellMar>
      </w:tblPr>
      <w:tblGrid>
        <w:gridCol w:w="3542"/>
        <w:gridCol w:w="326"/>
        <w:gridCol w:w="211"/>
        <w:gridCol w:w="1036"/>
        <w:gridCol w:w="326"/>
        <w:gridCol w:w="211"/>
        <w:gridCol w:w="1036"/>
        <w:gridCol w:w="326"/>
        <w:gridCol w:w="211"/>
        <w:gridCol w:w="1036"/>
        <w:gridCol w:w="326"/>
        <w:gridCol w:w="211"/>
        <w:gridCol w:w="1036"/>
        <w:gridCol w:w="371"/>
      </w:tblGrid>
      <w:tr>
        <w:trPr/>
        <w:tc>
          <w:tcPr>
            <w:tcW w:w="3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249170" cy="175260"/>
                      <wp:effectExtent l="0" t="0" r="0" b="0"/>
                      <wp:wrapNone/>
                      <wp:docPr id="12" name="Frame12"/>
                      <a:graphic xmlns:a="http://schemas.openxmlformats.org/drawingml/2006/main">
                        <a:graphicData uri="http://schemas.microsoft.com/office/word/2010/wordprocessingShape">
                          <wps:wsp>
                            <wps:cNvSpPr txBox="1"/>
                            <wps:spPr>
                              <a:xfrm>
                                <a:off x="0" y="0"/>
                                <a:ext cx="2249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35585" cy="175260"/>
                      <wp:effectExtent l="0" t="0" r="0" b="0"/>
                      <wp:wrapNone/>
                      <wp:docPr id="25" name="Frame2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center"/>
              <w:rPr/>
            </w:pPr>
            <w:r>
              <w:rPr/>
              <w:t>    </w:t>
            </w:r>
          </w:p>
        </w:tc>
      </w:tr>
      <w:tr>
        <w:trPr/>
        <w:tc>
          <w:tcPr>
            <w:tcW w:w="3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1" w:type="dxa"/>
            <w:tcBorders/>
            <w:vAlign w:val="center"/>
          </w:tcPr>
          <w:p>
            <w:pPr>
              <w:pStyle w:val="TableContents"/>
              <w:bidi w:val="0"/>
              <w:spacing w:before="0" w:after="0"/>
              <w:ind w:left="0" w:right="0" w:hanging="0"/>
              <w:jc w:val="center"/>
              <w:rPr/>
            </w:pPr>
            <w:r>
              <w:rPr/>
              <w:t>​</w:t>
            </w:r>
          </w:p>
        </w:tc>
      </w:tr>
      <w:tr>
        <w:trPr/>
        <w:tc>
          <w:tcPr>
            <w:tcW w:w="3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    </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8,529</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14,709</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amortization and impairments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14,267</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12,200</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(27,765)</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(6,406)</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income (costs),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45,530</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provision (benefit)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and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net income (loss) and comprehensive income (loss) attributable to common stockholders for net income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deemed dividend attributable to the anti-dilution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and comprehensive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income (loss) per share attributable to common stockholders,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63,599,890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50,998,941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60,721,231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40,475,200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income (loss) per share attributable to common stockholders,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63,599,890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50,998,941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60,721,231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50,775,172</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5" w:name="_a66ade74_af06_4c4e_9ae1_d0107d7046c1"/>
      <w:bookmarkStart w:id="286" w:name="CONDENSEDCONSOLIDATEDSTATEMENTSOFSTOCKHO"/>
      <w:bookmarkEnd w:id="285"/>
      <w:bookmarkEnd w:id="286"/>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7" w:name="Tc_C84azGvRvk6_I1Z9FgnknQ_14_13"/>
      <w:bookmarkStart w:id="288" w:name="Tc_dm3sjfQNqUiL4ETWd4cyyQ_14_10"/>
      <w:bookmarkStart w:id="289" w:name="Tc_1pIJ6GZbo027deZVR9QKbA_14_7"/>
      <w:bookmarkStart w:id="290" w:name="Tc_O1ayj_wy-Ee6ZcmNgcRXAA_14_4"/>
      <w:bookmarkStart w:id="291" w:name="Tc_NiGWGDBDYEOfTlTY88AQAA_14_0"/>
      <w:bookmarkStart w:id="292" w:name="Tc_sKempL5hkEKL7RHfKVAjsQ_13_8"/>
      <w:bookmarkStart w:id="293" w:name="Tc_kTkICmH8YEmxaNCxXMNB0A_13_5"/>
      <w:bookmarkStart w:id="294" w:name="Tc_nTR5-zRMCUudRwPARZYV3w_13_2"/>
      <w:bookmarkStart w:id="295" w:name="Tc_XVyFHtRTFEW6nGySnBqMtQ_13_0"/>
      <w:bookmarkStart w:id="296" w:name="Tc_OMVbmX9NLUOhFU2ywH6Wkg_12_11"/>
      <w:bookmarkStart w:id="297" w:name="Tc_vKe5rKNHnUavnZDuXlUtuA_12_5"/>
      <w:bookmarkStart w:id="298" w:name="Tc_9nxmI9xfI0qeMwfklB1WNw_12_2"/>
      <w:bookmarkStart w:id="299" w:name="Tc_uz1lkIifs0KVzGKHNsibhQ_12_0"/>
      <w:bookmarkStart w:id="300" w:name="Tc_8vICl_wyHUSGSWaptaBb4g_11_11"/>
      <w:bookmarkStart w:id="301" w:name="Tc_dpj1LMJxikCTigvnvoOxGw_11_5"/>
      <w:bookmarkStart w:id="302" w:name="Tc_hEwnujGWKUmtcZyB3_wpCg_11_2"/>
      <w:bookmarkStart w:id="303" w:name="Tc_S7apuRikd0y7DLng8qG2aA_11_0"/>
      <w:bookmarkStart w:id="304" w:name="Tc_PTIHm_1hxEaZOGbVAhf8Jw_10_14"/>
      <w:bookmarkStart w:id="305" w:name="Tc_0oUNZ1V7W0--VcxHC_Kd0A_10_11"/>
      <w:bookmarkStart w:id="306" w:name="Tc_wI_lOWpyUECLXImYwMOxbg_10_8"/>
      <w:bookmarkStart w:id="307" w:name="Tc_wSRhBuDb-0aNmRK-CR9rFA_10_5"/>
      <w:bookmarkStart w:id="308" w:name="Tc_mDzO8qP85EeNgC4ukE-r1w_10_0"/>
      <w:bookmarkStart w:id="309" w:name="Tc_ivcAArhDG0OsvFDU51FwAA_9_11"/>
      <w:bookmarkStart w:id="310" w:name="Tc_p8n8pgV3xECUwWQOEfRbFw_9_0"/>
      <w:bookmarkStart w:id="311" w:name="Tc_UlctH-_COk21tbP0C8Fpqg_8_11"/>
      <w:bookmarkStart w:id="312" w:name="Tc_juDT6rRe3UeakyC-nw1jvA_8_5"/>
      <w:bookmarkStart w:id="313" w:name="Tc_AX193RBhtUKtNvWqKckjQQ_8_2"/>
      <w:bookmarkStart w:id="314" w:name="Tc_pVmNY5EvP0ChQIjXkQT34Q_8_0"/>
      <w:bookmarkStart w:id="315" w:name="Tc_uhnlFqbqPEiX7lycnAAJkA_7_14"/>
      <w:bookmarkStart w:id="316" w:name="Tc_0pMpx3zJnkyXkVWlp9v-AA_7_11"/>
      <w:bookmarkStart w:id="317" w:name="Tc_FGbI4k6Vn06qE_ikGT0q0A_7_8"/>
      <w:bookmarkStart w:id="318" w:name="Tc_JrkpjX1wB0G0o0_1gAxXPw_7_5"/>
      <w:bookmarkStart w:id="319" w:name="Tc_dv1kcldZsUyX-Ip1ylWqfg_7_0"/>
      <w:bookmarkStart w:id="320" w:name="Tc_tisefqlvt0iZCsbhvwfPiQ_6_14"/>
      <w:bookmarkStart w:id="321" w:name="Tc_mECtndWM_0-ZJ60ujdFPxw_6_11"/>
      <w:bookmarkStart w:id="322" w:name="Tc_bSL78ueW8kKEGlWT9d-VKw_6_5"/>
      <w:bookmarkStart w:id="323" w:name="Tc_zzFqf6Yy2Eqq4hVd3P6tIw_6_0"/>
      <w:bookmarkStart w:id="324" w:name="Tc_DZWteYF6j0iqrJxrcpNl-w_5_11"/>
      <w:bookmarkStart w:id="325" w:name="Tc_vct6vuY_t0SN8NA8RBfq_g_5_0"/>
      <w:bookmarkStart w:id="326" w:name="Tc_guvvlyy0NkmFLJQqOc-pGg_4_13"/>
      <w:bookmarkStart w:id="327" w:name="Tc_teb-flBzrEO2F2XMQm-2bA_4_10"/>
      <w:bookmarkStart w:id="328" w:name="Tc_62yerz4z_EGOPnVdVXZU-A_4_7"/>
      <w:bookmarkStart w:id="329" w:name="Tc_4YFBJjeWukKVd7vzSOeUuw_4_4"/>
      <w:bookmarkStart w:id="330" w:name="Tc_I4KTSQ7Ly0-wmqpgQtUjTg_4_0"/>
      <w:bookmarkStart w:id="331" w:name="Tc_kT8gV7tb1EC8RA1C53ewVQ_3_13"/>
      <w:bookmarkStart w:id="332" w:name="Tc_FcuwWMzObU-8CvGDj4xLUw_3_10"/>
      <w:bookmarkStart w:id="333" w:name="Tc_tYm8WpxFxk63WFGwsUWITA_3_7"/>
      <w:bookmarkStart w:id="334" w:name="Tc_LB1l6TQxIkaxMKQGrSLH4w_3_4"/>
      <w:bookmarkStart w:id="335" w:name="Tc_L5O3kJ03bUuDkIfCwhQelA_3_2"/>
      <w:bookmarkStart w:id="336" w:name="Tc_IC64dUyLLU2Dje5vqc5J1Q_2_13"/>
      <w:bookmarkStart w:id="337" w:name="Tc_rcmYoAof6EmoZwg4N70CjA_2_10"/>
      <w:bookmarkStart w:id="338" w:name="Tc_gyUf_g_oyE-5oK1EZBylmA_2_7"/>
      <w:bookmarkStart w:id="339" w:name="Tc_uV0rsuOTpkC9Am70pLBNBg_2_2"/>
      <w:bookmarkStart w:id="340" w:name="Tc_0UnBksBqOEKIUa41tj5bjQ_1_13"/>
      <w:bookmarkStart w:id="341" w:name="Tc_FifO6NABgEmS1kPvavEnuQ_1_7"/>
      <w:bookmarkStart w:id="342" w:name="_4d21e6ff_8f07_40a5_91bf_0b06d8baa28d"/>
      <w:bookmarkStart w:id="343" w:name="Tc_C84azGvRvk6_I1Z9FgnknQ_14_13"/>
      <w:bookmarkStart w:id="344" w:name="Tc_dm3sjfQNqUiL4ETWd4cyyQ_14_10"/>
      <w:bookmarkStart w:id="345" w:name="Tc_1pIJ6GZbo027deZVR9QKbA_14_7"/>
      <w:bookmarkStart w:id="346" w:name="Tc_O1ayj_wy-Ee6ZcmNgcRXAA_14_4"/>
      <w:bookmarkStart w:id="347" w:name="Tc_NiGWGDBDYEOfTlTY88AQAA_14_0"/>
      <w:bookmarkStart w:id="348" w:name="Tc_sKempL5hkEKL7RHfKVAjsQ_13_8"/>
      <w:bookmarkStart w:id="349" w:name="Tc_kTkICmH8YEmxaNCxXMNB0A_13_5"/>
      <w:bookmarkStart w:id="350" w:name="Tc_nTR5-zRMCUudRwPARZYV3w_13_2"/>
      <w:bookmarkStart w:id="351" w:name="Tc_XVyFHtRTFEW6nGySnBqMtQ_13_0"/>
      <w:bookmarkStart w:id="352" w:name="Tc_OMVbmX9NLUOhFU2ywH6Wkg_12_11"/>
      <w:bookmarkStart w:id="353" w:name="Tc_vKe5rKNHnUavnZDuXlUtuA_12_5"/>
      <w:bookmarkStart w:id="354" w:name="Tc_9nxmI9xfI0qeMwfklB1WNw_12_2"/>
      <w:bookmarkStart w:id="355" w:name="Tc_uz1lkIifs0KVzGKHNsibhQ_12_0"/>
      <w:bookmarkStart w:id="356" w:name="Tc_8vICl_wyHUSGSWaptaBb4g_11_11"/>
      <w:bookmarkStart w:id="357" w:name="Tc_dpj1LMJxikCTigvnvoOxGw_11_5"/>
      <w:bookmarkStart w:id="358" w:name="Tc_hEwnujGWKUmtcZyB3_wpCg_11_2"/>
      <w:bookmarkStart w:id="359" w:name="Tc_S7apuRikd0y7DLng8qG2aA_11_0"/>
      <w:bookmarkStart w:id="360" w:name="Tc_PTIHm_1hxEaZOGbVAhf8Jw_10_14"/>
      <w:bookmarkStart w:id="361" w:name="Tc_0oUNZ1V7W0--VcxHC_Kd0A_10_11"/>
      <w:bookmarkStart w:id="362" w:name="Tc_wI_lOWpyUECLXImYwMOxbg_10_8"/>
      <w:bookmarkStart w:id="363" w:name="Tc_wSRhBuDb-0aNmRK-CR9rFA_10_5"/>
      <w:bookmarkStart w:id="364" w:name="Tc_mDzO8qP85EeNgC4ukE-r1w_10_0"/>
      <w:bookmarkStart w:id="365" w:name="Tc_ivcAArhDG0OsvFDU51FwAA_9_11"/>
      <w:bookmarkStart w:id="366" w:name="Tc_p8n8pgV3xECUwWQOEfRbFw_9_0"/>
      <w:bookmarkStart w:id="367" w:name="Tc_UlctH-_COk21tbP0C8Fpqg_8_11"/>
      <w:bookmarkStart w:id="368" w:name="Tc_juDT6rRe3UeakyC-nw1jvA_8_5"/>
      <w:bookmarkStart w:id="369" w:name="Tc_AX193RBhtUKtNvWqKckjQQ_8_2"/>
      <w:bookmarkStart w:id="370" w:name="Tc_pVmNY5EvP0ChQIjXkQT34Q_8_0"/>
      <w:bookmarkStart w:id="371" w:name="Tc_uhnlFqbqPEiX7lycnAAJkA_7_14"/>
      <w:bookmarkStart w:id="372" w:name="Tc_0pMpx3zJnkyXkVWlp9v-AA_7_11"/>
      <w:bookmarkStart w:id="373" w:name="Tc_FGbI4k6Vn06qE_ikGT0q0A_7_8"/>
      <w:bookmarkStart w:id="374" w:name="Tc_JrkpjX1wB0G0o0_1gAxXPw_7_5"/>
      <w:bookmarkStart w:id="375" w:name="Tc_dv1kcldZsUyX-Ip1ylWqfg_7_0"/>
      <w:bookmarkStart w:id="376" w:name="Tc_tisefqlvt0iZCsbhvwfPiQ_6_14"/>
      <w:bookmarkStart w:id="377" w:name="Tc_mECtndWM_0-ZJ60ujdFPxw_6_11"/>
      <w:bookmarkStart w:id="378" w:name="Tc_bSL78ueW8kKEGlWT9d-VKw_6_5"/>
      <w:bookmarkStart w:id="379" w:name="Tc_zzFqf6Yy2Eqq4hVd3P6tIw_6_0"/>
      <w:bookmarkStart w:id="380" w:name="Tc_DZWteYF6j0iqrJxrcpNl-w_5_11"/>
      <w:bookmarkStart w:id="381" w:name="Tc_vct6vuY_t0SN8NA8RBfq_g_5_0"/>
      <w:bookmarkStart w:id="382" w:name="Tc_guvvlyy0NkmFLJQqOc-pGg_4_13"/>
      <w:bookmarkStart w:id="383" w:name="Tc_teb-flBzrEO2F2XMQm-2bA_4_10"/>
      <w:bookmarkStart w:id="384" w:name="Tc_62yerz4z_EGOPnVdVXZU-A_4_7"/>
      <w:bookmarkStart w:id="385" w:name="Tc_4YFBJjeWukKVd7vzSOeUuw_4_4"/>
      <w:bookmarkStart w:id="386" w:name="Tc_I4KTSQ7Ly0-wmqpgQtUjTg_4_0"/>
      <w:bookmarkStart w:id="387" w:name="Tc_kT8gV7tb1EC8RA1C53ewVQ_3_13"/>
      <w:bookmarkStart w:id="388" w:name="Tc_FcuwWMzObU-8CvGDj4xLUw_3_10"/>
      <w:bookmarkStart w:id="389" w:name="Tc_tYm8WpxFxk63WFGwsUWITA_3_7"/>
      <w:bookmarkStart w:id="390" w:name="Tc_LB1l6TQxIkaxMKQGrSLH4w_3_4"/>
      <w:bookmarkStart w:id="391" w:name="Tc_L5O3kJ03bUuDkIfCwhQelA_3_2"/>
      <w:bookmarkStart w:id="392" w:name="Tc_IC64dUyLLU2Dje5vqc5J1Q_2_13"/>
      <w:bookmarkStart w:id="393" w:name="Tc_rcmYoAof6EmoZwg4N70CjA_2_10"/>
      <w:bookmarkStart w:id="394" w:name="Tc_gyUf_g_oyE-5oK1EZBylmA_2_7"/>
      <w:bookmarkStart w:id="395" w:name="Tc_uV0rsuOTpkC9Am70pLBNBg_2_2"/>
      <w:bookmarkStart w:id="396" w:name="Tc_0UnBksBqOEKIUa41tj5bjQ_1_13"/>
      <w:bookmarkStart w:id="397" w:name="Tc_FifO6NABgEmS1kPvavEnuQ_1_7"/>
      <w:bookmarkStart w:id="398" w:name="_4d21e6ff_8f07_40a5_91bf_0b06d8baa28d"/>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bl>
      <w:tblPr>
        <w:tblW w:w="10205" w:type="dxa"/>
        <w:jc w:val="left"/>
        <w:tblInd w:w="0" w:type="dxa"/>
        <w:tblLayout w:type="fixed"/>
        <w:tblCellMar>
          <w:top w:w="0" w:type="dxa"/>
          <w:left w:w="0" w:type="dxa"/>
          <w:bottom w:w="0" w:type="dxa"/>
          <w:right w:w="0" w:type="dxa"/>
        </w:tblCellMar>
      </w:tblPr>
      <w:tblGrid>
        <w:gridCol w:w="3917"/>
        <w:gridCol w:w="326"/>
        <w:gridCol w:w="916"/>
        <w:gridCol w:w="326"/>
        <w:gridCol w:w="249"/>
        <w:gridCol w:w="442"/>
        <w:gridCol w:w="326"/>
        <w:gridCol w:w="196"/>
        <w:gridCol w:w="691"/>
        <w:gridCol w:w="326"/>
        <w:gridCol w:w="217"/>
        <w:gridCol w:w="834"/>
        <w:gridCol w:w="326"/>
        <w:gridCol w:w="240"/>
        <w:gridCol w:w="873"/>
      </w:tblGrid>
      <w:tr>
        <w:trPr/>
        <w:tc>
          <w:tcPr>
            <w:tcW w:w="3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487295" cy="175260"/>
                      <wp:effectExtent l="0" t="0" r="0" b="0"/>
                      <wp:wrapNone/>
                      <wp:docPr id="26" name="Frame26"/>
                      <a:graphic xmlns:a="http://schemas.openxmlformats.org/drawingml/2006/main">
                        <a:graphicData uri="http://schemas.microsoft.com/office/word/2010/wordprocessingShape">
                          <wps:wsp>
                            <wps:cNvSpPr txBox="1"/>
                            <wps:spPr>
                              <a:xfrm>
                                <a:off x="0" y="0"/>
                                <a:ext cx="2487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81660" cy="175260"/>
                      <wp:effectExtent l="0" t="0" r="0" b="0"/>
                      <wp:wrapNone/>
                      <wp:docPr id="28" name="Frame2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30" name="Frame3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80670" cy="175260"/>
                      <wp:effectExtent l="0" t="0" r="0" b="0"/>
                      <wp:wrapNone/>
                      <wp:docPr id="31" name="Frame3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34" name="Frame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7795" cy="175260"/>
                      <wp:effectExtent l="0" t="0" r="0" b="0"/>
                      <wp:wrapNone/>
                      <wp:docPr id="36" name="Frame3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9590" cy="175260"/>
                      <wp:effectExtent l="0" t="0" r="0" b="0"/>
                      <wp:wrapNone/>
                      <wp:docPr id="37" name="Frame3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2400" cy="175260"/>
                      <wp:effectExtent l="0" t="0" r="0" b="0"/>
                      <wp:wrapNone/>
                      <wp:docPr id="39" name="Frame3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54355" cy="175260"/>
                      <wp:effectExtent l="0" t="0" r="0" b="0"/>
                      <wp:wrapNone/>
                      <wp:docPr id="40" name="Frame40"/>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1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9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39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Beginning 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57,180,531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190,031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(235,263)</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(45,227)</w:t>
            </w:r>
          </w:p>
        </w:tc>
      </w:tr>
      <w:tr>
        <w:trPr/>
        <w:tc>
          <w:tcPr>
            <w:tcW w:w="39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upon exercise of stock options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1,449,879</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w:t>
            </w:r>
          </w:p>
        </w:tc>
      </w:tr>
      <w:tr>
        <w:trPr/>
        <w:tc>
          <w:tcPr>
            <w:tcW w:w="39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upon vesting of restricted stock units </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1,053,099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pPr>
            <w:r>
              <w:rPr/>
              <w:t>—</w:t>
            </w:r>
          </w:p>
        </w:tc>
      </w:tr>
      <w:tr>
        <w:trPr/>
        <w:tc>
          <w:tcPr>
            <w:tcW w:w="39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Cancellation of restricted stock awards in connection with the CyborgOps acquisition</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(97,881)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r>
      <w:tr>
        <w:trPr/>
        <w:tc>
          <w:tcPr>
            <w:tcW w:w="39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warrants to customer</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39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$1,069</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8,931</w:t>
            </w:r>
          </w:p>
        </w:tc>
      </w:tr>
      <w:tr>
        <w:trPr/>
        <w:tc>
          <w:tcPr>
            <w:tcW w:w="39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to Zaffran Special Opportunities, LLC</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r>
      <w:tr>
        <w:trPr/>
        <w:tc>
          <w:tcPr>
            <w:tcW w:w="39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Earnout shares stock-based compensation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2,675</w:t>
            </w:r>
          </w:p>
        </w:tc>
      </w:tr>
      <w:tr>
        <w:trPr/>
        <w:tc>
          <w:tcPr>
            <w:tcW w:w="39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4,150</w:t>
            </w:r>
          </w:p>
        </w:tc>
      </w:tr>
      <w:tr>
        <w:trPr/>
        <w:tc>
          <w:tcPr>
            <w:tcW w:w="39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(12,682)</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(12,682)</w:t>
            </w:r>
          </w:p>
        </w:tc>
      </w:tr>
      <w:tr>
        <w:trPr/>
        <w:tc>
          <w:tcPr>
            <w:tcW w:w="39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70,335,628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206,109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(247,945)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(41,829)</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99" w:name="Tc_ML8kiyxRUkmfICXtv5oHoQ_21_18"/>
      <w:bookmarkStart w:id="400" w:name="Tc__16NwewlKUalH2FLuKeEmA_21_15"/>
      <w:bookmarkStart w:id="401" w:name="Tc_jUFpygvGs0O8O5fCKs0BTA_21_12"/>
      <w:bookmarkStart w:id="402" w:name="Tc_9UWoybYvmkWz_-CAdIjFdQ_21_9"/>
      <w:bookmarkStart w:id="403" w:name="Tc_VCTD2Wz8bECp8F37gjuljA_21_5"/>
      <w:bookmarkStart w:id="404" w:name="Tc_nFpvPS4OI0e_kmKDFq7tWw_21_4"/>
      <w:bookmarkStart w:id="405" w:name="Tc_t7a0G15nSE6m-eXM8iCUhw_21_2"/>
      <w:bookmarkStart w:id="406" w:name="Tc_qM1VEz32cUaerNydcR-E4A_21_0"/>
      <w:bookmarkStart w:id="407" w:name="Tc_VXxdBDUYQ0mCSOh-5xoOOg_20_13"/>
      <w:bookmarkStart w:id="408" w:name="Tc_gvg0z3ynUEmFbPIatLXjIQ_20_10"/>
      <w:bookmarkStart w:id="409" w:name="Tc_SVvDrBfKyUy7RPoHwBcT6Q_20_7"/>
      <w:bookmarkStart w:id="410" w:name="Tc_Vg-7wcEzaE6tJjHQ-jlZVw_20_5"/>
      <w:bookmarkStart w:id="411" w:name="Tc_FQhI5dHuvEWRqGCubrxM7w_20_2"/>
      <w:bookmarkStart w:id="412" w:name="Tc_xngQEQukpE-FHYaK9sirfg_20_0"/>
      <w:bookmarkStart w:id="413" w:name="Tc_UhEwBMYLvk-weAvTnZThAA_19_16"/>
      <w:bookmarkStart w:id="414" w:name="Tc_feUdAxWAE0uaPm4poR5RDA_19_10"/>
      <w:bookmarkStart w:id="415" w:name="Tc_z-4kn91GdE68OTMu-Ip_4w_19_7"/>
      <w:bookmarkStart w:id="416" w:name="Tc_XrYSlb1ox0KbW0dwa2mC6w_19_5"/>
      <w:bookmarkStart w:id="417" w:name="Tc_2pq3B61_7UuEFMrFbwmRTQ_19_2"/>
      <w:bookmarkStart w:id="418" w:name="Tc_-ri4vAhEGECXiF1VAlLJRw_19_0"/>
      <w:bookmarkStart w:id="419" w:name="Tc_LnZqPhw7ckaMF59ki--h8Q_18_16"/>
      <w:bookmarkStart w:id="420" w:name="Tc_JqS7i4MgmEGc7UZUShNDjg_18_5"/>
      <w:bookmarkStart w:id="421" w:name="Tc_O50xc6Ahz0etzb648hc69w_18_2"/>
      <w:bookmarkStart w:id="422" w:name="Tc_5Yffu6px-Ea5SIWag3x_bA_18_0"/>
      <w:bookmarkStart w:id="423" w:name="Tc_6-S4_W7ix0ualv3khfhxxQ_17_16"/>
      <w:bookmarkStart w:id="424" w:name="Tc_cts2tuI7JUq9LMowFINFqw_17_10"/>
      <w:bookmarkStart w:id="425" w:name="Tc_7Lp5dZ0X_U6Mlv8JBQJ7wA_17_7"/>
      <w:bookmarkStart w:id="426" w:name="Tc_Vf8CE6Lfw0CHm8bUtBHq1Q_17_5"/>
      <w:bookmarkStart w:id="427" w:name="Tc_d_pCHqRT00mRVkgUhLM43w_17_2"/>
      <w:bookmarkStart w:id="428" w:name="Tc_IeKvEKl570iR9__4UMMnlg_17_0"/>
      <w:bookmarkStart w:id="429" w:name="Tc_y73qQBwynk-DBG8SCESv6w_16_16"/>
      <w:bookmarkStart w:id="430" w:name="Tc_528CHkyqI0eE1eKPVX3efQ_16_10"/>
      <w:bookmarkStart w:id="431" w:name="Tc_diTIJk_7I0yj7o3WNXFoZA_16_7"/>
      <w:bookmarkStart w:id="432" w:name="Tc_ozxTbBUwM0GJqfKoYWu7ew_16_5"/>
      <w:bookmarkStart w:id="433" w:name="Tc_TecwgtcMvkGQ-pbQ_pMnFw_16_2"/>
      <w:bookmarkStart w:id="434" w:name="Tc_SqOTdhIWdEqc6PvJMJjoAQ_16_0"/>
      <w:bookmarkStart w:id="435" w:name="Tc_mHYfi8BNWUuGYrjqx4Xuhw_15_16"/>
      <w:bookmarkStart w:id="436" w:name="Tc_OMXJeGOJoU2ZwXzYhQgXEQ_15_10"/>
      <w:bookmarkStart w:id="437" w:name="Tc_ZQShp6JQWUeg6pmqzISoew_15_7"/>
      <w:bookmarkStart w:id="438" w:name="Tc_U_x7oTQERkyj6J-qAkeHyw_15_5"/>
      <w:bookmarkStart w:id="439" w:name="Tc_aipWj-Xj9k6KvIuTs30gdA_15_2"/>
      <w:bookmarkStart w:id="440" w:name="Tc_sZkXOG8OU0qxbEV1NicG6w_15_0"/>
      <w:bookmarkStart w:id="441" w:name="Tc_cVIF0nxXHkCW43Q1C5ZUBg_14_16"/>
      <w:bookmarkStart w:id="442" w:name="Tc_ByS2dX1w3ECvq7HA6W3Ogg_14_10"/>
      <w:bookmarkStart w:id="443" w:name="Tc_T5dflAUrEES9-xOLLHoSjw_14_7"/>
      <w:bookmarkStart w:id="444" w:name="Tc_V0CPFX2SE02twAkSUAk0QA_14_5"/>
      <w:bookmarkStart w:id="445" w:name="Tc_nHw9jDXubEWYg4Pwqo_15w_14_2"/>
      <w:bookmarkStart w:id="446" w:name="Tc_awwngxn1-UuLIJnlh-P5vA_14_0"/>
      <w:bookmarkStart w:id="447" w:name="Tc_hpbZCiFCm0ulc8mtMfgH-g_13_16"/>
      <w:bookmarkStart w:id="448" w:name="Tc_i5OLm4QSykW0xCp2kGsFjw_13_5"/>
      <w:bookmarkStart w:id="449" w:name="Tc_9bdSvcigaUWC2ic9zYFx-Q_13_2"/>
      <w:bookmarkStart w:id="450" w:name="Tc_CFJsqbcOzEe2cSXtuPf9Sg_13_0"/>
      <w:bookmarkStart w:id="451" w:name="Tc_p5tX-6xIn0ClX41sGA7Row_12_16"/>
      <w:bookmarkStart w:id="452" w:name="Tc_Dj4EcKdNQU6Z-BA68NRRXQ_12_10"/>
      <w:bookmarkStart w:id="453" w:name="Tc_6-m-SGKrmUiGna6_xD6bZQ_12_5"/>
      <w:bookmarkStart w:id="454" w:name="Tc_OORboiCLzU62sx3iTE7m5w_12_2"/>
      <w:bookmarkStart w:id="455" w:name="Tc_lbtSMWgeTUC_ZmAwyzxDfw_12_0"/>
      <w:bookmarkStart w:id="456" w:name="Tc_SdoGLaij8kyBC3m2k5p9zg_11_19"/>
      <w:bookmarkStart w:id="457" w:name="Tc_YJdB02QRX0--aLQdr54niw_11_16"/>
      <w:bookmarkStart w:id="458" w:name="Tc_ZhJc741jA0GlImAT0_G5Bg_11_13"/>
      <w:bookmarkStart w:id="459" w:name="Tc_NLnRZGn8ikyLXimkVS1PxQ_11_10"/>
      <w:bookmarkStart w:id="460" w:name="Tc_1gNDBTz_yUCntJSD1pI-4w_11_5"/>
      <w:bookmarkStart w:id="461" w:name="Tc_cWL_KTeY3kGd7xqdIEaTGw_11_2"/>
      <w:bookmarkStart w:id="462" w:name="Tc_FikMmksmGUCNMvwroEbHfg_11_0"/>
      <w:bookmarkStart w:id="463" w:name="Tc_VxHj8Cp5WEOHdVM_XbDUvw_10_16"/>
      <w:bookmarkStart w:id="464" w:name="Tc_QtcA4enr3U6kKbe2x6GBSQ_10_10"/>
      <w:bookmarkStart w:id="465" w:name="Tc_qnnnPfZZQ0KSvNwwkJdIYg_10_5"/>
      <w:bookmarkStart w:id="466" w:name="Tc_X1-G9KHyCUKMZMnP4bWYzA_10_2"/>
      <w:bookmarkStart w:id="467" w:name="Tc_CTuUM5SDUkWEfY5C6Lkhdg_10_0"/>
      <w:bookmarkStart w:id="468" w:name="Tc_APJ14ZBP9kWzXuRUiX72Jw_9_19"/>
      <w:bookmarkStart w:id="469" w:name="Tc_ujz4W0EJu0at_LCXWBI8-Q_9_16"/>
      <w:bookmarkStart w:id="470" w:name="Tc_tJMd2AAPp0u5k4R7ri--fg_9_13"/>
      <w:bookmarkStart w:id="471" w:name="Tc_4q0PCBSWWUioeWT3nXAkVA_9_10"/>
      <w:bookmarkStart w:id="472" w:name="Tc_mebrEHkkikK4fVaD48UWNg_9_5"/>
      <w:bookmarkStart w:id="473" w:name="Tc_MQb706QeWEe6iGXdHw7W6w_9_2"/>
      <w:bookmarkStart w:id="474" w:name="Tc_ir6hByL1KEekAcuFqV6Tow_9_0"/>
      <w:bookmarkStart w:id="475" w:name="Tc_YzP9_1cjaUS0CQBupMq0IA_8_16"/>
      <w:bookmarkStart w:id="476" w:name="Tc_gsfUaR_MPkublCcKnd32JQ_8_10"/>
      <w:bookmarkStart w:id="477" w:name="Tc_ONgyiQdk4UyvMYF5n3-gVQ_8_7"/>
      <w:bookmarkStart w:id="478" w:name="Tc_P-O7MxU1JEmOhiesv0Hw6Q_8_5"/>
      <w:bookmarkStart w:id="479" w:name="Tc_AakhWsj7tUOKVieP2YBLww_8_2"/>
      <w:bookmarkStart w:id="480" w:name="Tc_1J6Q6cP_F0eMtiPDBFPpjA_8_0"/>
      <w:bookmarkStart w:id="481" w:name="Tc_nLzLK8UqTkW_o30x_xlygQ_7_16"/>
      <w:bookmarkStart w:id="482" w:name="Tc_3vDd2Womc0muxvKkXhABYQ_7_10"/>
      <w:bookmarkStart w:id="483" w:name="Tc_QbPaEH89r0e5ch-eFn49tQ_7_5"/>
      <w:bookmarkStart w:id="484" w:name="Tc_WRyFhEx2qUqg9IneUyqLOw_7_2"/>
      <w:bookmarkStart w:id="485" w:name="Tc_DCU1kIVzk0yTxByaR-hRyw_7_0"/>
      <w:bookmarkStart w:id="486" w:name="Tc_EzTuTbOj9ECxzN4-DdFlBw_6_5"/>
      <w:bookmarkStart w:id="487" w:name="Tc_AXL8nvUOoEajrF_guyNqcA_6_2"/>
      <w:bookmarkStart w:id="488" w:name="Tc_M6NsnNQ_3Eeu_4Ag_3Misg_6_0"/>
      <w:bookmarkStart w:id="489" w:name="Tc_F_eKMiDfnEaQ1Y9HJSYWSQ_5_19"/>
      <w:bookmarkStart w:id="490" w:name="Tc_UV7KyxIYSEyFUFwOwkOJag_5_16"/>
      <w:bookmarkStart w:id="491" w:name="Tc_cMFOKEZ2CkKJ3UzBahy_jQ_5_0"/>
      <w:bookmarkStart w:id="492" w:name="Tc_vpk78s4TfUCd1opSV9rtGg_4_18"/>
      <w:bookmarkStart w:id="493" w:name="Tc_jPc6claNQ0C_wg9OUklUBQ_4_15"/>
      <w:bookmarkStart w:id="494" w:name="Tc_GmjWvflLT0yKv5s3nzW4iA_4_12"/>
      <w:bookmarkStart w:id="495" w:name="Tc_UgfhA3yHgUKUbOXFGUmm9Q_4_9"/>
      <w:bookmarkStart w:id="496" w:name="Tc_x3it3pOnlk2ndbvvSf2aFg_4_4"/>
      <w:bookmarkStart w:id="497" w:name="Tc_1q-eJbDDYUS9nUovDkO7Cg_4_0"/>
      <w:bookmarkStart w:id="498" w:name="Tc_X6lSe5b1-0u6nipZn7N5zA_3_18"/>
      <w:bookmarkStart w:id="499" w:name="Tc_Jksj5jHSYEe2yzi0vXIg4A_3_15"/>
      <w:bookmarkStart w:id="500" w:name="Tc_zJBHm79vC0yFi3kN3mun6w_3_12"/>
      <w:bookmarkStart w:id="501" w:name="Tc_f-JvAvsxsE-_7-ieGwqv-w_3_9"/>
      <w:bookmarkStart w:id="502" w:name="Tc_ek8-1lgYB0OGbWNL1YCaOQ_3_7"/>
      <w:bookmarkStart w:id="503" w:name="Tc_pbbIpUfy50OtK09tE1Li1w_3_4"/>
      <w:bookmarkStart w:id="504" w:name="Tc_WSfmfuC72kqminsQk3uxxg_3_2"/>
      <w:bookmarkStart w:id="505" w:name="Tc_Ctk11mrO10OOhTZiUNmD4g_2_18"/>
      <w:bookmarkStart w:id="506" w:name="Tc_uhnryJIcUEiwkdznNWNH0w_2_15"/>
      <w:bookmarkStart w:id="507" w:name="Tc_vmwziiioM0CgJ8-vxSRrvQ_2_12"/>
      <w:bookmarkStart w:id="508" w:name="Tc_0aYcSYXZaEa2LwsOzDr_JQ_2_7"/>
      <w:bookmarkStart w:id="509" w:name="Tc_sWe_BX8h5EWGNgMdUFDC8g_2_2"/>
      <w:bookmarkStart w:id="510" w:name="Tc_OgsUBHXBNEar432Ys_CDJw_1_18"/>
      <w:bookmarkStart w:id="511" w:name="Tc_nrz6CCWbk0itb91G5VoY-A_1_12"/>
      <w:bookmarkStart w:id="512" w:name="Tc_PdPhyfhc_0efrAu1zEdD1g_1_2"/>
      <w:bookmarkStart w:id="513" w:name="_8e0f061d_b181_47e1_a7ef_82a35bbb2250"/>
      <w:bookmarkStart w:id="514" w:name="Tc_ML8kiyxRUkmfICXtv5oHoQ_21_18"/>
      <w:bookmarkStart w:id="515" w:name="Tc__16NwewlKUalH2FLuKeEmA_21_15"/>
      <w:bookmarkStart w:id="516" w:name="Tc_jUFpygvGs0O8O5fCKs0BTA_21_12"/>
      <w:bookmarkStart w:id="517" w:name="Tc_9UWoybYvmkWz_-CAdIjFdQ_21_9"/>
      <w:bookmarkStart w:id="518" w:name="Tc_VCTD2Wz8bECp8F37gjuljA_21_5"/>
      <w:bookmarkStart w:id="519" w:name="Tc_nFpvPS4OI0e_kmKDFq7tWw_21_4"/>
      <w:bookmarkStart w:id="520" w:name="Tc_t7a0G15nSE6m-eXM8iCUhw_21_2"/>
      <w:bookmarkStart w:id="521" w:name="Tc_qM1VEz32cUaerNydcR-E4A_21_0"/>
      <w:bookmarkStart w:id="522" w:name="Tc_VXxdBDUYQ0mCSOh-5xoOOg_20_13"/>
      <w:bookmarkStart w:id="523" w:name="Tc_gvg0z3ynUEmFbPIatLXjIQ_20_10"/>
      <w:bookmarkStart w:id="524" w:name="Tc_SVvDrBfKyUy7RPoHwBcT6Q_20_7"/>
      <w:bookmarkStart w:id="525" w:name="Tc_Vg-7wcEzaE6tJjHQ-jlZVw_20_5"/>
      <w:bookmarkStart w:id="526" w:name="Tc_FQhI5dHuvEWRqGCubrxM7w_20_2"/>
      <w:bookmarkStart w:id="527" w:name="Tc_xngQEQukpE-FHYaK9sirfg_20_0"/>
      <w:bookmarkStart w:id="528" w:name="Tc_UhEwBMYLvk-weAvTnZThAA_19_16"/>
      <w:bookmarkStart w:id="529" w:name="Tc_feUdAxWAE0uaPm4poR5RDA_19_10"/>
      <w:bookmarkStart w:id="530" w:name="Tc_z-4kn91GdE68OTMu-Ip_4w_19_7"/>
      <w:bookmarkStart w:id="531" w:name="Tc_XrYSlb1ox0KbW0dwa2mC6w_19_5"/>
      <w:bookmarkStart w:id="532" w:name="Tc_2pq3B61_7UuEFMrFbwmRTQ_19_2"/>
      <w:bookmarkStart w:id="533" w:name="Tc_-ri4vAhEGECXiF1VAlLJRw_19_0"/>
      <w:bookmarkStart w:id="534" w:name="Tc_LnZqPhw7ckaMF59ki--h8Q_18_16"/>
      <w:bookmarkStart w:id="535" w:name="Tc_JqS7i4MgmEGc7UZUShNDjg_18_5"/>
      <w:bookmarkStart w:id="536" w:name="Tc_O50xc6Ahz0etzb648hc69w_18_2"/>
      <w:bookmarkStart w:id="537" w:name="Tc_5Yffu6px-Ea5SIWag3x_bA_18_0"/>
      <w:bookmarkStart w:id="538" w:name="Tc_6-S4_W7ix0ualv3khfhxxQ_17_16"/>
      <w:bookmarkStart w:id="539" w:name="Tc_cts2tuI7JUq9LMowFINFqw_17_10"/>
      <w:bookmarkStart w:id="540" w:name="Tc_7Lp5dZ0X_U6Mlv8JBQJ7wA_17_7"/>
      <w:bookmarkStart w:id="541" w:name="Tc_Vf8CE6Lfw0CHm8bUtBHq1Q_17_5"/>
      <w:bookmarkStart w:id="542" w:name="Tc_d_pCHqRT00mRVkgUhLM43w_17_2"/>
      <w:bookmarkStart w:id="543" w:name="Tc_IeKvEKl570iR9__4UMMnlg_17_0"/>
      <w:bookmarkStart w:id="544" w:name="Tc_y73qQBwynk-DBG8SCESv6w_16_16"/>
      <w:bookmarkStart w:id="545" w:name="Tc_528CHkyqI0eE1eKPVX3efQ_16_10"/>
      <w:bookmarkStart w:id="546" w:name="Tc_diTIJk_7I0yj7o3WNXFoZA_16_7"/>
      <w:bookmarkStart w:id="547" w:name="Tc_ozxTbBUwM0GJqfKoYWu7ew_16_5"/>
      <w:bookmarkStart w:id="548" w:name="Tc_TecwgtcMvkGQ-pbQ_pMnFw_16_2"/>
      <w:bookmarkStart w:id="549" w:name="Tc_SqOTdhIWdEqc6PvJMJjoAQ_16_0"/>
      <w:bookmarkStart w:id="550" w:name="Tc_mHYfi8BNWUuGYrjqx4Xuhw_15_16"/>
      <w:bookmarkStart w:id="551" w:name="Tc_OMXJeGOJoU2ZwXzYhQgXEQ_15_10"/>
      <w:bookmarkStart w:id="552" w:name="Tc_ZQShp6JQWUeg6pmqzISoew_15_7"/>
      <w:bookmarkStart w:id="553" w:name="Tc_U_x7oTQERkyj6J-qAkeHyw_15_5"/>
      <w:bookmarkStart w:id="554" w:name="Tc_aipWj-Xj9k6KvIuTs30gdA_15_2"/>
      <w:bookmarkStart w:id="555" w:name="Tc_sZkXOG8OU0qxbEV1NicG6w_15_0"/>
      <w:bookmarkStart w:id="556" w:name="Tc_cVIF0nxXHkCW43Q1C5ZUBg_14_16"/>
      <w:bookmarkStart w:id="557" w:name="Tc_ByS2dX1w3ECvq7HA6W3Ogg_14_10"/>
      <w:bookmarkStart w:id="558" w:name="Tc_T5dflAUrEES9-xOLLHoSjw_14_7"/>
      <w:bookmarkStart w:id="559" w:name="Tc_V0CPFX2SE02twAkSUAk0QA_14_5"/>
      <w:bookmarkStart w:id="560" w:name="Tc_nHw9jDXubEWYg4Pwqo_15w_14_2"/>
      <w:bookmarkStart w:id="561" w:name="Tc_awwngxn1-UuLIJnlh-P5vA_14_0"/>
      <w:bookmarkStart w:id="562" w:name="Tc_hpbZCiFCm0ulc8mtMfgH-g_13_16"/>
      <w:bookmarkStart w:id="563" w:name="Tc_i5OLm4QSykW0xCp2kGsFjw_13_5"/>
      <w:bookmarkStart w:id="564" w:name="Tc_9bdSvcigaUWC2ic9zYFx-Q_13_2"/>
      <w:bookmarkStart w:id="565" w:name="Tc_CFJsqbcOzEe2cSXtuPf9Sg_13_0"/>
      <w:bookmarkStart w:id="566" w:name="Tc_p5tX-6xIn0ClX41sGA7Row_12_16"/>
      <w:bookmarkStart w:id="567" w:name="Tc_Dj4EcKdNQU6Z-BA68NRRXQ_12_10"/>
      <w:bookmarkStart w:id="568" w:name="Tc_6-m-SGKrmUiGna6_xD6bZQ_12_5"/>
      <w:bookmarkStart w:id="569" w:name="Tc_OORboiCLzU62sx3iTE7m5w_12_2"/>
      <w:bookmarkStart w:id="570" w:name="Tc_lbtSMWgeTUC_ZmAwyzxDfw_12_0"/>
      <w:bookmarkStart w:id="571" w:name="Tc_SdoGLaij8kyBC3m2k5p9zg_11_19"/>
      <w:bookmarkStart w:id="572" w:name="Tc_YJdB02QRX0--aLQdr54niw_11_16"/>
      <w:bookmarkStart w:id="573" w:name="Tc_ZhJc741jA0GlImAT0_G5Bg_11_13"/>
      <w:bookmarkStart w:id="574" w:name="Tc_NLnRZGn8ikyLXimkVS1PxQ_11_10"/>
      <w:bookmarkStart w:id="575" w:name="Tc_1gNDBTz_yUCntJSD1pI-4w_11_5"/>
      <w:bookmarkStart w:id="576" w:name="Tc_cWL_KTeY3kGd7xqdIEaTGw_11_2"/>
      <w:bookmarkStart w:id="577" w:name="Tc_FikMmksmGUCNMvwroEbHfg_11_0"/>
      <w:bookmarkStart w:id="578" w:name="Tc_VxHj8Cp5WEOHdVM_XbDUvw_10_16"/>
      <w:bookmarkStart w:id="579" w:name="Tc_QtcA4enr3U6kKbe2x6GBSQ_10_10"/>
      <w:bookmarkStart w:id="580" w:name="Tc_qnnnPfZZQ0KSvNwwkJdIYg_10_5"/>
      <w:bookmarkStart w:id="581" w:name="Tc_X1-G9KHyCUKMZMnP4bWYzA_10_2"/>
      <w:bookmarkStart w:id="582" w:name="Tc_CTuUM5SDUkWEfY5C6Lkhdg_10_0"/>
      <w:bookmarkStart w:id="583" w:name="Tc_APJ14ZBP9kWzXuRUiX72Jw_9_19"/>
      <w:bookmarkStart w:id="584" w:name="Tc_ujz4W0EJu0at_LCXWBI8-Q_9_16"/>
      <w:bookmarkStart w:id="585" w:name="Tc_tJMd2AAPp0u5k4R7ri--fg_9_13"/>
      <w:bookmarkStart w:id="586" w:name="Tc_4q0PCBSWWUioeWT3nXAkVA_9_10"/>
      <w:bookmarkStart w:id="587" w:name="Tc_mebrEHkkikK4fVaD48UWNg_9_5"/>
      <w:bookmarkStart w:id="588" w:name="Tc_MQb706QeWEe6iGXdHw7W6w_9_2"/>
      <w:bookmarkStart w:id="589" w:name="Tc_ir6hByL1KEekAcuFqV6Tow_9_0"/>
      <w:bookmarkStart w:id="590" w:name="Tc_YzP9_1cjaUS0CQBupMq0IA_8_16"/>
      <w:bookmarkStart w:id="591" w:name="Tc_gsfUaR_MPkublCcKnd32JQ_8_10"/>
      <w:bookmarkStart w:id="592" w:name="Tc_ONgyiQdk4UyvMYF5n3-gVQ_8_7"/>
      <w:bookmarkStart w:id="593" w:name="Tc_P-O7MxU1JEmOhiesv0Hw6Q_8_5"/>
      <w:bookmarkStart w:id="594" w:name="Tc_AakhWsj7tUOKVieP2YBLww_8_2"/>
      <w:bookmarkStart w:id="595" w:name="Tc_1J6Q6cP_F0eMtiPDBFPpjA_8_0"/>
      <w:bookmarkStart w:id="596" w:name="Tc_nLzLK8UqTkW_o30x_xlygQ_7_16"/>
      <w:bookmarkStart w:id="597" w:name="Tc_3vDd2Womc0muxvKkXhABYQ_7_10"/>
      <w:bookmarkStart w:id="598" w:name="Tc_QbPaEH89r0e5ch-eFn49tQ_7_5"/>
      <w:bookmarkStart w:id="599" w:name="Tc_WRyFhEx2qUqg9IneUyqLOw_7_2"/>
      <w:bookmarkStart w:id="600" w:name="Tc_DCU1kIVzk0yTxByaR-hRyw_7_0"/>
      <w:bookmarkStart w:id="601" w:name="Tc_EzTuTbOj9ECxzN4-DdFlBw_6_5"/>
      <w:bookmarkStart w:id="602" w:name="Tc_AXL8nvUOoEajrF_guyNqcA_6_2"/>
      <w:bookmarkStart w:id="603" w:name="Tc_M6NsnNQ_3Eeu_4Ag_3Misg_6_0"/>
      <w:bookmarkStart w:id="604" w:name="Tc_F_eKMiDfnEaQ1Y9HJSYWSQ_5_19"/>
      <w:bookmarkStart w:id="605" w:name="Tc_UV7KyxIYSEyFUFwOwkOJag_5_16"/>
      <w:bookmarkStart w:id="606" w:name="Tc_cMFOKEZ2CkKJ3UzBahy_jQ_5_0"/>
      <w:bookmarkStart w:id="607" w:name="Tc_vpk78s4TfUCd1opSV9rtGg_4_18"/>
      <w:bookmarkStart w:id="608" w:name="Tc_jPc6claNQ0C_wg9OUklUBQ_4_15"/>
      <w:bookmarkStart w:id="609" w:name="Tc_GmjWvflLT0yKv5s3nzW4iA_4_12"/>
      <w:bookmarkStart w:id="610" w:name="Tc_UgfhA3yHgUKUbOXFGUmm9Q_4_9"/>
      <w:bookmarkStart w:id="611" w:name="Tc_x3it3pOnlk2ndbvvSf2aFg_4_4"/>
      <w:bookmarkStart w:id="612" w:name="Tc_1q-eJbDDYUS9nUovDkO7Cg_4_0"/>
      <w:bookmarkStart w:id="613" w:name="Tc_X6lSe5b1-0u6nipZn7N5zA_3_18"/>
      <w:bookmarkStart w:id="614" w:name="Tc_Jksj5jHSYEe2yzi0vXIg4A_3_15"/>
      <w:bookmarkStart w:id="615" w:name="Tc_zJBHm79vC0yFi3kN3mun6w_3_12"/>
      <w:bookmarkStart w:id="616" w:name="Tc_f-JvAvsxsE-_7-ieGwqv-w_3_9"/>
      <w:bookmarkStart w:id="617" w:name="Tc_ek8-1lgYB0OGbWNL1YCaOQ_3_7"/>
      <w:bookmarkStart w:id="618" w:name="Tc_pbbIpUfy50OtK09tE1Li1w_3_4"/>
      <w:bookmarkStart w:id="619" w:name="Tc_WSfmfuC72kqminsQk3uxxg_3_2"/>
      <w:bookmarkStart w:id="620" w:name="Tc_Ctk11mrO10OOhTZiUNmD4g_2_18"/>
      <w:bookmarkStart w:id="621" w:name="Tc_uhnryJIcUEiwkdznNWNH0w_2_15"/>
      <w:bookmarkStart w:id="622" w:name="Tc_vmwziiioM0CgJ8-vxSRrvQ_2_12"/>
      <w:bookmarkStart w:id="623" w:name="Tc_0aYcSYXZaEa2LwsOzDr_JQ_2_7"/>
      <w:bookmarkStart w:id="624" w:name="Tc_sWe_BX8h5EWGNgMdUFDC8g_2_2"/>
      <w:bookmarkStart w:id="625" w:name="Tc_OgsUBHXBNEar432Ys_CDJw_1_18"/>
      <w:bookmarkStart w:id="626" w:name="Tc_nrz6CCWbk0itb91G5VoY-A_1_12"/>
      <w:bookmarkStart w:id="627" w:name="Tc_PdPhyfhc_0efrAu1zEdD1g_1_2"/>
      <w:bookmarkStart w:id="628" w:name="_8e0f061d_b181_47e1_a7ef_82a35bbb2250"/>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tbl>
      <w:tblPr>
        <w:tblW w:w="10205" w:type="dxa"/>
        <w:jc w:val="left"/>
        <w:tblInd w:w="0" w:type="dxa"/>
        <w:tblLayout w:type="fixed"/>
        <w:tblCellMar>
          <w:top w:w="0" w:type="dxa"/>
          <w:left w:w="0" w:type="dxa"/>
          <w:bottom w:w="0" w:type="dxa"/>
          <w:right w:w="0" w:type="dxa"/>
        </w:tblCellMar>
      </w:tblPr>
      <w:tblGrid>
        <w:gridCol w:w="1626"/>
        <w:gridCol w:w="326"/>
        <w:gridCol w:w="977"/>
        <w:gridCol w:w="326"/>
        <w:gridCol w:w="249"/>
        <w:gridCol w:w="442"/>
        <w:gridCol w:w="326"/>
        <w:gridCol w:w="916"/>
        <w:gridCol w:w="326"/>
        <w:gridCol w:w="249"/>
        <w:gridCol w:w="442"/>
        <w:gridCol w:w="326"/>
        <w:gridCol w:w="196"/>
        <w:gridCol w:w="691"/>
        <w:gridCol w:w="326"/>
        <w:gridCol w:w="217"/>
        <w:gridCol w:w="834"/>
        <w:gridCol w:w="326"/>
        <w:gridCol w:w="213"/>
        <w:gridCol w:w="871"/>
      </w:tblGrid>
      <w:tr>
        <w:trPr/>
        <w:tc>
          <w:tcPr>
            <w:tcW w:w="1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032510" cy="175260"/>
                      <wp:effectExtent l="0" t="0" r="0" b="0"/>
                      <wp:wrapNone/>
                      <wp:docPr id="41" name="Frame41"/>
                      <a:graphic xmlns:a="http://schemas.openxmlformats.org/drawingml/2006/main">
                        <a:graphicData uri="http://schemas.microsoft.com/office/word/2010/wordprocessingShape">
                          <wps:wsp>
                            <wps:cNvSpPr txBox="1"/>
                            <wps:spPr>
                              <a:xfrm>
                                <a:off x="0" y="0"/>
                                <a:ext cx="103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20395" cy="175260"/>
                      <wp:effectExtent l="0" t="0" r="0" b="0"/>
                      <wp:wrapNone/>
                      <wp:docPr id="43" name="Frame43"/>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115" cy="175260"/>
                      <wp:effectExtent l="0" t="0" r="0" b="0"/>
                      <wp:wrapNone/>
                      <wp:docPr id="45" name="Frame4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0670" cy="175260"/>
                      <wp:effectExtent l="0" t="0" r="0" b="0"/>
                      <wp:wrapNone/>
                      <wp:docPr id="46" name="Frame4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81660" cy="175260"/>
                      <wp:effectExtent l="0" t="0" r="0" b="0"/>
                      <wp:wrapNone/>
                      <wp:docPr id="48" name="Frame4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8115" cy="175260"/>
                      <wp:effectExtent l="0" t="0" r="0" b="0"/>
                      <wp:wrapNone/>
                      <wp:docPr id="50" name="Frame5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80670" cy="175260"/>
                      <wp:effectExtent l="0" t="0" r="0" b="0"/>
                      <wp:wrapNone/>
                      <wp:docPr id="51" name="Frame5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38785" cy="175260"/>
                      <wp:effectExtent l="0" t="0" r="0" b="0"/>
                      <wp:wrapNone/>
                      <wp:docPr id="54" name="Frame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7795" cy="175260"/>
                      <wp:effectExtent l="0" t="0" r="0" b="0"/>
                      <wp:wrapNone/>
                      <wp:docPr id="56" name="Frame5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29590" cy="175260"/>
                      <wp:effectExtent l="0" t="0" r="0" b="0"/>
                      <wp:wrapNone/>
                      <wp:docPr id="57" name="Frame5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5255" cy="175260"/>
                      <wp:effectExtent l="0" t="0" r="0" b="0"/>
                      <wp:wrapNone/>
                      <wp:docPr id="59" name="Frame5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53085" cy="175260"/>
                      <wp:effectExtent l="0" t="0" r="0" b="0"/>
                      <wp:wrapNone/>
                      <wp:docPr id="60" name="Frame6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9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0"/>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6,196,257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78,290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(122,459)</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Recapitalization upon Merger </w:t>
            </w:r>
          </w:p>
        </w:tc>
        <w:tc>
          <w:tcPr>
            <w:tcW w:w="326" w:type="dxa"/>
            <w:tcBorders/>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21,778,182</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balance,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27,974,439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78,321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(122,459)</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146,823</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of issued warrants 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net exercise of warrants</w:t>
            </w:r>
          </w:p>
        </w:tc>
        <w:tc>
          <w:tcPr>
            <w:tcW w:w="32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136,681</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133,333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upon vesting of restricted stock units </w:t>
            </w:r>
          </w:p>
        </w:tc>
        <w:tc>
          <w:tcPr>
            <w:tcW w:w="32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488,598</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shares and transfer of warrants upon termination of convertible note agreement </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323,968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2,412</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Conversion of convertible notes into common stock </w:t>
            </w:r>
          </w:p>
        </w:tc>
        <w:tc>
          <w:tcPr>
            <w:tcW w:w="32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8,147,938</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41,391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41,392</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Warrants issued with Credit Agreement </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Reclassification of liability classified warrants to equity </w:t>
            </w:r>
          </w:p>
        </w:tc>
        <w:tc>
          <w:tcPr>
            <w:tcW w:w="32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Contribution by shareholder in conjunction with Credit Agreement </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Earnout shares stock-based compensation </w:t>
            </w:r>
          </w:p>
        </w:tc>
        <w:tc>
          <w:tcPr>
            <w:tcW w:w="32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1,874</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1,874</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Merger and PIPE Financing </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13,879,828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35,737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35,738</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3,461</w:t>
            </w:r>
          </w:p>
        </w:tc>
      </w:tr>
      <w:tr>
        <w:trPr/>
        <w:tc>
          <w:tcPr>
            <w:tcW w:w="16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17,760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17,760</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2022</w:t>
            </w:r>
          </w:p>
        </w:tc>
        <w:tc>
          <w:tcPr>
            <w:tcW w:w="326" w:type="dxa"/>
            <w:tcBorders/>
            <w:vAlign w:val="center"/>
          </w:tcPr>
          <w:p>
            <w:pPr>
              <w:pStyle w:val="TableContents"/>
              <w:bidi w:val="0"/>
              <w:spacing w:before="0" w:after="0"/>
              <w:ind w:left="0" w:right="0" w:hanging="0"/>
              <w:jc w:val="left"/>
              <w:rPr/>
            </w:pPr>
            <w:r>
              <w:rPr/>
              <w:t> </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51,231,608</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170,794</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(183,023)</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(12,224)</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9" w:name="_753460fd_507b_4870_bfe2_ba81432b4bf7"/>
      <w:bookmarkEnd w:id="629"/>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30" w:name="Tc_uASUA8q5t0aYc9iM6Gh7NQ_13_13"/>
      <w:bookmarkStart w:id="631" w:name="Tc_46akwA9GdEG1oBMBYjRtzg_13_10"/>
      <w:bookmarkStart w:id="632" w:name="Tc_lq5sAVb-iUKxij_vNMMgqw_13_7"/>
      <w:bookmarkStart w:id="633" w:name="Tc_5CgrB5B7TE-DH4m5QYJVdg_13_4"/>
      <w:bookmarkStart w:id="634" w:name="Tc_f_Zo3RUmFkmrRU14AEJzMw_13_0"/>
      <w:bookmarkStart w:id="635" w:name="Tc_iKA1pCCyakuCSRhxX2emAA_12_8"/>
      <w:bookmarkStart w:id="636" w:name="Tc_2-CQJ5Yo8kGluBre7EtVFw_12_5"/>
      <w:bookmarkStart w:id="637" w:name="Tc_kTyh0QMSe0mX6ig48BsbhQ_12_2"/>
      <w:bookmarkStart w:id="638" w:name="Tc_yRKLti-SP0q-4W68aMO4Zw_12_0"/>
      <w:bookmarkStart w:id="639" w:name="Tc_RCcVOlguQEKkqfTOne5rvQ_11_11"/>
      <w:bookmarkStart w:id="640" w:name="Tc_8xOmsUaNXkycCJt11IVddQ_11_5"/>
      <w:bookmarkStart w:id="641" w:name="Tc_4O4-4RxVaUCtz0yzBDnixQ_11_2"/>
      <w:bookmarkStart w:id="642" w:name="Tc_YTw1eqyPnU6dLiTs18cyrQ_11_0"/>
      <w:bookmarkStart w:id="643" w:name="Tc_qKtmmuhvx0y5pKAgf4pBoA_10_11"/>
      <w:bookmarkStart w:id="644" w:name="Tc_VHBe5FBbl0yhF9JSV8wKBQ_10_5"/>
      <w:bookmarkStart w:id="645" w:name="Tc_SusmFskFwkC-hMYPNExmkA_10_2"/>
      <w:bookmarkStart w:id="646" w:name="Tc_jX120hsctEiIFBbF0OO2-w_10_0"/>
      <w:bookmarkStart w:id="647" w:name="Tc_bHUEeOwF00usEzKHqV0orA_9_14"/>
      <w:bookmarkStart w:id="648" w:name="Tc_tRPNfvT8PU-bsj7WV1Y-dQ_9_11"/>
      <w:bookmarkStart w:id="649" w:name="Tc_hf6GIxSemEuqJVm3mf6UmQ_9_8"/>
      <w:bookmarkStart w:id="650" w:name="Tc_tsfNbJWPhUeswBj2WW5OCw_9_5"/>
      <w:bookmarkStart w:id="651" w:name="Tc_wnGaKlIKs0C6TWtZp6wk1g_9_0"/>
      <w:bookmarkStart w:id="652" w:name="Tc_sk6VpwurD021NEUUc6q2QA_8_11"/>
      <w:bookmarkStart w:id="653" w:name="Tc_jIL-S03eFUKiW2pL642N3A_8_0"/>
      <w:bookmarkStart w:id="654" w:name="Tc_3DfDklnbbEuNN1OEahR2Rg_7_11"/>
      <w:bookmarkStart w:id="655" w:name="Tc_7QMRCq1j50OlzkAA-0zMuQ_7_5"/>
      <w:bookmarkStart w:id="656" w:name="Tc_DRlnXnzR3UiqTG48dSytPQ_7_2"/>
      <w:bookmarkStart w:id="657" w:name="Tc_Gpin6b2lkUSnT2pR2fl0kA_7_0"/>
      <w:bookmarkStart w:id="658" w:name="Tc__WDySuooDkG3i9QocFPZNA_6_14"/>
      <w:bookmarkStart w:id="659" w:name="Tc_aQPgff-pPUOfPVIKWA0_GA_6_11"/>
      <w:bookmarkStart w:id="660" w:name="Tc_xNkluDifS0uQAeGbjgAUEA_6_8"/>
      <w:bookmarkStart w:id="661" w:name="Tc_EWwuIm__wEy-HJ2Ev6hwLQ_6_5"/>
      <w:bookmarkStart w:id="662" w:name="Tc_efSXeWj8QUaA349P55mQ2Q_6_0"/>
      <w:bookmarkStart w:id="663" w:name="Tc_fS--2nYW40q1c2PmqspmyA_5_11"/>
      <w:bookmarkStart w:id="664" w:name="Tc_JF5b4o12hEy9fmvb63mBNg_5_5"/>
      <w:bookmarkStart w:id="665" w:name="Tc_5W1maVbjck2w5wlmzXEE2A_5_0"/>
      <w:bookmarkStart w:id="666" w:name="Tc_V1EtgmwVEUmjAwC6nTbT7A_4_13"/>
      <w:bookmarkStart w:id="667" w:name="Tc_MSjmY8Ie3keWk7Fbteg6_A_4_10"/>
      <w:bookmarkStart w:id="668" w:name="Tc_zI7IJyw840mnFUI9e_BCHw_4_7"/>
      <w:bookmarkStart w:id="669" w:name="Tc_VdYy7mFSH0i9121OwGAiRw_4_4"/>
      <w:bookmarkStart w:id="670" w:name="Tc_WlTErDB-e0emiS5naGFtMA_4_0"/>
      <w:bookmarkStart w:id="671" w:name="Tc_s0mYpwW2xEGwydlPCv5kSQ_3_13"/>
      <w:bookmarkStart w:id="672" w:name="Tc_PhGqhFyZVECIQhKhbmvsQg_3_10"/>
      <w:bookmarkStart w:id="673" w:name="Tc_GjVNH_bpi0a4og7Li3dJmQ_3_7"/>
      <w:bookmarkStart w:id="674" w:name="Tc_2mLrWstEFUOXZo1hfSlGsw_3_4"/>
      <w:bookmarkStart w:id="675" w:name="Tc_dsCj5AtebUCnoK6OzwKDcw_3_2"/>
      <w:bookmarkStart w:id="676" w:name="Tc_rIxHqC7-U0awiz410kOrpQ_2_13"/>
      <w:bookmarkStart w:id="677" w:name="Tc_af7tA1NleU-6f6VaZoldCw_2_10"/>
      <w:bookmarkStart w:id="678" w:name="Tc_MXCJw5TBkEqCgP3NQGdHSQ_2_7"/>
      <w:bookmarkStart w:id="679" w:name="Tc_U8pg5T2p2EiWSA763JS5iQ_2_2"/>
      <w:bookmarkStart w:id="680" w:name="Tc_980q2uM2sUGVXbQ_rXZmJw_1_13"/>
      <w:bookmarkStart w:id="681" w:name="Tc_csi3E1MGA0GSChL2utJntg_1_7"/>
      <w:bookmarkStart w:id="682" w:name="_90daeb7d_b4dc_4851_adb2_10ebcddc3391"/>
      <w:bookmarkStart w:id="683" w:name="Tc_uASUA8q5t0aYc9iM6Gh7NQ_13_13"/>
      <w:bookmarkStart w:id="684" w:name="Tc_46akwA9GdEG1oBMBYjRtzg_13_10"/>
      <w:bookmarkStart w:id="685" w:name="Tc_lq5sAVb-iUKxij_vNMMgqw_13_7"/>
      <w:bookmarkStart w:id="686" w:name="Tc_5CgrB5B7TE-DH4m5QYJVdg_13_4"/>
      <w:bookmarkStart w:id="687" w:name="Tc_f_Zo3RUmFkmrRU14AEJzMw_13_0"/>
      <w:bookmarkStart w:id="688" w:name="Tc_iKA1pCCyakuCSRhxX2emAA_12_8"/>
      <w:bookmarkStart w:id="689" w:name="Tc_2-CQJ5Yo8kGluBre7EtVFw_12_5"/>
      <w:bookmarkStart w:id="690" w:name="Tc_kTyh0QMSe0mX6ig48BsbhQ_12_2"/>
      <w:bookmarkStart w:id="691" w:name="Tc_yRKLti-SP0q-4W68aMO4Zw_12_0"/>
      <w:bookmarkStart w:id="692" w:name="Tc_RCcVOlguQEKkqfTOne5rvQ_11_11"/>
      <w:bookmarkStart w:id="693" w:name="Tc_8xOmsUaNXkycCJt11IVddQ_11_5"/>
      <w:bookmarkStart w:id="694" w:name="Tc_4O4-4RxVaUCtz0yzBDnixQ_11_2"/>
      <w:bookmarkStart w:id="695" w:name="Tc_YTw1eqyPnU6dLiTs18cyrQ_11_0"/>
      <w:bookmarkStart w:id="696" w:name="Tc_qKtmmuhvx0y5pKAgf4pBoA_10_11"/>
      <w:bookmarkStart w:id="697" w:name="Tc_VHBe5FBbl0yhF9JSV8wKBQ_10_5"/>
      <w:bookmarkStart w:id="698" w:name="Tc_SusmFskFwkC-hMYPNExmkA_10_2"/>
      <w:bookmarkStart w:id="699" w:name="Tc_jX120hsctEiIFBbF0OO2-w_10_0"/>
      <w:bookmarkStart w:id="700" w:name="Tc_bHUEeOwF00usEzKHqV0orA_9_14"/>
      <w:bookmarkStart w:id="701" w:name="Tc_tRPNfvT8PU-bsj7WV1Y-dQ_9_11"/>
      <w:bookmarkStart w:id="702" w:name="Tc_hf6GIxSemEuqJVm3mf6UmQ_9_8"/>
      <w:bookmarkStart w:id="703" w:name="Tc_tsfNbJWPhUeswBj2WW5OCw_9_5"/>
      <w:bookmarkStart w:id="704" w:name="Tc_wnGaKlIKs0C6TWtZp6wk1g_9_0"/>
      <w:bookmarkStart w:id="705" w:name="Tc_sk6VpwurD021NEUUc6q2QA_8_11"/>
      <w:bookmarkStart w:id="706" w:name="Tc_jIL-S03eFUKiW2pL642N3A_8_0"/>
      <w:bookmarkStart w:id="707" w:name="Tc_3DfDklnbbEuNN1OEahR2Rg_7_11"/>
      <w:bookmarkStart w:id="708" w:name="Tc_7QMRCq1j50OlzkAA-0zMuQ_7_5"/>
      <w:bookmarkStart w:id="709" w:name="Tc_DRlnXnzR3UiqTG48dSytPQ_7_2"/>
      <w:bookmarkStart w:id="710" w:name="Tc_Gpin6b2lkUSnT2pR2fl0kA_7_0"/>
      <w:bookmarkStart w:id="711" w:name="Tc__WDySuooDkG3i9QocFPZNA_6_14"/>
      <w:bookmarkStart w:id="712" w:name="Tc_aQPgff-pPUOfPVIKWA0_GA_6_11"/>
      <w:bookmarkStart w:id="713" w:name="Tc_xNkluDifS0uQAeGbjgAUEA_6_8"/>
      <w:bookmarkStart w:id="714" w:name="Tc_EWwuIm__wEy-HJ2Ev6hwLQ_6_5"/>
      <w:bookmarkStart w:id="715" w:name="Tc_efSXeWj8QUaA349P55mQ2Q_6_0"/>
      <w:bookmarkStart w:id="716" w:name="Tc_fS--2nYW40q1c2PmqspmyA_5_11"/>
      <w:bookmarkStart w:id="717" w:name="Tc_JF5b4o12hEy9fmvb63mBNg_5_5"/>
      <w:bookmarkStart w:id="718" w:name="Tc_5W1maVbjck2w5wlmzXEE2A_5_0"/>
      <w:bookmarkStart w:id="719" w:name="Tc_V1EtgmwVEUmjAwC6nTbT7A_4_13"/>
      <w:bookmarkStart w:id="720" w:name="Tc_MSjmY8Ie3keWk7Fbteg6_A_4_10"/>
      <w:bookmarkStart w:id="721" w:name="Tc_zI7IJyw840mnFUI9e_BCHw_4_7"/>
      <w:bookmarkStart w:id="722" w:name="Tc_VdYy7mFSH0i9121OwGAiRw_4_4"/>
      <w:bookmarkStart w:id="723" w:name="Tc_WlTErDB-e0emiS5naGFtMA_4_0"/>
      <w:bookmarkStart w:id="724" w:name="Tc_s0mYpwW2xEGwydlPCv5kSQ_3_13"/>
      <w:bookmarkStart w:id="725" w:name="Tc_PhGqhFyZVECIQhKhbmvsQg_3_10"/>
      <w:bookmarkStart w:id="726" w:name="Tc_GjVNH_bpi0a4og7Li3dJmQ_3_7"/>
      <w:bookmarkStart w:id="727" w:name="Tc_2mLrWstEFUOXZo1hfSlGsw_3_4"/>
      <w:bookmarkStart w:id="728" w:name="Tc_dsCj5AtebUCnoK6OzwKDcw_3_2"/>
      <w:bookmarkStart w:id="729" w:name="Tc_rIxHqC7-U0awiz410kOrpQ_2_13"/>
      <w:bookmarkStart w:id="730" w:name="Tc_af7tA1NleU-6f6VaZoldCw_2_10"/>
      <w:bookmarkStart w:id="731" w:name="Tc_MXCJw5TBkEqCgP3NQGdHSQ_2_7"/>
      <w:bookmarkStart w:id="732" w:name="Tc_U8pg5T2p2EiWSA763JS5iQ_2_2"/>
      <w:bookmarkStart w:id="733" w:name="Tc_980q2uM2sUGVXbQ_rXZmJw_1_13"/>
      <w:bookmarkStart w:id="734" w:name="Tc_csi3E1MGA0GSChL2utJntg_1_7"/>
      <w:bookmarkStart w:id="735" w:name="_90daeb7d_b4dc_4851_adb2_10ebcddc3391"/>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tbl>
      <w:tblPr>
        <w:tblW w:w="10205" w:type="dxa"/>
        <w:jc w:val="left"/>
        <w:tblInd w:w="0" w:type="dxa"/>
        <w:tblLayout w:type="fixed"/>
        <w:tblCellMar>
          <w:top w:w="0" w:type="dxa"/>
          <w:left w:w="0" w:type="dxa"/>
          <w:bottom w:w="0" w:type="dxa"/>
          <w:right w:w="0" w:type="dxa"/>
        </w:tblCellMar>
      </w:tblPr>
      <w:tblGrid>
        <w:gridCol w:w="3903"/>
        <w:gridCol w:w="326"/>
        <w:gridCol w:w="916"/>
        <w:gridCol w:w="326"/>
        <w:gridCol w:w="249"/>
        <w:gridCol w:w="442"/>
        <w:gridCol w:w="326"/>
        <w:gridCol w:w="196"/>
        <w:gridCol w:w="691"/>
        <w:gridCol w:w="326"/>
        <w:gridCol w:w="217"/>
        <w:gridCol w:w="834"/>
        <w:gridCol w:w="326"/>
        <w:gridCol w:w="243"/>
        <w:gridCol w:w="884"/>
      </w:tblGrid>
      <w:tr>
        <w:trPr/>
        <w:tc>
          <w:tcPr>
            <w:tcW w:w="3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478405" cy="175260"/>
                      <wp:effectExtent l="0" t="0" r="0" b="0"/>
                      <wp:wrapNone/>
                      <wp:docPr id="61" name="Frame61"/>
                      <a:graphic xmlns:a="http://schemas.openxmlformats.org/drawingml/2006/main">
                        <a:graphicData uri="http://schemas.microsoft.com/office/word/2010/wordprocessingShape">
                          <wps:wsp>
                            <wps:cNvSpPr txBox="1"/>
                            <wps:spPr>
                              <a:xfrm>
                                <a:off x="0" y="0"/>
                                <a:ext cx="2478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81660" cy="175260"/>
                      <wp:effectExtent l="0" t="0" r="0" b="0"/>
                      <wp:wrapNone/>
                      <wp:docPr id="63" name="Frame6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8115" cy="175260"/>
                      <wp:effectExtent l="0" t="0" r="0" b="0"/>
                      <wp:wrapNone/>
                      <wp:docPr id="65" name="Frame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80670" cy="175260"/>
                      <wp:effectExtent l="0" t="0" r="0" b="0"/>
                      <wp:wrapNone/>
                      <wp:docPr id="66" name="Frame6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8785" cy="175260"/>
                      <wp:effectExtent l="0" t="0" r="0" b="0"/>
                      <wp:wrapNone/>
                      <wp:docPr id="69" name="Frame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7795" cy="175260"/>
                      <wp:effectExtent l="0" t="0" r="0" b="0"/>
                      <wp:wrapNone/>
                      <wp:docPr id="71" name="Frame7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29590" cy="175260"/>
                      <wp:effectExtent l="0" t="0" r="0" b="0"/>
                      <wp:wrapNone/>
                      <wp:docPr id="72" name="Frame7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4305" cy="175260"/>
                      <wp:effectExtent l="0" t="0" r="0" b="0"/>
                      <wp:wrapNone/>
                      <wp:docPr id="74" name="Frame7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1340" cy="175260"/>
                      <wp:effectExtent l="0" t="0" r="0" b="0"/>
                      <wp:wrapNone/>
                      <wp:docPr id="75" name="Frame7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39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57,855,594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193,812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(229,891)</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(36,073)</w:t>
            </w:r>
          </w:p>
        </w:tc>
      </w:tr>
      <w:tr>
        <w:trPr/>
        <w:tc>
          <w:tcPr>
            <w:tcW w:w="39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1,086,912</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r>
      <w:tr>
        <w:trPr/>
        <w:tc>
          <w:tcPr>
            <w:tcW w:w="39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643,122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pPr>
            <w:r>
              <w:rPr/>
              <w:t>—</w:t>
            </w:r>
          </w:p>
        </w:tc>
      </w:tr>
      <w:tr>
        <w:trPr/>
        <w:tc>
          <w:tcPr>
            <w:tcW w:w="39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Warrants issued to customer</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r>
      <w:tr>
        <w:trPr/>
        <w:tc>
          <w:tcPr>
            <w:tcW w:w="39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$1,129</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8,870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8,871</w:t>
            </w:r>
          </w:p>
        </w:tc>
      </w:tr>
      <w:tr>
        <w:trPr/>
        <w:tc>
          <w:tcPr>
            <w:tcW w:w="39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to Zaffran Special Opportunities, LLC</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r>
      <w:tr>
        <w:trPr/>
        <w:tc>
          <w:tcPr>
            <w:tcW w:w="39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Earnout shares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1,322</w:t>
            </w:r>
          </w:p>
        </w:tc>
      </w:tr>
      <w:tr>
        <w:trPr/>
        <w:tc>
          <w:tcPr>
            <w:tcW w:w="39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1,921</w:t>
            </w:r>
          </w:p>
        </w:tc>
      </w:tr>
      <w:tr>
        <w:trPr/>
        <w:tc>
          <w:tcPr>
            <w:tcW w:w="39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(18,054)</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(18,054)</w:t>
            </w:r>
          </w:p>
        </w:tc>
      </w:tr>
      <w:tr>
        <w:trPr/>
        <w:tc>
          <w:tcPr>
            <w:tcW w:w="39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2023</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70,335,628</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206,109</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(247,945)</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(41,829)</w:t>
            </w:r>
          </w:p>
        </w:tc>
      </w:tr>
    </w:tbl>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736" w:name="Tc_6cfDUTooWEmR9ZmpQQCWNw_11_18"/>
      <w:bookmarkStart w:id="737" w:name="Tc_NO7y0OQnl02g4oldaCB5Kw_11_15"/>
      <w:bookmarkStart w:id="738" w:name="Tc_I5JTC_Ycbk6hxETExcrO0w_11_12"/>
      <w:bookmarkStart w:id="739" w:name="Tc_hAD4aBW49E-aoLF5VbmnfQ_11_9"/>
      <w:bookmarkStart w:id="740" w:name="Tc_sXVMLIItcUOKB4jbVAhn5g_11_5"/>
      <w:bookmarkStart w:id="741" w:name="Tc_xNW3XaHe-UK5moVuSQRaAA_11_4"/>
      <w:bookmarkStart w:id="742" w:name="Tc_xptmPU8VxUuLDni8e7Nhvg_11_2"/>
      <w:bookmarkStart w:id="743" w:name="Tc_5UzUs4w28U6GG6NQoC6dMw_11_0"/>
      <w:bookmarkStart w:id="744" w:name="Tc_iad7WvnCNkm7J84bZEenZQ_10_13"/>
      <w:bookmarkStart w:id="745" w:name="Tc_x9TzmmMyRki0Nx5ha2MxoQ_10_10"/>
      <w:bookmarkStart w:id="746" w:name="Tc_zl6m-I4mxU6q5ufrFb53ig_10_7"/>
      <w:bookmarkStart w:id="747" w:name="Tc_qRwoL1Nn_0Gi3UFWsc04rw_10_5"/>
      <w:bookmarkStart w:id="748" w:name="Tc_NryiG3Lj9k-JYXRgZo3kmg_10_2"/>
      <w:bookmarkStart w:id="749" w:name="Tc_ANqqbchmP0K3_1bvQL-bOg_10_0"/>
      <w:bookmarkStart w:id="750" w:name="Tc_MxIExACuKUK-m7qQ7uK8XQ_9_16"/>
      <w:bookmarkStart w:id="751" w:name="Tc_ny7kGU0aWkC7yLdnjKm2Yw_9_10"/>
      <w:bookmarkStart w:id="752" w:name="Tc_xNC7Cgg3wUypRQWF-HTTBg_9_7"/>
      <w:bookmarkStart w:id="753" w:name="Tc_sJPdLGgi3kaZfiFEXYnO5g_9_5"/>
      <w:bookmarkStart w:id="754" w:name="Tc_5qcnLyJ6hUe3bHTLwJqlJw_9_2"/>
      <w:bookmarkStart w:id="755" w:name="Tc_YpAaLdY1eUmq7Gb0qRa_1A_9_0"/>
      <w:bookmarkStart w:id="756" w:name="Tc_4a1sDVO7YEWyuDyLCILulw_8_16"/>
      <w:bookmarkStart w:id="757" w:name="Tc_Y3MGqdOJ7kiwSHjJ0TN_Dg_8_10"/>
      <w:bookmarkStart w:id="758" w:name="Tc_f4ahw9AMt0ugbl-9qeUjrw_8_7"/>
      <w:bookmarkStart w:id="759" w:name="Tc_9MRZRmtaQEGfOnwC4cWSPg_8_5"/>
      <w:bookmarkStart w:id="760" w:name="Tc_0v3Kf7fnzkqxM9V62MEfsg_8_2"/>
      <w:bookmarkStart w:id="761" w:name="Tc_QcjDkm1240Wir5I06oPilQ_8_0"/>
      <w:bookmarkStart w:id="762" w:name="Tc_Sb69mB4PhUy7XXZdOL30aA_7_16"/>
      <w:bookmarkStart w:id="763" w:name="Tc_EuLpaJSNZkuXT33myY6LKA_7_10"/>
      <w:bookmarkStart w:id="764" w:name="Tc_nDtYjU7jG0eh9oXUJVYkfQ_7_7"/>
      <w:bookmarkStart w:id="765" w:name="Tc_o_yFAY04i0qqCUCA2Qbd2g_7_5"/>
      <w:bookmarkStart w:id="766" w:name="Tc_-v_wQEohekWjzVFDMFw4Tw_7_2"/>
      <w:bookmarkStart w:id="767" w:name="Tc_6YXf2ie6CUGb4-2YuqZBWg_7_0"/>
      <w:bookmarkStart w:id="768" w:name="Tc__nDx7C1py0-uGMuW4wpIkg_6_19"/>
      <w:bookmarkStart w:id="769" w:name="Tc_i5jfzHqaI0GMfS_T6-m6dA_6_16"/>
      <w:bookmarkStart w:id="770" w:name="Tc_q3FsQ4NKJ0uNcWNRQgWjVw_6_13"/>
      <w:bookmarkStart w:id="771" w:name="Tc_aQgoKaTXrEugRjRTGhy_uQ_6_10"/>
      <w:bookmarkStart w:id="772" w:name="Tc_oXTr_s_vBU2BTqAalBkDyQ_6_5"/>
      <w:bookmarkStart w:id="773" w:name="Tc_1fthFPW74EaU3EgeynB5mg_6_2"/>
      <w:bookmarkStart w:id="774" w:name="Tc_xJ3loUjgA0SgOjYY6VfbyQ_6_0"/>
      <w:bookmarkStart w:id="775" w:name="Tc_IW3AtC-XZEyH_xw7MD9qpQ_5_16"/>
      <w:bookmarkStart w:id="776" w:name="Tc_lprb2mvNHUOvrfRAuDO18Q_5_10"/>
      <w:bookmarkStart w:id="777" w:name="Tc_RuHJsXaUaEC8XA0irjMQIg_5_5"/>
      <w:bookmarkStart w:id="778" w:name="Tc_giwXh_nkAkm1G8HSwJkW1A_5_2"/>
      <w:bookmarkStart w:id="779" w:name="Tc_gZP141p0EE2vO7h-uF6rfA_5_0"/>
      <w:bookmarkStart w:id="780" w:name="Tc_5hyvUPwNv0aSp7C7HMaqww_4_5"/>
      <w:bookmarkStart w:id="781" w:name="Tc_FNsxBnMeHU2uqDPlXhY03A_4_4"/>
      <w:bookmarkStart w:id="782" w:name="Tc_IAQFuUMvEUG0D0qXNhRvIg_4_2"/>
      <w:bookmarkStart w:id="783" w:name="Tc_Q4h54FaWEEuhEvP9pAg-GQ_4_0"/>
      <w:bookmarkStart w:id="784" w:name="Tc_6pME0HS1iUC8Kdt36cbA3g_3_18"/>
      <w:bookmarkStart w:id="785" w:name="Tc_U8-Hf5BJgEm1dJcKsPa79Q_3_15"/>
      <w:bookmarkStart w:id="786" w:name="Tc_QnaG5ry2gUS4moXaDlE75w_3_12"/>
      <w:bookmarkStart w:id="787" w:name="Tc_GjSwoY0XZEKcHH1zobGObw_3_9"/>
      <w:bookmarkStart w:id="788" w:name="Tc_4eCT5TJg60GlpnaXv87LCA_3_7"/>
      <w:bookmarkStart w:id="789" w:name="Tc_Rtrg6ctxOEithwwh2-oZ2w_3_4"/>
      <w:bookmarkStart w:id="790" w:name="Tc_mCqM5HVvf0uGDx3-qvtYIg_3_2"/>
      <w:bookmarkStart w:id="791" w:name="Tc_VCRjARZZVkOtp-5LElXc9A_2_18"/>
      <w:bookmarkStart w:id="792" w:name="Tc_XlA68K4ZaU2ZNO9oBD3_MQ_2_15"/>
      <w:bookmarkStart w:id="793" w:name="Tc_Y3iUYuOcUUGIZ-LqjB_Ksw_2_12"/>
      <w:bookmarkStart w:id="794" w:name="Tc__mpHh7OqbEeaOTWNohvgnQ_2_7"/>
      <w:bookmarkStart w:id="795" w:name="Tc_GumicMForEG4N7dAsiYdaA_2_2"/>
      <w:bookmarkStart w:id="796" w:name="Tc_8ZOgvHubEUu2wNEVNcvasg_1_18"/>
      <w:bookmarkStart w:id="797" w:name="Tc_Cu8UnpubU0G346KXEz4hDQ_1_12"/>
      <w:bookmarkStart w:id="798" w:name="Tc_Y_o8u7nX3EOWupSHfZn4hg_1_2"/>
      <w:bookmarkStart w:id="799" w:name="_5bb25ed4_ee16_4ff9_9dcb_6b6a556b388c"/>
      <w:bookmarkStart w:id="800" w:name="Tc_6cfDUTooWEmR9ZmpQQCWNw_11_18"/>
      <w:bookmarkStart w:id="801" w:name="Tc_NO7y0OQnl02g4oldaCB5Kw_11_15"/>
      <w:bookmarkStart w:id="802" w:name="Tc_I5JTC_Ycbk6hxETExcrO0w_11_12"/>
      <w:bookmarkStart w:id="803" w:name="Tc_hAD4aBW49E-aoLF5VbmnfQ_11_9"/>
      <w:bookmarkStart w:id="804" w:name="Tc_sXVMLIItcUOKB4jbVAhn5g_11_5"/>
      <w:bookmarkStart w:id="805" w:name="Tc_xNW3XaHe-UK5moVuSQRaAA_11_4"/>
      <w:bookmarkStart w:id="806" w:name="Tc_xptmPU8VxUuLDni8e7Nhvg_11_2"/>
      <w:bookmarkStart w:id="807" w:name="Tc_5UzUs4w28U6GG6NQoC6dMw_11_0"/>
      <w:bookmarkStart w:id="808" w:name="Tc_iad7WvnCNkm7J84bZEenZQ_10_13"/>
      <w:bookmarkStart w:id="809" w:name="Tc_x9TzmmMyRki0Nx5ha2MxoQ_10_10"/>
      <w:bookmarkStart w:id="810" w:name="Tc_zl6m-I4mxU6q5ufrFb53ig_10_7"/>
      <w:bookmarkStart w:id="811" w:name="Tc_qRwoL1Nn_0Gi3UFWsc04rw_10_5"/>
      <w:bookmarkStart w:id="812" w:name="Tc_NryiG3Lj9k-JYXRgZo3kmg_10_2"/>
      <w:bookmarkStart w:id="813" w:name="Tc_ANqqbchmP0K3_1bvQL-bOg_10_0"/>
      <w:bookmarkStart w:id="814" w:name="Tc_MxIExACuKUK-m7qQ7uK8XQ_9_16"/>
      <w:bookmarkStart w:id="815" w:name="Tc_ny7kGU0aWkC7yLdnjKm2Yw_9_10"/>
      <w:bookmarkStart w:id="816" w:name="Tc_xNC7Cgg3wUypRQWF-HTTBg_9_7"/>
      <w:bookmarkStart w:id="817" w:name="Tc_sJPdLGgi3kaZfiFEXYnO5g_9_5"/>
      <w:bookmarkStart w:id="818" w:name="Tc_5qcnLyJ6hUe3bHTLwJqlJw_9_2"/>
      <w:bookmarkStart w:id="819" w:name="Tc_YpAaLdY1eUmq7Gb0qRa_1A_9_0"/>
      <w:bookmarkStart w:id="820" w:name="Tc_4a1sDVO7YEWyuDyLCILulw_8_16"/>
      <w:bookmarkStart w:id="821" w:name="Tc_Y3MGqdOJ7kiwSHjJ0TN_Dg_8_10"/>
      <w:bookmarkStart w:id="822" w:name="Tc_f4ahw9AMt0ugbl-9qeUjrw_8_7"/>
      <w:bookmarkStart w:id="823" w:name="Tc_9MRZRmtaQEGfOnwC4cWSPg_8_5"/>
      <w:bookmarkStart w:id="824" w:name="Tc_0v3Kf7fnzkqxM9V62MEfsg_8_2"/>
      <w:bookmarkStart w:id="825" w:name="Tc_QcjDkm1240Wir5I06oPilQ_8_0"/>
      <w:bookmarkStart w:id="826" w:name="Tc_Sb69mB4PhUy7XXZdOL30aA_7_16"/>
      <w:bookmarkStart w:id="827" w:name="Tc_EuLpaJSNZkuXT33myY6LKA_7_10"/>
      <w:bookmarkStart w:id="828" w:name="Tc_nDtYjU7jG0eh9oXUJVYkfQ_7_7"/>
      <w:bookmarkStart w:id="829" w:name="Tc_o_yFAY04i0qqCUCA2Qbd2g_7_5"/>
      <w:bookmarkStart w:id="830" w:name="Tc_-v_wQEohekWjzVFDMFw4Tw_7_2"/>
      <w:bookmarkStart w:id="831" w:name="Tc_6YXf2ie6CUGb4-2YuqZBWg_7_0"/>
      <w:bookmarkStart w:id="832" w:name="Tc__nDx7C1py0-uGMuW4wpIkg_6_19"/>
      <w:bookmarkStart w:id="833" w:name="Tc_i5jfzHqaI0GMfS_T6-m6dA_6_16"/>
      <w:bookmarkStart w:id="834" w:name="Tc_q3FsQ4NKJ0uNcWNRQgWjVw_6_13"/>
      <w:bookmarkStart w:id="835" w:name="Tc_aQgoKaTXrEugRjRTGhy_uQ_6_10"/>
      <w:bookmarkStart w:id="836" w:name="Tc_oXTr_s_vBU2BTqAalBkDyQ_6_5"/>
      <w:bookmarkStart w:id="837" w:name="Tc_1fthFPW74EaU3EgeynB5mg_6_2"/>
      <w:bookmarkStart w:id="838" w:name="Tc_xJ3loUjgA0SgOjYY6VfbyQ_6_0"/>
      <w:bookmarkStart w:id="839" w:name="Tc_IW3AtC-XZEyH_xw7MD9qpQ_5_16"/>
      <w:bookmarkStart w:id="840" w:name="Tc_lprb2mvNHUOvrfRAuDO18Q_5_10"/>
      <w:bookmarkStart w:id="841" w:name="Tc_RuHJsXaUaEC8XA0irjMQIg_5_5"/>
      <w:bookmarkStart w:id="842" w:name="Tc_giwXh_nkAkm1G8HSwJkW1A_5_2"/>
      <w:bookmarkStart w:id="843" w:name="Tc_gZP141p0EE2vO7h-uF6rfA_5_0"/>
      <w:bookmarkStart w:id="844" w:name="Tc_5hyvUPwNv0aSp7C7HMaqww_4_5"/>
      <w:bookmarkStart w:id="845" w:name="Tc_FNsxBnMeHU2uqDPlXhY03A_4_4"/>
      <w:bookmarkStart w:id="846" w:name="Tc_IAQFuUMvEUG0D0qXNhRvIg_4_2"/>
      <w:bookmarkStart w:id="847" w:name="Tc_Q4h54FaWEEuhEvP9pAg-GQ_4_0"/>
      <w:bookmarkStart w:id="848" w:name="Tc_6pME0HS1iUC8Kdt36cbA3g_3_18"/>
      <w:bookmarkStart w:id="849" w:name="Tc_U8-Hf5BJgEm1dJcKsPa79Q_3_15"/>
      <w:bookmarkStart w:id="850" w:name="Tc_QnaG5ry2gUS4moXaDlE75w_3_12"/>
      <w:bookmarkStart w:id="851" w:name="Tc_GjSwoY0XZEKcHH1zobGObw_3_9"/>
      <w:bookmarkStart w:id="852" w:name="Tc_4eCT5TJg60GlpnaXv87LCA_3_7"/>
      <w:bookmarkStart w:id="853" w:name="Tc_Rtrg6ctxOEithwwh2-oZ2w_3_4"/>
      <w:bookmarkStart w:id="854" w:name="Tc_mCqM5HVvf0uGDx3-qvtYIg_3_2"/>
      <w:bookmarkStart w:id="855" w:name="Tc_VCRjARZZVkOtp-5LElXc9A_2_18"/>
      <w:bookmarkStart w:id="856" w:name="Tc_XlA68K4ZaU2ZNO9oBD3_MQ_2_15"/>
      <w:bookmarkStart w:id="857" w:name="Tc_Y3iUYuOcUUGIZ-LqjB_Ksw_2_12"/>
      <w:bookmarkStart w:id="858" w:name="Tc__mpHh7OqbEeaOTWNohvgnQ_2_7"/>
      <w:bookmarkStart w:id="859" w:name="Tc_GumicMForEG4N7dAsiYdaA_2_2"/>
      <w:bookmarkStart w:id="860" w:name="Tc_8ZOgvHubEUu2wNEVNcvasg_1_18"/>
      <w:bookmarkStart w:id="861" w:name="Tc_Cu8UnpubU0G346KXEz4hDQ_1_12"/>
      <w:bookmarkStart w:id="862" w:name="Tc_Y_o8u7nX3EOWupSHfZn4hg_1_2"/>
      <w:bookmarkStart w:id="863" w:name="_5bb25ed4_ee16_4ff9_9dcb_6b6a556b388c"/>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tbl>
      <w:tblPr>
        <w:tblW w:w="10205" w:type="dxa"/>
        <w:jc w:val="left"/>
        <w:tblInd w:w="0" w:type="dxa"/>
        <w:tblLayout w:type="fixed"/>
        <w:tblCellMar>
          <w:top w:w="0" w:type="dxa"/>
          <w:left w:w="0" w:type="dxa"/>
          <w:bottom w:w="0" w:type="dxa"/>
          <w:right w:w="0" w:type="dxa"/>
        </w:tblCellMar>
      </w:tblPr>
      <w:tblGrid>
        <w:gridCol w:w="2010"/>
        <w:gridCol w:w="326"/>
        <w:gridCol w:w="586"/>
        <w:gridCol w:w="326"/>
        <w:gridCol w:w="249"/>
        <w:gridCol w:w="442"/>
        <w:gridCol w:w="326"/>
        <w:gridCol w:w="916"/>
        <w:gridCol w:w="326"/>
        <w:gridCol w:w="249"/>
        <w:gridCol w:w="442"/>
        <w:gridCol w:w="326"/>
        <w:gridCol w:w="196"/>
        <w:gridCol w:w="691"/>
        <w:gridCol w:w="326"/>
        <w:gridCol w:w="217"/>
        <w:gridCol w:w="834"/>
        <w:gridCol w:w="326"/>
        <w:gridCol w:w="235"/>
        <w:gridCol w:w="856"/>
      </w:tblGrid>
      <w:tr>
        <w:trPr/>
        <w:tc>
          <w:tcPr>
            <w:tcW w:w="2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76350" cy="175260"/>
                      <wp:effectExtent l="0" t="0" r="0" b="0"/>
                      <wp:wrapNone/>
                      <wp:docPr id="76" name="Frame76"/>
                      <a:graphic xmlns:a="http://schemas.openxmlformats.org/drawingml/2006/main">
                        <a:graphicData uri="http://schemas.microsoft.com/office/word/2010/wordprocessingShape">
                          <wps:wsp>
                            <wps:cNvSpPr txBox="1"/>
                            <wps:spPr>
                              <a:xfrm>
                                <a:off x="0" y="0"/>
                                <a:ext cx="1276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72110" cy="175260"/>
                      <wp:effectExtent l="0" t="0" r="0" b="0"/>
                      <wp:wrapNone/>
                      <wp:docPr id="78" name="Frame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8115" cy="175260"/>
                      <wp:effectExtent l="0" t="0" r="0" b="0"/>
                      <wp:wrapNone/>
                      <wp:docPr id="80" name="Frame8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80670" cy="175260"/>
                      <wp:effectExtent l="0" t="0" r="0" b="0"/>
                      <wp:wrapNone/>
                      <wp:docPr id="81" name="Frame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81660" cy="175260"/>
                      <wp:effectExtent l="0" t="0" r="0" b="0"/>
                      <wp:wrapNone/>
                      <wp:docPr id="83" name="Frame8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8115" cy="175260"/>
                      <wp:effectExtent l="0" t="0" r="0" b="0"/>
                      <wp:wrapNone/>
                      <wp:docPr id="85" name="Frame8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80670" cy="175260"/>
                      <wp:effectExtent l="0" t="0" r="0" b="0"/>
                      <wp:wrapNone/>
                      <wp:docPr id="86" name="Frame8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38785" cy="175260"/>
                      <wp:effectExtent l="0" t="0" r="0" b="0"/>
                      <wp:wrapNone/>
                      <wp:docPr id="89" name="Frame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7795" cy="175260"/>
                      <wp:effectExtent l="0" t="0" r="0" b="0"/>
                      <wp:wrapNone/>
                      <wp:docPr id="91" name="Frame9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9590" cy="175260"/>
                      <wp:effectExtent l="0" t="0" r="0" b="0"/>
                      <wp:wrapNone/>
                      <wp:docPr id="92" name="Frame9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9225" cy="175260"/>
                      <wp:effectExtent l="0" t="0" r="0" b="0"/>
                      <wp:wrapNone/>
                      <wp:docPr id="94" name="Frame9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43560" cy="175260"/>
                      <wp:effectExtent l="0" t="0" r="0" b="0"/>
                      <wp:wrapNone/>
                      <wp:docPr id="95" name="Frame9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0"/>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0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September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51,039,859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167,156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(165,994)</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r>
      <w:tr>
        <w:trPr/>
        <w:tc>
          <w:tcPr>
            <w:tcW w:w="20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103,111</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20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88,638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0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of newly issued common stock warrants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r>
      <w:tr>
        <w:trPr/>
        <w:tc>
          <w:tcPr>
            <w:tcW w:w="20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Earnout shares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r>
      <w:tr>
        <w:trPr/>
        <w:tc>
          <w:tcPr>
            <w:tcW w:w="20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r>
      <w:tr>
        <w:trPr/>
        <w:tc>
          <w:tcPr>
            <w:tcW w:w="20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(17,029)</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(17,029)</w:t>
            </w:r>
          </w:p>
        </w:tc>
      </w:tr>
      <w:tr>
        <w:trPr/>
        <w:tc>
          <w:tcPr>
            <w:tcW w:w="20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51,231,608</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170,794</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(183,023)</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(12,224)</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4" w:name="_cd5a6a64_28ee_42b2_9d5a_16ebe06e08bc"/>
      <w:bookmarkEnd w:id="864"/>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865" w:name="CONDENSEDCONSOLIDATEDSTATEMENTSOFCASHFLO"/>
      <w:bookmarkEnd w:id="86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866" w:name="Tc_rEPOW1Gs4UCsOerPd2_fcQ_74_3"/>
      <w:bookmarkStart w:id="867" w:name="Tc_cGC6ur4LQ0awxnzON5BseA_74_0"/>
      <w:bookmarkStart w:id="868" w:name="Tc_s5qVNZdDuEeZQtZSDZ1lzg_73_3"/>
      <w:bookmarkStart w:id="869" w:name="Tc_mWBjvLcqdUC7G247LiI62g_73_0"/>
      <w:bookmarkStart w:id="870" w:name="Tc_P_YC4cevaUiu8zt2667_sQ_72_3"/>
      <w:bookmarkStart w:id="871" w:name="Tc_Y5wdbdi9akGDHoyK994N6Q_72_0"/>
      <w:bookmarkStart w:id="872" w:name="Tc_3eMgY-msSEykr2rIfiFGyA_71_3"/>
      <w:bookmarkStart w:id="873" w:name="Tc_wWR5GW3NdUOF7-gYOgELPw_71_0"/>
      <w:bookmarkStart w:id="874" w:name="Tc_Zg6t8XPPwkilno22MZWokw_70_3"/>
      <w:bookmarkStart w:id="875" w:name="Tc_VfkWw9E05UGFeMOhQqpWHA_70_0"/>
      <w:bookmarkStart w:id="876" w:name="Tc_fPtjDA-xLk-yXQ5I7nJZUw_69_3"/>
      <w:bookmarkStart w:id="877" w:name="Tc_RY7nDbJdfE6wSSeQnVg30Q_69_0"/>
      <w:bookmarkStart w:id="878" w:name="Tc_zGSM6ue8O0SNP3hG8w7zvw_68_6"/>
      <w:bookmarkStart w:id="879" w:name="Tc_63xSWSZ9nkSVGJCbu7-3rg_68_0"/>
      <w:bookmarkStart w:id="880" w:name="Tc_0TsenzKi-ka196_KZm4yIA_67_3"/>
      <w:bookmarkStart w:id="881" w:name="Tc_BaNDtobRCkO3haZCKQulRg_67_0"/>
      <w:bookmarkStart w:id="882" w:name="Tc_KX9EAlSQL0CG8Du7BCoYdA_66_6"/>
      <w:bookmarkStart w:id="883" w:name="Tc_9AAKU5bXK06Neo0bwTLOtg_66_0"/>
      <w:bookmarkStart w:id="884" w:name="Tc_xs7BcsNv7kiACQNa5KWYCA_65_0"/>
      <w:bookmarkStart w:id="885" w:name="Tc_W0Ii9sHXvkmajaKaEInUpQ_64_0"/>
      <w:bookmarkStart w:id="886" w:name="Tc_jJbvN08Mekmn7H8Gc3WmJw_63_3"/>
      <w:bookmarkStart w:id="887" w:name="Tc_rPQPk00oyE-2GmV-cfLWGw_63_0"/>
      <w:bookmarkStart w:id="888" w:name="Tc_uYbOdiebMUuEP2FFBjlnOg_62_5"/>
      <w:bookmarkStart w:id="889" w:name="Tc_VBgBEEy2qEOgLEvnK9PiYw_62_2"/>
      <w:bookmarkStart w:id="890" w:name="Tc_7gwgejDZIUWBEkXn2Y599Q_62_0"/>
      <w:bookmarkStart w:id="891" w:name="Tc_i_BcLlnbpkWNVHIrBA4y2Q_61_0"/>
      <w:bookmarkStart w:id="892" w:name="Tc_2leMSkgoz062VTkIO2bOzg_59_5"/>
      <w:bookmarkStart w:id="893" w:name="Tc_CgFEAZF7QEG3BguwWpwTWg_59_2"/>
      <w:bookmarkStart w:id="894" w:name="Tc_cj2tIxj0pEO4kqm75jryKA_59_0"/>
      <w:bookmarkStart w:id="895" w:name="Tc_C09dqtDRKkKBGULmxLpQMQ_58_6"/>
      <w:bookmarkStart w:id="896" w:name="Tc_KWaurCeMb0SqecwSu__9OQ_58_0"/>
      <w:bookmarkStart w:id="897" w:name="Tc_xvHbtZuD_U-zzw8DmpQ6HQ_57_0"/>
      <w:bookmarkStart w:id="898" w:name="Tc_QwqB5_W3bU2l8rFm_bm88w_56_0"/>
      <w:bookmarkStart w:id="899" w:name="Tc_jV4OXouCg0ygZ54Je4HgXA_55_5"/>
      <w:bookmarkStart w:id="900" w:name="Tc_CmXDoUv8rUiE0zOQJaqJ6w_55_2"/>
      <w:bookmarkStart w:id="901" w:name="Tc__ey0ZNYxjUevjkat2mktsw_55_0"/>
      <w:bookmarkStart w:id="902" w:name="Tc_Cn5V-qrf_0S7k6xoygCxyA_54_0"/>
      <w:bookmarkStart w:id="903" w:name="Tc_Z37Mu7xD-kGxXszajygbqQ_53_0"/>
      <w:bookmarkStart w:id="904" w:name="Tc_E_-7ctEYqUGgPXmWOoE4Gg_51_0"/>
      <w:bookmarkStart w:id="905" w:name="Tc_vuPGrT3yCES8bJqxSWDl9A_50_3"/>
      <w:bookmarkStart w:id="906" w:name="Tc_wI8ioTw_VUqhvJ7lXvDufA_50_0"/>
      <w:bookmarkStart w:id="907" w:name="Tc_GkE6JhflPUuGdIt9P6jLAw_49_3"/>
      <w:bookmarkStart w:id="908" w:name="Tc_8Bl-1I1bL0WTHadHrMmJ7w_49_0"/>
      <w:bookmarkStart w:id="909" w:name="Tc_LK1Cw4p3qU2z8R4qbHsO_w_48_0"/>
      <w:bookmarkStart w:id="910" w:name="Tc_a0W09Tr7n0G--mTxgTHkLQ_47_0"/>
      <w:bookmarkStart w:id="911" w:name="Tc_UyVi3O0Y0UKttsa1vRzUUg_46_6"/>
      <w:bookmarkStart w:id="912" w:name="Tc_7h-wuX6dwEuQ4Eu8XmThsA_46_0"/>
      <w:bookmarkStart w:id="913" w:name="Tc__-Z7ukPtyEWFFAhttk9HgA_45_3"/>
      <w:bookmarkStart w:id="914" w:name="Tc_pOjAi0X2lEOHn41eOAdZVQ_45_0"/>
      <w:bookmarkStart w:id="915" w:name="Tc_Zuhe9_siZE6YYUNhI9vK4g_44_3"/>
      <w:bookmarkStart w:id="916" w:name="Tc_2N0VCGcZm0Coc4-0PKdD-g_44_0"/>
      <w:bookmarkStart w:id="917" w:name="Tc_g84LVoMm3E6HOmUdQ4Ryeg_43_3"/>
      <w:bookmarkStart w:id="918" w:name="Tc_R1lCjiOJPUqp89T6iUvbBg_43_0"/>
      <w:bookmarkStart w:id="919" w:name="Tc_q4QAVQm7MEyfl7dlcuPUWg_42_0"/>
      <w:bookmarkStart w:id="920" w:name="Tc_rwA8E6frEUuHVIH2WlVDNw_41_0"/>
      <w:bookmarkStart w:id="921" w:name="Tc_DVnXVEJpVUitbgcLwOtSVA_40_0"/>
      <w:bookmarkStart w:id="922" w:name="Tc_WlL_MND7Uk2aU8Lf0As70w_39_0"/>
      <w:bookmarkStart w:id="923" w:name="Tc_mCJrieiv3Em3jz0sW77z2Q_38_3"/>
      <w:bookmarkStart w:id="924" w:name="Tc_P22XcomWZESZWBe7TFRStQ_38_0"/>
      <w:bookmarkStart w:id="925" w:name="Tc_hrazN7-duU2i2a4qaiLVNg_37_0"/>
      <w:bookmarkStart w:id="926" w:name="Tc_sgzfMmkQNUmBSGuNj74Tig_36_0"/>
      <w:bookmarkStart w:id="927" w:name="Tc_V1tpO_GcvECrJMXVFCrllQ_35_0"/>
      <w:bookmarkStart w:id="928" w:name="Tc_6u012zsKDESoSHlkXsQ-Pw_33_0"/>
      <w:bookmarkStart w:id="929" w:name="Tc_GgUcue3FXEmo2XAyPlDW4g_32_6"/>
      <w:bookmarkStart w:id="930" w:name="Tc_gpfZj9IcYUGDYeQOuuzODw_32_0"/>
      <w:bookmarkStart w:id="931" w:name="Tc_y6xS62BteEi4O1GeZsRlGA_31_0"/>
      <w:bookmarkStart w:id="932" w:name="Tc_BXaZZnzamE6Mn1M5dcZKvA_30_0"/>
      <w:bookmarkStart w:id="933" w:name="Tc_AilQTGO0Rkahc3gGgDENOQ_29_0"/>
      <w:bookmarkStart w:id="934" w:name="Tc_n0yy_2DpIEiT-hlNCvUltw_28_0"/>
      <w:bookmarkStart w:id="935" w:name="Tc_mqR2BleDBUO8q3Ah2N4q8g_27_0"/>
      <w:bookmarkStart w:id="936" w:name="Tc_4h7THqUbWEq8ftDQ0DBXRg_26_0"/>
      <w:bookmarkStart w:id="937" w:name="Tc_X7j0kHUmbUWlUSmk_4yCTQ_25_0"/>
      <w:bookmarkStart w:id="938" w:name="Tc_WBEfv_oo-USjnfGP03K5LA_24_0"/>
      <w:bookmarkStart w:id="939" w:name="Tc_RFyfnpUV3UKSz-1ZKM_uAg_23_3"/>
      <w:bookmarkStart w:id="940" w:name="Tc_5O2etJl-pEuk_lIkwFrM2g_23_0"/>
      <w:bookmarkStart w:id="941" w:name="Tc_NJI4lpXSYUaxS_smt2l_0Q_22_0"/>
      <w:bookmarkStart w:id="942" w:name="Tc_ZfzMRkdkSEK9Pyjgq4MMxw_21_0"/>
      <w:bookmarkStart w:id="943" w:name="Tc_T5cRMvRt1E2GpUx7DT7UOw_20_3"/>
      <w:bookmarkStart w:id="944" w:name="Tc_4Y6KCOdBaUKHBk-aqE9kMg_20_0"/>
      <w:bookmarkStart w:id="945" w:name="Tc_yFWgnRU6e0296zhJVwddWg_19_3"/>
      <w:bookmarkStart w:id="946" w:name="Tc_yl1lohRpEkWV05s0WUH6cQ_19_0"/>
      <w:bookmarkStart w:id="947" w:name="Tc_cgCwyAB870O8sExW6kEpog_18_0"/>
      <w:bookmarkStart w:id="948" w:name="Tc_Y6ZFAERiLUu0DFCL7Ag8Ug_17_3"/>
      <w:bookmarkStart w:id="949" w:name="Tc_X8dORG4BxEaEaopjIWuang_17_0"/>
      <w:bookmarkStart w:id="950" w:name="Tc_zCXh3kl-kkCpX6fiKj8Y9Q_16_0"/>
      <w:bookmarkStart w:id="951" w:name="Tc_LEiL_3ONoU-pIXf8uushrQ_15_3"/>
      <w:bookmarkStart w:id="952" w:name="Tc_wo7ghUDVCEm8fU-3JCvQLA_15_0"/>
      <w:bookmarkStart w:id="953" w:name="Tc_mfCA2QjHeUSqPkHTAwX4_w_14_0"/>
      <w:bookmarkStart w:id="954" w:name="Tc_4BfBsv41HUKdyxRpuPSSDQ_13_3"/>
      <w:bookmarkStart w:id="955" w:name="Tc_Ofp_RzJ7RE2zO5fyAlgSZw_13_0"/>
      <w:bookmarkStart w:id="956" w:name="Tc_Ur9JEKH1kkWln4k0pnHkiw_12_0"/>
      <w:bookmarkStart w:id="957" w:name="Tc_Ra24QOwwKE-koIrtk7yTHA_11_0"/>
      <w:bookmarkStart w:id="958" w:name="Tc_tnXfBKF2PkKAz13LeENVFg_10_0"/>
      <w:bookmarkStart w:id="959" w:name="Tc_wk2wPNaAikiqwjlkfh__RA_9_6"/>
      <w:bookmarkStart w:id="960" w:name="Tc_78KCotbeCEuim5ePQW5uiQ_9_0"/>
      <w:bookmarkStart w:id="961" w:name="Tc_Jcc7RIbT60OgkOoZheRs-g_8_6"/>
      <w:bookmarkStart w:id="962" w:name="Tc_oU4bE8j-tEKo2i2sCod8Tg_8_0"/>
      <w:bookmarkStart w:id="963" w:name="Tc_xbTPRM8I-Ue1r0fAMybMpw_7_0"/>
      <w:bookmarkStart w:id="964" w:name="Tc_zyNK9TEXvkWHgP-j-pMiZA_6_0"/>
      <w:bookmarkStart w:id="965" w:name="Tc_TEz-hdvFNUKI9qj6Jj_JiQ_5_5"/>
      <w:bookmarkStart w:id="966" w:name="Tc_tFZ0Iovh30mkmg72hsu1cQ_5_2"/>
      <w:bookmarkStart w:id="967" w:name="Tc_CDhyb_QpukaoQYP2M4zgBQ_5_0"/>
      <w:bookmarkStart w:id="968" w:name="Tc_iwMq7Dl040-n-vlziN9Vbw_4_0"/>
      <w:bookmarkStart w:id="969" w:name="Tc_wMre2WCjZUeFQ2Ig9NExPw_3_5"/>
      <w:bookmarkStart w:id="970" w:name="Tc_4n9LzVLuaUamtgeUROGXBA_3_2"/>
      <w:bookmarkStart w:id="971" w:name="Tc_uc03Z6F9TkymunoVZCtXFw_2_2"/>
      <w:bookmarkStart w:id="972" w:name="Tc_CILx_oJ2XEGwqJi_AJB8rQ_1_2"/>
      <w:bookmarkStart w:id="973" w:name="_3f235668_6f70_44ec_996c_103e4e203e1e"/>
      <w:bookmarkStart w:id="974" w:name="Tc_rEPOW1Gs4UCsOerPd2_fcQ_74_3"/>
      <w:bookmarkStart w:id="975" w:name="Tc_cGC6ur4LQ0awxnzON5BseA_74_0"/>
      <w:bookmarkStart w:id="976" w:name="Tc_s5qVNZdDuEeZQtZSDZ1lzg_73_3"/>
      <w:bookmarkStart w:id="977" w:name="Tc_mWBjvLcqdUC7G247LiI62g_73_0"/>
      <w:bookmarkStart w:id="978" w:name="Tc_P_YC4cevaUiu8zt2667_sQ_72_3"/>
      <w:bookmarkStart w:id="979" w:name="Tc_Y5wdbdi9akGDHoyK994N6Q_72_0"/>
      <w:bookmarkStart w:id="980" w:name="Tc_3eMgY-msSEykr2rIfiFGyA_71_3"/>
      <w:bookmarkStart w:id="981" w:name="Tc_wWR5GW3NdUOF7-gYOgELPw_71_0"/>
      <w:bookmarkStart w:id="982" w:name="Tc_Zg6t8XPPwkilno22MZWokw_70_3"/>
      <w:bookmarkStart w:id="983" w:name="Tc_VfkWw9E05UGFeMOhQqpWHA_70_0"/>
      <w:bookmarkStart w:id="984" w:name="Tc_fPtjDA-xLk-yXQ5I7nJZUw_69_3"/>
      <w:bookmarkStart w:id="985" w:name="Tc_RY7nDbJdfE6wSSeQnVg30Q_69_0"/>
      <w:bookmarkStart w:id="986" w:name="Tc_zGSM6ue8O0SNP3hG8w7zvw_68_6"/>
      <w:bookmarkStart w:id="987" w:name="Tc_63xSWSZ9nkSVGJCbu7-3rg_68_0"/>
      <w:bookmarkStart w:id="988" w:name="Tc_0TsenzKi-ka196_KZm4yIA_67_3"/>
      <w:bookmarkStart w:id="989" w:name="Tc_BaNDtobRCkO3haZCKQulRg_67_0"/>
      <w:bookmarkStart w:id="990" w:name="Tc_KX9EAlSQL0CG8Du7BCoYdA_66_6"/>
      <w:bookmarkStart w:id="991" w:name="Tc_9AAKU5bXK06Neo0bwTLOtg_66_0"/>
      <w:bookmarkStart w:id="992" w:name="Tc_xs7BcsNv7kiACQNa5KWYCA_65_0"/>
      <w:bookmarkStart w:id="993" w:name="Tc_W0Ii9sHXvkmajaKaEInUpQ_64_0"/>
      <w:bookmarkStart w:id="994" w:name="Tc_jJbvN08Mekmn7H8Gc3WmJw_63_3"/>
      <w:bookmarkStart w:id="995" w:name="Tc_rPQPk00oyE-2GmV-cfLWGw_63_0"/>
      <w:bookmarkStart w:id="996" w:name="Tc_uYbOdiebMUuEP2FFBjlnOg_62_5"/>
      <w:bookmarkStart w:id="997" w:name="Tc_VBgBEEy2qEOgLEvnK9PiYw_62_2"/>
      <w:bookmarkStart w:id="998" w:name="Tc_7gwgejDZIUWBEkXn2Y599Q_62_0"/>
      <w:bookmarkStart w:id="999" w:name="Tc_i_BcLlnbpkWNVHIrBA4y2Q_61_0"/>
      <w:bookmarkStart w:id="1000" w:name="Tc_2leMSkgoz062VTkIO2bOzg_59_5"/>
      <w:bookmarkStart w:id="1001" w:name="Tc_CgFEAZF7QEG3BguwWpwTWg_59_2"/>
      <w:bookmarkStart w:id="1002" w:name="Tc_cj2tIxj0pEO4kqm75jryKA_59_0"/>
      <w:bookmarkStart w:id="1003" w:name="Tc_C09dqtDRKkKBGULmxLpQMQ_58_6"/>
      <w:bookmarkStart w:id="1004" w:name="Tc_KWaurCeMb0SqecwSu__9OQ_58_0"/>
      <w:bookmarkStart w:id="1005" w:name="Tc_xvHbtZuD_U-zzw8DmpQ6HQ_57_0"/>
      <w:bookmarkStart w:id="1006" w:name="Tc_QwqB5_W3bU2l8rFm_bm88w_56_0"/>
      <w:bookmarkStart w:id="1007" w:name="Tc_jV4OXouCg0ygZ54Je4HgXA_55_5"/>
      <w:bookmarkStart w:id="1008" w:name="Tc_CmXDoUv8rUiE0zOQJaqJ6w_55_2"/>
      <w:bookmarkStart w:id="1009" w:name="Tc__ey0ZNYxjUevjkat2mktsw_55_0"/>
      <w:bookmarkStart w:id="1010" w:name="Tc_Cn5V-qrf_0S7k6xoygCxyA_54_0"/>
      <w:bookmarkStart w:id="1011" w:name="Tc_Z37Mu7xD-kGxXszajygbqQ_53_0"/>
      <w:bookmarkStart w:id="1012" w:name="Tc_E_-7ctEYqUGgPXmWOoE4Gg_51_0"/>
      <w:bookmarkStart w:id="1013" w:name="Tc_vuPGrT3yCES8bJqxSWDl9A_50_3"/>
      <w:bookmarkStart w:id="1014" w:name="Tc_wI8ioTw_VUqhvJ7lXvDufA_50_0"/>
      <w:bookmarkStart w:id="1015" w:name="Tc_GkE6JhflPUuGdIt9P6jLAw_49_3"/>
      <w:bookmarkStart w:id="1016" w:name="Tc_8Bl-1I1bL0WTHadHrMmJ7w_49_0"/>
      <w:bookmarkStart w:id="1017" w:name="Tc_LK1Cw4p3qU2z8R4qbHsO_w_48_0"/>
      <w:bookmarkStart w:id="1018" w:name="Tc_a0W09Tr7n0G--mTxgTHkLQ_47_0"/>
      <w:bookmarkStart w:id="1019" w:name="Tc_UyVi3O0Y0UKttsa1vRzUUg_46_6"/>
      <w:bookmarkStart w:id="1020" w:name="Tc_7h-wuX6dwEuQ4Eu8XmThsA_46_0"/>
      <w:bookmarkStart w:id="1021" w:name="Tc__-Z7ukPtyEWFFAhttk9HgA_45_3"/>
      <w:bookmarkStart w:id="1022" w:name="Tc_pOjAi0X2lEOHn41eOAdZVQ_45_0"/>
      <w:bookmarkStart w:id="1023" w:name="Tc_Zuhe9_siZE6YYUNhI9vK4g_44_3"/>
      <w:bookmarkStart w:id="1024" w:name="Tc_2N0VCGcZm0Coc4-0PKdD-g_44_0"/>
      <w:bookmarkStart w:id="1025" w:name="Tc_g84LVoMm3E6HOmUdQ4Ryeg_43_3"/>
      <w:bookmarkStart w:id="1026" w:name="Tc_R1lCjiOJPUqp89T6iUvbBg_43_0"/>
      <w:bookmarkStart w:id="1027" w:name="Tc_q4QAVQm7MEyfl7dlcuPUWg_42_0"/>
      <w:bookmarkStart w:id="1028" w:name="Tc_rwA8E6frEUuHVIH2WlVDNw_41_0"/>
      <w:bookmarkStart w:id="1029" w:name="Tc_DVnXVEJpVUitbgcLwOtSVA_40_0"/>
      <w:bookmarkStart w:id="1030" w:name="Tc_WlL_MND7Uk2aU8Lf0As70w_39_0"/>
      <w:bookmarkStart w:id="1031" w:name="Tc_mCJrieiv3Em3jz0sW77z2Q_38_3"/>
      <w:bookmarkStart w:id="1032" w:name="Tc_P22XcomWZESZWBe7TFRStQ_38_0"/>
      <w:bookmarkStart w:id="1033" w:name="Tc_hrazN7-duU2i2a4qaiLVNg_37_0"/>
      <w:bookmarkStart w:id="1034" w:name="Tc_sgzfMmkQNUmBSGuNj74Tig_36_0"/>
      <w:bookmarkStart w:id="1035" w:name="Tc_V1tpO_GcvECrJMXVFCrllQ_35_0"/>
      <w:bookmarkStart w:id="1036" w:name="Tc_6u012zsKDESoSHlkXsQ-Pw_33_0"/>
      <w:bookmarkStart w:id="1037" w:name="Tc_GgUcue3FXEmo2XAyPlDW4g_32_6"/>
      <w:bookmarkStart w:id="1038" w:name="Tc_gpfZj9IcYUGDYeQOuuzODw_32_0"/>
      <w:bookmarkStart w:id="1039" w:name="Tc_y6xS62BteEi4O1GeZsRlGA_31_0"/>
      <w:bookmarkStart w:id="1040" w:name="Tc_BXaZZnzamE6Mn1M5dcZKvA_30_0"/>
      <w:bookmarkStart w:id="1041" w:name="Tc_AilQTGO0Rkahc3gGgDENOQ_29_0"/>
      <w:bookmarkStart w:id="1042" w:name="Tc_n0yy_2DpIEiT-hlNCvUltw_28_0"/>
      <w:bookmarkStart w:id="1043" w:name="Tc_mqR2BleDBUO8q3Ah2N4q8g_27_0"/>
      <w:bookmarkStart w:id="1044" w:name="Tc_4h7THqUbWEq8ftDQ0DBXRg_26_0"/>
      <w:bookmarkStart w:id="1045" w:name="Tc_X7j0kHUmbUWlUSmk_4yCTQ_25_0"/>
      <w:bookmarkStart w:id="1046" w:name="Tc_WBEfv_oo-USjnfGP03K5LA_24_0"/>
      <w:bookmarkStart w:id="1047" w:name="Tc_RFyfnpUV3UKSz-1ZKM_uAg_23_3"/>
      <w:bookmarkStart w:id="1048" w:name="Tc_5O2etJl-pEuk_lIkwFrM2g_23_0"/>
      <w:bookmarkStart w:id="1049" w:name="Tc_NJI4lpXSYUaxS_smt2l_0Q_22_0"/>
      <w:bookmarkStart w:id="1050" w:name="Tc_ZfzMRkdkSEK9Pyjgq4MMxw_21_0"/>
      <w:bookmarkStart w:id="1051" w:name="Tc_T5cRMvRt1E2GpUx7DT7UOw_20_3"/>
      <w:bookmarkStart w:id="1052" w:name="Tc_4Y6KCOdBaUKHBk-aqE9kMg_20_0"/>
      <w:bookmarkStart w:id="1053" w:name="Tc_yFWgnRU6e0296zhJVwddWg_19_3"/>
      <w:bookmarkStart w:id="1054" w:name="Tc_yl1lohRpEkWV05s0WUH6cQ_19_0"/>
      <w:bookmarkStart w:id="1055" w:name="Tc_cgCwyAB870O8sExW6kEpog_18_0"/>
      <w:bookmarkStart w:id="1056" w:name="Tc_Y6ZFAERiLUu0DFCL7Ag8Ug_17_3"/>
      <w:bookmarkStart w:id="1057" w:name="Tc_X8dORG4BxEaEaopjIWuang_17_0"/>
      <w:bookmarkStart w:id="1058" w:name="Tc_zCXh3kl-kkCpX6fiKj8Y9Q_16_0"/>
      <w:bookmarkStart w:id="1059" w:name="Tc_LEiL_3ONoU-pIXf8uushrQ_15_3"/>
      <w:bookmarkStart w:id="1060" w:name="Tc_wo7ghUDVCEm8fU-3JCvQLA_15_0"/>
      <w:bookmarkStart w:id="1061" w:name="Tc_mfCA2QjHeUSqPkHTAwX4_w_14_0"/>
      <w:bookmarkStart w:id="1062" w:name="Tc_4BfBsv41HUKdyxRpuPSSDQ_13_3"/>
      <w:bookmarkStart w:id="1063" w:name="Tc_Ofp_RzJ7RE2zO5fyAlgSZw_13_0"/>
      <w:bookmarkStart w:id="1064" w:name="Tc_Ur9JEKH1kkWln4k0pnHkiw_12_0"/>
      <w:bookmarkStart w:id="1065" w:name="Tc_Ra24QOwwKE-koIrtk7yTHA_11_0"/>
      <w:bookmarkStart w:id="1066" w:name="Tc_tnXfBKF2PkKAz13LeENVFg_10_0"/>
      <w:bookmarkStart w:id="1067" w:name="Tc_wk2wPNaAikiqwjlkfh__RA_9_6"/>
      <w:bookmarkStart w:id="1068" w:name="Tc_78KCotbeCEuim5ePQW5uiQ_9_0"/>
      <w:bookmarkStart w:id="1069" w:name="Tc_Jcc7RIbT60OgkOoZheRs-g_8_6"/>
      <w:bookmarkStart w:id="1070" w:name="Tc_oU4bE8j-tEKo2i2sCod8Tg_8_0"/>
      <w:bookmarkStart w:id="1071" w:name="Tc_xbTPRM8I-Ue1r0fAMybMpw_7_0"/>
      <w:bookmarkStart w:id="1072" w:name="Tc_zyNK9TEXvkWHgP-j-pMiZA_6_0"/>
      <w:bookmarkStart w:id="1073" w:name="Tc_TEz-hdvFNUKI9qj6Jj_JiQ_5_5"/>
      <w:bookmarkStart w:id="1074" w:name="Tc_tFZ0Iovh30mkmg72hsu1cQ_5_2"/>
      <w:bookmarkStart w:id="1075" w:name="Tc_CDhyb_QpukaoQYP2M4zgBQ_5_0"/>
      <w:bookmarkStart w:id="1076" w:name="Tc_iwMq7Dl040-n-vlziN9Vbw_4_0"/>
      <w:bookmarkStart w:id="1077" w:name="Tc_wMre2WCjZUeFQ2Ig9NExPw_3_5"/>
      <w:bookmarkStart w:id="1078" w:name="Tc_4n9LzVLuaUamtgeUROGXBA_3_2"/>
      <w:bookmarkStart w:id="1079" w:name="Tc_uc03Z6F9TkymunoVZCtXFw_2_2"/>
      <w:bookmarkStart w:id="1080" w:name="Tc_CILx_oJ2XEGwqJi_AJB8rQ_1_2"/>
      <w:bookmarkStart w:id="1081" w:name="_3f235668_6f70_44ec_996c_103e4e203e1e"/>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tbl>
      <w:tblPr>
        <w:tblW w:w="8768" w:type="dxa"/>
        <w:jc w:val="left"/>
        <w:tblInd w:w="0" w:type="dxa"/>
        <w:tblLayout w:type="fixed"/>
        <w:tblCellMar>
          <w:top w:w="0" w:type="dxa"/>
          <w:left w:w="0" w:type="dxa"/>
          <w:bottom w:w="0" w:type="dxa"/>
          <w:right w:w="0" w:type="dxa"/>
        </w:tblCellMar>
      </w:tblPr>
      <w:tblGrid>
        <w:gridCol w:w="6181"/>
        <w:gridCol w:w="326"/>
        <w:gridCol w:w="181"/>
        <w:gridCol w:w="601"/>
        <w:gridCol w:w="326"/>
        <w:gridCol w:w="181"/>
        <w:gridCol w:w="601"/>
        <w:gridCol w:w="371"/>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924935" cy="175260"/>
                      <wp:effectExtent l="0" t="0" r="0" b="0"/>
                      <wp:wrapNone/>
                      <wp:docPr id="96" name="Frame96"/>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81635" cy="175260"/>
                      <wp:effectExtent l="0" t="0" r="0" b="0"/>
                      <wp:wrapNone/>
                      <wp:docPr id="99" name="Frame9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14935" cy="175260"/>
                      <wp:effectExtent l="0" t="0" r="0" b="0"/>
                      <wp:wrapNone/>
                      <wp:docPr id="101" name="Frame1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81635" cy="175260"/>
                      <wp:effectExtent l="0" t="0" r="0" b="0"/>
                      <wp:wrapNone/>
                      <wp:docPr id="102" name="Frame10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35585" cy="175260"/>
                      <wp:effectExtent l="0" t="0" r="0" b="0"/>
                      <wp:wrapNone/>
                      <wp:docPr id="103" name="Frame10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890" w:type="dxa"/>
            <w:gridSpan w:val="5"/>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Six months ended </w:t>
            </w:r>
          </w:p>
        </w:tc>
        <w:tc>
          <w:tcPr>
            <w:tcW w:w="371" w:type="dxa"/>
            <w:tcBorders/>
            <w:vAlign w:val="center"/>
          </w:tcPr>
          <w:p>
            <w:pPr>
              <w:pStyle w:val="TableContents"/>
              <w:bidi w:val="0"/>
              <w:spacing w:before="0" w:after="1"/>
              <w:ind w:left="0" w:right="0" w:hanging="0"/>
              <w:jc w:val="center"/>
              <w:rPr/>
            </w:pPr>
            <w:r>
              <w:rPr/>
              <w:t>    </w:t>
            </w:r>
          </w:p>
        </w:tc>
      </w:tr>
      <w:tr>
        <w:trPr/>
        <w:tc>
          <w:tcPr>
            <w:tcW w:w="6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December 31, </w:t>
            </w:r>
          </w:p>
        </w:tc>
        <w:tc>
          <w:tcPr>
            <w:tcW w:w="371" w:type="dxa"/>
            <w:tcBorders/>
            <w:vAlign w:val="center"/>
          </w:tcPr>
          <w:p>
            <w:pPr>
              <w:pStyle w:val="TableContents"/>
              <w:bidi w:val="0"/>
              <w:spacing w:before="0" w:after="1"/>
              <w:ind w:left="0" w:right="0" w:hanging="0"/>
              <w:jc w:val="center"/>
              <w:rPr/>
            </w:pPr>
            <w:r>
              <w:rPr/>
              <w:t>​</w:t>
            </w:r>
          </w:p>
        </w:tc>
      </w:tr>
      <w:tr>
        <w:trPr/>
        <w:tc>
          <w:tcPr>
            <w:tcW w:w="6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2023</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2022</w:t>
            </w:r>
          </w:p>
        </w:tc>
        <w:tc>
          <w:tcPr>
            <w:tcW w:w="371" w:type="dxa"/>
            <w:tcBorders/>
            <w:vAlign w:val="center"/>
          </w:tcPr>
          <w:p>
            <w:pPr>
              <w:pStyle w:val="TableContents"/>
              <w:bidi w:val="0"/>
              <w:spacing w:before="0" w:after="1"/>
              <w:ind w:left="0" w:right="0" w:hanging="0"/>
              <w:jc w:val="center"/>
              <w:rPr/>
            </w:pPr>
            <w:r>
              <w:rPr/>
              <w:t>    </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Cash Flows from Operating Activities</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(12,682)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17,760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Adjustments to reconcile net income (loss) to 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1,844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845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Impairment of intangible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4,056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Impairment of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3,935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3,002</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Earnout share 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1,874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Contra-revenue associated with warrant agreement (Refer to Note 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615</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Noncash expense attributable to fair value liabilities assumed in Merger</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Change in fair value of liability classified warrants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(26,311)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(11,188)</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Change in fair value of embedded warrants and convertible promissory notes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(48,271)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Amortization of debt discount and debt issuance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1,884</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Loss on extinguishment of debt and financing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8,095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Paid-in-kind interest expense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4,276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2,366</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Share and warrant cost on termination of convertible note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2,412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Forgiveness of PPP Loan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Change in fair value of 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(1,391)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(1,160)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Noncash lease expense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Loss on disposal off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(1,054)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Inventories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219</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costs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6,308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(643)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(1,155)</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1,388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Accrued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(713)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(2,090)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(6,627)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Other long-term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(21,934)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(26,561)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Purchase of property and equipment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(171)</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Payments relating to capitalized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(2,459)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Investment in non-affiliate</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(2,252)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(4,630)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exercise of common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issuance of term loans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60,250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Payment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(1,094)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Repayment of term loans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(32,980)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Payment of penalties and other costs on extinguishment of debt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(6,144)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issuance of premium financing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884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Principal payments of financing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(2,657)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the issuance of common stock</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9,173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Contributions from Merger and PIPE financing, net of transaction costs and other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49,840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Payments of deferred transaction costs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(1,890)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12,418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66,385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increase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(11,768)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35,194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25,143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3,017</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13,375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38,211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Reconciliation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38,211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13,375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38,211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Capitalization of stock-based compensation expense to capitalized software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459</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Capital contribution from shareholder in conjunction with Credit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2,779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Issuance of warrants (Refer to Note 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853</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Issuance of warrants in conjunction with forgiveness of accrued interest associated with Credit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5,149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2,076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Deemed dividend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Issuance of warrants in conjunction with Lago 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843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Transaction costs recorded in 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Convertible note conversion to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41,392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Reclassification of warrants from liabilities to equity</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830</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Recognition of liability classified warrants upon Merger</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9,388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Recognition of Unvested Sponsor Shares liability</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1,588</w:t>
            </w:r>
          </w:p>
        </w:tc>
        <w:tc>
          <w:tcPr>
            <w:tcW w:w="371" w:type="dxa"/>
            <w:tcBorders/>
            <w:vAlign w:val="center"/>
          </w:tcPr>
          <w:p>
            <w:pPr>
              <w:pStyle w:val="TableContents"/>
              <w:bidi w:val="0"/>
              <w:spacing w:before="0" w:after="1"/>
              <w:ind w:left="0" w:right="0" w:hanging="0"/>
              <w:jc w:val="left"/>
              <w:rPr/>
            </w:pPr>
            <w:r>
              <w:rPr/>
              <w:t>​</w:t>
            </w:r>
          </w:p>
        </w:tc>
      </w:tr>
      <w:tr>
        <w:trPr/>
        <w:tc>
          <w:tcPr>
            <w:tcW w:w="6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Forgiveness of PPP Loan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Right of use asset in exchange for operating lease liability</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308</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082" w:name="_3b22fa27_7b7d_409e_a902_101d471f8438"/>
      <w:bookmarkEnd w:id="1082"/>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1083" w:name="NOTESTOUNAUDITEDCONDENSEDCONSOLIDATEDFIN"/>
      <w:bookmarkEnd w:id="1083"/>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tables are in thousands, unless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Summary of Business and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Presto Automation Inc. and its subsidiaries (together, “Presto” or the “Company”) are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name. The Company maintains foreign subsidiaries in Canada and a newly created subsidiary as of July 2023 in India.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Merger with Ventoux CCM Acquisition Corp.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was renamed Presto Automation Inc. Prior to the Merger, Ventoux Acquisition Holdings LLC and Chardan International Investments, LLC were the co-sponsors of Ventoux (together the “Sponsors”) and, with the closing of the Merger, have remained significant shareholders in the Company. Refer to Note 2 for further details.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Cyborg Ops</w:t>
      </w:r>
    </w:p>
    <w:p>
      <w:pPr>
        <w:pStyle w:val="TextBody"/>
        <w:bidi w:val="0"/>
        <w:spacing w:before="0" w:after="240"/>
        <w:ind w:left="0" w:right="0" w:firstLine="720"/>
        <w:jc w:val="left"/>
        <w:rPr>
          <w:rFonts w:ascii="Times New Roman;Times;serif" w:hAnsi="Times New Roman;Times;serif"/>
          <w:sz w:val="20"/>
        </w:rPr>
      </w:pPr>
      <w:r>
        <w:rPr>
          <w:rFonts w:ascii="Times New Roman PS Std" w:hAnsi="Times New Roman PS Std"/>
          <w:sz w:val="20"/>
          <w:shd w:fill="FFFFFF" w:val="clear"/>
        </w:rPr>
        <w:t>On May 23, 2022, the Company entered into an Asset Purchase Agreement (“Asset Purchase Agreement”) with CyborgOps, Inc., a provider of artificial intelligence-based products and services for merchants’ phone answering and ordering systems, to purchase substantially all of its assets and assume certain liabilities.</w:t>
      </w:r>
      <w:r>
        <w:rPr>
          <w:rFonts w:ascii="Times New Roman;Times;serif" w:hAnsi="Times New Roman;Times;serif"/>
          <w:sz w:val="20"/>
        </w:rPr>
        <w:t xml:space="preserve"> As a consequence of the closing of the Merger, bonus and deferred consideration amounts owed to certain founding members of CyborgOps became due and payable resulting in an expense of $1.9 million, of which $1.8 million and $0.1 million has been recorded within research and development and sales and marketing expenses, respectively, in the condensed consolidated statement of operations and comprehensive income (loss) for the three and six months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Emerging Growth Company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have been prepared in accordance with United States Generally Accepted Accounting Principles (“U.S. GAAP”) for interim financial reporting and the rules and regulations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December 31, 2023, and its results of operations for the three and six months ended December 31, 2023 and 2022 and the cash flows for the six months ended December 31, 2023 and 2022. The results for the three and six months ended December 31, 2023 and 2022, are not necessarily indicative of the results expected for the year or any other periods. These interim financial statements should be read in conjunction with the Presto’s financial statements and related notes for the fiscal year ended June 30, 2023 included in </w:t>
      </w:r>
      <w:r>
        <w:rPr>
          <w:rFonts w:ascii="Times New Roman;Times;serif" w:hAnsi="Times New Roman;Times;serif"/>
          <w:sz w:val="20"/>
          <w:shd w:fill="FFFFFF" w:val="clear"/>
        </w:rPr>
        <w:t>Part II, Item 8 of the Annual Report on Form 10-K filed on October 10, 2023</w:t>
      </w:r>
      <w:r>
        <w:rPr>
          <w:rFonts w:ascii="Times New Roman;Times;serif" w:hAnsi="Times New Roman;Times;serif"/>
          <w:sz w:val="20"/>
        </w:rPr>
        <w:t>, which includes additional information on the Company’s critical accounting estimates and policies, and the methods and assumptions used to develop the Company’s estimates. The unaudited condensed consolidated balance sheet as of June 30, 2023, has been derived from the Company’s audited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 and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subject to a number of risks, including a limited operating history, dependence on key individuals, </w:t>
      </w:r>
      <w:r>
        <w:rPr>
          <w:rFonts w:ascii="Times New Roman;Times;serif" w:hAnsi="Times New Roman;Times;serif"/>
          <w:sz w:val="20"/>
          <w:shd w:fill="FFFFFF" w:val="clear"/>
        </w:rPr>
        <w:t>the need to expand the number of its customers, long sales cycles, competition from alternative products and larger companies, the need for additional financing to fund operations, and the need to reduce the number of human agents required for Presto Voice.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Notice of Failure to Satisfy a Continued Listing Rule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December 28, 2023, the Company received a notice from Nasdaq stating that the Company is not in compliance with the requirement to maintain a minimum closing bid price of $1.00 per share, as set forth in Nasdaq Listing Rule 5450(a)(1) (the “Bid Price Requirement”), because the closing bid price of the Company’s common stock was below $1.00 per share for 30 consecutive business days. The notice does not impact the listing of the common stock on the Nasdaq Global Market at this time. The Company has a period of 180 calendar days, or until June 25, 2024, to regain compliance with the Bid Price Requirement. During this period, the common stock will continue to trade on the Nasdaq Global Market. If at any time before June 25, 2024 the bid price of the common stock closes at or above $1.00 per share for a minimum of ten consecutive trading days, Nasdaq will provide written notification that the Company has achieved compliance with the Bid Price Requirement and the matter will be closed. 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 Company’s principal source of liquidity was cash and cash equivalents of $3.4 million, which is held for working capital purposes. The cash and cash equivalents balance of $3.4 million excludes $10.0 million of restricted cash.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See Note 7 for a description of the Credit Agreement.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11, 2024, following notice of breaches of covenants contained in the Credit Facility, the Lenders delivered an activation notice to the Company’s bank in which $10.0 million of restricted cash was deposited as collateral for the Term Loans and caused the bank to wire that amount to an account designated by the Lenders (refer to Note 15 for further details). The funds were applied to reduce the outstanding balance of the Term Loans which as of December 31, 2023 totaled $61.7 million in principal amount plus accrued interest.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$19.9 million and $33.2 million for the three and six months ended December 31 2023, respectively. As of December 31, 2023, the Company had an accumulated deficit of $247.9 million and the Company expects to generate operating and net losses for the near term. Cash from operations is also affected by various risks and uncertainties, including, but not limited to, the timing of cash collections from customers and other risks.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currently face severe liquidity challenges. While the Company raised net cash proceeds of $2.9 million from the issuance of new debt in the closing of the Third Amendment to the Credit Agreement, a</w:t>
      </w:r>
      <w:r>
        <w:rPr>
          <w:rFonts w:ascii="Times New Roman;Times;serif" w:hAnsi="Times New Roman;Times;serif"/>
          <w:sz w:val="20"/>
          <w:shd w:fill="FFFFFF" w:val="clear"/>
        </w:rPr>
        <w:t>nd received $10.0 million from the sale of common stock in private placements and registered direct offerings during the six months ended December 31, 2023</w:t>
      </w:r>
      <w:r>
        <w:rPr>
          <w:rFonts w:ascii="Times New Roman;Times;serif" w:hAnsi="Times New Roman;Times;serif"/>
          <w:sz w:val="20"/>
        </w:rPr>
        <w:t>, the Company used cash from operating activities of $21.9 million and incurred a net loss of $12.7 million. As a result, additional capital infusions will be necessary in order to fund currently anticipated expenditures and to meet the Company’s obligations as they come due. In addition, the Company entered into a forbearance agreement with the Agent, the Lenders and other parties, which was cancelled on February 17, 2024, and the Lenders are not required to forbear from exercising remedies under the Credit Agreement related to prior and current events of default. In addition, the Company’s future capital requirements will depend on many other factors, including the revenue growth rate, the success of future product development, and the timing and extent of spending to support further sales and marketing and research and development efforts.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Substantial doubt exists about the Company’s ability to continue as a going concern within one year after the date that the financial statements are available to be issued. The Company continues efforts to mitigate the conditions or events that raise this substantial doubt, however, as some components of these plans are outside of management’s control, the Company cannot offer any assurances they will be effectively implemented. The Company cannot offer any assurance that any additional financing will be available on acceptable terms or at all. If the Company is unable to raise additional capital it would likely lead to an event of default under the Credit Agreement and the potential exercise of remedies by the Agent and Lender, which would materially and adversely impact its business, results of operations and financial condition. The Company’s condensed consolidated financial statements have been prepared on a going concern basis, which contemplates the realization of assets and satisfaction of liabilities in the normal course of business.</w:t>
      </w:r>
    </w:p>
    <w:p>
      <w:pPr>
        <w:pStyle w:val="TextBody"/>
        <w:bidi w:val="0"/>
        <w:spacing w:before="0" w:after="0"/>
        <w:ind w:left="0" w:right="0" w:firstLine="72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Concentrations of Risks, Significant Customers and Investments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maintains deposits, it may lose timely access to its funds and incur losses to the extent its deposits exceed amounts insured by the Federal Deposit Insurance Corporation (“FDIC”), as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084" w:name="_Hlk150257055"/>
      <w:bookmarkStart w:id="1085" w:name="_Hlk150796496"/>
      <w:bookmarkStart w:id="1086" w:name="Tc_oJz9G14yEUKABVV4St-gUA_7_5"/>
      <w:bookmarkStart w:id="1087" w:name="Tc_pmxmW3TSNkCY8XWeVNCBHQ_7_3"/>
      <w:bookmarkStart w:id="1088" w:name="Tc_pU_Ca62_N0-czgWFq-q2Hg_6_5"/>
      <w:bookmarkStart w:id="1089" w:name="Tc_HvNKu2wYb0qajD-GxJB92Q_6_4"/>
      <w:bookmarkStart w:id="1090" w:name="Tc_RVHT452Y50K3H3r7MHEN4Q_6_3"/>
      <w:bookmarkStart w:id="1091" w:name="Tc_csVmTGvjj0G3EGilHnu7Rw_6_0"/>
      <w:bookmarkStart w:id="1092" w:name="Tc_WKC1pAWyoUKK66JF-HQMZQ_5_5"/>
      <w:bookmarkStart w:id="1093" w:name="Tc_r1d-CUht7EuqiNY0k-voLw_5_3"/>
      <w:bookmarkStart w:id="1094" w:name="Tc_5Y8ooMvJd0O31JBo48hIvQ_5_0"/>
      <w:bookmarkStart w:id="1095" w:name="Tc_05J1mkrg40iEo7PwB6-hvA_4_5"/>
      <w:bookmarkStart w:id="1096" w:name="Tc_cwGjkOYmOUSNxp3ZTMDQ-A_4_3"/>
      <w:bookmarkStart w:id="1097" w:name="Tc_kLh8pIsQLUandJhawWeQew_4_0"/>
      <w:bookmarkStart w:id="1098" w:name="Tc_KydDQiE_2ESvVuhNdvMozA_3_5"/>
      <w:bookmarkStart w:id="1099" w:name="Tc_hxH65B22zkKeWRX5ylF7Ww_3_3"/>
      <w:bookmarkStart w:id="1100" w:name="Tc_Knc1S5GqN0uy7d-IFujpsg_3_0"/>
      <w:bookmarkStart w:id="1101" w:name="Tc_SHOILsXIVkO3W8pqy29G4Q_2_4"/>
      <w:bookmarkStart w:id="1102" w:name="Tc_0sthld2jkUyP6AcsfUkvqA_2_2"/>
      <w:bookmarkStart w:id="1103" w:name="Tc_946huJ0rGkqLV8hywaR5YA_1_4"/>
      <w:bookmarkStart w:id="1104" w:name="Tc_ZS_45uaYI0-NeYM0-Y_J8w_1_2"/>
      <w:bookmarkStart w:id="1105" w:name="_9d636d9d_5212_434a_80c3_c1aeb79b45d1"/>
      <w:bookmarkStart w:id="1106" w:name="_7ab2cead_4f8e_4447_a1ab_f49fffc359d2_5"/>
      <w:bookmarkStart w:id="1107" w:name="_7ab2cead_4f8e_4447_a1ab_f49fffc359d2_4"/>
      <w:bookmarkStart w:id="1108" w:name="_7ab2cead_4f8e_4447_a1ab_f49fffc359d2_3"/>
      <w:bookmarkStart w:id="1109" w:name="_7ab2cead_4f8e_4447_a1ab_f49fffc359d2_2"/>
      <w:bookmarkStart w:id="1110" w:name="_7ab2cead_4f8e_4447_a1ab_f49fffc359d2"/>
      <w:bookmarkStart w:id="1111" w:name="Tc_KLp18hMQDk6O1a6uljcZsQ_6_9"/>
      <w:bookmarkStart w:id="1112" w:name="Tc_9DKDg8AajEyT8KnHtC7d1A_6_7"/>
      <w:bookmarkStart w:id="1113" w:name="Tc_s8TLq0bmakyMSbMAg0HtAw_6_4"/>
      <w:bookmarkStart w:id="1114" w:name="Tc_0EJp5dIRKEWFnqeR1kKHvw_6_2"/>
      <w:bookmarkStart w:id="1115" w:name="Tc_UW60dm9QNE2HVMpcU7aH5w_5_9"/>
      <w:bookmarkStart w:id="1116" w:name="Tc_wL3raNYn2EiumjGFUU7HGg_5_7"/>
      <w:bookmarkStart w:id="1117" w:name="Tc_0gMHurjCIU-d_VTwRHSSIQ_5_4"/>
      <w:bookmarkStart w:id="1118" w:name="Tc_W8pnAYlOxE2Zw8UIiL_d1w_5_2"/>
      <w:bookmarkStart w:id="1119" w:name="Tc_JbvGCmDjCUWcJdhFdpTKUg_5_0"/>
      <w:bookmarkStart w:id="1120" w:name="Tc_LHm49C_sMUaT2dENzzJ3QA_4_9"/>
      <w:bookmarkStart w:id="1121" w:name="Tc_P1uq0Nq7vUOS_b6Z7GDY5Q_4_7"/>
      <w:bookmarkStart w:id="1122" w:name="Tc_FuFxa9y8v0qXVas9mMgq0g_4_4"/>
      <w:bookmarkStart w:id="1123" w:name="Tc_lK2cEZiya0OBasc9HZcqVg_4_2"/>
      <w:bookmarkStart w:id="1124" w:name="Tc_pUWywSm1Q0K33jx0bVhDbg_4_0"/>
      <w:bookmarkStart w:id="1125" w:name="Tc_9WxoM_lzDEa701PW5sbFAA_3_9"/>
      <w:bookmarkStart w:id="1126" w:name="Tc_xQ5q40B2-0qkMz8zN6sCZA_3_7"/>
      <w:bookmarkStart w:id="1127" w:name="Tc_8agREhEVaE6DxxKNMaDTYw_3_4"/>
      <w:bookmarkStart w:id="1128" w:name="Tc_95tw1928eU6po5xceN5qDw_3_2"/>
      <w:bookmarkStart w:id="1129" w:name="Tc_GJC-arI8CkCf1tUFU5510Q_3_0"/>
      <w:bookmarkStart w:id="1130" w:name="Tc_5z79_MNUDUm85h-1OXz_Dg_2_8"/>
      <w:bookmarkStart w:id="1131" w:name="Tc_Yv1LjMT-T0ao1WiSWWUoxQ_2_6"/>
      <w:bookmarkStart w:id="1132" w:name="Tc_dcCd7Jo80UiekPZY5sWLyg_2_3"/>
      <w:bookmarkStart w:id="1133" w:name="Tc_ONMjgtutj0msfvaCVPeXeg_2_1"/>
      <w:bookmarkStart w:id="1134" w:name="Tc_bc2BDZmk9EKUGDWlZuBJMA_1_6"/>
      <w:bookmarkStart w:id="1135" w:name="Tc_ffuyvm7yp0i8_0OIuxAJ1w_1_1"/>
      <w:bookmarkStart w:id="1136" w:name="_b9c76fb2_aefc_48ce_8ed8_8359394c3d40"/>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r>
        <w:rPr>
          <w:rFonts w:ascii="Times New Roman;Times;serif" w:hAnsi="Times New Roman;Times;serif"/>
          <w:sz w:val="20"/>
        </w:rPr>
        <w:t>The following three largest restaurant brands (including, as applicable, the franchisees of such restaurants aggregated as a single customer for reporting purposes) accounted for more than 10% of revenues:</w:t>
      </w:r>
    </w:p>
    <w:p>
      <w:pPr>
        <w:pStyle w:val="TextBody"/>
        <w:bidi w:val="0"/>
        <w:spacing w:before="0" w:after="0"/>
        <w:ind w:left="0" w:right="0" w:hanging="0"/>
        <w:jc w:val="left"/>
        <w:rPr/>
      </w:pPr>
      <w:r>
        <w:rPr/>
        <w:t>​</w:t>
      </w:r>
    </w:p>
    <w:tbl>
      <w:tblPr>
        <w:tblW w:w="6988" w:type="dxa"/>
        <w:jc w:val="left"/>
        <w:tblInd w:w="0" w:type="dxa"/>
        <w:tblLayout w:type="fixed"/>
        <w:tblCellMar>
          <w:top w:w="0" w:type="dxa"/>
          <w:left w:w="0" w:type="dxa"/>
          <w:bottom w:w="0" w:type="dxa"/>
          <w:right w:w="0" w:type="dxa"/>
        </w:tblCellMar>
      </w:tblPr>
      <w:tblGrid>
        <w:gridCol w:w="1081"/>
        <w:gridCol w:w="935"/>
        <w:gridCol w:w="724"/>
        <w:gridCol w:w="935"/>
        <w:gridCol w:w="271"/>
        <w:gridCol w:w="326"/>
        <w:gridCol w:w="865"/>
        <w:gridCol w:w="670"/>
        <w:gridCol w:w="865"/>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86435" cy="175260"/>
                      <wp:effectExtent l="0" t="0" r="0" b="0"/>
                      <wp:wrapNone/>
                      <wp:docPr id="104" name="Frame10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3725" cy="175260"/>
                      <wp:effectExtent l="0" t="0" r="0" b="0"/>
                      <wp:wrapNone/>
                      <wp:docPr id="105" name="Frame105"/>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59740" cy="175260"/>
                      <wp:effectExtent l="0" t="0" r="0" b="0"/>
                      <wp:wrapNone/>
                      <wp:docPr id="106" name="Frame106"/>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3725" cy="175260"/>
                      <wp:effectExtent l="0" t="0" r="0" b="0"/>
                      <wp:wrapNone/>
                      <wp:docPr id="107" name="Frame10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2085" cy="175260"/>
                      <wp:effectExtent l="0" t="0" r="0" b="0"/>
                      <wp:wrapNone/>
                      <wp:docPr id="108" name="Frame1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49275" cy="175260"/>
                      <wp:effectExtent l="0" t="0" r="0" b="0"/>
                      <wp:wrapNone/>
                      <wp:docPr id="110" name="Frame11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5450" cy="175260"/>
                      <wp:effectExtent l="0" t="0" r="0" b="0"/>
                      <wp:wrapNone/>
                      <wp:docPr id="111" name="Frame111"/>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49275" cy="175260"/>
                      <wp:effectExtent l="0" t="0" r="0" b="0"/>
                      <wp:wrapNone/>
                      <wp:docPr id="112" name="Frame112"/>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0660" cy="175260"/>
                      <wp:effectExtent l="0" t="0" r="0" b="0"/>
                      <wp:wrapNone/>
                      <wp:docPr id="113" name="Frame1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259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December 31,</w:t>
            </w:r>
          </w:p>
        </w:tc>
        <w:tc>
          <w:tcPr>
            <w:tcW w:w="316"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724" w:type="dxa"/>
            <w:tcBorders/>
            <w:vAlign w:val="center"/>
          </w:tcPr>
          <w:p>
            <w:pPr>
              <w:pStyle w:val="TableContents"/>
              <w:bidi w:val="0"/>
              <w:spacing w:before="0" w:after="1"/>
              <w:ind w:left="0" w:right="0" w:hanging="0"/>
              <w:jc w:val="center"/>
              <w:rPr/>
            </w:pPr>
            <w:r>
              <w:rPr/>
              <w:t>    </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70" w:type="dxa"/>
            <w:tcBorders/>
            <w:vAlign w:val="center"/>
          </w:tcPr>
          <w:p>
            <w:pPr>
              <w:pStyle w:val="TableContents"/>
              <w:bidi w:val="0"/>
              <w:spacing w:before="0" w:after="1"/>
              <w:ind w:left="0" w:right="0" w:hanging="0"/>
              <w:jc w:val="center"/>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6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6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6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6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D and E represents less than 10% of revenue and therefore was omitted from the above schedule.</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restaurant brands accounted for more than 10% of accounts receivable:</w:t>
      </w:r>
    </w:p>
    <w:p>
      <w:pPr>
        <w:pStyle w:val="TextBody"/>
        <w:bidi w:val="0"/>
        <w:spacing w:before="0" w:after="240"/>
        <w:ind w:left="0" w:right="0" w:firstLine="720"/>
        <w:jc w:val="left"/>
        <w:rPr/>
      </w:pPr>
      <w:r>
        <w:rPr/>
        <w:t>​</w:t>
      </w:r>
    </w:p>
    <w:tbl>
      <w:tblPr>
        <w:tblW w:w="4831" w:type="dxa"/>
        <w:jc w:val="left"/>
        <w:tblInd w:w="0" w:type="dxa"/>
        <w:tblLayout w:type="fixed"/>
        <w:tblCellMar>
          <w:top w:w="0" w:type="dxa"/>
          <w:left w:w="0" w:type="dxa"/>
          <w:bottom w:w="0" w:type="dxa"/>
          <w:right w:w="0" w:type="dxa"/>
        </w:tblCellMar>
      </w:tblPr>
      <w:tblGrid>
        <w:gridCol w:w="1081"/>
        <w:gridCol w:w="326"/>
        <w:gridCol w:w="1561"/>
        <w:gridCol w:w="361"/>
        <w:gridCol w:w="1186"/>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86435" cy="175260"/>
                      <wp:effectExtent l="0" t="0" r="0" b="0"/>
                      <wp:wrapNone/>
                      <wp:docPr id="114" name="Frame11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91235" cy="175260"/>
                      <wp:effectExtent l="0" t="0" r="0" b="0"/>
                      <wp:wrapNone/>
                      <wp:docPr id="116" name="Frame11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9235" cy="175260"/>
                      <wp:effectExtent l="0" t="0" r="0" b="0"/>
                      <wp:wrapNone/>
                      <wp:docPr id="117" name="Frame1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53110" cy="175260"/>
                      <wp:effectExtent l="0" t="0" r="0" b="0"/>
                      <wp:wrapNone/>
                      <wp:docPr id="118" name="Frame11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0660" cy="175260"/>
                      <wp:effectExtent l="0" t="0" r="0" b="0"/>
                      <wp:wrapNone/>
                      <wp:docPr id="119" name="Frame1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61"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vAlign w:val="center"/>
          </w:tcPr>
          <w:p>
            <w:pPr>
              <w:pStyle w:val="TableContents"/>
              <w:bidi w:val="0"/>
              <w:spacing w:before="0" w:after="1"/>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C represents less than 10% of accounts receivable and therefore was omitted from the above schedule. For Customer E, the Company serves as an agent in the relationship.</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October 30, 2023, Customer C provided notice of its intent to not renew its contract at the end of the expiration date of December 31, 2023. The customer also sought a limited transition extension period through June 30, 2024. In addition, on December 1, 2023, the Company received notification of Customer A’s intent to not renew its contract at the end of the expiration date on June 30, 2024. On February 1, 2024, the Company received notification of Customer B’s intent to not renew its contract that expires on February 29, 2024.</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is exposed to vendor concentration risk as its next generation version of Presto Touch tablets and other equipment are from one supplier. The Company’s operating results could be adversely affected in the event that the vendor increases its prices or experiences disruptions in its supply of goods or services.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Presto Touch Update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considering strategic alternatives related to its Presto Touch solution including a sale, partial sale or abandonment in the coming months to allow for dedicated focus and efforts on its Presto Voice solution.</w:t>
      </w:r>
      <w:r>
        <w:rPr>
          <w:rFonts w:ascii="Times New Roman;Times;serif" w:hAnsi="Times New Roman;Times;serif"/>
          <w:color w:val="222222"/>
          <w:sz w:val="20"/>
          <w:shd w:fill="FFFFFF" w:val="clear"/>
        </w:rPr>
        <w:t xml:space="preserve"> Refer to Note 15 for information regarding a memorandum of understanding relating to the Presto Touch solution entered into on January 17, 2024.</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Cost Savings Initiative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15, 2023, the Company took additional</w:t>
      </w:r>
      <w:r>
        <w:rPr>
          <w:rFonts w:ascii="Times New Roman;Times;serif" w:hAnsi="Times New Roman;Times;serif"/>
          <w:sz w:val="20"/>
          <w:shd w:fill="FFFFFF" w:val="clear"/>
        </w:rPr>
        <w:t xml:space="preserve"> steps in its ongoing efforts to reduce costs, improve profitability, and streamline operations by implementing a reduction in force</w:t>
      </w:r>
      <w:r>
        <w:rPr>
          <w:rFonts w:ascii="Times New Roman;Times;serif" w:hAnsi="Times New Roman;Times;serif"/>
          <w:sz w:val="20"/>
        </w:rPr>
        <w:t xml:space="preserve"> plan of approximately 17% of the Company’s personnel globally. The current execution of this cost reduction plan resulted in approximately $0.5 million in one-time charges during the three and six months ended December 31, 2023.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Institutions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into receivership, we may be unable to access the funds the Company has on deposit with such institutions. If the Company is unable to access its funds as needed, its financial position and ability to operate its business could be adversely affected. The Company had $12.9 million in deposits in excess of the FDIC limits at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enterprise for which separate financial information is available that is evaluated regularly by the chief operating decision maker (“CODM”) in deciding how to allocate resources and in assessing performance. The Company’s Co-CODMs comprised a team of the Interim Chief Executive Officer, the President and the Chief Operating Officer until August 1, 2023. On that date a new Chief Executive Officer was appointed, who became the sole CODM. The Co-CODMs and sole CODM have reviewed financial information on a consolidated basis for purposes of allocating resources and evaluating financial performance. As such, the Company’s operations constitute a single operating segment and one reportable segment.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operations in the United States, Canada and India. The Company earns substantially all of its revenue in the United States and all of its long-lived assets are held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Non-Affiliate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its leases in accordance with ASC Topic 842, </w:t>
      </w:r>
      <w:r>
        <w:rPr>
          <w:rFonts w:ascii="Times New Roman;Times;serif" w:hAnsi="Times New Roman;Times;serif"/>
          <w:i/>
          <w:sz w:val="20"/>
        </w:rPr>
        <w:t xml:space="preserve">Leases. </w:t>
      </w:r>
      <w:r>
        <w:rPr>
          <w:rFonts w:ascii="Times New Roman;Times;serif" w:hAnsi="Times New Roman;Times;serif"/>
          <w:sz w:val="20"/>
        </w:rPr>
        <w:t>The operating lease liabilities are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of all asset classes; lease expense from these leases is recognized on a straight-line basis over the lease term. The ROU asset as of December 31, 2023 was $0.4 million. Lease activity was immaterial to the condensed consolidation financial statements for the three and six months ended December 31, 2023 and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three and six months ended December 31, 2023 and 2022, the Company derived its revenues from two revenue streams: (1) sales of the Presto Touch and Presto Voice solutions </w:t>
      </w:r>
      <w:r>
        <w:rPr>
          <w:rFonts w:ascii="Times New Roman;Times;serif" w:hAnsi="Times New Roman;Times;serif"/>
          <w:sz w:val="20"/>
          <w:shd w:fill="FFFFFF" w:val="clear"/>
        </w:rPr>
        <w:t xml:space="preserve">and leases of the Presto Touch solution, which includes hardware, hardware accessories, software and customer support and maintenance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(“Platform revenue”), and (2) Premium Content (gaming) and other revenue, which includes professional services (“Transaction revenue”).</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i/>
          <w:sz w:val="20"/>
        </w:rPr>
      </w:pPr>
      <w:r>
        <w:rPr>
          <w:rFonts w:ascii="Times New Roman;Times;serif" w:hAnsi="Times New Roman;Times;serif"/>
          <w:i/>
          <w:sz w:val="20"/>
        </w:rPr>
        <w:t>Platform Revenue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Platform revenue stream is generated from fees charged to customers to access the Company’s Presto Touch and Presto Voice solutions, which are recognized ratably over the life of the contract. The majority of the Company’s consideration from the contract value is due monthly over the term of the contract. </w:t>
      </w:r>
      <w:r>
        <w:rPr>
          <w:rFonts w:ascii="Times New Roman PS Std" w:hAnsi="Times New Roman PS Std"/>
          <w:sz w:val="20"/>
        </w:rPr>
        <w:t>Revenue from the Presto Touch solution</w:t>
      </w:r>
      <w:r>
        <w:rPr>
          <w:rFonts w:ascii="Times New Roman;Times;serif" w:hAnsi="Times New Roman;Times;serif"/>
          <w:sz w:val="20"/>
        </w:rPr>
        <w:t> related to </w:t>
      </w:r>
      <w:r>
        <w:rPr>
          <w:rFonts w:ascii="Times New Roman PS Std" w:hAnsi="Times New Roman PS Std"/>
          <w:sz w:val="20"/>
        </w:rPr>
        <w:t>continuous access to the Company’s software-as-a-service (“SaaS”) platform is satisfied ratably over the contract period as the service is provided.</w:t>
      </w:r>
      <w:r>
        <w:rPr>
          <w:rFonts w:ascii="Times New Roman;Times;serif" w:hAnsi="Times New Roman;Times;serif"/>
          <w:sz w:val="20"/>
        </w:rPr>
        <w:t xml:space="preserve"> The master service agreements with customers are generally for a term ranging from 12 to 36 months. Amounts invoiced in excess of revenue recognized are recorded as deferred revenue. During the three and six months ended December 31, 2023, the Company’s Voice solutions for drive-thru restaurants contributed $0.6 million and $1.0 million, respectively, which accounts for 12% and 10% of the total revenue generated during the respective periods.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66% of the gross billings to the restaurant operators for the three and six months ended December 31, 2023 and ranged from 64% to 68% for the three and six months ended December 31, 2022.  Revenue for the three and six months ended December 31, 2023 and 2022 from Checkers also reflects, as a reduction to the transaction price, the fair value of the warrant issued to Checkers (refer to Note 3). The Company also pays Hi Auto a fee that is accounted for as cost of revenue which was $0.3 million and $0.6 million for the three and six months ended December 31, 2023, respectively, and $0.4 million and $0.5 million for the three and six months ended December 31,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maintains an agreement with a legacy customer whereby it leases Presto Touch to that customer. Revenue associated with the lease is recognized on a straight-line basis as Platform revenue over the lease term in the condensed consolidated statements of operations and comprehensive income (loss).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Transaction Revenue</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 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determines revenue recognition through the following steps:</w:t>
      </w:r>
    </w:p>
    <w:p>
      <w:pPr>
        <w:pStyle w:val="TextBody"/>
        <w:bidi w:val="0"/>
        <w:spacing w:before="0" w:after="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Identification of the contract, or contracts, with a customer — I</w:t>
            </w:r>
            <w:r>
              <w:rPr>
                <w:rFonts w:ascii="Times New Roman;Times;serif" w:hAnsi="Times New Roman;Times;serif"/>
                <w:b w:val="false"/>
                <w:i w:val="false"/>
                <w:caps w:val="false"/>
                <w:smallCaps w:val="false"/>
                <w:sz w:val="20"/>
                <w:shd w:fill="FFFFFF" w:val="clear"/>
              </w:rPr>
              <w:t>n connection with the Presto Touch and Presto Voice solutions, the Company enters into a master sales agreement (“MSA”)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tc>
      </w:tr>
    </w:tbl>
    <w:p>
      <w:pPr>
        <w:pStyle w:val="TextBody"/>
        <w:bidi w:val="0"/>
        <w:spacing w:before="0" w:after="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interrelated, or significantly modify each other, which may require judgment based on the facts and circumstances of the contract.</w:t>
            </w:r>
          </w:p>
        </w:tc>
      </w:tr>
    </w:tbl>
    <w:p>
      <w:pPr>
        <w:pStyle w:val="TextBody"/>
        <w:bidi w:val="0"/>
        <w:spacing w:before="0" w:after="0"/>
        <w:ind w:left="0" w:right="0" w:hanging="0"/>
        <w:jc w:val="left"/>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The Company identified the following performance obligations: (1) for the MSAs and license agreements, sales or leases of hardware, access to the SaaS platform and maintenance is one combined performance obligation (“Presto Touch”)  or (‘Presto Voice”) and (2) for gaming agreements, the provision of premium content, or gaming is a separate standalone performance obligation. Professional services were insignificant during the three and six months ended December 31, 2023 and 2022.</w:t>
      </w:r>
    </w:p>
    <w:p>
      <w:pPr>
        <w:pStyle w:val="TextBody"/>
        <w:bidi w:val="0"/>
        <w:spacing w:before="0" w:after="0"/>
        <w:ind w:left="1080" w:right="0" w:hanging="0"/>
        <w:jc w:val="both"/>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Presto Touch and Presto Voice are each considered, separately, single performance obligations because each respective element of the Presto Touch and Presto Voice solution is interdependent and cannot function independently. The software and hardware for the Presto Touch and Presto Voice represent, respectively, one combined Presto Touch output and one combined Presto Voice output; the customer cannot benefit from the use of one element without the other.</w:t>
      </w:r>
    </w:p>
    <w:p>
      <w:pPr>
        <w:pStyle w:val="TextBody"/>
        <w:bidi w:val="0"/>
        <w:spacing w:before="0" w:after="0"/>
        <w:ind w:left="1080" w:right="0" w:hanging="0"/>
        <w:jc w:val="both"/>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pStyle w:val="TextBody"/>
        <w:bidi w:val="0"/>
        <w:spacing w:before="0" w:after="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 — The Company’s MSAs stipulate the terms and conditions of providing the Presto Touch or Presto Voice solution and separate license agreements dictate the transaction price which are typically outlined as a price per store location or price per number of Presto Touch devices used. The transaction price is generally a fixed fee, due monthly over the term of the contract.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 As the Presto Touch and Presto Voice solution are each considered one combined performance obligation, no reallocation of the contract price is required. The Company’s premium content contract is comprised of one performance obligation and does not require reallocation of the contract price.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19"/>
        <w:gridCol w:w="98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 — As the customer simultaneously receives and consumes the benefits provided by the Company through continuous access to its SaaS platform, revenue from the Presto Touch and Presto Voice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computes net income (loss) per share, or earnings per share (“EPS”), following ASC Topic 260, Earnings per Share. The Company calculates basic net income (loss) per share by dividing net income (loss) attributable to common stockholders by the weighted-average number of ordinary shares outstanding during the period. Diluted EPS represents the dilutive effect on a per-share basis from the potential exercise of options and or warrants; the potentially dilutive effect of options or warrants is computed using the treasury stock method. Securities that that have a potentially anti-dilutive effect (i.e., those that increase income per share or decrease loss per share) are excluded from the diluted EPS calculation.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2016, the FASB issued ASU No. 2016-13, Financial Instruments Topic 326: Credit Losses Measurement of Credit Losses on Financial Instruments (Topic 326)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The Company adopted ASU No. 2016-13 on July 1, 2023 using the modified retrospective approach. The adoption did not have a material impact on the Company's condensed consolidated financial statements. </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August 2020, the FASB issued ASU 2020-06, </w:t>
      </w:r>
      <w:r>
        <w:rPr>
          <w:rFonts w:ascii="Times New Roman;Times;serif" w:hAnsi="Times New Roman;Times;serif"/>
          <w:i/>
          <w:sz w:val="20"/>
        </w:rPr>
        <w:t>Debt — Debt with Conversion and Other Options (Subtopic 470-20) and Derivatives and Hedging — Contracts in Entity’s Own Equity</w:t>
      </w:r>
      <w:r>
        <w:rPr>
          <w:rFonts w:ascii="Times New Roman;Times;serif" w:hAnsi="Times New Roman;Times;serif"/>
          <w:sz w:val="20"/>
        </w:rPr>
        <w:t>, 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 xml:space="preserve">Segment Reporting (Topic 280) – Improvements to Reportable Segment Disclosures. </w:t>
      </w:r>
      <w:r>
        <w:rPr>
          <w:rFonts w:ascii="Times New Roman;Times;serif" w:hAnsi="Times New Roman;Times;serif"/>
          <w:sz w:val="20"/>
        </w:rPr>
        <w:t>This ASU requires incremental disclosures related to a Company’s reportable segments that will provide additional disaggregated expense information. The standard is effective for the Company beginning in fiscal year 2025. The Company is currently evaluating the impact of the adoption of this standard on the Company’s condensed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 xml:space="preserve">Income Taxes (Topic 740) – Improvements to Income Tax Disclosures. </w:t>
      </w:r>
      <w:r>
        <w:rPr>
          <w:rFonts w:ascii="Times New Roman;Times;serif" w:hAnsi="Times New Roman;Times;serif"/>
          <w:sz w:val="20"/>
        </w:rPr>
        <w:t>The standard revises the income tax disclosure requirements to be more transparent. The standard is effective for the Company beginning in fiscal year 2026. The Company is currently evaluating the impact of the adoption of this standard on the Company’s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137" w:name="Tc_JKfN1H8ehEKQdKBvUypN2A_5_2"/>
      <w:bookmarkStart w:id="1138" w:name="Tc_nyucDh6j_E25yRX12R39Cg_5_0"/>
      <w:bookmarkStart w:id="1139" w:name="Tc_T-29gjkG10-XGzyaxZBlow_4_0"/>
      <w:bookmarkStart w:id="1140" w:name="Tc_cLKneyrH6kuJ9x275TPdKw_3_0"/>
      <w:bookmarkStart w:id="1141" w:name="Tc_4qnOkxzyC0WCvbMzvzgPOg_2_2"/>
      <w:bookmarkStart w:id="1142" w:name="Tc_qz7a0yQPVky-ltCz_h92bA_2_0"/>
      <w:bookmarkStart w:id="1143" w:name="Tc_FM8e89xWKk6d3yEZ0afzzQ_1_2"/>
      <w:bookmarkStart w:id="1144" w:name="_07a61afd_c700_4c5d_94c7_d3f08a379df3"/>
      <w:bookmarkEnd w:id="1137"/>
      <w:bookmarkEnd w:id="1138"/>
      <w:bookmarkEnd w:id="1139"/>
      <w:bookmarkEnd w:id="1140"/>
      <w:bookmarkEnd w:id="1141"/>
      <w:bookmarkEnd w:id="1142"/>
      <w:bookmarkEnd w:id="1143"/>
      <w:bookmarkEnd w:id="1144"/>
      <w:r>
        <w:rPr>
          <w:rFonts w:ascii="Times New Roman;Times;serif" w:hAnsi="Times New Roman;Times;serif"/>
          <w:b/>
          <w:sz w:val="20"/>
        </w:rPr>
        <w:t>2. Merger</w:t>
      </w:r>
    </w:p>
    <w:p>
      <w:pPr>
        <w:pStyle w:val="TextBody"/>
        <w:bidi w:val="0"/>
        <w:spacing w:before="0" w:after="240"/>
        <w:ind w:left="0" w:right="0" w:firstLine="72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September 21, 2022, Ventoux and its subsidiaries, then a special purpose acquisition corporation, acquired Legacy Presto via a series of mergers, whereby Legacy Presto became a limited liability company and a wholly owned subsidiary of Ventoux. Upon completion of the Merger, Ventoux CCM Acquisition Corp. was renamed Presto Automation Inc. The Sponsors, with the close of the Merger, remained significant shareholders in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Trust Proceeds and PIPE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the closing of Ventoux’s initial public offering on December 30, 2020, $151.5 million was placed in a trust account, (the “Trust”), for which various redemptions of amounts in the Trust were made up until the date of the Merger. On the closing date of the Merger, $9.5 million of unredeemed funds were released to Ventoux from the Trust.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Upon consummation of the Merger, Presto received approximately $49.8 million from the Trust and PIPE, net of transaction costs and other payments as set forth as follows:</w:t>
      </w:r>
    </w:p>
    <w:p>
      <w:pPr>
        <w:pStyle w:val="TextBody"/>
        <w:bidi w:val="0"/>
        <w:spacing w:before="0" w:after="0"/>
        <w:ind w:left="0" w:right="0" w:hanging="0"/>
        <w:jc w:val="left"/>
        <w:rPr/>
      </w:pPr>
      <w:r>
        <w:rPr/>
        <w:t>​</w:t>
      </w:r>
    </w:p>
    <w:tbl>
      <w:tblPr>
        <w:tblW w:w="5339" w:type="dxa"/>
        <w:jc w:val="left"/>
        <w:tblInd w:w="0" w:type="dxa"/>
        <w:tblLayout w:type="fixed"/>
        <w:tblCellMar>
          <w:top w:w="0" w:type="dxa"/>
          <w:left w:w="0" w:type="dxa"/>
          <w:bottom w:w="0" w:type="dxa"/>
          <w:right w:w="0" w:type="dxa"/>
        </w:tblCellMar>
      </w:tblPr>
      <w:tblGrid>
        <w:gridCol w:w="3961"/>
        <w:gridCol w:w="326"/>
        <w:gridCol w:w="211"/>
        <w:gridCol w:w="84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515235" cy="175260"/>
                      <wp:effectExtent l="0" t="0" r="0" b="0"/>
                      <wp:wrapNone/>
                      <wp:docPr id="120" name="Frame12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34035" cy="175260"/>
                      <wp:effectExtent l="0" t="0" r="0" b="0"/>
                      <wp:wrapNone/>
                      <wp:docPr id="123" name="Frame1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Cash—Ventoux Trust and working capital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Cash—PIPE investment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55,400</w:t>
            </w:r>
          </w:p>
        </w:tc>
      </w:tr>
      <w:tr>
        <w:trPr/>
        <w:tc>
          <w:tcPr>
            <w:tcW w:w="39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Less: transaction costs and other payments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49,840</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 reflects (1) the repayment of $1.9</w:t>
            </w:r>
            <w:r>
              <w:rPr>
                <w:caps w:val="false"/>
                <w:smallCaps w:val="false"/>
              </w:rPr>
              <w:t xml:space="preserve"> </w:t>
            </w:r>
            <w:r>
              <w:rPr>
                <w:rFonts w:ascii="Times New Roman;Times;serif" w:hAnsi="Times New Roman;Times;serif"/>
                <w:b w:val="false"/>
                <w:i w:val="false"/>
                <w:caps w:val="false"/>
                <w:smallCaps w:val="false"/>
                <w:sz w:val="20"/>
              </w:rPr>
              <w:t>million of Ventoux related party loans utilizing proceeds from Trust, (2) the payment of $7.8</w:t>
            </w:r>
            <w:r>
              <w:rPr>
                <w:caps w:val="false"/>
                <w:smallCaps w:val="false"/>
              </w:rPr>
              <w:t xml:space="preserve"> </w:t>
            </w:r>
            <w:r>
              <w:rPr>
                <w:rFonts w:ascii="Times New Roman;Times;serif" w:hAnsi="Times New Roman;Times;serif"/>
                <w:b w:val="false"/>
                <w:i w:val="false"/>
                <w:caps w:val="false"/>
                <w:smallCaps w:val="false"/>
                <w:sz w:val="20"/>
              </w:rPr>
              <w:t>million in Ventoux transaction costs related to the Merger, (3) the payment of $4.9</w:t>
            </w:r>
            <w:r>
              <w:rPr>
                <w:caps w:val="false"/>
                <w:smallCaps w:val="false"/>
              </w:rPr>
              <w:t xml:space="preserve"> </w:t>
            </w:r>
            <w:r>
              <w:rPr>
                <w:rFonts w:ascii="Times New Roman;Times;serif" w:hAnsi="Times New Roman;Times;serif"/>
                <w:b w:val="false"/>
                <w:i w:val="false"/>
                <w:caps w:val="false"/>
                <w:smallCaps w:val="false"/>
                <w:sz w:val="20"/>
              </w:rPr>
              <w:t>million in Legacy Presto transaction costs related to the Merger and (4) the payment of certain other costs not directly related to the Merger in the amount of $0.5</w:t>
            </w:r>
            <w:r>
              <w:rPr>
                <w:caps w:val="false"/>
                <w:smallCaps w:val="false"/>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million. Legacy Presto also incurred $2.1</w:t>
            </w:r>
            <w:r>
              <w:rPr>
                <w:caps w:val="false"/>
                <w:smallCaps w:val="false"/>
              </w:rPr>
              <w:t xml:space="preserve"> </w:t>
            </w:r>
            <w:r>
              <w:rPr>
                <w:rFonts w:ascii="Times New Roman;Times;serif" w:hAnsi="Times New Roman;Times;serif"/>
                <w:b w:val="false"/>
                <w:i w:val="false"/>
                <w:caps w:val="false"/>
                <w:smallCaps w:val="false"/>
                <w:sz w:val="20"/>
              </w:rPr>
              <w:t>million in transaction costs which were paid via the issuance of 260,000</w:t>
            </w:r>
            <w:r>
              <w:rPr>
                <w:caps w:val="false"/>
                <w:smallCaps w:val="false"/>
              </w:rPr>
              <w:t xml:space="preserve"> </w:t>
            </w:r>
            <w:r>
              <w:rPr>
                <w:rFonts w:ascii="Times New Roman;Times;serif" w:hAnsi="Times New Roman;Times;serif"/>
                <w:b w:val="false"/>
                <w:i w:val="false"/>
                <w:caps w:val="false"/>
                <w:smallCaps w:val="false"/>
                <w:sz w:val="20"/>
              </w:rPr>
              <w:t>Company shares. Further in conjunction with the Merger, Legacy Presto incurred $3.2</w:t>
            </w:r>
            <w:r>
              <w:rPr>
                <w:caps w:val="false"/>
                <w:smallCaps w:val="false"/>
              </w:rPr>
              <w:t xml:space="preserve"> </w:t>
            </w:r>
            <w:r>
              <w:rPr>
                <w:rFonts w:ascii="Times New Roman;Times;serif" w:hAnsi="Times New Roman;Times;serif"/>
                <w:b w:val="false"/>
                <w:i w:val="false"/>
                <w:caps w:val="false"/>
                <w:smallCaps w:val="false"/>
                <w:sz w:val="20"/>
              </w:rPr>
              <w:t>million in transaction costs which were either paid prior to or after the Merger. As of December 31, 2022, all of the transaction costs incurred by Legacy Presto have been fully paid. Accordingly, in total Legacy Presto incurred transaction costs amounting to $10.4</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Legacy Presto Convertible Promissory Notes and Equity and the Exchange</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Earnout Arrangement with holders of Legacy Presto Common Stock and Outstanding Equity Awards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7,500,000</w:t>
            </w:r>
            <w:r>
              <w:rPr>
                <w:caps w:val="false"/>
                <w:smallCaps w:val="false"/>
              </w:rPr>
              <w:t xml:space="preserve"> </w:t>
            </w:r>
            <w:r>
              <w:rPr>
                <w:rFonts w:ascii="Times New Roman;Times;serif" w:hAnsi="Times New Roman;Times;serif"/>
                <w:b w:val="false"/>
                <w:i w:val="false"/>
                <w:caps w:val="false"/>
                <w:smallCaps w:val="false"/>
                <w:sz w:val="20"/>
              </w:rPr>
              <w:t>shares, if, during the period from and after the closing of the Merger until the third anniversary of the closing of the Merger, the Volume Weighted Average Price (“VWAP” as defined in the Agreement and Plan of Merger among Ventoux CCM Acquisition Corp., as Acquiror, Ventoux Merger Sub I Inc. as First Merger Sub., Ventoux Merger Sub II LLC as Second Merger Sub and E La Carte, Inc. as the Company, dated November 10, 2021 of Presto common stock is greater than or equal to $12.50</w:t>
            </w:r>
            <w:r>
              <w:rPr>
                <w:caps w:val="false"/>
                <w:smallCaps w:val="false"/>
              </w:rPr>
              <w:t xml:space="preserve"> </w:t>
            </w:r>
            <w:r>
              <w:rPr>
                <w:rFonts w:ascii="Times New Roman;Times;serif" w:hAnsi="Times New Roman;Times;serif"/>
                <w:b w:val="false"/>
                <w:i w:val="false"/>
                <w:caps w:val="false"/>
                <w:smallCaps w:val="false"/>
                <w:sz w:val="20"/>
              </w:rPr>
              <w:t>for any 20</w:t>
            </w:r>
            <w:r>
              <w:rPr>
                <w:caps w:val="false"/>
                <w:smallCaps w:val="false"/>
              </w:rPr>
              <w:t xml:space="preserve"> </w:t>
            </w:r>
            <w:r>
              <w:rPr>
                <w:rFonts w:ascii="Times New Roman;Times;serif" w:hAnsi="Times New Roman;Times;serif"/>
                <w:b w:val="false"/>
                <w:i w:val="false"/>
                <w:caps w:val="false"/>
                <w:smallCaps w:val="false"/>
                <w:sz w:val="20"/>
              </w:rPr>
              <w:t>trading days within a period of 30</w:t>
            </w:r>
            <w:r>
              <w:rPr>
                <w:caps w:val="false"/>
                <w:smallCaps w:val="false"/>
              </w:rPr>
              <w:t xml:space="preserve"> </w:t>
            </w:r>
            <w:r>
              <w:rPr>
                <w:rFonts w:ascii="Times New Roman;Times;serif" w:hAnsi="Times New Roman;Times;serif"/>
                <w:b w:val="false"/>
                <w:i w:val="false"/>
                <w:caps w:val="false"/>
                <w:smallCaps w:val="false"/>
                <w:sz w:val="20"/>
              </w:rPr>
              <w:t>consecutive trading days,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an additional 7,500,000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shares, if, during the period from and after the closing of the Merger until the fifth anniversary of the closing of the Merger, the VWAP of Presto common stock is greater than or equal to $15.00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for any 20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trading days within a period of 30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consecutive trading days.</w:t>
            </w:r>
          </w:p>
        </w:tc>
      </w:tr>
    </w:tbl>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earnout shares are equity classified and the fair value was determined at grant date to be $3.17 per share. Of the 15,000,000 earn-out shares, 4,771,116 earnout shares were given to common stock, option and RSU holders that were held by current employees and directors and are accounted for under ASC 718. Refer to Note 11 for compensation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Unvested Sponsor Share Arrangement with Sponsors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Closing, 444,500 sponsor shares held by the Sponsors (the “Unvested Sponsor Shares”) became subject to the following vesting and forfeiture provisions:</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first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 at such time as a $12.00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next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vests at such time as a $15.00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tbl>
      <w:tblPr>
        <w:tblW w:w="10205" w:type="dxa"/>
        <w:jc w:val="left"/>
        <w:tblInd w:w="0" w:type="dxa"/>
        <w:tblLayout w:type="fixed"/>
        <w:tblCellMar>
          <w:top w:w="28" w:type="dxa"/>
          <w:left w:w="28" w:type="dxa"/>
          <w:bottom w:w="28" w:type="dxa"/>
          <w:right w:w="28" w:type="dxa"/>
        </w:tblCellMar>
      </w:tblPr>
      <w:tblGrid>
        <w:gridCol w:w="124"/>
        <w:gridCol w:w="381"/>
        <w:gridCol w:w="9700"/>
      </w:tblGrid>
      <w:tr>
        <w:trPr/>
        <w:tc>
          <w:tcPr>
            <w:tcW w:w="124" w:type="dxa"/>
            <w:tcBorders/>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next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 at such time as a $20.00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 and</w:t>
            </w:r>
          </w:p>
        </w:tc>
      </w:tr>
    </w:tbl>
    <w:tbl>
      <w:tblPr>
        <w:tblW w:w="10205" w:type="dxa"/>
        <w:jc w:val="left"/>
        <w:tblInd w:w="0" w:type="dxa"/>
        <w:tblLayout w:type="fixed"/>
        <w:tblCellMar>
          <w:top w:w="28" w:type="dxa"/>
          <w:left w:w="28" w:type="dxa"/>
          <w:bottom w:w="28" w:type="dxa"/>
          <w:right w:w="28" w:type="dxa"/>
        </w:tblCellMar>
      </w:tblPr>
      <w:tblGrid>
        <w:gridCol w:w="124"/>
        <w:gridCol w:w="364"/>
        <w:gridCol w:w="9717"/>
      </w:tblGrid>
      <w:tr>
        <w:trPr/>
        <w:tc>
          <w:tcPr>
            <w:tcW w:w="124" w:type="dxa"/>
            <w:tcBorders/>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1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remaining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shall vest at such time as a $25.00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“Stock Price Level” is considered achieved when the VWAP of the common stock is greater than or equal to the applicable threshold for any 40 consecutive trading days within a 60 trading day period. If the applicable Stock Price Level is not achieved on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December 31, 2023, all of the Unvested Sponsor Shares remain unvested as the vesting conditions have not been achieved.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three and six months ended December 31, 2023, the Company recorded a gain on remeasurement of $0.1 million and $1.4 million, respectively, and an immaterial amount and a $1.2 million gain for the three and six months ended December 31, 2022, respectively, which are included in change in fair value of warrants and convertible promissory notes in the condensed consolidated statement of operations and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Merger is accounted for as a reverse recapitalization in accordance with U.S. GAAP. Under the guidance in ASC 805, </w:t>
      </w:r>
      <w:r>
        <w:rPr>
          <w:rFonts w:ascii="Times New Roman;Times;serif" w:hAnsi="Times New Roman;Times;serif"/>
          <w:i/>
          <w:sz w:val="20"/>
        </w:rPr>
        <w:t>Business Combinations</w:t>
      </w:r>
      <w:r>
        <w:rPr>
          <w:rFonts w:ascii="Times New Roman;Times;serif" w:hAnsi="Times New Roman;Times;serif"/>
          <w:sz w:val="20"/>
        </w:rPr>
        <w:t>,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income per common share, prior to the Merger, have been retroactively restated as shares reflecting the Exchange Ratio established in the Merger (0.8099 shares of Company common stock for every one share of Legacy Presto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net liabilities of Ventoux assumed by the Company was $9.8 million, which is inclusive of a liability for the private warrants of $9.4 million but excludes the $55.4 million in PIPE proceeds raised by Ventoux immediately prior to the Merger.</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45" w:name="Tc_twfLhk_0sk-y1tojuRkcfg_6_2"/>
      <w:bookmarkStart w:id="1146" w:name="Tc_9yK-PQs0QUOU1CCvRUS_rg_6_0"/>
      <w:bookmarkStart w:id="1147" w:name="Tc_d12bfij-gE2-0XoGw1djNg_5_0"/>
      <w:bookmarkStart w:id="1148" w:name="Tc_2C88nPGEAkKtP-1DAQvFjQ_4_0"/>
      <w:bookmarkStart w:id="1149" w:name="Tc_ltNtnRjplE6WoImyX1Sd1A_3_2"/>
      <w:bookmarkStart w:id="1150" w:name="Tc_U__-G1wkwEed2mFbaOw2BQ_3_0"/>
      <w:bookmarkStart w:id="1151" w:name="Tc_2qeLgAHrE0-jEGd45E88Tg_2_2"/>
      <w:bookmarkStart w:id="1152" w:name="Tc_GUBVDTx2GE-KfXL3QXsOQw_1_2"/>
      <w:bookmarkStart w:id="1153" w:name="_32e6f5b4_804c_4722_b752_838da4ab8a60"/>
      <w:bookmarkEnd w:id="1145"/>
      <w:bookmarkEnd w:id="1146"/>
      <w:bookmarkEnd w:id="1147"/>
      <w:bookmarkEnd w:id="1148"/>
      <w:bookmarkEnd w:id="1149"/>
      <w:bookmarkEnd w:id="1150"/>
      <w:bookmarkEnd w:id="1151"/>
      <w:bookmarkEnd w:id="1152"/>
      <w:bookmarkEnd w:id="1153"/>
      <w:r>
        <w:rPr>
          <w:rFonts w:ascii="Times New Roman;Times;serif" w:hAnsi="Times New Roman;Times;serif"/>
          <w:b/>
          <w:sz w:val="20"/>
        </w:rPr>
        <w:t>3.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for credit losses, in the condensed consolidated balance sheets was $0.7 million and $0.7 million as of December 31, 2023 and June 30, 2023, respectively. The beginning balance of accounts receivable was $1.8 million and $1.5 million as of July 1, 2023 and 2022, respectively. The amount of contract assets including deferred costs in the condensed consolidated balance sheets is $1.7 million, $2.4 million and $11.3 million as of December 31, 2023, June 30, 2023 and July 1,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activity in deferred revenue:</w:t>
      </w:r>
    </w:p>
    <w:p>
      <w:pPr>
        <w:pStyle w:val="TextBody"/>
        <w:bidi w:val="0"/>
        <w:spacing w:before="0" w:after="240"/>
        <w:ind w:left="0" w:right="0" w:hanging="0"/>
        <w:jc w:val="left"/>
        <w:rPr/>
      </w:pPr>
      <w:r>
        <w:rPr/>
        <w:t>​</w:t>
      </w:r>
    </w:p>
    <w:tbl>
      <w:tblPr>
        <w:tblW w:w="4094" w:type="dxa"/>
        <w:jc w:val="left"/>
        <w:tblInd w:w="0" w:type="dxa"/>
        <w:tblLayout w:type="fixed"/>
        <w:tblCellMar>
          <w:top w:w="0" w:type="dxa"/>
          <w:left w:w="0" w:type="dxa"/>
          <w:bottom w:w="0" w:type="dxa"/>
          <w:right w:w="0" w:type="dxa"/>
        </w:tblCellMar>
      </w:tblPr>
      <w:tblGrid>
        <w:gridCol w:w="2821"/>
        <w:gridCol w:w="326"/>
        <w:gridCol w:w="211"/>
        <w:gridCol w:w="73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91335" cy="175260"/>
                      <wp:effectExtent l="0" t="0" r="0" b="0"/>
                      <wp:wrapNone/>
                      <wp:docPr id="124" name="Frame124"/>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67360" cy="175260"/>
                      <wp:effectExtent l="0" t="0" r="0" b="0"/>
                      <wp:wrapNone/>
                      <wp:docPr id="127" name="Frame12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3,082</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(3,397)</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1,268</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54" w:name="Tc_5UUPjynjC0GwrxSNb5DL-Q_6_2"/>
      <w:bookmarkStart w:id="1155" w:name="Tc_HHNnq1ePTEO_NrdJAdzg9g_6_0"/>
      <w:bookmarkStart w:id="1156" w:name="Tc_2n6WG25yeUCs_HJOIkS58A_5_0"/>
      <w:bookmarkStart w:id="1157" w:name="Tc_O1wS1ZYyiUWJjzktfq-Fuw_4_0"/>
      <w:bookmarkStart w:id="1158" w:name="Tc_aELWDELfq0qqWBmoo1Bz-w_3_2"/>
      <w:bookmarkStart w:id="1159" w:name="Tc_KtEBd4cqKkS5SEFhbFGgxg_3_0"/>
      <w:bookmarkStart w:id="1160" w:name="Tc_3Dg6Mi2_jUqdpmTtJ6zypw_2_2"/>
      <w:bookmarkStart w:id="1161" w:name="Tc_X0EUJtMQR0GuqirUL0c8rQ_1_2"/>
      <w:bookmarkStart w:id="1162" w:name="_27388498_6c61_45c4_893d_09b133e807bd"/>
      <w:bookmarkStart w:id="1163" w:name="Tc_5UUPjynjC0GwrxSNb5DL-Q_6_2"/>
      <w:bookmarkStart w:id="1164" w:name="Tc_HHNnq1ePTEO_NrdJAdzg9g_6_0"/>
      <w:bookmarkStart w:id="1165" w:name="Tc_2n6WG25yeUCs_HJOIkS58A_5_0"/>
      <w:bookmarkStart w:id="1166" w:name="Tc_O1wS1ZYyiUWJjzktfq-Fuw_4_0"/>
      <w:bookmarkStart w:id="1167" w:name="Tc_aELWDELfq0qqWBmoo1Bz-w_3_2"/>
      <w:bookmarkStart w:id="1168" w:name="Tc_KtEBd4cqKkS5SEFhbFGgxg_3_0"/>
      <w:bookmarkStart w:id="1169" w:name="Tc_3Dg6Mi2_jUqdpmTtJ6zypw_2_2"/>
      <w:bookmarkStart w:id="1170" w:name="Tc_X0EUJtMQR0GuqirUL0c8rQ_1_2"/>
      <w:bookmarkStart w:id="1171" w:name="_27388498_6c61_45c4_893d_09b133e807bd"/>
      <w:bookmarkEnd w:id="1163"/>
      <w:bookmarkEnd w:id="1164"/>
      <w:bookmarkEnd w:id="1165"/>
      <w:bookmarkEnd w:id="1166"/>
      <w:bookmarkEnd w:id="1167"/>
      <w:bookmarkEnd w:id="1168"/>
      <w:bookmarkEnd w:id="1169"/>
      <w:bookmarkEnd w:id="1170"/>
      <w:bookmarkEnd w:id="1171"/>
    </w:p>
    <w:tbl>
      <w:tblPr>
        <w:tblW w:w="3764" w:type="dxa"/>
        <w:jc w:val="left"/>
        <w:tblInd w:w="0" w:type="dxa"/>
        <w:tblLayout w:type="fixed"/>
        <w:tblCellMar>
          <w:top w:w="0" w:type="dxa"/>
          <w:left w:w="0" w:type="dxa"/>
          <w:bottom w:w="0" w:type="dxa"/>
          <w:right w:w="0" w:type="dxa"/>
        </w:tblCellMar>
      </w:tblPr>
      <w:tblGrid>
        <w:gridCol w:w="2386"/>
        <w:gridCol w:w="326"/>
        <w:gridCol w:w="211"/>
        <w:gridCol w:w="84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15110" cy="175260"/>
                      <wp:effectExtent l="0" t="0" r="0" b="0"/>
                      <wp:wrapNone/>
                      <wp:docPr id="128" name="Frame12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34035" cy="175260"/>
                      <wp:effectExtent l="0" t="0" r="0" b="0"/>
                      <wp:wrapNone/>
                      <wp:docPr id="131" name="Frame1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10,769</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3,246</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1,583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approximately $5.4 million of revenue is expected to be recognized from remaining performance obligations for customer contracts. The Company expects to recognize revenue on approximately $4.4 million of these remaining performance obligations over the next 12 months with the remaining balance recognized thereafter.</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commissions paid to restaurants under the Company’s gaming revenue share agreements ranged between 86% - 98% and 86% - 96% of premium content revenue by customer logo for the three and six months ended December 31, 2023, respectively, and </w:t>
      </w:r>
      <w:r>
        <w:rPr>
          <w:rFonts w:ascii="Times New Roman;Times;serif" w:hAnsi="Times New Roman;Times;serif"/>
          <w:sz w:val="20"/>
          <w:shd w:fill="FFFFFF" w:val="clear"/>
        </w:rPr>
        <w:t>83% - 90% and 83% - 92%</w:t>
      </w:r>
      <w:r>
        <w:rPr>
          <w:rFonts w:ascii="Times New Roman;Times;serif" w:hAnsi="Times New Roman;Times;serif"/>
          <w:sz w:val="20"/>
        </w:rPr>
        <w:t xml:space="preserve"> for the three and six months ended December 31,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country other than the United States represented 10% or more of the Company’s revenue during three and six months ended December 31, 2023 and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December 31, 2023, $0.5 million and $1.1 million, of revenue was from leasing arrangements, respectively, while for the three and six months ended December 31, 2022, $0.4 million and $0.8 million of revenue was from leasing arrangements, respectively.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 Issued to a Customer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recorded as contra-revenue. Contra-revenue recognized related to the warrant was $0.2 million and $0.3 million for the three and six months ended December 31, 2023, respectively, and $0.4 million and $0.6 million for the three and six months ended December 31, 2022, respectively.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Voice Customer Update</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Some of the Presto Voice customers continue to include Carl’s Jr. and Hardee’s, and Wienerschnitzel. During the six months ended December 31, 2023, one of the Company’s Presto Voice customers, Del Taco, decided not to continue with the Presto Voice solution. This will not have a material impact on the Company’s financial statements.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72" w:name="Tc_6GRwkC7utEufiv4vM1e7XQ_11_11"/>
      <w:bookmarkStart w:id="1173" w:name="Tc_MvL0eF1bSk-z1qLGhgHFSQ_11_8"/>
      <w:bookmarkStart w:id="1174" w:name="Tc_N7SZmWTbRUqr6TghB2070A_11_6"/>
      <w:bookmarkStart w:id="1175" w:name="Tc_nq-kpK_uhUOeFIR5dQBj8Q_11_5"/>
      <w:bookmarkStart w:id="1176" w:name="Tc_CqEYo8j9-kqS1g-XE5Fqxw_11_3"/>
      <w:bookmarkStart w:id="1177" w:name="Tc_ZEHGUkfJcUC_nOQTN8IuyA_11_2"/>
      <w:bookmarkStart w:id="1178" w:name="Tc_cZ-Skb9S9UqK7fRHkd6HmA_11_0"/>
      <w:bookmarkStart w:id="1179" w:name="Tc_86jGOUq470eQSzZ9jU3Fzw_10_6"/>
      <w:bookmarkStart w:id="1180" w:name="Tc_SxcXFlGop0qnJToevrskww_10_3"/>
      <w:bookmarkStart w:id="1181" w:name="Tc_y14kQpuKOkeEfFHs3OIEog_10_0"/>
      <w:bookmarkStart w:id="1182" w:name="Tc_MrSJ989rmEuBRqybWkVW6g_9_8"/>
      <w:bookmarkStart w:id="1183" w:name="Tc_aKGBLcZZ3U6t2kblE5PDAA_9_6"/>
      <w:bookmarkStart w:id="1184" w:name="Tc_6zA_BUr1aEm8yfLOabkopQ_9_5"/>
      <w:bookmarkStart w:id="1185" w:name="Tc_Sd5ZJZjcjEq4NBZc98Yh7A_9_3"/>
      <w:bookmarkStart w:id="1186" w:name="Tc_s-aheAr1kU6DD4HSO6LnDA_9_2"/>
      <w:bookmarkStart w:id="1187" w:name="Tc_v1c7JcV3j06b1LOQk9j-OQ_9_0"/>
      <w:bookmarkStart w:id="1188" w:name="Tc_YakQWluN_UaV0S7A8YCiuA_8_0"/>
      <w:bookmarkStart w:id="1189" w:name="Tc_HkOZmlXtHUedlePmMeT4wg_6_11"/>
      <w:bookmarkStart w:id="1190" w:name="Tc_lAWpFXyV-0GJqGxoVvyeYg_6_9"/>
      <w:bookmarkStart w:id="1191" w:name="Tc_MDZXKn-l-EO02uO9vssUlQ_6_8"/>
      <w:bookmarkStart w:id="1192" w:name="Tc_K9PLtwbpqEmLOhtQWBBIWA_6_6"/>
      <w:bookmarkStart w:id="1193" w:name="Tc_-DM2oAhUPkOIDUD9xtGUlA_6_5"/>
      <w:bookmarkStart w:id="1194" w:name="Tc_tfMBzxxg5kyGQvk2upG1VQ_6_2"/>
      <w:bookmarkStart w:id="1195" w:name="Tc_OJHRZH6VeUaxQPQ7wl6vwg_6_0"/>
      <w:bookmarkStart w:id="1196" w:name="Tc_AYD9f44_yUqsP82hZP5r2Q_5_11"/>
      <w:bookmarkStart w:id="1197" w:name="Tc_thgtETElGkSNOnp29HGNwA_5_9"/>
      <w:bookmarkStart w:id="1198" w:name="Tc_QFKF2T-gU0i14xu28MFfyg_5_8"/>
      <w:bookmarkStart w:id="1199" w:name="Tc_W3cfrArx90CaiWoQ7Q-RWg_5_6"/>
      <w:bookmarkStart w:id="1200" w:name="Tc_aiWT_4xYtUmwYQwO7Kyukg_5_5"/>
      <w:bookmarkStart w:id="1201" w:name="Tc_xlSpLrigk0C8cMJLI9HkWQ_5_2"/>
      <w:bookmarkStart w:id="1202" w:name="Tc_5YwQ4uNnekGztONrynEZdA_5_0"/>
      <w:bookmarkStart w:id="1203" w:name="Tc__JsBG_kFK0O1jP5axLOXww_4_0"/>
      <w:bookmarkStart w:id="1204" w:name="Tc_ZMsdIDbGgUeseHbaSPCYkg_3_0"/>
      <w:bookmarkStart w:id="1205" w:name="Tc_dJX8Btr7p0CLNZCagu46RQ_2_11"/>
      <w:bookmarkStart w:id="1206" w:name="Tc_0oTxfOciok-S9HxpKHtQJw_2_8"/>
      <w:bookmarkStart w:id="1207" w:name="Tc_tapcXrxoakGwxgzncORKJw_2_5"/>
      <w:bookmarkStart w:id="1208" w:name="Tc_sD_rqZP6aEOi0BWSW4cR7g_2_2"/>
      <w:bookmarkStart w:id="1209" w:name="Tc_fZ2XvfYBy0edCGIDUWHBaw_1_2"/>
      <w:bookmarkStart w:id="1210" w:name="_c38b0f48_2351_4935_98b3_f34d7af936c4"/>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summary of all financial instruments measured at fair value:</w:t>
      </w:r>
    </w:p>
    <w:p>
      <w:pPr>
        <w:pStyle w:val="TextBody"/>
        <w:bidi w:val="0"/>
        <w:spacing w:before="0" w:after="240"/>
        <w:ind w:left="0" w:right="0" w:firstLine="720"/>
        <w:jc w:val="left"/>
        <w:rPr/>
      </w:pPr>
      <w:r>
        <w:rPr/>
        <w:t>​</w:t>
      </w:r>
    </w:p>
    <w:tbl>
      <w:tblPr>
        <w:tblW w:w="7312" w:type="dxa"/>
        <w:jc w:val="left"/>
        <w:tblInd w:w="0" w:type="dxa"/>
        <w:tblLayout w:type="fixed"/>
        <w:tblCellMar>
          <w:top w:w="0" w:type="dxa"/>
          <w:left w:w="0" w:type="dxa"/>
          <w:bottom w:w="0" w:type="dxa"/>
          <w:right w:w="0" w:type="dxa"/>
        </w:tblCellMar>
      </w:tblPr>
      <w:tblGrid>
        <w:gridCol w:w="2926"/>
        <w:gridCol w:w="326"/>
        <w:gridCol w:w="211"/>
        <w:gridCol w:w="571"/>
        <w:gridCol w:w="326"/>
        <w:gridCol w:w="239"/>
        <w:gridCol w:w="392"/>
        <w:gridCol w:w="326"/>
        <w:gridCol w:w="211"/>
        <w:gridCol w:w="571"/>
        <w:gridCol w:w="326"/>
        <w:gridCol w:w="211"/>
        <w:gridCol w:w="67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58010" cy="175260"/>
                      <wp:effectExtent l="0" t="0" r="0" b="0"/>
                      <wp:wrapNone/>
                      <wp:docPr id="132" name="Frame13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62585" cy="175260"/>
                      <wp:effectExtent l="0" t="0" r="0" b="0"/>
                      <wp:wrapNone/>
                      <wp:docPr id="135" name="Frame1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1765" cy="175260"/>
                      <wp:effectExtent l="0" t="0" r="0" b="0"/>
                      <wp:wrapNone/>
                      <wp:docPr id="137" name="Frame13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8920" cy="175260"/>
                      <wp:effectExtent l="0" t="0" r="0" b="0"/>
                      <wp:wrapNone/>
                      <wp:docPr id="138" name="Frame13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41" name="Frame1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44" name="Frame1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06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29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3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r>
      <w:tr>
        <w:trPr/>
        <w:tc>
          <w:tcPr>
            <w:tcW w:w="29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4,705</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4,713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bookmarkStart w:id="1211" w:name="Tc_ULewbyiIfkCynky7cY9LKA_8_5"/>
      <w:bookmarkStart w:id="1212" w:name="Tc_5-C0YoOj-k-WcksUmv39qg_8_2"/>
      <w:bookmarkStart w:id="1213" w:name="Tc_2EfZosv5k0mNF8QAEUTdNg_8_0"/>
      <w:bookmarkStart w:id="1214" w:name="Tc_XVttXGxg8kaLCDP08LrhZA_7_6"/>
      <w:bookmarkStart w:id="1215" w:name="Tc_ATXi-idph0mo6B88__l7XQ_7_3"/>
      <w:bookmarkStart w:id="1216" w:name="Tc_-2keStIuJEK2c7EVZVJlyA_7_0"/>
      <w:bookmarkStart w:id="1217" w:name="Tc_jLe-YHLzE0GQHabgZdAzxw_6_7"/>
      <w:bookmarkStart w:id="1218" w:name="Tc_wosWfb419UKmrFqRqHfQJg_6_4"/>
      <w:bookmarkStart w:id="1219" w:name="Tc_KSYqfYdV9Uis7NIZxvcLZg_6_0"/>
      <w:bookmarkStart w:id="1220" w:name="Tc_90MZ1_2rJUmsuQIIH-P99A_5_0"/>
      <w:bookmarkStart w:id="1221" w:name="Tc_kq9AYYnUTUa4g-IafxkBkw_4_7"/>
      <w:bookmarkStart w:id="1222" w:name="Tc_UZiQDglGeUeRPSKQHAT5ng_4_4"/>
      <w:bookmarkStart w:id="1223" w:name="Tc_cLHFkGCj1kS5fwBP09aUKw_4_0"/>
      <w:bookmarkStart w:id="1224" w:name="Tc_xkidEo9NIEKgOYTMrSRy1g_3_5"/>
      <w:bookmarkStart w:id="1225" w:name="Tc_MdxBG8nMFEKzehOxg5hg9g_3_2"/>
      <w:bookmarkStart w:id="1226" w:name="Tc_ToHPVZ1Nd02ZFJxsG8g8Tw_2_5"/>
      <w:bookmarkStart w:id="1227" w:name="Tc_kbPKunnZjE-Aae6ZpLispA_2_2"/>
      <w:bookmarkStart w:id="1228" w:name="Tc_HDn3jpPf-E2XdJ8MGoj5lQ_1_5"/>
      <w:bookmarkStart w:id="1229" w:name="Tc_MZ2oyrb3fE2pmXWXPPCmZw_1_2"/>
      <w:bookmarkStart w:id="1230" w:name="Tc_9q59qkfjrk-vGSSUHNrH3Q_4_5"/>
      <w:bookmarkStart w:id="1231" w:name="Tc_Rslc29RTO0aC5WHsbbz5Tg_4_3"/>
      <w:bookmarkStart w:id="1232" w:name="Tc_zRrceR2To0Opcsg5lerN-A_4_0"/>
      <w:bookmarkStart w:id="1233" w:name="Tc_62dht4Jk5kmOGoF6s1BA9g_3_0"/>
      <w:bookmarkStart w:id="1234" w:name="Tc_daE595QNV0yM5UOy3Fcd2g_2_5"/>
      <w:bookmarkStart w:id="1235" w:name="Tc_JcthdBf-30KwWhKxvp0cNQ_2_3"/>
      <w:bookmarkStart w:id="1236" w:name="Tc_-qXl0ZNn0EOnj8OqxCqoMw_2_0"/>
      <w:bookmarkStart w:id="1237" w:name="Tc_eN17K1MeqUOrJtEaQveVXg_1_4"/>
      <w:bookmarkStart w:id="1238" w:name="Tc_BZCaEi5NwkmDoSzffw4UGw_1_2"/>
      <w:bookmarkStart w:id="1239" w:name="Tc_ESax1pyQX0q_chd9xnNHXw_11_11"/>
      <w:bookmarkStart w:id="1240" w:name="Tc_9oa9ad7zGkSDqijmJLDyWQ_11_8"/>
      <w:bookmarkStart w:id="1241" w:name="Tc_XVZXcleHr0eXNi39F5KckQ_11_6"/>
      <w:bookmarkStart w:id="1242" w:name="Tc_Suetr_4DV0a64aCPuE433w_11_5"/>
      <w:bookmarkStart w:id="1243" w:name="Tc_x8RCoQWoYkKT9GTcOwLjEQ_11_3"/>
      <w:bookmarkStart w:id="1244" w:name="Tc_k64Fxx0xTE26Xui1tLO7gA_11_2"/>
      <w:bookmarkStart w:id="1245" w:name="Tc_tUR6GR5ci0OSb3pE8G4k2w_11_0"/>
      <w:bookmarkStart w:id="1246" w:name="Tc_13n1CBTLckWXhP6pZgsclg_10_6"/>
      <w:bookmarkStart w:id="1247" w:name="Tc_v2YLMLGNT0em7tCWefcb8g_10_3"/>
      <w:bookmarkStart w:id="1248" w:name="Tc_1-4ZMXK3IEuDtV31BpCcaw_10_0"/>
      <w:bookmarkStart w:id="1249" w:name="Tc_e8ldlLqYC0aNCxuFiRfsKg_9_11"/>
      <w:bookmarkStart w:id="1250" w:name="Tc_CT72_Va5NEqCymVPbkVgog_9_8"/>
      <w:bookmarkStart w:id="1251" w:name="Tc_UqCbM5AEJUyBnVwZI3RBdg_9_6"/>
      <w:bookmarkStart w:id="1252" w:name="Tc_fJ8Ip2kE6Ey7FPVDYtersg_9_5"/>
      <w:bookmarkStart w:id="1253" w:name="Tc_usIZLkDk9UaSJ7Ofxdz0Eg_9_3"/>
      <w:bookmarkStart w:id="1254" w:name="Tc_5wMoHc9hCkWo2XYXy1pekA_9_2"/>
      <w:bookmarkStart w:id="1255" w:name="Tc_3nNOMBakukejTP3tTqvC_Q_9_0"/>
      <w:bookmarkStart w:id="1256" w:name="Tc_DYBjaqkA9U-4FJQvLzrJ-w_8_0"/>
      <w:bookmarkStart w:id="1257" w:name="Tc_dmGw352d10uoLfEwKiTknw_6_11"/>
      <w:bookmarkStart w:id="1258" w:name="Tc_JS7goD1lqU6etfOrd05b2g_6_9"/>
      <w:bookmarkStart w:id="1259" w:name="Tc_zzTZZ3INR0WGfN5wZ4splQ_6_8"/>
      <w:bookmarkStart w:id="1260" w:name="Tc_o_Jv7H-pBkue8_8g4YSapQ_6_6"/>
      <w:bookmarkStart w:id="1261" w:name="Tc_-3iUkM8w80aLH-anVClsdg_6_5"/>
      <w:bookmarkStart w:id="1262" w:name="Tc_aF-HwBzxMEimvAUHte7IWg_6_2"/>
      <w:bookmarkStart w:id="1263" w:name="Tc_x3nOlN22nkmeb02_2IeCww_6_0"/>
      <w:bookmarkStart w:id="1264" w:name="Tc_4rOS7Riqo0iFFzVJSlfUfA_5_11"/>
      <w:bookmarkStart w:id="1265" w:name="Tc_Q7bTfOMp9EW6COp3Yd65Ww_5_9"/>
      <w:bookmarkStart w:id="1266" w:name="Tc_HogvHSqfdESOkCem6NcvoQ_5_8"/>
      <w:bookmarkStart w:id="1267" w:name="Tc_5-gISashXkmSkt-dozdeBg_5_6"/>
      <w:bookmarkStart w:id="1268" w:name="Tc_4z_-CjP4yEi2Q5EGOArPIg_5_5"/>
      <w:bookmarkStart w:id="1269" w:name="Tc_4Bq4dCeMRUqmUsviQ1eAMw_5_2"/>
      <w:bookmarkStart w:id="1270" w:name="Tc_UHunhvXh_kuTAxhNxTR3wQ_5_0"/>
      <w:bookmarkStart w:id="1271" w:name="Tc_XZEt54uNykS85VK_fGf__g_4_0"/>
      <w:bookmarkStart w:id="1272" w:name="Tc_J7NF6Nj1wUKAMLSueOiCWw_3_0"/>
      <w:bookmarkStart w:id="1273" w:name="Tc_BD9adGj8E0CAy79qPw1vkg_2_11"/>
      <w:bookmarkStart w:id="1274" w:name="Tc_gSjhdUN8REWA3nJC7yuM_A_2_8"/>
      <w:bookmarkStart w:id="1275" w:name="Tc_uyJGIc-3lk2TFIn8mkJdkg_2_5"/>
      <w:bookmarkStart w:id="1276" w:name="Tc_9H_Ei23E-U2M5koFc4b2-Q_2_2"/>
      <w:bookmarkStart w:id="1277" w:name="Tc_cjIPQbe22kiG1XQhfLYl5w_1_2"/>
      <w:bookmarkStart w:id="1278" w:name="_d815b624_8615_4505_9bd9_0ce2f038c97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t>​</w:t>
      </w:r>
    </w:p>
    <w:tbl>
      <w:tblPr>
        <w:tblW w:w="7567" w:type="dxa"/>
        <w:jc w:val="left"/>
        <w:tblInd w:w="0" w:type="dxa"/>
        <w:tblLayout w:type="fixed"/>
        <w:tblCellMar>
          <w:top w:w="0" w:type="dxa"/>
          <w:left w:w="0" w:type="dxa"/>
          <w:bottom w:w="0" w:type="dxa"/>
          <w:right w:w="0" w:type="dxa"/>
        </w:tblCellMar>
      </w:tblPr>
      <w:tblGrid>
        <w:gridCol w:w="2866"/>
        <w:gridCol w:w="326"/>
        <w:gridCol w:w="211"/>
        <w:gridCol w:w="676"/>
        <w:gridCol w:w="326"/>
        <w:gridCol w:w="239"/>
        <w:gridCol w:w="392"/>
        <w:gridCol w:w="326"/>
        <w:gridCol w:w="211"/>
        <w:gridCol w:w="676"/>
        <w:gridCol w:w="326"/>
        <w:gridCol w:w="211"/>
        <w:gridCol w:w="78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19910" cy="175260"/>
                      <wp:effectExtent l="0" t="0" r="0" b="0"/>
                      <wp:wrapNone/>
                      <wp:docPr id="145" name="Frame14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1765" cy="175260"/>
                      <wp:effectExtent l="0" t="0" r="0" b="0"/>
                      <wp:wrapNone/>
                      <wp:docPr id="150" name="Frame15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8920" cy="175260"/>
                      <wp:effectExtent l="0" t="0" r="0" b="0"/>
                      <wp:wrapNone/>
                      <wp:docPr id="151" name="Frame15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95935" cy="175260"/>
                      <wp:effectExtent l="0" t="0" r="0" b="0"/>
                      <wp:wrapNone/>
                      <wp:docPr id="157" name="Frame1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37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27,266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Valuation Assumptions Related to Unvested Sponsor Share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Unvested Sponsor Shares liability was determined by the Company using a Monte Carlo valuation model, which requires significant estimates including the expected volatility of the Company’s common stock based on the historical volatility of comparable publicly traded companies and the risk-free rate. These estimates are “Level 3” inputs due to the lack of relevant observable market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estimated the fair value of the unvested sponsor share liability using the following weighted average assumptions:</w:t>
      </w:r>
    </w:p>
    <w:p>
      <w:pPr>
        <w:pStyle w:val="TextBody"/>
        <w:bidi w:val="0"/>
        <w:spacing w:before="0" w:after="0"/>
        <w:ind w:left="0" w:right="0" w:hanging="0"/>
        <w:jc w:val="left"/>
        <w:rPr/>
      </w:pPr>
      <w:r>
        <w:rPr/>
        <w:t>​</w:t>
      </w:r>
    </w:p>
    <w:tbl>
      <w:tblPr>
        <w:tblW w:w="6556" w:type="dxa"/>
        <w:jc w:val="left"/>
        <w:tblInd w:w="0" w:type="dxa"/>
        <w:tblLayout w:type="fixed"/>
        <w:tblCellMar>
          <w:top w:w="0" w:type="dxa"/>
          <w:left w:w="0" w:type="dxa"/>
          <w:bottom w:w="0" w:type="dxa"/>
          <w:right w:w="0" w:type="dxa"/>
        </w:tblCellMar>
      </w:tblPr>
      <w:tblGrid>
        <w:gridCol w:w="2086"/>
        <w:gridCol w:w="326"/>
        <w:gridCol w:w="1921"/>
        <w:gridCol w:w="361"/>
        <w:gridCol w:w="1546"/>
        <w:gridCol w:w="31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24610" cy="175260"/>
                      <wp:effectExtent l="0" t="0" r="0" b="0"/>
                      <wp:wrapNone/>
                      <wp:docPr id="158" name="Frame15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19835" cy="175260"/>
                      <wp:effectExtent l="0" t="0" r="0" b="0"/>
                      <wp:wrapNone/>
                      <wp:docPr id="160" name="Frame16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9235" cy="175260"/>
                      <wp:effectExtent l="0" t="0" r="0" b="0"/>
                      <wp:wrapNone/>
                      <wp:docPr id="161" name="Frame1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81710" cy="175260"/>
                      <wp:effectExtent l="0" t="0" r="0" b="0"/>
                      <wp:wrapNone/>
                      <wp:docPr id="162" name="Frame16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0660" cy="175260"/>
                      <wp:effectExtent l="0" t="0" r="0" b="0"/>
                      <wp:wrapNone/>
                      <wp:docPr id="163" name="Frame1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c>
          <w:tcPr>
            <w:tcW w:w="361"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c>
          <w:tcPr>
            <w:tcW w:w="316" w:type="dxa"/>
            <w:tcBorders/>
            <w:vAlign w:val="center"/>
          </w:tcPr>
          <w:p>
            <w:pPr>
              <w:pStyle w:val="TableContents"/>
              <w:bidi w:val="0"/>
              <w:spacing w:before="0" w:after="0"/>
              <w:ind w:left="0" w:right="0" w:hanging="0"/>
              <w:jc w:val="center"/>
              <w:rPr/>
            </w:pPr>
            <w:r>
              <w:rPr/>
              <w:t> </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 of the warrant liabilities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pStyle w:val="TextBody"/>
        <w:bidi w:val="0"/>
        <w:spacing w:before="0" w:after="240"/>
        <w:ind w:left="0" w:right="0" w:firstLine="720"/>
        <w:jc w:val="left"/>
        <w:rPr/>
      </w:pPr>
      <w:r>
        <w:rPr/>
        <w:t>​</w:t>
      </w:r>
    </w:p>
    <w:tbl>
      <w:tblPr>
        <w:tblW w:w="5056" w:type="dxa"/>
        <w:jc w:val="left"/>
        <w:tblInd w:w="0" w:type="dxa"/>
        <w:tblLayout w:type="fixed"/>
        <w:tblCellMar>
          <w:top w:w="0" w:type="dxa"/>
          <w:left w:w="0" w:type="dxa"/>
          <w:bottom w:w="0" w:type="dxa"/>
          <w:right w:w="0" w:type="dxa"/>
        </w:tblCellMar>
      </w:tblPr>
      <w:tblGrid>
        <w:gridCol w:w="2131"/>
        <w:gridCol w:w="326"/>
        <w:gridCol w:w="307"/>
        <w:gridCol w:w="833"/>
        <w:gridCol w:w="361"/>
        <w:gridCol w:w="211"/>
        <w:gridCol w:w="57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53185" cy="175260"/>
                      <wp:effectExtent l="0" t="0" r="0" b="0"/>
                      <wp:wrapNone/>
                      <wp:docPr id="164" name="Frame16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4945" cy="175260"/>
                      <wp:effectExtent l="0" t="0" r="0" b="0"/>
                      <wp:wrapNone/>
                      <wp:docPr id="166" name="Frame16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28955" cy="175260"/>
                      <wp:effectExtent l="0" t="0" r="0" b="0"/>
                      <wp:wrapNone/>
                      <wp:docPr id="167" name="Frame16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68" name="Frame1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2585" cy="175260"/>
                      <wp:effectExtent l="0" t="0" r="0" b="0"/>
                      <wp:wrapNone/>
                      <wp:docPr id="170" name="Frame1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0660" cy="175260"/>
                      <wp:effectExtent l="0" t="0" r="0" b="0"/>
                      <wp:wrapNone/>
                      <wp:docPr id="171" name="Frame1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Valuation Assumptions and Other Information Related to Convertible Promissory Notes and Embedded Warrants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elected the fair value option methodology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income (loss).</w:t>
      </w:r>
    </w:p>
    <w:p>
      <w:pPr>
        <w:pStyle w:val="TextBody"/>
        <w:bidi w:val="0"/>
        <w:spacing w:before="280" w:after="0"/>
        <w:ind w:left="360" w:right="0" w:firstLine="360"/>
        <w:jc w:val="left"/>
        <w:rPr>
          <w:rFonts w:ascii="Times New Roman;Times;serif" w:hAnsi="Times New Roman;Times;serif"/>
          <w:sz w:val="20"/>
        </w:rPr>
      </w:pPr>
      <w:r>
        <w:rPr>
          <w:rFonts w:ascii="Times New Roman;Times;serif" w:hAnsi="Times New Roman;Times;serif"/>
          <w:sz w:val="20"/>
        </w:rPr>
        <w:t>The Company had no outstanding convertible promissory notes and embedded warrants as of December 31, 2023 and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i/>
          <w:sz w:val="20"/>
        </w:rPr>
      </w:pPr>
      <w:bookmarkStart w:id="1279" w:name="Tc_SbWubZWk50-ayqg42Uty7A_12_8"/>
      <w:bookmarkStart w:id="1280" w:name="Tc_w04scEeCYkaP4Fmk2dQ2fw_12_5"/>
      <w:bookmarkStart w:id="1281" w:name="Tc_MF3mRj83yUm-IsQybxCrDg_12_3"/>
      <w:bookmarkStart w:id="1282" w:name="Tc_UR8rXq3umk6r7sGOACQGhw_12_2"/>
      <w:bookmarkStart w:id="1283" w:name="Tc_VglAWEI5XE-W7mVtdZErVA_12_0"/>
      <w:bookmarkStart w:id="1284" w:name="Tc_EYA6PdyZzUetqcxFxHF3Kw_11_9"/>
      <w:bookmarkStart w:id="1285" w:name="Tc_2tXst8ckr0KQlmS3Jbj61g_11_6"/>
      <w:bookmarkStart w:id="1286" w:name="Tc_xOJjvdqocUKAAu4JXBIA7A_11_0"/>
      <w:bookmarkStart w:id="1287" w:name="Tc_aecxmx_cDEWOZeFoQDQqHA_10_0"/>
      <w:bookmarkStart w:id="1288" w:name="Tc_eW6c_YKVNkifjBCMi1LiaA_9_0"/>
      <w:bookmarkStart w:id="1289" w:name="Tc_TwYmsnsFb0GBy5E_Zn_bqw_8_3"/>
      <w:bookmarkStart w:id="1290" w:name="Tc_NfEy5YTBeUW0IwwjmAC1wg_8_0"/>
      <w:bookmarkStart w:id="1291" w:name="Tc_lKFHHqGiDUC1dcMVMS-vzQ_7_9"/>
      <w:bookmarkStart w:id="1292" w:name="Tc_mOZScd1mLEq0TE-oSeVBKw_7_3"/>
      <w:bookmarkStart w:id="1293" w:name="Tc_8P3KKyeV3EKD9xYYaa5rdw_7_0"/>
      <w:bookmarkStart w:id="1294" w:name="Tc_veUoymCwa0WcMjioFEuCIw_6_9"/>
      <w:bookmarkStart w:id="1295" w:name="Tc_TvuYfAMcm0msCNrnXbEb4Q_6_8"/>
      <w:bookmarkStart w:id="1296" w:name="Tc_riDvH7WMJEe9gUH-2m6snQ_6_5"/>
      <w:bookmarkStart w:id="1297" w:name="Tc_PBkwlWKGOEWhLDUOJNqTPg_6_2"/>
      <w:bookmarkStart w:id="1298" w:name="Tc_muWW1pb6yU6QeqW_PZHCEQ_6_0"/>
      <w:bookmarkStart w:id="1299" w:name="Tc_YEw7SgUQx0insDnUGYtYag_5_8"/>
      <w:bookmarkStart w:id="1300" w:name="Tc_19U4tjkl-0auyvsTZJCqSg_5_5"/>
      <w:bookmarkStart w:id="1301" w:name="Tc_IKYRuYfy_UuT2sLojmZdsw_5_2"/>
      <w:bookmarkStart w:id="1302" w:name="Tc_y6--G9XQzEKfxge9pK2IYg_4_8"/>
      <w:bookmarkStart w:id="1303" w:name="Tc_PWz5MRii3kyHUqi_fqHk8A_4_5"/>
      <w:bookmarkStart w:id="1304" w:name="Tc_fnX_7h1SlEC7k-fMXjjqrg_4_2"/>
      <w:bookmarkStart w:id="1305" w:name="Tc_RePx9W1EtUGfMa3oDMCXuQ_3_8"/>
      <w:bookmarkStart w:id="1306" w:name="Tc_hF5qlVJNDUqAYrMc5HgsTw_3_2"/>
      <w:bookmarkStart w:id="1307" w:name="Tc_4wpFtWXfTUOs_VvKUm-WYA_2_8"/>
      <w:bookmarkStart w:id="1308" w:name="Tc_HpFNPN4pd0u6pDx5yA9v_Q_2_2"/>
      <w:bookmarkStart w:id="1309" w:name="Tc_6WtZJpAwaEyvd1jBNrC5iw_1_2"/>
      <w:bookmarkStart w:id="1310" w:name="_ebbe8ae9_a498_4ac5_80a1_5874bdef3394"/>
      <w:bookmarkStart w:id="1311" w:name="Tc_StYrrt_BrkCjb3BKMpip8g_9_5"/>
      <w:bookmarkStart w:id="1312" w:name="Tc_kHMciORd6ESrRIELZQot7g_9_2"/>
      <w:bookmarkStart w:id="1313" w:name="Tc_rvcEnbf1V0yomgOUhqOY_g_9_0"/>
      <w:bookmarkStart w:id="1314" w:name="Tc_m3bnNEVoK0eLmPIR9umNSA_8_0"/>
      <w:bookmarkStart w:id="1315" w:name="Tc_Opss-FJgxkixr0qxjcIcAA_7_6"/>
      <w:bookmarkStart w:id="1316" w:name="Tc_4qQrkP1WLkOQbwWoQKQH2g_7_0"/>
      <w:bookmarkStart w:id="1317" w:name="Tc_dv0snG2TgU2-FTpCq8nfNw_6_5"/>
      <w:bookmarkStart w:id="1318" w:name="Tc_-5Y7sJEdRE6JBqUcF-nA1Q_6_2"/>
      <w:bookmarkStart w:id="1319" w:name="Tc_AyFXa_SLb0evKvXV16gmeg_6_0"/>
      <w:bookmarkStart w:id="1320" w:name="Tc_zudmYR_hR0-FShStnkj5Og_5_5"/>
      <w:bookmarkStart w:id="1321" w:name="Tc_ZSv2_jelZ06DW5tAJpPIAw_5_2"/>
      <w:bookmarkStart w:id="1322" w:name="Tc_6KvxD2iKkEmpXsS_C1CMIw_4_5"/>
      <w:bookmarkStart w:id="1323" w:name="Tc_CmLiMLzFR02LO3W-4weovA_4_2"/>
      <w:bookmarkStart w:id="1324" w:name="Tc_T3w4ooTK70SePU-UYsJxYA_3_5"/>
      <w:bookmarkStart w:id="1325" w:name="Tc_Y3TD5BtGGUS1EgUxm7zksQ_2_5"/>
      <w:bookmarkStart w:id="1326" w:name="_08e9bc49_829a_498b_bab2_110b23f60d83"/>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r>
        <w:rPr>
          <w:rFonts w:ascii="Times New Roman;Times;serif" w:hAnsi="Times New Roman;Times;serif"/>
          <w:i/>
          <w:sz w:val="20"/>
        </w:rPr>
        <w:t>Level 3 Rollforward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changes in the fair value of the Company’s Level 3 liabilities:</w:t>
      </w:r>
    </w:p>
    <w:p>
      <w:pPr>
        <w:pStyle w:val="TextBody"/>
        <w:bidi w:val="0"/>
        <w:spacing w:before="0" w:after="0"/>
        <w:ind w:left="0" w:right="0" w:hanging="0"/>
        <w:jc w:val="left"/>
        <w:rPr/>
      </w:pPr>
      <w:r>
        <w:rPr/>
        <w:t>​</w:t>
      </w:r>
    </w:p>
    <w:tbl>
      <w:tblPr>
        <w:tblW w:w="5202" w:type="dxa"/>
        <w:jc w:val="left"/>
        <w:tblInd w:w="0" w:type="dxa"/>
        <w:tblLayout w:type="fixed"/>
        <w:tblCellMar>
          <w:top w:w="0" w:type="dxa"/>
          <w:left w:w="0" w:type="dxa"/>
          <w:bottom w:w="0" w:type="dxa"/>
          <w:right w:w="0" w:type="dxa"/>
        </w:tblCellMar>
      </w:tblPr>
      <w:tblGrid>
        <w:gridCol w:w="2596"/>
        <w:gridCol w:w="326"/>
        <w:gridCol w:w="211"/>
        <w:gridCol w:w="796"/>
        <w:gridCol w:w="326"/>
        <w:gridCol w:w="211"/>
        <w:gridCol w:w="7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48460" cy="175260"/>
                      <wp:effectExtent l="0" t="0" r="0" b="0"/>
                      <wp:wrapNone/>
                      <wp:docPr id="172" name="Frame17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75" name="Frame1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67360" cy="175260"/>
                      <wp:effectExtent l="0" t="0" r="0" b="0"/>
                      <wp:wrapNone/>
                      <wp:docPr id="178" name="Frame17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Sponsor</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295"/>
        <w:gridCol w:w="326"/>
        <w:gridCol w:w="211"/>
        <w:gridCol w:w="787"/>
        <w:gridCol w:w="326"/>
        <w:gridCol w:w="211"/>
        <w:gridCol w:w="785"/>
        <w:gridCol w:w="326"/>
        <w:gridCol w:w="211"/>
        <w:gridCol w:w="727"/>
      </w:tblGrid>
      <w:tr>
        <w:trPr/>
        <w:tc>
          <w:tcPr>
            <w:tcW w:w="6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997325" cy="175260"/>
                      <wp:effectExtent l="0" t="0" r="0" b="0"/>
                      <wp:wrapNone/>
                      <wp:docPr id="179" name="Frame179"/>
                      <a:graphic xmlns:a="http://schemas.openxmlformats.org/drawingml/2006/main">
                        <a:graphicData uri="http://schemas.microsoft.com/office/word/2010/wordprocessingShape">
                          <wps:wsp>
                            <wps:cNvSpPr txBox="1"/>
                            <wps:spPr>
                              <a:xfrm>
                                <a:off x="0" y="0"/>
                                <a:ext cx="399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9745" cy="175260"/>
                      <wp:effectExtent l="0" t="0" r="0" b="0"/>
                      <wp:wrapNone/>
                      <wp:docPr id="182" name="Frame182"/>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8475" cy="175260"/>
                      <wp:effectExtent l="0" t="0" r="0" b="0"/>
                      <wp:wrapNone/>
                      <wp:docPr id="185" name="Frame185"/>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61645" cy="175260"/>
                      <wp:effectExtent l="0" t="0" r="0" b="0"/>
                      <wp:wrapNone/>
                      <wp:docPr id="188" name="Frame188"/>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27" w:type="dxa"/>
            <w:tcBorders/>
            <w:vAlign w:val="center"/>
          </w:tcPr>
          <w:p>
            <w:pPr>
              <w:pStyle w:val="TableContents"/>
              <w:bidi w:val="0"/>
              <w:spacing w:before="0" w:after="0"/>
              <w:ind w:left="0" w:right="0" w:hanging="0"/>
              <w:jc w:val="center"/>
              <w:rPr/>
            </w:pPr>
            <w:r>
              <w:rPr/>
              <w:t>​</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Promissory</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Sponsor</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vAlign w:val="center"/>
          </w:tcPr>
          <w:p>
            <w:pPr>
              <w:pStyle w:val="TableContents"/>
              <w:bidi w:val="0"/>
              <w:spacing w:before="0" w:after="0"/>
              <w:ind w:left="0" w:right="0" w:hanging="0"/>
              <w:jc w:val="center"/>
              <w:rPr/>
            </w:pPr>
            <w:r>
              <w:rPr/>
              <w:t>​</w:t>
            </w:r>
          </w:p>
        </w:tc>
        <w:tc>
          <w:tcPr>
            <w:tcW w:w="9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6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center"/>
              <w:rPr/>
            </w:pPr>
            <w:r>
              <w:rPr/>
              <w:t>​</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center"/>
              <w:rPr/>
            </w:pPr>
            <w:r>
              <w:rPr/>
              <w:t>​</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pPr>
            <w:r>
              <w:rPr/>
              <w:t>—</w:t>
            </w:r>
          </w:p>
        </w:tc>
      </w:tr>
      <w:tr>
        <w:trPr/>
        <w:tc>
          <w:tcPr>
            <w:tcW w:w="6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liability classified warrants to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pPr>
            <w:r>
              <w:rPr/>
              <w:t>—</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pPr>
            <w:r>
              <w:rPr/>
              <w:t>​</w:t>
            </w:r>
          </w:p>
        </w:tc>
      </w:tr>
      <w:tr>
        <w:trPr/>
        <w:tc>
          <w:tcPr>
            <w:tcW w:w="6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warrants and unvested sponsor share liabilities assumed upon the Merger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 in fair value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6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warrant liabilities and convertible promissory notes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Company’s investments without readily determinable fair values, the investment is adjusted if any impairments or observable price changes are identified, which is considered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Refer to Note 5 for details on the Company’s impairment analysis.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27" w:name="Tc_iUC7ZujT-kqnzYPISHYuwQ_5_5"/>
      <w:bookmarkStart w:id="1328" w:name="Tc_8F2X4U6l9EOBRfbNaxRLXg_5_2"/>
      <w:bookmarkStart w:id="1329" w:name="Tc_nORByyvfN0OC26fXZBxU1A_5_0"/>
      <w:bookmarkStart w:id="1330" w:name="Tc_jBE4wJl7EUKRO3klsjREzA_4_5"/>
      <w:bookmarkStart w:id="1331" w:name="Tc_5uqIGo_3kkONm8b-lxL5qA_4_2"/>
      <w:bookmarkStart w:id="1332" w:name="Tc_TponDRDXNU2v4mUv0n8XDg_4_0"/>
      <w:bookmarkStart w:id="1333" w:name="Tc_EeQrKRu7KUCdG4mJMnGc0Q_3_5"/>
      <w:bookmarkStart w:id="1334" w:name="Tc_cd8tUSOv1EaFI7OAucl35Q_3_2"/>
      <w:bookmarkStart w:id="1335" w:name="Tc_n8Mvr0nwTkasJsoB1mO1AA_2_5"/>
      <w:bookmarkStart w:id="1336" w:name="Tc_WIZ1Ldd_Qk20kFf1MNSSEg_2_2"/>
      <w:bookmarkStart w:id="1337" w:name="Tc_EWfMMKIRbUSqI2glGeQtNA_1_5"/>
      <w:bookmarkStart w:id="1338" w:name="Tc_y-4QAZqpGU-8rISjFtTHcQ_1_2"/>
      <w:bookmarkEnd w:id="1327"/>
      <w:bookmarkEnd w:id="1328"/>
      <w:bookmarkEnd w:id="1329"/>
      <w:bookmarkEnd w:id="1330"/>
      <w:bookmarkEnd w:id="1331"/>
      <w:bookmarkEnd w:id="1332"/>
      <w:bookmarkEnd w:id="1333"/>
      <w:bookmarkEnd w:id="1334"/>
      <w:bookmarkEnd w:id="1335"/>
      <w:bookmarkEnd w:id="1336"/>
      <w:bookmarkEnd w:id="1337"/>
      <w:bookmarkEnd w:id="1338"/>
      <w:r>
        <w:rPr>
          <w:rFonts w:ascii="Times New Roman;Times;serif" w:hAnsi="Times New Roman;Times;serif"/>
          <w:b/>
          <w:sz w:val="20"/>
        </w:rPr>
        <w:t>5. Condensed Consolidated 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Inventories consisted of the following:</w:t>
      </w:r>
    </w:p>
    <w:p>
      <w:pPr>
        <w:pStyle w:val="TextBody"/>
        <w:bidi w:val="0"/>
        <w:spacing w:before="0" w:after="240"/>
        <w:ind w:left="0" w:right="0" w:firstLine="720"/>
        <w:jc w:val="left"/>
        <w:rPr/>
      </w:pPr>
      <w:r>
        <w:rPr/>
        <w:t>​</w:t>
      </w:r>
    </w:p>
    <w:tbl>
      <w:tblPr>
        <w:tblW w:w="4118" w:type="dxa"/>
        <w:jc w:val="left"/>
        <w:tblInd w:w="0" w:type="dxa"/>
        <w:tblLayout w:type="fixed"/>
        <w:tblCellMar>
          <w:top w:w="0" w:type="dxa"/>
          <w:left w:w="0" w:type="dxa"/>
          <w:bottom w:w="0" w:type="dxa"/>
          <w:right w:w="0" w:type="dxa"/>
        </w:tblCellMar>
      </w:tblPr>
      <w:tblGrid>
        <w:gridCol w:w="1516"/>
        <w:gridCol w:w="326"/>
        <w:gridCol w:w="379"/>
        <w:gridCol w:w="761"/>
        <w:gridCol w:w="326"/>
        <w:gridCol w:w="232"/>
        <w:gridCol w:w="57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62660" cy="175260"/>
                      <wp:effectExtent l="0" t="0" r="0" b="0"/>
                      <wp:wrapNone/>
                      <wp:docPr id="189" name="Frame18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0665" cy="175260"/>
                      <wp:effectExtent l="0" t="0" r="0" b="0"/>
                      <wp:wrapNone/>
                      <wp:docPr id="191" name="Frame19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83235" cy="175260"/>
                      <wp:effectExtent l="0" t="0" r="0" b="0"/>
                      <wp:wrapNone/>
                      <wp:docPr id="192" name="Frame19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7320" cy="175260"/>
                      <wp:effectExtent l="0" t="0" r="0" b="0"/>
                      <wp:wrapNone/>
                      <wp:docPr id="194" name="Frame19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67030" cy="175260"/>
                      <wp:effectExtent l="0" t="0" r="0" b="0"/>
                      <wp:wrapNone/>
                      <wp:docPr id="195" name="Frame19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determined that certain inventory related to Presto Touch solution was not recoverable based on expected demand and market conditions as of December 31, 2023. As a result, the Company recorded an inventory impairment charge of $0.4 million for the three and six months ended December 31, 2023, in cost of revenue on the condensed consolidated statement of operations and comprehensive income (loss).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Non-Affiliates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2022, the Company entered into a simple agreement for future equity (“SAFE”) with a non-affiliated entity, with the Company making a $2.0 million investment in the entity.  The non-affiliated entity is a closely-held, early-stage technology company, focused on the research and development of voice-related AI products, which to date has been financed through equity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39" w:name="Tc__bratlRpIUOV4iQRzIV3bQ_4_0"/>
      <w:bookmarkStart w:id="1340" w:name="Tc_OvA33afl-Eq4BJug-iFKwA_3_0"/>
      <w:bookmarkStart w:id="1341" w:name="Tc_kobq4pViuk6XMWgJGvRM8w_2_0"/>
      <w:bookmarkStart w:id="1342" w:name="Tc_WEuYU_JK5kOGgwvfOSAulg_1_2"/>
      <w:bookmarkStart w:id="1343" w:name="Tc_8NEjF1ZDVUSgdd28x4WJ3A_9_5"/>
      <w:bookmarkStart w:id="1344" w:name="Tc_glhTpsQAEUi5HUnZ8g7Mrw_9_2"/>
      <w:bookmarkStart w:id="1345" w:name="Tc_0GESdvlqSECCT1WNVcZpZw_9_0"/>
      <w:bookmarkStart w:id="1346" w:name="Tc_YQgYzxu0IEqpCbWC_kf_1g_8_0"/>
      <w:bookmarkStart w:id="1347" w:name="Tc_bXG9nQeNj0C38arajtcpGA_7_0"/>
      <w:bookmarkStart w:id="1348" w:name="Tc_Y1NL8uWM-ES5RKDS8EvR7w_6_0"/>
      <w:bookmarkStart w:id="1349" w:name="Tc_UpaiZkTdsU-Ua7WbtM7prg_5_3"/>
      <w:bookmarkStart w:id="1350" w:name="Tc_RlU5-x3yx0m5VKA13j7N1w_5_0"/>
      <w:bookmarkStart w:id="1351" w:name="Tc_O-7wkAHpDUmS4pF91U0OBg_4_5"/>
      <w:bookmarkStart w:id="1352" w:name="Tc_nSnl8pv-30iWp2W2B0TK0w_4_2"/>
      <w:bookmarkStart w:id="1353" w:name="Tc_vi7fxRzsk0u5rFGB0M12UQ_4_0"/>
      <w:bookmarkStart w:id="1354" w:name="Tc_cGqJjAtT8Em2tcYidA9ByA_3_5"/>
      <w:bookmarkStart w:id="1355" w:name="Tc_TIzOPg_os0mxiCGgK5DKHg_3_2"/>
      <w:bookmarkStart w:id="1356" w:name="Tc_y1WR5QJoLE2xRHBjTD1uaw_2_5"/>
      <w:bookmarkStart w:id="1357" w:name="Tc_UF6BMOrpc0asxdNIRP2SFA_2_2"/>
      <w:bookmarkStart w:id="1358" w:name="Tc_68H-vLGgs0ub3JkdAsGcjQ_1_5"/>
      <w:bookmarkStart w:id="1359" w:name="Tc_WFDstHtqXki22VV1zc7UcQ_1_2"/>
      <w:bookmarkStart w:id="1360" w:name="Tc_9Fg4EHbYt0-UwNI4nqbfNw_9_5"/>
      <w:bookmarkStart w:id="1361" w:name="Tc_zdOBdr8CykCb5SHGAr325w_9_2"/>
      <w:bookmarkStart w:id="1362" w:name="Tc_MKCCMzrG8Euz8RiAtBiCvQ_9_0"/>
      <w:bookmarkStart w:id="1363" w:name="Tc_Ktiuny5wvkKH5lvvL_D8xg_8_0"/>
      <w:bookmarkStart w:id="1364" w:name="Tc_uI8ltIqm6UOSbJ-1ZkRKPg_7_0"/>
      <w:bookmarkStart w:id="1365" w:name="Tc_PpMo-qOu8k68fuQ5fERSxA_6_0"/>
      <w:bookmarkStart w:id="1366" w:name="Tc_1_hHLiS9IUW4KvpYXBUJgA_5_0"/>
      <w:bookmarkStart w:id="1367" w:name="Tc_Yjr1z-23bUOsi0z0ZpMSJw_4_5"/>
      <w:bookmarkStart w:id="1368" w:name="Tc_NN-le29fQUe8J9rMY5wX7w_4_2"/>
      <w:bookmarkStart w:id="1369" w:name="Tc_8C0s1GQKN0Szs9uOMKThew_4_0"/>
      <w:bookmarkStart w:id="1370" w:name="Tc_uM1aVNgfPkmck_WO9t1img_3_5"/>
      <w:bookmarkStart w:id="1371" w:name="Tc_pqpfSB5BwEeAMxKo5kF9kA_3_2"/>
      <w:bookmarkStart w:id="1372" w:name="Tc_erwPgoK7pU2B_E9auOEz4w_2_5"/>
      <w:bookmarkStart w:id="1373" w:name="Tc_2jIf26Du7UK8Ws1tcud8lA_2_2"/>
      <w:bookmarkStart w:id="1374" w:name="Tc_3KASr-aRi0Gtz2ZUVsIvLw_1_5"/>
      <w:bookmarkStart w:id="1375" w:name="Tc_sTQuAbIOO0yLnKn715g4cg_1_2"/>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r>
        <w:rPr>
          <w:rFonts w:ascii="Times New Roman;Times;serif" w:hAnsi="Times New Roman;Times;serif"/>
          <w:sz w:val="20"/>
        </w:rPr>
        <w:t>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three and six months ended December 31, 2023 and 2022, no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impairments or observable price changes were identified or recorded. The Company considers the cost of the investment to be the maximum exposure to loss as a result of its involvement with the non-affiliated entity. </w:t>
      </w:r>
      <w:r>
        <w:rPr>
          <w:rFonts w:ascii="Times New Roman;Times;serif" w:hAnsi="Times New Roman;Times;serif"/>
          <w:b w:val="false"/>
          <w:i w:val="false"/>
          <w:caps w:val="false"/>
          <w:smallCaps w:val="false"/>
          <w:sz w:val="20"/>
          <w:shd w:fill="FFFFFF" w:val="clear"/>
        </w:rPr>
        <w:t>The Company has no plans at this time for further investment or other form of financial support.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5425" w:type="dxa"/>
        <w:jc w:val="left"/>
        <w:tblInd w:w="0" w:type="dxa"/>
        <w:tblLayout w:type="fixed"/>
        <w:tblCellMar>
          <w:top w:w="0" w:type="dxa"/>
          <w:left w:w="0" w:type="dxa"/>
          <w:bottom w:w="0" w:type="dxa"/>
          <w:right w:w="0" w:type="dxa"/>
        </w:tblCellMar>
      </w:tblPr>
      <w:tblGrid>
        <w:gridCol w:w="2686"/>
        <w:gridCol w:w="326"/>
        <w:gridCol w:w="285"/>
        <w:gridCol w:w="855"/>
        <w:gridCol w:w="326"/>
        <w:gridCol w:w="211"/>
        <w:gridCol w:w="73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05610" cy="175260"/>
                      <wp:effectExtent l="0" t="0" r="0" b="0"/>
                      <wp:wrapNone/>
                      <wp:docPr id="196" name="Frame19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80975" cy="175260"/>
                      <wp:effectExtent l="0" t="0" r="0" b="0"/>
                      <wp:wrapNone/>
                      <wp:docPr id="198" name="Frame19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42925" cy="175260"/>
                      <wp:effectExtent l="0" t="0" r="0" b="0"/>
                      <wp:wrapNone/>
                      <wp:docPr id="199" name="Frame19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67360" cy="175260"/>
                      <wp:effectExtent l="0" t="0" r="0" b="0"/>
                      <wp:wrapNone/>
                      <wp:docPr id="202" name="Frame2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Tablets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Voice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$0.3 million and $0.6 million for the three and six months ended December 31, 2023, respectively, and $0.3 million and $0.6 million for the three and six months ended December 31, 2022,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net consisted of the following:</w:t>
      </w:r>
    </w:p>
    <w:p>
      <w:pPr>
        <w:pStyle w:val="TextBody"/>
        <w:bidi w:val="0"/>
        <w:spacing w:before="0" w:after="240"/>
        <w:ind w:left="0" w:right="0" w:firstLine="720"/>
        <w:jc w:val="left"/>
        <w:rPr/>
      </w:pPr>
      <w:r>
        <w:rPr/>
        <w:t>​</w:t>
      </w:r>
    </w:p>
    <w:tbl>
      <w:tblPr>
        <w:tblW w:w="5485" w:type="dxa"/>
        <w:jc w:val="left"/>
        <w:tblInd w:w="0" w:type="dxa"/>
        <w:tblLayout w:type="fixed"/>
        <w:tblCellMar>
          <w:top w:w="0" w:type="dxa"/>
          <w:left w:w="0" w:type="dxa"/>
          <w:bottom w:w="0" w:type="dxa"/>
          <w:right w:w="0" w:type="dxa"/>
        </w:tblCellMar>
      </w:tblPr>
      <w:tblGrid>
        <w:gridCol w:w="2701"/>
        <w:gridCol w:w="326"/>
        <w:gridCol w:w="285"/>
        <w:gridCol w:w="855"/>
        <w:gridCol w:w="326"/>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15135" cy="175260"/>
                      <wp:effectExtent l="0" t="0" r="0" b="0"/>
                      <wp:wrapNone/>
                      <wp:docPr id="203" name="Frame20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80975" cy="175260"/>
                      <wp:effectExtent l="0" t="0" r="0" b="0"/>
                      <wp:wrapNone/>
                      <wp:docPr id="205" name="Frame20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42925" cy="175260"/>
                      <wp:effectExtent l="0" t="0" r="0" b="0"/>
                      <wp:wrapNone/>
                      <wp:docPr id="206" name="Frame20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09" name="Frame2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9,754</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gross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11,205</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10,528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have weighted-average amortization periods as follows:</w:t>
      </w:r>
    </w:p>
    <w:p>
      <w:pPr>
        <w:pStyle w:val="TextBody"/>
        <w:bidi w:val="0"/>
        <w:spacing w:before="0" w:after="240"/>
        <w:ind w:left="0" w:right="0" w:firstLine="720"/>
        <w:jc w:val="left"/>
        <w:rPr/>
      </w:pPr>
      <w:r>
        <w:rPr/>
        <w:t>​</w:t>
      </w:r>
    </w:p>
    <w:tbl>
      <w:tblPr>
        <w:tblW w:w="2878" w:type="dxa"/>
        <w:jc w:val="left"/>
        <w:tblInd w:w="0" w:type="dxa"/>
        <w:tblLayout w:type="fixed"/>
        <w:tblCellMar>
          <w:top w:w="0" w:type="dxa"/>
          <w:left w:w="0" w:type="dxa"/>
          <w:bottom w:w="0" w:type="dxa"/>
          <w:right w:w="0" w:type="dxa"/>
        </w:tblCellMar>
      </w:tblPr>
      <w:tblGrid>
        <w:gridCol w:w="1981"/>
        <w:gridCol w:w="326"/>
        <w:gridCol w:w="57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57935" cy="175260"/>
                      <wp:effectExtent l="0" t="0" r="0" b="0"/>
                      <wp:wrapNone/>
                      <wp:docPr id="210" name="Frame210"/>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12"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376" w:name="Tc_gnc0a2jC7U-Vp_tv3rWo6A_12_5"/>
      <w:bookmarkStart w:id="1377" w:name="Tc_-dvIZOqK30i-wRoYL2U2oQ_12_2"/>
      <w:bookmarkStart w:id="1378" w:name="Tc_vSpuuEV-kEy4oMrTyLfWDA_12_0"/>
      <w:bookmarkStart w:id="1379" w:name="Tc_mpsAlq68Xk-hs6CNAExdNg_11_0"/>
      <w:bookmarkStart w:id="1380" w:name="Tc_83RoijKNuECg-7a1YOt7_Q_10_0"/>
      <w:bookmarkStart w:id="1381" w:name="Tc_q5pfr4r8JkGnQJcDj6CoFg_9_0"/>
      <w:bookmarkStart w:id="1382" w:name="Tc_RL8y0tuqfEmOUPZ_X7ZOMQ_8_0"/>
      <w:bookmarkStart w:id="1383" w:name="Tc_G_ZUfASj7Eyfpix2m4FYEA_7_0"/>
      <w:bookmarkStart w:id="1384" w:name="Tc_r5hf_48yVE2eme7PQCZvGw_6_0"/>
      <w:bookmarkStart w:id="1385" w:name="Tc_rjxdWWiRl0S-fL4iOKR63A_5_0"/>
      <w:bookmarkStart w:id="1386" w:name="Tc_zd8Z94BT9k-K3E24tc5oag_4_5"/>
      <w:bookmarkStart w:id="1387" w:name="Tc_Aeb5rkadM0WeRaMpFc6voQ_4_2"/>
      <w:bookmarkStart w:id="1388" w:name="Tc_yLJPDuQX_kavzx9Er_8_GQ_4_0"/>
      <w:bookmarkStart w:id="1389" w:name="Tc_c4hyM_cWxEW6eYqiYvjHgQ_3_5"/>
      <w:bookmarkStart w:id="1390" w:name="Tc_ANj3h12oXEScJWaiPv_oPA_3_2"/>
      <w:bookmarkStart w:id="1391" w:name="Tc_9HU2_PdNq0ekcDa3KNn9uA_2_5"/>
      <w:bookmarkStart w:id="1392" w:name="Tc_248UQOl72EyIZTWmwF2Fnw_2_2"/>
      <w:bookmarkStart w:id="1393" w:name="Tc_a-jIguw-50ivfl57EifAag_1_5"/>
      <w:bookmarkStart w:id="1394" w:name="Tc_UeW5mJuSRkGQ_RyZxCQM1A_1_2"/>
      <w:bookmarkStart w:id="1395" w:name="Tc_Cq6WRcfZUkKQBJWgAIIvHQ_7_2"/>
      <w:bookmarkStart w:id="1396" w:name="Tc_ym2wqQQMGEO9b-JYTeH5cw_7_0"/>
      <w:bookmarkStart w:id="1397" w:name="Tc_4ZM329bBG0iu8Pqy98O87w_6_0"/>
      <w:bookmarkStart w:id="1398" w:name="Tc_LKIa4MqerEeVzCbmc3E7vw_5_0"/>
      <w:bookmarkStart w:id="1399" w:name="Tc_OYkFgEHGVE6hIMWZYl9pNA_4_0"/>
      <w:bookmarkStart w:id="1400" w:name="Tc_XUIr5vOPykmuIuMP89Vz6Q_3_0"/>
      <w:bookmarkStart w:id="1401" w:name="Tc_zPssQz-BQEm8KU5MmtrJoA_2_0"/>
      <w:bookmarkStart w:id="1402" w:name="Tc_0dbk0eZ9_EKDS2Xdgm_5sQ_1_2"/>
      <w:bookmarkStart w:id="1403" w:name="Tc_pIOPaYvAUk-pZHcRKVTk5A_1_0"/>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Amortization expense of intangible assets was $0.5 million and $1.2 million for the three and six months ended December 31, 2023, respectively, and $0.1 million and $0.2 million for the three and six months ended December 31, 2022, respectively. During the three months ended December 31, 2023, the Company changed its strategy in connection with the attempted deployment of its vision capitalized software upon which it was determined that the carrying amount of the software may not be recoverable. The Company concluded that the product had no future net undiscounted cash flows due to the focus on Presto Voice and the obsolescence of the vision technology. Therefore, the Company recorded an impairment charge of $2.8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Company recorded an impairment charge of $0.4 million related to the next generation of its Presto Touch capitalized software as the shift in strategy to focus on Presto Voice and wind-down Presto Touch led to the conclusion that the carrying value of this technology was not recoverable.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Both of these abandoned technologies had not previously been placed into service. Total impairment charge in the three and six months ended December 31, 2023 was $3.2 million recorded in </w:t>
      </w:r>
      <w:r>
        <w:rPr>
          <w:rFonts w:ascii="Times New Roman;Times;serif" w:hAnsi="Times New Roman;Times;serif"/>
          <w:b w:val="false"/>
          <w:i w:val="false"/>
          <w:caps w:val="false"/>
          <w:smallCaps w:val="false"/>
          <w:sz w:val="20"/>
        </w:rPr>
        <w:t>research and development expenses</w:t>
      </w:r>
      <w:r>
        <w:rPr>
          <w:rFonts w:ascii="Times New Roman;Times;serif" w:hAnsi="Times New Roman;Times;serif"/>
          <w:sz w:val="20"/>
        </w:rPr>
        <w:t xml:space="preserve"> on the condensed consolidated statement of operations and comprehensive income (loss).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due to a change in strategy on the Presto Voice solution as a result of a change in the Company’s management team during the three months ended December 31, 2023, the Company fully impaired obsolete developed technology related to the CyborgOps acquisition as there are no future cash flows expected from the technology. The impairment charge of $0.9 million has been recorded for the three and six months ended December 31, 2023 in depreciation, amortization and impairment expense within cost of revenue on the condensed consolidated statement of operations and comprehensive income (loss).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future amortization expense for intangible assets is estimated as follows:</w:t>
      </w:r>
    </w:p>
    <w:p>
      <w:pPr>
        <w:pStyle w:val="TextBody"/>
        <w:bidi w:val="0"/>
        <w:spacing w:before="0" w:after="240"/>
        <w:ind w:left="0" w:right="0" w:firstLine="720"/>
        <w:jc w:val="left"/>
        <w:rPr/>
      </w:pPr>
      <w:r>
        <w:rPr/>
        <w:t>​</w:t>
      </w:r>
    </w:p>
    <w:tbl>
      <w:tblPr>
        <w:tblW w:w="2894" w:type="dxa"/>
        <w:jc w:val="left"/>
        <w:tblInd w:w="0" w:type="dxa"/>
        <w:tblLayout w:type="fixed"/>
        <w:tblCellMar>
          <w:top w:w="0" w:type="dxa"/>
          <w:left w:w="0" w:type="dxa"/>
          <w:bottom w:w="0" w:type="dxa"/>
          <w:right w:w="0" w:type="dxa"/>
        </w:tblCellMar>
      </w:tblPr>
      <w:tblGrid>
        <w:gridCol w:w="1681"/>
        <w:gridCol w:w="326"/>
        <w:gridCol w:w="211"/>
        <w:gridCol w:w="67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067435" cy="175260"/>
                      <wp:effectExtent l="0" t="0" r="0" b="0"/>
                      <wp:wrapNone/>
                      <wp:docPr id="213" name="Frame21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Liabilities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Accrued liabilities consisted of the following:</w:t>
      </w:r>
    </w:p>
    <w:p>
      <w:pPr>
        <w:pStyle w:val="TextBody"/>
        <w:bidi w:val="0"/>
        <w:spacing w:before="0" w:after="240"/>
        <w:ind w:left="720" w:right="0" w:hanging="0"/>
        <w:jc w:val="left"/>
        <w:rPr/>
      </w:pPr>
      <w:r>
        <w:rPr/>
        <w:t>​</w:t>
      </w:r>
    </w:p>
    <w:tbl>
      <w:tblPr>
        <w:tblW w:w="5755" w:type="dxa"/>
        <w:jc w:val="left"/>
        <w:tblInd w:w="0" w:type="dxa"/>
        <w:tblLayout w:type="fixed"/>
        <w:tblCellMar>
          <w:top w:w="0" w:type="dxa"/>
          <w:left w:w="0" w:type="dxa"/>
          <w:bottom w:w="0" w:type="dxa"/>
          <w:right w:w="0" w:type="dxa"/>
        </w:tblCellMar>
      </w:tblPr>
      <w:tblGrid>
        <w:gridCol w:w="3076"/>
        <w:gridCol w:w="326"/>
        <w:gridCol w:w="307"/>
        <w:gridCol w:w="833"/>
        <w:gridCol w:w="326"/>
        <w:gridCol w:w="211"/>
        <w:gridCol w:w="67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953260" cy="175260"/>
                      <wp:effectExtent l="0" t="0" r="0" b="0"/>
                      <wp:wrapNone/>
                      <wp:docPr id="217" name="Frame21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94945" cy="175260"/>
                      <wp:effectExtent l="0" t="0" r="0" b="0"/>
                      <wp:wrapNone/>
                      <wp:docPr id="219" name="Frame21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28955" cy="175260"/>
                      <wp:effectExtent l="0" t="0" r="0" b="0"/>
                      <wp:wrapNone/>
                      <wp:docPr id="220" name="Frame22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vacation</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repair cost (Refer to Note 8)</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tax</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404" w:name="Tc__t9ebu7P-Uq_keMdvxgSbQ_6_5"/>
      <w:bookmarkStart w:id="1405" w:name="Tc_STEpa_LQ4E6P9fJ8MQZdhQ_6_2"/>
      <w:bookmarkStart w:id="1406" w:name="Tc__f8DvGgJoE6FyNgjlHANKA_6_0"/>
      <w:bookmarkStart w:id="1407" w:name="Tc_B_j1riOc-UmAN2gL9qgzwQ_5_0"/>
      <w:bookmarkStart w:id="1408" w:name="Tc_txUAx4KJH0mEyX6YSTxcQw_4_5"/>
      <w:bookmarkStart w:id="1409" w:name="Tc_DNdDg00VR0eqU-dtTlzpkw_4_2"/>
      <w:bookmarkStart w:id="1410" w:name="Tc_ukuhJRCDdUin6NpeyIsLqw_4_0"/>
      <w:bookmarkStart w:id="1411" w:name="Tc_rOTGJj6Hbk2Ize_uGtWyhw_3_5"/>
      <w:bookmarkStart w:id="1412" w:name="Tc_oVDYqDHZXEup9kQwmKfKXw_3_2"/>
      <w:bookmarkStart w:id="1413" w:name="Tc_qvBA9_sHmU-i83rjWLJ2iA_2_5"/>
      <w:bookmarkStart w:id="1414" w:name="Tc_JgaWT4NMCE67yHVwgLwkdg_2_2"/>
      <w:bookmarkStart w:id="1415" w:name="Tc_hXiXGyVMG0eawuNnKSKakw_1_5"/>
      <w:bookmarkStart w:id="1416" w:name="Tc_IULIWxTPQUSZnaq2OSaWWA_1_2"/>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rFonts w:ascii="Times New Roman;Times;serif" w:hAnsi="Times New Roman;Times;serif"/>
          <w:b/>
          <w:i/>
          <w:sz w:val="20"/>
        </w:rPr>
        <w:t>Other Long-term Liabilities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long-term liabilities consisted of the following:</w:t>
      </w:r>
    </w:p>
    <w:p>
      <w:pPr>
        <w:pStyle w:val="TextBody"/>
        <w:bidi w:val="0"/>
        <w:spacing w:before="0" w:after="0"/>
        <w:ind w:left="0" w:right="0" w:hanging="0"/>
        <w:jc w:val="left"/>
        <w:rPr/>
      </w:pPr>
      <w:r>
        <w:rPr/>
        <w:t>​</w:t>
      </w:r>
    </w:p>
    <w:tbl>
      <w:tblPr>
        <w:tblW w:w="6580" w:type="dxa"/>
        <w:jc w:val="left"/>
        <w:tblInd w:w="0" w:type="dxa"/>
        <w:tblLayout w:type="fixed"/>
        <w:tblCellMar>
          <w:top w:w="0" w:type="dxa"/>
          <w:left w:w="0" w:type="dxa"/>
          <w:bottom w:w="0" w:type="dxa"/>
          <w:right w:w="0" w:type="dxa"/>
        </w:tblCellMar>
      </w:tblPr>
      <w:tblGrid>
        <w:gridCol w:w="3901"/>
        <w:gridCol w:w="326"/>
        <w:gridCol w:w="455"/>
        <w:gridCol w:w="685"/>
        <w:gridCol w:w="326"/>
        <w:gridCol w:w="211"/>
        <w:gridCol w:w="67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77135" cy="175260"/>
                      <wp:effectExtent l="0" t="0" r="0" b="0"/>
                      <wp:wrapNone/>
                      <wp:docPr id="224" name="Frame22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88925" cy="175260"/>
                      <wp:effectExtent l="0" t="0" r="0" b="0"/>
                      <wp:wrapNone/>
                      <wp:docPr id="226" name="Frame226"/>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4975" cy="175260"/>
                      <wp:effectExtent l="0" t="0" r="0" b="0"/>
                      <wp:wrapNone/>
                      <wp:docPr id="227" name="Frame22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29260" cy="175260"/>
                      <wp:effectExtent l="0" t="0" r="0" b="0"/>
                      <wp:wrapNone/>
                      <wp:docPr id="230" name="Frame2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326" w:type="dxa"/>
            <w:tcBorders/>
            <w:vAlign w:val="center"/>
          </w:tcPr>
          <w:p>
            <w:pPr>
              <w:pStyle w:val="TableContents"/>
              <w:bidi w:val="0"/>
              <w:spacing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17" w:name="Tc_olsvzNSF-EaLF04rK9Cm3A_7_5"/>
      <w:bookmarkStart w:id="1418" w:name="Tc_gTn-FMSNskepnGG0DRyEgA_7_3"/>
      <w:bookmarkStart w:id="1419" w:name="Tc_BBAy5JD99kmJHj5yAH7hew_7_2"/>
      <w:bookmarkStart w:id="1420" w:name="Tc_dVmqZLgFr0-C40pKB50hiw_7_0"/>
      <w:bookmarkStart w:id="1421" w:name="Tc_IAfCgJGKqUy7pnHAZ86YAw_6_0"/>
      <w:bookmarkStart w:id="1422" w:name="Tc_hE3KCGQ90U-FBsFCGuLEJw_5_0"/>
      <w:bookmarkStart w:id="1423" w:name="Tc_4gYlGZw6YEyeB4Z1AXNFRA_4_3"/>
      <w:bookmarkStart w:id="1424" w:name="Tc_gDynBx5kFkSka5cBEQxzpA_4_0"/>
      <w:bookmarkStart w:id="1425" w:name="Tc_klmaYNjMl0W5IerDW7UC9Q_3_5"/>
      <w:bookmarkStart w:id="1426" w:name="Tc_FN6REIiJUEyz5rY7aMZPjA_3_2"/>
      <w:bookmarkStart w:id="1427" w:name="Tc_wWwwMNIGvUSp8kDcnD4FxQ_3_0"/>
      <w:bookmarkStart w:id="1428" w:name="Tc_aoN-bW4wmUmC0ygWGt1Tfw_2_5"/>
      <w:bookmarkStart w:id="1429" w:name="Tc_HN-okALCl0WeunPxixeN_Q_2_2"/>
      <w:bookmarkStart w:id="1430" w:name="Tc_bF5rmRDuQ0y1TXsjqWHp8g_1_5"/>
      <w:bookmarkStart w:id="1431" w:name="Tc_2lrmJ54qy02Inq2wd7CE6A_1_2"/>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r>
        <w:rPr>
          <w:rFonts w:ascii="Times New Roman;Times;serif" w:hAnsi="Times New Roman;Times;serif"/>
          <w:b/>
          <w:sz w:val="20"/>
        </w:rPr>
        <w:t>6. Financing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financing obligations, net of discounts, consist of the following:</w:t>
      </w:r>
    </w:p>
    <w:p>
      <w:pPr>
        <w:pStyle w:val="TextBody"/>
        <w:bidi w:val="0"/>
        <w:spacing w:before="0" w:after="240"/>
        <w:ind w:left="0" w:right="0" w:firstLine="720"/>
        <w:jc w:val="left"/>
        <w:rPr/>
      </w:pPr>
      <w:r>
        <w:rPr/>
        <w:t>​</w:t>
      </w:r>
    </w:p>
    <w:tbl>
      <w:tblPr>
        <w:tblW w:w="6773" w:type="dxa"/>
        <w:jc w:val="left"/>
        <w:tblInd w:w="0" w:type="dxa"/>
        <w:tblLayout w:type="fixed"/>
        <w:tblCellMar>
          <w:top w:w="0" w:type="dxa"/>
          <w:left w:w="0" w:type="dxa"/>
          <w:bottom w:w="0" w:type="dxa"/>
          <w:right w:w="0" w:type="dxa"/>
        </w:tblCellMar>
      </w:tblPr>
      <w:tblGrid>
        <w:gridCol w:w="3331"/>
        <w:gridCol w:w="326"/>
        <w:gridCol w:w="390"/>
        <w:gridCol w:w="1170"/>
        <w:gridCol w:w="326"/>
        <w:gridCol w:w="274"/>
        <w:gridCol w:w="95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15185" cy="175260"/>
                      <wp:effectExtent l="0" t="0" r="0" b="0"/>
                      <wp:wrapNone/>
                      <wp:docPr id="231" name="Frame23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7650" cy="175260"/>
                      <wp:effectExtent l="0" t="0" r="0" b="0"/>
                      <wp:wrapNone/>
                      <wp:docPr id="233" name="Frame23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42950" cy="175260"/>
                      <wp:effectExtent l="0" t="0" r="0" b="0"/>
                      <wp:wrapNone/>
                      <wp:docPr id="234" name="Frame234"/>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3990" cy="175260"/>
                      <wp:effectExtent l="0" t="0" r="0" b="0"/>
                      <wp:wrapNone/>
                      <wp:docPr id="236" name="Frame23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07060" cy="175260"/>
                      <wp:effectExtent l="0" t="0" r="0" b="0"/>
                      <wp:wrapNone/>
                      <wp:docPr id="237" name="Frame237"/>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 financing facility</w:t>
            </w:r>
          </w:p>
        </w:tc>
        <w:tc>
          <w:tcPr>
            <w:tcW w:w="326" w:type="dxa"/>
            <w:tcBorders/>
            <w:shd w:fill="CCEEFF" w:val="clear"/>
            <w:vAlign w:val="center"/>
          </w:tcPr>
          <w:p>
            <w:pPr>
              <w:pStyle w:val="TableContents"/>
              <w:bidi w:val="0"/>
              <w:spacing w:before="0" w:after="0"/>
              <w:ind w:left="0" w:right="0" w:hanging="0"/>
              <w:jc w:val="center"/>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financing facility</w:t>
            </w:r>
          </w:p>
        </w:tc>
        <w:tc>
          <w:tcPr>
            <w:tcW w:w="326" w:type="dxa"/>
            <w:tcBorders/>
            <w:vAlign w:val="center"/>
          </w:tcPr>
          <w:p>
            <w:pPr>
              <w:pStyle w:val="TableContents"/>
              <w:bidi w:val="0"/>
              <w:spacing w:before="0" w:after="0"/>
              <w:ind w:left="0" w:right="0" w:hanging="0"/>
              <w:jc w:val="left"/>
              <w:rPr/>
            </w:pPr>
            <w:r>
              <w:rPr/>
              <w:t> </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right"/>
              <w:rPr/>
            </w:pPr>
            <w:r>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financing obligations, current</w:t>
            </w:r>
          </w:p>
        </w:tc>
        <w:tc>
          <w:tcPr>
            <w:tcW w:w="326" w:type="dxa"/>
            <w:tcBorders/>
            <w:vAlign w:val="center"/>
          </w:tcPr>
          <w:p>
            <w:pPr>
              <w:pStyle w:val="TableContents"/>
              <w:bidi w:val="0"/>
              <w:spacing w:before="0" w:after="0"/>
              <w:ind w:left="0" w:right="0" w:hanging="0"/>
              <w:jc w:val="left"/>
              <w:rPr/>
            </w:pPr>
            <w:r>
              <w:rPr/>
              <w:t> </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Receivable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receivable financing facility requires monthly payments of principal and interest totaling an aggregate principal and interest of $0.9 million and $3.0 million for the remainder of fiscal year 2024 and fiscal year 2025,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15, 2023, the Company entered into an amendment to the receivable facility, which changed the amount and timing of certain repayments but not the aggregate amount or the maturity date. The amendment is considered a troubled debt restructuring under the guidance of ASC 470 with no gain or loss recorded at the time of the amendment. The Company did not incur any additional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Equipment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equipment financing facilities with third party financing partners to secure payments of certain Presto Touch tablet purchases. Such arrangements generally had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 five years and interest rates ranging from 8%-14%. The Company then leased the tablets to one of its customers through operating leases that had </w:t>
      </w:r>
      <w:r>
        <w:rPr>
          <w:rFonts w:ascii="Times New Roman;Times;serif" w:hAnsi="Times New Roman;Times;serif"/>
          <w:b w:val="false"/>
          <w:i w:val="false"/>
          <w:caps w:val="false"/>
          <w:smallCaps w:val="false"/>
          <w:sz w:val="20"/>
        </w:rPr>
        <w:t>4-year</w:t>
      </w:r>
      <w:r>
        <w:rPr>
          <w:rFonts w:ascii="Times New Roman;Times;serif" w:hAnsi="Times New Roman;Times;serif"/>
          <w:sz w:val="20"/>
        </w:rPr>
        <w:t xml:space="preserve"> terms. The Company has classified all of its obligations under these arrangements as short-term within financing obligations, current as of June 30, 2023. This facility no longer has an outstanding balance as of December 31, 2023.</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432" w:name="Tc_gTCBz8TE4E6Fk-dyk7BxWw_7_6"/>
      <w:bookmarkStart w:id="1433" w:name="Tc_CsJn-VtV20qI7AKUDJt0Lg_7_5"/>
      <w:bookmarkStart w:id="1434" w:name="Tc_8WBgoOLJAk22ZuIXFB1p-g_7_3"/>
      <w:bookmarkStart w:id="1435" w:name="Tc_yz9cXgnVLUWPkQGvSastCw_7_2"/>
      <w:bookmarkStart w:id="1436" w:name="Tc_MCiXOze4UkCzPb6mggkGaw_7_0"/>
      <w:bookmarkStart w:id="1437" w:name="Tc_REkZXUZmXEqNRRDWmud_Ng_6_0"/>
      <w:bookmarkStart w:id="1438" w:name="Tc_RWLcfHtyiUGJjsgRShO0Zg_5_0"/>
      <w:bookmarkStart w:id="1439" w:name="Tc_qmIClsDwIEaNKk04OTdgqw_4_6"/>
      <w:bookmarkStart w:id="1440" w:name="Tc_lE23RwamCE6oDSFDGJvWWw_4_0"/>
      <w:bookmarkStart w:id="1441" w:name="Tc_CY-O8a8jkU2ifBRE8fBvbg_3_5"/>
      <w:bookmarkStart w:id="1442" w:name="Tc_sUMxbH5LEEa14fJcpBTFJw_3_2"/>
      <w:bookmarkStart w:id="1443" w:name="Tc_-tW9V4l6tkubjb_oi5oT4Q_3_0"/>
      <w:bookmarkStart w:id="1444" w:name="Tc_FNwgpc_kcku7Sgpjm6Okcw_2_5"/>
      <w:bookmarkStart w:id="1445" w:name="Tc_uUmOCYg2vEC0IG4VCs_pTg_2_2"/>
      <w:bookmarkStart w:id="1446" w:name="Tc_42PfkH5Lk0CFt3pyaVSh0g_1_5"/>
      <w:bookmarkStart w:id="1447" w:name="Tc_EjNEnhXUEkOR3iFDHabSDQ_1_2"/>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r>
        <w:rPr>
          <w:rFonts w:ascii="Times New Roman;Times;serif" w:hAnsi="Times New Roman;Times;serif"/>
          <w:b/>
          <w:sz w:val="20"/>
        </w:rPr>
        <w:t>7. Debt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outstanding debt, net of debt discounts, consists of the following:</w:t>
      </w:r>
    </w:p>
    <w:p>
      <w:pPr>
        <w:pStyle w:val="TextBody"/>
        <w:bidi w:val="0"/>
        <w:spacing w:before="0" w:after="0"/>
        <w:ind w:left="0" w:right="0" w:hanging="0"/>
        <w:jc w:val="left"/>
        <w:rPr/>
      </w:pPr>
      <w:r>
        <w:rPr/>
        <w:t>​</w:t>
      </w:r>
    </w:p>
    <w:tbl>
      <w:tblPr>
        <w:tblW w:w="5378" w:type="dxa"/>
        <w:jc w:val="left"/>
        <w:tblInd w:w="0" w:type="dxa"/>
        <w:tblLayout w:type="fixed"/>
        <w:tblCellMar>
          <w:top w:w="0" w:type="dxa"/>
          <w:left w:w="0" w:type="dxa"/>
          <w:bottom w:w="0" w:type="dxa"/>
          <w:right w:w="0" w:type="dxa"/>
        </w:tblCellMar>
      </w:tblPr>
      <w:tblGrid>
        <w:gridCol w:w="1936"/>
        <w:gridCol w:w="326"/>
        <w:gridCol w:w="347"/>
        <w:gridCol w:w="1213"/>
        <w:gridCol w:w="326"/>
        <w:gridCol w:w="246"/>
        <w:gridCol w:w="984"/>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29360" cy="175260"/>
                      <wp:effectExtent l="0" t="0" r="0" b="0"/>
                      <wp:wrapNone/>
                      <wp:docPr id="238" name="Frame238"/>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20345" cy="175260"/>
                      <wp:effectExtent l="0" t="0" r="0" b="0"/>
                      <wp:wrapNone/>
                      <wp:docPr id="240" name="Frame24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70255" cy="175260"/>
                      <wp:effectExtent l="0" t="0" r="0" b="0"/>
                      <wp:wrapNone/>
                      <wp:docPr id="241" name="Frame241"/>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6210" cy="175260"/>
                      <wp:effectExtent l="0" t="0" r="0" b="0"/>
                      <wp:wrapNone/>
                      <wp:docPr id="243" name="Frame24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24840" cy="175260"/>
                      <wp:effectExtent l="0" t="0" r="0" b="0"/>
                      <wp:wrapNone/>
                      <wp:docPr id="244" name="Frame244"/>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Agreement</w:t>
            </w:r>
          </w:p>
        </w:tc>
        <w:tc>
          <w:tcPr>
            <w:tcW w:w="326" w:type="dxa"/>
            <w:tcBorders/>
            <w:shd w:fill="CCEEFF" w:val="clear"/>
            <w:vAlign w:val="center"/>
          </w:tcPr>
          <w:p>
            <w:pPr>
              <w:pStyle w:val="TableContents"/>
              <w:bidi w:val="0"/>
              <w:spacing w:before="0" w:after="0"/>
              <w:ind w:left="0" w:right="0" w:hanging="0"/>
              <w:jc w:val="left"/>
              <w:rPr/>
            </w:pPr>
            <w:r>
              <w:rPr/>
              <w:t>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55,075</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Financing</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55,632</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current</w:t>
            </w:r>
          </w:p>
        </w:tc>
        <w:tc>
          <w:tcPr>
            <w:tcW w:w="326" w:type="dxa"/>
            <w:tcBorders/>
            <w:vAlign w:val="center"/>
          </w:tcPr>
          <w:p>
            <w:pPr>
              <w:pStyle w:val="TableContents"/>
              <w:bidi w:val="0"/>
              <w:spacing w:before="0" w:after="0"/>
              <w:ind w:left="0" w:right="0" w:hanging="0"/>
              <w:jc w:val="left"/>
              <w:rPr/>
            </w:pPr>
            <w:r>
              <w:rPr/>
              <w:t> </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(55,632)</w:t>
            </w:r>
          </w:p>
        </w:tc>
        <w:tc>
          <w:tcPr>
            <w:tcW w:w="326" w:type="dxa"/>
            <w:tcBorders/>
            <w:vAlign w:val="center"/>
          </w:tcPr>
          <w:p>
            <w:pPr>
              <w:pStyle w:val="TableContents"/>
              <w:bidi w:val="0"/>
              <w:spacing w:before="0" w:after="0"/>
              <w:ind w:left="0" w:right="0" w:hanging="0"/>
              <w:jc w:val="left"/>
              <w:rPr/>
            </w:pPr>
            <w:r>
              <w:rPr/>
              <w:t> </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Loan -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21, 2022, in connection with the consummation of the Merger, the Company entered into the Credit Agreement with the subsidiary guarantors party thereto, the Agent, the Lenders and other parties party thereto, pursuant to which the Lenders extended the Term Loans having an aggregate original principal amount of $55.0 million. </w:t>
      </w:r>
      <w:r>
        <w:rPr>
          <w:rFonts w:ascii="Times New Roman;Times;serif" w:hAnsi="Times New Roman;Times;serif"/>
          <w:sz w:val="20"/>
          <w:shd w:fill="FFFFFF" w:val="clear"/>
        </w:rPr>
        <w:t>The Term Loans were borrowed in full on September 21, 2022. In conjunction with the initial Credit Agreement, the Company issued</w:t>
      </w:r>
      <w:r>
        <w:rPr>
          <w:rFonts w:ascii="Times New Roman;Times;serif" w:hAnsi="Times New Roman;Times;serif"/>
          <w:sz w:val="20"/>
        </w:rPr>
        <w:t xml:space="preserve"> 1,500,000 warrants to purchase common stock to the Lenders. Such warrants were determined to be equity classified and the Company recorded the value associated with such warrants of $2.1 million within additional paid in capital, with an offsetting debt discount being recorded. </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Third Amendment to Credit Agreement</w:t>
      </w:r>
    </w:p>
    <w:p>
      <w:pPr>
        <w:pStyle w:val="TextBody"/>
        <w:bidi w:val="0"/>
        <w:spacing w:before="0" w:after="0"/>
        <w:ind w:left="0" w:right="0" w:firstLine="720"/>
        <w:jc w:val="both"/>
        <w:rPr/>
      </w:pPr>
      <w:r>
        <w:rPr/>
        <w:t> </w:t>
      </w:r>
      <w:r>
        <w:rPr>
          <w:rFonts w:ascii="Times New Roman;Times;serif" w:hAnsi="Times New Roman;Times;serif"/>
          <w:sz w:val="20"/>
        </w:rPr>
        <w:t>On October 10, 2023, the Company entered into a Third Amendment to the Credit Agreement (the “Third Amendment”) with Metropolitan, the administrative, payment and collateral agent for Lenders, pursuant to which the parties amended certain covenants of the existing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an exercise price of $0.01 per share (the “Third Amendment Conversion Warrants”) (refer to Note 10). The effectiveness of the Third Amendment was conditioned, in part upon, (1)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w:t>
      </w:r>
      <w:r>
        <w:rPr>
          <w:rFonts w:ascii="Times New Roman;Times;serif" w:hAnsi="Times New Roman;Times;serif"/>
          <w:sz w:val="20"/>
          <w:shd w:fill="FFFFFF" w:val="clear"/>
        </w:rPr>
        <w:t>and closed on October 16, 2023, and (2) </w:t>
      </w:r>
      <w:r>
        <w:rPr>
          <w:rFonts w:ascii="Times New Roman;Times;serif" w:hAnsi="Times New Roman;Times;serif"/>
          <w:sz w:val="20"/>
        </w:rPr>
        <w:t>the Company hiring a chief financial officer reasonably satisfactory to Metropolitan, which the Company satisfied on October 10, 2023, </w:t>
      </w:r>
      <w:r>
        <w:rPr>
          <w:rFonts w:ascii="Times New Roman;Times;serif" w:hAnsi="Times New Roman;Times;serif"/>
          <w:sz w:val="20"/>
          <w:shd w:fill="FFFFFF" w:val="clear"/>
        </w:rPr>
        <w:t>and (3</w:t>
      </w:r>
      <w:r>
        <w:rPr>
          <w:rFonts w:ascii="Times New Roman;Times;serif" w:hAnsi="Times New Roman;Times;serif"/>
          <w:sz w:val="20"/>
        </w:rPr>
        <w:t>) evidence that the Company has engaged the services of an investment bank reasonably acceptable to Metropolitan on terms reasonably acceptable to Metropolitan to provide capital markets advisory services in connection with upcoming capital raises.  All conditions precedent were satisfied and the Third Amendment closed on October 17, 2023.</w:t>
      </w:r>
    </w:p>
    <w:p>
      <w:pPr>
        <w:pStyle w:val="TextBody"/>
        <w:bidi w:val="0"/>
        <w:spacing w:before="0" w:after="0"/>
        <w:ind w:left="0" w:right="0" w:firstLine="72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effectiveness of the Third Amendment, the Company obtained waivers of all previous financial covenant breaches. Further, the Third Amendment also eliminates all financial covenants with the exception of two which are a minimum cash collateral balance of $10.0 million and the “cash burn” covenant. The definition of the “cash burn” covenant was revised to allow for the exclusion of certain expenses from the calculation, including those related to severance and certain outside professional fees. New agreed upon “cash burn” covenant levels were also agreed upon. Subject to certain excluded payments, the decrease in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 Without the injection of further capital, the Company anticipated being unable to comply with the minimum unrestricted cash covenant by approximately the end of January 2024. Refer to Note 15 for further details on agreements entered into subsequent to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may request that 100% of the accrued but unpaid interest under the Term Loans may be capitalized as PIK Interest on a monthly basis, subject to the prior approval by the Agent. Absent such a request or in the absence of approval by the Agent, such interest is required to be paid in cash on a monthly basis. </w:t>
      </w:r>
      <w:r>
        <w:rPr>
          <w:rFonts w:ascii="Times New Roman;Times;serif" w:hAnsi="Times New Roman;Times;serif"/>
          <w:sz w:val="20"/>
          <w:shd w:fill="FFFFFF" w:val="clear"/>
        </w:rPr>
        <w:t>Amounts outstanding under the Credit Agreement will incur interest at the rate of 15% per annum. The Term Loans mature on March 21,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in connection with the Third Amendment, the Company entered into the Third Amended and Restated Fee Letter (the “Third Amendment Fee Letter”) with Metropolitan, pursuant to which the Company paid an amendment fee equal to $0.1 million and granted warrants to purchase 25,000 shares of common stock, par value $0.0001 per share of the Company, with an exercise price of $0.01 per share (the “Third Amendment Fee Warrants”) and, together with the Third Amendment Conversion Warrants, the “Third Amendment Warrants.” See Note 10 for further details.  The PIK Interest forgiven of $6.0 million exceeded the Third Amendment Warrants fair value of $5.2 million which resulted in a reduction of the debt discount of $0.8 million which will be amortized along with the unamortized debt discount using the effective interest rate over the life of the loan.</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must comply with certain financial covenants as set forth in the Credit Agreement, including a minimum cash covenant. The net leverage ratio covenant was removed in October 2023 with the Third Amendment.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bookmarkStart w:id="1448" w:name="_Hlk158819216"/>
      <w:bookmarkEnd w:id="1448"/>
      <w:r>
        <w:rPr>
          <w:rFonts w:ascii="Times New Roman;Times;serif" w:hAnsi="Times New Roman;Times;serif"/>
          <w:sz w:val="20"/>
          <w:shd w:fill="FFFFFF" w:val="clear"/>
        </w:rPr>
        <w:t>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received a notice of default from the Lender on January 4, 2024 notifying the Company of the occurrence of an event of default resulting from the Company not providing a sufficient plan to the Lender for the wind-down of the Presto Touch solution by the required due date of December 31, 2023. The Company also received a default notice for non-payment of the quarterly monitoring fee of $0.1 million. Refer to Note 15 for further details on agreements entered into subsequent to December 31, 2023.</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was not in compliance with the maximum net leverage ratio as of and for the three months ending September 30, 2023 and other instances of default occurred. The Lender waived the instances of non-compliance in the Third Amendment as noted above. Further, since the Company cannot be certain it will be in compliance with all covenants in the next twelve months if additional financing is not secured, the Company has classified the balance of the Credit Agreement, as amended, as current on the condensed consolidated balance sheet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PIK Interest expense which is reflected as an increase to the outstanding debt balance in the amounts of $3.1 million and $4.2 million during the three and six months ended December 31, 2023, respectively, and $2.1 million and $2.3 million, respectively, during the three and six months ended December 31, 2022. Further, the Company recorded interest expense associated with the amortization of debt discounts of $1.1 million and $2.4 million, respectively, during the three and six months ended December 31, 2023, and $0.5 million and $0.6 million, respectively, during the three and six months ended December 31, 2022. Accordingly, at December 31, 2023, the term loans, current balance of $55.1 million reflects $58.0 million of principal and $3.7 million of PIK Interest accrual, reduced by $6.6 million of unamortized debt issuance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Premium 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4, 2023, the Company entered into a premium financing agreement to finance approximately $0.8 million in the form of a term loan, which is secured by the Company’s insurance policies. The proceeds of the loan will be used to pay insurance premiums for Directors and Officers insurance (“D&amp;O insurance”). The related interest rate is 8.43% with monthly principal and interest payments of $0.1 million and a maturity date of May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Promissory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2022, the Company had $89.7 million of convertible notes outstanding to various investors, all of which were accounted for under the fair value option. In conjunction with the Merger all convertible promissory notes and embedded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six months ended December 31, 2022. As a consequence of the conversion, $41.4 million was reclassified into additional paid-in capital. Accordingly, there were no remeasurement effects related to the convertible promissory notes, as such notes were no longer outstanding during the three months ended December 31, 2022.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Term Loans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Horizon Term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4, 2021, the Company entered into a loan agreement (the “Horizon Loan”) with Horizon Technology Finance Corporation, which provided the Company with $15.0 million, bears interest at prime rate plus 6.5% per annum, and had a term of 54 months from each loan funding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(described above), on September 21, 2022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condensed consolidated statement of operations and comprehensive income (loss) for the six months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449" w:name="Tc_DOrS1qrplkSZQn4JLNMamQ_5_2"/>
      <w:bookmarkStart w:id="1450" w:name="Tc_wchORgfpXE-c1s6CpgiQbQ_5_0"/>
      <w:bookmarkStart w:id="1451" w:name="Tc_nrjfIOzWoEO1Jv9Lz5P-jw_4_0"/>
      <w:bookmarkStart w:id="1452" w:name="Tc_F1BoZYsQcE2EwfvIqbxy2A_3_2"/>
      <w:bookmarkStart w:id="1453" w:name="Tc_kHnXYN-Vrk2DS2oMvsL8sw_3_0"/>
      <w:bookmarkStart w:id="1454" w:name="Tc_irxAzWKGp0mfz2Xkygk7cQ_2_2"/>
      <w:bookmarkStart w:id="1455" w:name="Tc_3GmFoacIV0ab3VHX1nhSig_1_2"/>
      <w:bookmarkEnd w:id="1449"/>
      <w:bookmarkEnd w:id="1450"/>
      <w:bookmarkEnd w:id="1451"/>
      <w:bookmarkEnd w:id="1452"/>
      <w:bookmarkEnd w:id="1453"/>
      <w:bookmarkEnd w:id="1454"/>
      <w:bookmarkEnd w:id="1455"/>
      <w:r>
        <w:rPr>
          <w:rFonts w:ascii="Times New Roman;Times;serif" w:hAnsi="Times New Roman;Times;serif"/>
          <w:i/>
          <w:sz w:val="20"/>
        </w:rPr>
        <w:t>Lago Term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matured on April 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4, 2022, the Company amended the Lago Loan which provided the Company with $5.3 million. Further, as part of the amendment to the Lago Loan, the Company issued an additional 169,310 warrants to purchase common stock with the additional tranche. The Company determined that the amendment with Lago should be accounted for as an extinguishment of debt and recorded a loss on extinguishment of debt and financial obligations of $6.0 million on its condensed consolidated statement of operations and comprehensive income (loss) for the six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(described above) on September 21, 2022, the Company repaid all outstanding loans to Lago by making a cash disbursement of $22.4 million, of which $17.9 million was repayment of principal and $0.1 million was payment of payable in-kind interest. Further, $4.4 million of cash was paid related to prepayment and other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Paycheck Protection Program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2021, the Company obtained a Paycheck Protection Program (“PPP”) loan in the amount of $2.0 million through the U.S. Small Business Administration. The loan was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six months ended December 31, 2022, the Company received forgiveness of the PPP loan of $2.0 million and recognized income on forgiveness within other income, net in the Company’s condensed consolidated statements of operations and comprehensive income (loss).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Future principal payments on debt i</w:t>
      </w:r>
      <w:r>
        <w:rPr>
          <w:rFonts w:ascii="Times New Roman;Times;serif" w:hAnsi="Times New Roman;Times;serif"/>
          <w:sz w:val="20"/>
          <w:shd w:fill="FFFFFF" w:val="clear"/>
        </w:rPr>
        <w:t>ncluding interest payments elected to be capitalized as PIK Interest</w:t>
      </w:r>
      <w:r>
        <w:rPr>
          <w:rFonts w:ascii="Times New Roman;Times;serif" w:hAnsi="Times New Roman;Times;serif"/>
          <w:sz w:val="20"/>
        </w:rPr>
        <w:t xml:space="preserve"> for the Company’s fiscal years were as follows:</w:t>
      </w:r>
    </w:p>
    <w:p>
      <w:pPr>
        <w:pStyle w:val="TextBody"/>
        <w:bidi w:val="0"/>
        <w:spacing w:before="0" w:after="240"/>
        <w:ind w:left="0" w:right="0" w:firstLine="720"/>
        <w:jc w:val="left"/>
        <w:rPr/>
      </w:pPr>
      <w:r>
        <w:rPr/>
        <w:t>​</w:t>
      </w:r>
    </w:p>
    <w:tbl>
      <w:tblPr>
        <w:tblW w:w="5472" w:type="dxa"/>
        <w:jc w:val="left"/>
        <w:tblInd w:w="0" w:type="dxa"/>
        <w:tblLayout w:type="fixed"/>
        <w:tblCellMar>
          <w:top w:w="0" w:type="dxa"/>
          <w:left w:w="0" w:type="dxa"/>
          <w:bottom w:w="0" w:type="dxa"/>
          <w:right w:w="0" w:type="dxa"/>
        </w:tblCellMar>
      </w:tblPr>
      <w:tblGrid>
        <w:gridCol w:w="3541"/>
        <w:gridCol w:w="326"/>
        <w:gridCol w:w="341"/>
        <w:gridCol w:w="1264"/>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48535" cy="175260"/>
                      <wp:effectExtent l="0" t="0" r="0" b="0"/>
                      <wp:wrapNone/>
                      <wp:docPr id="245" name="Frame245"/>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6535" cy="175260"/>
                      <wp:effectExtent l="0" t="0" r="0" b="0"/>
                      <wp:wrapNone/>
                      <wp:docPr id="247" name="Frame247"/>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802640" cy="175260"/>
                      <wp:effectExtent l="0" t="0" r="0" b="0"/>
                      <wp:wrapNone/>
                      <wp:docPr id="248" name="Frame248"/>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1"/>
              <w:ind w:left="0" w:right="0" w:hanging="0"/>
              <w:jc w:val="center"/>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center"/>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61,723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payments on debt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62,280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11, 2024, following the </w:t>
      </w:r>
      <w:r>
        <w:rPr>
          <w:rFonts w:ascii="Times New Roman;Times;serif" w:hAnsi="Times New Roman;Times;serif"/>
          <w:sz w:val="20"/>
          <w:shd w:fill="FFFFFF" w:val="clear"/>
        </w:rPr>
        <w:t xml:space="preserve">notice of default received from the Lender on January 4, 2024, </w:t>
      </w:r>
      <w:r>
        <w:rPr>
          <w:rFonts w:ascii="Times New Roman;Times;serif" w:hAnsi="Times New Roman;Times;serif"/>
          <w:sz w:val="20"/>
        </w:rPr>
        <w:t xml:space="preserve">as described above in </w:t>
      </w:r>
      <w:r>
        <w:rPr>
          <w:rFonts w:ascii="Times New Roman;Times;serif" w:hAnsi="Times New Roman;Times;serif"/>
          <w:i/>
          <w:sz w:val="20"/>
          <w:shd w:fill="FFFFFF" w:val="clear"/>
        </w:rPr>
        <w:t xml:space="preserve">Third Amendment to Credit Agreement </w:t>
      </w:r>
      <w:r>
        <w:rPr>
          <w:rFonts w:ascii="Times New Roman;Times;serif" w:hAnsi="Times New Roman;Times;serif"/>
          <w:sz w:val="20"/>
          <w:shd w:fill="FFFFFF" w:val="clear"/>
        </w:rPr>
        <w:t xml:space="preserve">section, </w:t>
      </w:r>
      <w:r>
        <w:rPr>
          <w:rFonts w:ascii="Times New Roman;Times;serif" w:hAnsi="Times New Roman;Times;serif"/>
          <w:sz w:val="20"/>
        </w:rPr>
        <w:t>the Company’s Lenders delivered an activation notice to the Company’s bank and wired $10.0 million of restricted cash to an account designated by the Lenders. The funds were applied to reduce the outstanding loan balance which as of December 31, 2023 totaled $61.7 million in principal amount plus accrued interest.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Warranties, Indemnification,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service level agreements with customers which warrant defined levels of uptime and support response times and permit those customers to receive credits for prepaid amounts in the event that those performance and response levels are not met. The Company has incurred costs to refurbish customer tablets in the three and six months ended December 31, 2023, of $0.2 million and $0.5 million, respectively, and in the three and six months ended December 31, 2022, of $0.2 million and $0.9 million, respectively, which are recorded in cost of platform revenue in the Company’s condensed consolidated statement of operations and comprehensive income (loss). In connection with the service level agreements, the Company has recorded $0.5 million and $0.4 million in accrued liabilities in the condensed consolidated balance sheets for expected repair costs for customer tablets currently in the Company’s return merchandise authorization process as of December 31, 2023 and June 30, 2023,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business, the Company enters into contractual arrangements under which the Company agrees to provide indemnification of varying scope and terms to business partners and other parties with respect to certain matters, including,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pStyle w:val="TextBody"/>
        <w:bidi w:val="0"/>
        <w:spacing w:before="0" w:after="24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sought to enjoin the co-defendants from continued alleged infringement and sought unspecified statutory and other damages.  On October 23, 2023, the patent infringement lawsuit for which the Company was named as a co-defendant was dismissed.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December 31, 2023. As a result, the Company has not recognized any gain related to this settlement in its condensed consolidated statement of operations and comprehensive income (loss).</w:t>
      </w:r>
    </w:p>
    <w:p>
      <w:pPr>
        <w:pStyle w:val="TextBody"/>
        <w:bidi w:val="0"/>
        <w:spacing w:before="0" w:after="240"/>
        <w:ind w:left="0" w:right="0" w:firstLine="720"/>
        <w:jc w:val="left"/>
        <w:rPr/>
      </w:pPr>
      <w:r>
        <w:rPr/>
        <w:t>​</w:t>
      </w:r>
    </w:p>
    <w:p>
      <w:pPr>
        <w:pStyle w:val="TextBody"/>
        <w:bidi w:val="0"/>
        <w:spacing w:before="0" w:after="0"/>
        <w:ind w:left="0" w:right="0" w:firstLine="480"/>
        <w:jc w:val="left"/>
        <w:rPr>
          <w:rFonts w:ascii="Times New Roman;Times;serif" w:hAnsi="Times New Roman;Times;serif"/>
          <w:sz w:val="20"/>
          <w:shd w:fill="FFFFFF" w:val="clear"/>
        </w:rPr>
      </w:pPr>
      <w:r>
        <w:rPr>
          <w:rFonts w:ascii="Times New Roman;Times;serif" w:hAnsi="Times New Roman;Times;serif"/>
          <w:sz w:val="20"/>
          <w:shd w:fill="FFFFFF" w:val="clear"/>
        </w:rPr>
        <w:t>During fiscal year 2023, the Company received a legal demand with certain former employees who were part of its May 2022 acquisition of Cyborg Ops, Inc. The demand relates to the basis of their change in employment status and whether certain unvested equity in the amount of 256,891 restricted stock awards for employee terminations during fiscal year 2023, which were forfeited and cancelled upon their departure in accordance with the terms of their employment contracts, warranted full and accelerated vestiture upon their last date of employment with the Company.  A further termination occurred in the first fiscal quarter of 2024 for which an incremental amount of restricted stock units of 97,881 are included in the legal demand. The Company maintains that it is not probable that there is a financial obligation related to this matter nor can the Company estimate any reasonable possible loss at this time, accordingly the Company has not recorded a charge for this matter.</w:t>
      </w:r>
    </w:p>
    <w:p>
      <w:pPr>
        <w:pStyle w:val="TextBody"/>
        <w:bidi w:val="0"/>
        <w:spacing w:before="0" w:after="240"/>
        <w:ind w:left="0" w:right="0" w:firstLine="720"/>
        <w:jc w:val="left"/>
        <w:rPr/>
      </w:pPr>
      <w:r>
        <w:rPr/>
        <w:t>​</w:t>
      </w:r>
    </w:p>
    <w:p>
      <w:pPr>
        <w:pStyle w:val="TextBody"/>
        <w:shd w:fill="FFFFFF" w:val="clear"/>
        <w:bidi w:val="0"/>
        <w:spacing w:before="160" w:after="0"/>
        <w:ind w:left="0" w:right="0" w:firstLine="480"/>
        <w:jc w:val="left"/>
        <w:rPr>
          <w:rFonts w:ascii="Times New Roman;Times;serif" w:hAnsi="Times New Roman;Times;serif"/>
          <w:sz w:val="20"/>
        </w:rPr>
      </w:pPr>
      <w:r>
        <w:rPr>
          <w:rFonts w:ascii="Times New Roman PS Std" w:hAnsi="Times New Roman PS Std"/>
          <w:sz w:val="20"/>
        </w:rPr>
        <w:t>In July 2023, the Company and certain of its current and former executive officers received</w:t>
      </w:r>
      <w:r>
        <w:rPr>
          <w:rFonts w:ascii="Times New Roman;Times;serif" w:hAnsi="Times New Roman;Times;serif"/>
          <w:sz w:val="20"/>
        </w:rPr>
        <w:t> notices of preservation and subpoenas from the staff of the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 unable to assess whether any material loss is reasonably possible as a result of these investigations or estimate the range of any potential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Stockholders’ Deficit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October 2023 Securities Purchase Agreement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the Company entered into a Securities Purchase Agreement (the “October Purchase Agreement”) with CA (defined below), which closed on October 16, 2023, pursuant to which the Company agreed to sell an aggregate of 1,500,000 newly issued shares of the Company’s common stock, at a purchase price of $2.00 per share for an aggregate purchase price of $3.0 million (Refer to Note 7 for additional details).  The October Purchase Agreement contains customary representations, warranties and covenants of the parties, and the closing is subject to customary closing conditions. In addition, the October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anti-dilution provisions were triggered with the November Purchase Agreements (as defined below) and required the Company to issue 1,500,000 additional shares as noted above, which adjusted the purchase price to $1.00 per share from $2.00 per share in the October Purchase Agreement. The triggering of the anti-dilution provision was accounted for as a deemed dividend when it occurred resulting in a $1.5 million offsetting adjustment within additional paid-in capital.</w:t>
      </w:r>
    </w:p>
    <w:p>
      <w:pPr>
        <w:pStyle w:val="TextBody"/>
        <w:shd w:fill="FFFFFF" w:val="clear"/>
        <w:bidi w:val="0"/>
        <w:spacing w:before="0" w:after="0"/>
        <w:ind w:left="0" w:right="0" w:firstLine="720"/>
        <w:jc w:val="both"/>
        <w:rPr/>
      </w:pPr>
      <w:r>
        <w:rPr/>
        <w:t>​</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November 2023 Capital Raise</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November 17, 2023, the Company entered into agreements (the “November Purchase Agreements”) with a syndicate of investors for the sale of 7,000,000 shares of the Company’s common stock in a registered offering that resulted in gross proceeds of $7.0 million. As part of the offering, a related party, Zaffran Special Opportunities, LLC, received an additional 750,000 shares, for total shares issued of 7,750,000. The offering resulted in fees of $0.8 million and closed on November 21, 2023. </w:t>
      </w:r>
    </w:p>
    <w:p>
      <w:pPr>
        <w:pStyle w:val="TextBody"/>
        <w:shd w:fill="FFFFFF" w:val="clear"/>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purchasers, upon the terms and subject to the conditions contained in the November Purchase Agreements.  </w:t>
      </w:r>
    </w:p>
    <w:p>
      <w:pPr>
        <w:pStyle w:val="TextBody"/>
        <w:bidi w:val="0"/>
        <w:spacing w:before="0" w:after="0"/>
        <w:ind w:left="0" w:right="0" w:firstLine="720"/>
        <w:jc w:val="both"/>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offering of securities in connection with this offering triggered such anti-dilution provisions in the October Purchase Agreement and the Third Amendment Conversion Warrants. </w:t>
      </w:r>
      <w:r>
        <w:rPr>
          <w:rFonts w:ascii="Times New Roman;Times;serif" w:hAnsi="Times New Roman;Times;serif"/>
          <w:sz w:val="20"/>
          <w:shd w:fill="FFFFFF" w:val="clear"/>
        </w:rPr>
        <w:t xml:space="preserve"> The Company agreed with each of Presto CA, LLC (“CA”), the purchaser in the October Purchaser Agreement and the Lenders in the Third Amendment Conversion Warrants that the “New Issuance Price” (as defined in the October Purchase Agreement and Third Amendment Conversion Warrants, respectively) would be $1.00. </w:t>
      </w:r>
      <w:r>
        <w:rPr>
          <w:rFonts w:ascii="Times New Roman;Times;serif" w:hAnsi="Times New Roman;Times;serif"/>
          <w:sz w:val="20"/>
        </w:rPr>
        <w:t>The Company was also required to increase the amount of common stock issuable upon the exercise of the Third Amendment Conversion Warrants from 3,000,000 shares to 6,000,000 shares (Refer to Note 10 for details on the warrants.)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Placement Agency Agreement</w:t>
      </w:r>
    </w:p>
    <w:p>
      <w:pPr>
        <w:pStyle w:val="TextBody"/>
        <w:shd w:fill="FFFFFF" w:val="clear"/>
        <w:bidi w:val="0"/>
        <w:spacing w:before="0" w:after="0"/>
        <w:ind w:left="0" w:right="0" w:firstLine="490"/>
        <w:jc w:val="left"/>
        <w:rPr/>
      </w:pPr>
      <w:r>
        <w:rPr/>
        <w:t> </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November 17, 2023, the Company entered into a placement agency agreement (the “Placement Agency Agreement”) with Northland Securities, Inc. (“Northland”), Chardan Capital Markets LLC (“Chardan”) and The Benchmark Company, LLC (“Benchmark”), to act as exclusive placement agents in connection with the November offering (collectively, the “Placement Agents”). The Company agreed to (i) pay the Placement Agents a cash fee equal to $0.5 million, (ii) reimburse Northland up to $0.1 million for its reasonable and documented offering-related legal and other expenses and (iii) reimburse </w:t>
      </w:r>
      <w:r>
        <w:rPr>
          <w:rFonts w:ascii="Times New Roman;Times;serif" w:hAnsi="Times New Roman;Times;serif"/>
          <w:b w:val="false"/>
          <w:i w:val="false"/>
          <w:caps w:val="false"/>
          <w:smallCaps w:val="false"/>
          <w:sz w:val="20"/>
          <w:shd w:fill="FFFFFF" w:val="clear"/>
        </w:rPr>
        <w:t>Benchmark</w:t>
      </w:r>
      <w:r>
        <w:rPr>
          <w:rFonts w:ascii="Times New Roman;Times;serif" w:hAnsi="Times New Roman;Times;serif"/>
          <w:sz w:val="20"/>
        </w:rPr>
        <w:t xml:space="preserve"> and Chardan $15,000 each for reasonable and documented offering-related expenses. The placement agency fees combined were $0.6 million and including legal and other fees of $0.5 million resulted in aggregate costs of $1.1 million which were recorded to equity as an offset to proceeds received in the condensed consolidated statement of stockholders’ deficit.</w:t>
      </w:r>
    </w:p>
    <w:p>
      <w:pPr>
        <w:pStyle w:val="TextBody"/>
        <w:shd w:fill="FFFFFF" w:val="clear"/>
        <w:bidi w:val="0"/>
        <w:spacing w:before="0" w:after="0"/>
        <w:ind w:left="0" w:right="0" w:firstLine="72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456" w:name="Tc_GDRwGr2QnEq79M54AXYOGQ_7_0"/>
      <w:bookmarkStart w:id="1457" w:name="Tc_q9EBzvHxyEm7ov_QbNBDkw_6_0"/>
      <w:bookmarkStart w:id="1458" w:name="Tc_nPqhxPFrfU60DZe1i9f_cw_5_0"/>
      <w:bookmarkStart w:id="1459" w:name="Tc_v9dcFNyZhkmBDlycpB1iKA_4_0"/>
      <w:bookmarkStart w:id="1460" w:name="Tc_CxyDTjmtcUaWVqH2ZO54PQ_3_2"/>
      <w:bookmarkStart w:id="1461" w:name="Tc_iEsdl-_3R0K2xujooctg3w_2_2"/>
      <w:bookmarkStart w:id="1462" w:name="Tc_QVTVoCmHQE6VaTnAAa-I9w_1_2"/>
      <w:bookmarkEnd w:id="1456"/>
      <w:bookmarkEnd w:id="1457"/>
      <w:bookmarkEnd w:id="1458"/>
      <w:bookmarkEnd w:id="1459"/>
      <w:bookmarkEnd w:id="1460"/>
      <w:bookmarkEnd w:id="1461"/>
      <w:bookmarkEnd w:id="1462"/>
      <w:r>
        <w:rPr>
          <w:rFonts w:ascii="Times New Roman;Times;serif" w:hAnsi="Times New Roman;Times;serif"/>
          <w:b/>
          <w:i/>
          <w:sz w:val="20"/>
        </w:rPr>
        <w:t>Other Common Stock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15, 2022, the Company (then Legacy Presto), received an equity investment of $1.0 million from an investor in exchange for 133,333 shares in the Company. Further, such investor held a significant portion of outstanding convertible notes on the date the investment was made. The Company recorded the proceeds received as an increase to additional paid-in capital.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a termination fee valued at $1.6 million for the six months ended December 31, 2022,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$0.5 million during the six months ended December 31, 2022,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during the six months ended December 31, 2022, as other financing cost of $0.8 million within other financing and financial instrument (costs) income, net on the condensed consolidated statement of operations and comprehensive income (loss) with an offsetting increase to additional paid-in capital for the contribution.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following shares of common stock reserved for future issuance:</w:t>
      </w:r>
    </w:p>
    <w:p>
      <w:pPr>
        <w:pStyle w:val="TextBody"/>
        <w:bidi w:val="0"/>
        <w:spacing w:before="0" w:after="240"/>
        <w:ind w:left="0" w:right="0" w:firstLine="720"/>
        <w:jc w:val="left"/>
        <w:rPr/>
      </w:pPr>
      <w:r>
        <w:rPr/>
        <w:t>​</w:t>
      </w:r>
    </w:p>
    <w:tbl>
      <w:tblPr>
        <w:tblW w:w="4918" w:type="dxa"/>
        <w:jc w:val="left"/>
        <w:tblInd w:w="0" w:type="dxa"/>
        <w:tblLayout w:type="fixed"/>
        <w:tblCellMar>
          <w:top w:w="0" w:type="dxa"/>
          <w:left w:w="0" w:type="dxa"/>
          <w:bottom w:w="0" w:type="dxa"/>
          <w:right w:w="0" w:type="dxa"/>
        </w:tblCellMar>
      </w:tblPr>
      <w:tblGrid>
        <w:gridCol w:w="3406"/>
        <w:gridCol w:w="326"/>
        <w:gridCol w:w="118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62810" cy="175260"/>
                      <wp:effectExtent l="0" t="0" r="0" b="0"/>
                      <wp:wrapNone/>
                      <wp:docPr id="249" name="Frame249"/>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53110" cy="175260"/>
                      <wp:effectExtent l="0" t="0" r="0" b="0"/>
                      <wp:wrapNone/>
                      <wp:docPr id="251" name="Frame25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to purchase common stock</w:t>
            </w:r>
          </w:p>
        </w:tc>
        <w:tc>
          <w:tcPr>
            <w:tcW w:w="326"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27,340,453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 and RSUs</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11,866,211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awards available for future grants</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1,041,589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14,115,953</w:t>
            </w:r>
          </w:p>
        </w:tc>
      </w:tr>
      <w:tr>
        <w:trPr/>
        <w:tc>
          <w:tcPr>
            <w:tcW w:w="34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54,364,206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Warrants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bidi w:val="0"/>
        <w:spacing w:before="0" w:after="240"/>
        <w:ind w:left="0" w:right="0" w:firstLine="72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Warrant Issuances to Purchase Common Stock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16, 2023, in connection with the Third Amendment, the Company granted 3,000,000 of the Third Amendment Conversion Warrants and 25,000 of the Third Amendment Fee Warrants to purchase shares of common stock, par value $0.0001 per share of the Company, with an exercise price of $0.01 per share (Refer to Note 7 for additional details). In addition, the Third Amendment Conversion Warrants include anti-dilution provisions relating to future issuances or deemed issuances of common stock from the closing date to April 1, 2024 at a price per share below $2.00 per share, which would require the Company to issue additional shares of common stock to the lenders, upon the terms and subject to the conditions contained in the agreement. The anti-dilution provisions of the Third Amendment Conversion Warrants were triggered with the November Purchase Agreements and the Company was required to increase the number of shares issuable under the Third Amendment Conversion Warrants from 3,000,000 to 6,000,000 shares of common stock. As discussed in the previous Note 9, in accordance with the anti-dilution provisions, the price per share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63" w:name="Tc_BDGhk6orBUaqg7J_cEJtPQ_21_0"/>
      <w:bookmarkStart w:id="1464" w:name="Tc_VZYk_p2l_0eJWzE1ofxabA_20_11"/>
      <w:bookmarkStart w:id="1465" w:name="Tc_Hh9mipfoWkOAHdRgsmz6Hg_20_8"/>
      <w:bookmarkStart w:id="1466" w:name="Tc_eec0ICiczkG_jCMPoAfsLw_20_4"/>
      <w:bookmarkStart w:id="1467" w:name="Tc_AwgBRpiVsUG9DrHKDjsYCw_20_2"/>
      <w:bookmarkStart w:id="1468" w:name="Tc_iy9_TTdKD0CWWjVCHDnDKw_20_0"/>
      <w:bookmarkStart w:id="1469" w:name="Tc_z98ZZdcf50CC85rfHmJBdw_19_11"/>
      <w:bookmarkStart w:id="1470" w:name="Tc_v7lO8wfjt0Kt99Zh9dioYQ_19_8"/>
      <w:bookmarkStart w:id="1471" w:name="Tc_7nc148n-mEWAiVCPvJ48XQ_19_4"/>
      <w:bookmarkStart w:id="1472" w:name="Tc_bqgcC8uDTkOkVrOhBCfJyA_19_2"/>
      <w:bookmarkStart w:id="1473" w:name="Tc_lz83Icfyekmt8BI5ICYBOw_19_0"/>
      <w:bookmarkStart w:id="1474" w:name="Tc_DtLAl0OJGEK-wIfWwh3INA_18_11"/>
      <w:bookmarkStart w:id="1475" w:name="Tc_iIgHawaGWkSh2jRaU_M6sA_18_8"/>
      <w:bookmarkStart w:id="1476" w:name="Tc_Z6yGKy2DXk2bPQHiSpDqIQ_18_4"/>
      <w:bookmarkStart w:id="1477" w:name="Tc_mstFAclSOkOg75_FFrjljw_18_2"/>
      <w:bookmarkStart w:id="1478" w:name="Tc_ag8l_AnR-U6XFbZfBDDGAg_18_0"/>
      <w:bookmarkStart w:id="1479" w:name="Tc_NlainwhTmkmVNwPlyY4VCg_17_11"/>
      <w:bookmarkStart w:id="1480" w:name="Tc_IgeXT1IqnU2jqxIIM5ycSQ_17_8"/>
      <w:bookmarkStart w:id="1481" w:name="Tc_-pSBU8dR2k-BpXqDMw0fHg_17_4"/>
      <w:bookmarkStart w:id="1482" w:name="Tc_nvkfGDR0v0ajxjUr8lf60w_17_2"/>
      <w:bookmarkStart w:id="1483" w:name="Tc_hETTl4NYrkebAinDsR5g9w_17_0"/>
      <w:bookmarkStart w:id="1484" w:name="Tc_jyW62g4K_Uqas8zQnzKNkg_16_11"/>
      <w:bookmarkStart w:id="1485" w:name="Tc_zFPg8e-mb0u9Nn8UkMUFrw_16_4"/>
      <w:bookmarkStart w:id="1486" w:name="Tc_GIrfutwxIketGAJsPOIJag_16_2"/>
      <w:bookmarkStart w:id="1487" w:name="Tc_5VttC2iz3UmcFZ6Wchy91A_16_0"/>
      <w:bookmarkStart w:id="1488" w:name="Tc_JXp3lwLZx0anOwt3MbBySQ_15_11"/>
      <w:bookmarkStart w:id="1489" w:name="Tc_h05PJvMIvkqASUSZ6IAjcg_15_4"/>
      <w:bookmarkStart w:id="1490" w:name="Tc_V4cRZMXCAkurB5qogffAxg_15_2"/>
      <w:bookmarkStart w:id="1491" w:name="Tc_2j_petPmokyXMv7zpR04Mg_15_0"/>
      <w:bookmarkStart w:id="1492" w:name="Tc_aEvqf7oIVkytyzvC0Hvp1g_14_11"/>
      <w:bookmarkStart w:id="1493" w:name="Tc_p9xfh4Udd0S_YqjnhBYBiw_14_8"/>
      <w:bookmarkStart w:id="1494" w:name="Tc_S9Z3y9-YZESoT-6dH8zp6A_14_4"/>
      <w:bookmarkStart w:id="1495" w:name="Tc_IBeOuuGiK0W2oIdM4SiwvA_14_2"/>
      <w:bookmarkStart w:id="1496" w:name="Tc_tuisw2e-YUKjgabm5KzoTg_14_0"/>
      <w:bookmarkStart w:id="1497" w:name="Tc_8-oqqudJfECCnVRmFQxe1A_13_11"/>
      <w:bookmarkStart w:id="1498" w:name="Tc_kp6xctMq6km58wAPqAAoJw_13_4"/>
      <w:bookmarkStart w:id="1499" w:name="Tc_ItKn_jv6qE2kYg7ZWRZ9iw_13_2"/>
      <w:bookmarkStart w:id="1500" w:name="Tc_8vfwEKEBqkasVb32xpeMTA_13_0"/>
      <w:bookmarkStart w:id="1501" w:name="Tc_58tQBPoW5kmARVxRxaqJlg_12_11"/>
      <w:bookmarkStart w:id="1502" w:name="Tc_bbwjXiz_0UC863d4FNBzGQ_12_9"/>
      <w:bookmarkStart w:id="1503" w:name="Tc_qzv7mBK9206qFXNd639ccg_12_4"/>
      <w:bookmarkStart w:id="1504" w:name="Tc_aHGhAa0Mm0qT-lVzpw1gmA_12_2"/>
      <w:bookmarkStart w:id="1505" w:name="Tc_Vr7uXT1ha0W0Hp_6nqxzYg_12_0"/>
      <w:bookmarkStart w:id="1506" w:name="Tc_xTPSdxxZT0SpfqLGeFx7vQ_11_11"/>
      <w:bookmarkStart w:id="1507" w:name="Tc_uHcLNbqiKEaeIaiuah22dw_11_4"/>
      <w:bookmarkStart w:id="1508" w:name="Tc_nTLmD-WqD0egsrTWxsVyww_11_2"/>
      <w:bookmarkStart w:id="1509" w:name="Tc_cMGmiHWorkifdnhTpsxryg_11_0"/>
      <w:bookmarkStart w:id="1510" w:name="Tc_FdAa9_zT-EOOOHKyI0qRKg_10_11"/>
      <w:bookmarkStart w:id="1511" w:name="Tc_1_zHbDBv9kmBz99prVp92w_10_6"/>
      <w:bookmarkStart w:id="1512" w:name="Tc_B0spUX_R9k-_VXA6KelGQA_10_4"/>
      <w:bookmarkStart w:id="1513" w:name="Tc_mCZCnzv6WEqORSIT8mUzxQ_10_2"/>
      <w:bookmarkStart w:id="1514" w:name="Tc_0fT_LrjD-ESlAh409pLuWg_10_0"/>
      <w:bookmarkStart w:id="1515" w:name="Tc_Ka4ERs6zlUGoUWfR74szvg_9_11"/>
      <w:bookmarkStart w:id="1516" w:name="Tc_JRbyNA3BXkGcM941gK2npg_9_4"/>
      <w:bookmarkStart w:id="1517" w:name="Tc_5hf1QwghkUixh9foLLbjoQ_9_2"/>
      <w:bookmarkStart w:id="1518" w:name="Tc_t0Z7H7cfF0WwEyvI0lk6ig_9_0"/>
      <w:bookmarkStart w:id="1519" w:name="Tc_-9taOJNbsECy5LGNpTlENg_8_11"/>
      <w:bookmarkStart w:id="1520" w:name="Tc_LtKnWRZG5EOgXfW8rSP6iA_8_4"/>
      <w:bookmarkStart w:id="1521" w:name="Tc_Nxxj2XbHt062JlHoo8XoTA_8_2"/>
      <w:bookmarkStart w:id="1522" w:name="Tc_MgUe1j89RUyV73ELr4ftjA_8_0"/>
      <w:bookmarkStart w:id="1523" w:name="Tc_XUQyPCKd5kCE7xN3G7YT2w_7_11"/>
      <w:bookmarkStart w:id="1524" w:name="Tc_YTVnTcAeykCWV_Skbmsu4g_7_8"/>
      <w:bookmarkStart w:id="1525" w:name="Tc_mmYh8XV-XUq_DQx0QnHG6Q_7_4"/>
      <w:bookmarkStart w:id="1526" w:name="Tc_Z3DbnbkpKE6Mxt6OXCexgg_7_2"/>
      <w:bookmarkStart w:id="1527" w:name="Tc_-K4ZDZoQi0uXyaB1KY8sfQ_7_0"/>
      <w:bookmarkStart w:id="1528" w:name="Tc_gvOGeTt5DkSsnqmDiN_QBA_6_11"/>
      <w:bookmarkStart w:id="1529" w:name="Tc_v_3uOHBYfEabwjZUqWvN6A_6_6"/>
      <w:bookmarkStart w:id="1530" w:name="Tc_A_LIfP2vE0CVzAwWMC4lKw_6_4"/>
      <w:bookmarkStart w:id="1531" w:name="Tc_AtJKhtKERkyJ2OpSWW88iw_6_2"/>
      <w:bookmarkStart w:id="1532" w:name="Tc_qAbEIQ2e6E6_nmh5lK8ksw_6_0"/>
      <w:bookmarkStart w:id="1533" w:name="Tc_BPyomHb9KUOAySI_iG6X9g_5_11"/>
      <w:bookmarkStart w:id="1534" w:name="Tc_sKR9WiYjxEqCzu78Ph0owQ_5_4"/>
      <w:bookmarkStart w:id="1535" w:name="Tc_uFu0DHcxDkqBPMmOXaIY5w_5_2"/>
      <w:bookmarkStart w:id="1536" w:name="Tc_Z2GJtJf8GkWTuR5OFyJAJQ_5_0"/>
      <w:bookmarkStart w:id="1537" w:name="Tc_FG7LHnQrpkSmCV1ezI_7Zw_4_11"/>
      <w:bookmarkStart w:id="1538" w:name="Tc_zoNC4whyvUezSAj0aLWwcA_4_4"/>
      <w:bookmarkStart w:id="1539" w:name="Tc_VjhJieimakCIC5goMABc3g_4_2"/>
      <w:bookmarkStart w:id="1540" w:name="Tc_YIouOwGEXUexzsQ1IxHQug_4_0"/>
      <w:bookmarkStart w:id="1541" w:name="Tc_9xz6Ibm4aUOC_MB6cUjuYA_3_11"/>
      <w:bookmarkStart w:id="1542" w:name="Tc_ACtfsfFiPk2jE0FkqRkOLA_3_4"/>
      <w:bookmarkStart w:id="1543" w:name="Tc_CbrbM4edhkiQVIjBaKFmqw_3_2"/>
      <w:bookmarkStart w:id="1544" w:name="Tc_4HEpdSrzGka5SfPcf4ryzQ_3_0"/>
      <w:bookmarkStart w:id="1545" w:name="Tc_WUR9OTwqI0ueZ401wRo4AA_2_11"/>
      <w:bookmarkStart w:id="1546" w:name="Tc_Yl1tOIcFH0ihQLSrYvQmBA_2_9"/>
      <w:bookmarkStart w:id="1547" w:name="Tc_Vqu4l2yoHkKuYouYfm7zyg_2_7"/>
      <w:bookmarkStart w:id="1548" w:name="Tc_6jklcjXeNEyS-XP00z5x-A_2_4"/>
      <w:bookmarkStart w:id="1549" w:name="Tc_b82vePC77UyQ6t03ZOCfJw_2_2"/>
      <w:bookmarkStart w:id="1550" w:name="Tc_U0DsHANjC0GyScZd3Vqq2g_1_2"/>
      <w:bookmarkStart w:id="1551" w:name="_ab0a7017_a0b7_4065_bf1e_16c19e30f680"/>
      <w:bookmarkStart w:id="1552" w:name="Tc_UMFVf1v3nEG1_sBBWkQdgg_22_0"/>
      <w:bookmarkStart w:id="1553" w:name="Tc_V7YqeQsU_UmynlZiE1g4mg_21_11"/>
      <w:bookmarkStart w:id="1554" w:name="Tc_CINbTxCI1kCkiB_aygBuCA_21_8"/>
      <w:bookmarkStart w:id="1555" w:name="Tc_NJLK-5uVyEuvWFMDzNtCVA_21_4"/>
      <w:bookmarkStart w:id="1556" w:name="Tc_E47OmxJTC0ekexpKo0L4-g_21_2"/>
      <w:bookmarkStart w:id="1557" w:name="Tc_1iVWiqpJ70SO5xj724jdcQ_21_0"/>
      <w:bookmarkStart w:id="1558" w:name="Tc_a4ynrLVUuka0oYh-YqVh6w_20_11"/>
      <w:bookmarkStart w:id="1559" w:name="Tc_lgvew5hnL0WxAMcdBcihXA_20_8"/>
      <w:bookmarkStart w:id="1560" w:name="Tc_r_C3nZ8LjUuRI1EZHU91fg_20_4"/>
      <w:bookmarkStart w:id="1561" w:name="Tc_MUrq_Dff5Ui2Yx7W2uD_Dw_20_2"/>
      <w:bookmarkStart w:id="1562" w:name="Tc_RME71IrlakuMvN5J11qqzA_20_0"/>
      <w:bookmarkStart w:id="1563" w:name="Tc_qQQLO6lgIE-c74h2EkEzvA_19_11"/>
      <w:bookmarkStart w:id="1564" w:name="Tc_PpJDm0DycE6dlpunLla5WA_19_8"/>
      <w:bookmarkStart w:id="1565" w:name="Tc_77w6yIcTLEC1uuJtaoVVuQ_19_4"/>
      <w:bookmarkStart w:id="1566" w:name="Tc_e57qNA-jbkK_A_vi1C0fdg_19_2"/>
      <w:bookmarkStart w:id="1567" w:name="Tc_jM9FZH4ibUqVtt56RtRVpA_19_0"/>
      <w:bookmarkStart w:id="1568" w:name="Tc_jcEcgS8GEEexYMFm-n2ZNQ_18_11"/>
      <w:bookmarkStart w:id="1569" w:name="Tc_UyA-NV7MRkmKLkBLmIUnaw_18_8"/>
      <w:bookmarkStart w:id="1570" w:name="Tc_HPFA2zIF9EanH95LGZ62iw_18_4"/>
      <w:bookmarkStart w:id="1571" w:name="Tc_yUDhUFPtUEGwOxGcVB4pLw_18_2"/>
      <w:bookmarkStart w:id="1572" w:name="Tc_3v2oAVefbUG6ebjKAubF9g_18_0"/>
      <w:bookmarkStart w:id="1573" w:name="Tc_Gw3fa2l4FUqz0PcRz_zwWQ_17_11"/>
      <w:bookmarkStart w:id="1574" w:name="Tc_HYiKa1OEJEGEYtnVYVfaxA_17_8"/>
      <w:bookmarkStart w:id="1575" w:name="Tc_XUUYf_H_fUqRMgOROxmo7Q_17_4"/>
      <w:bookmarkStart w:id="1576" w:name="Tc_pPL9ZllXYESKPMb5FuMcwA_17_2"/>
      <w:bookmarkStart w:id="1577" w:name="Tc_c4XZ0rPYWkukn149Vafy7A_17_0"/>
      <w:bookmarkStart w:id="1578" w:name="Tc_ZX1eVGepeEWyJ3O4DEgquQ_16_11"/>
      <w:bookmarkStart w:id="1579" w:name="Tc_5gs-72Z6fkiROlNtJSsb-Q_16_4"/>
      <w:bookmarkStart w:id="1580" w:name="Tc_ncqPxk2hNUGlsnmFxk1zfQ_16_2"/>
      <w:bookmarkStart w:id="1581" w:name="Tc_sx8UKiADo02_0wv_qUqPSA_16_0"/>
      <w:bookmarkStart w:id="1582" w:name="Tc_6HI1YcKmTkiLmlVkAOJ8_Q_15_11"/>
      <w:bookmarkStart w:id="1583" w:name="Tc_l_t3gOyUhUe4DyJJEh1Nwg_15_4"/>
      <w:bookmarkStart w:id="1584" w:name="Tc_39YHbDccSk2dC7cvFONezg_15_2"/>
      <w:bookmarkStart w:id="1585" w:name="Tc_KtSFTdP8bUutOBAsyFFAPQ_15_0"/>
      <w:bookmarkStart w:id="1586" w:name="Tc_629av3exX0GkOnb-EBxQMg_14_11"/>
      <w:bookmarkStart w:id="1587" w:name="Tc_cc5kkbHDLEiaJt_4Qw41SA_14_8"/>
      <w:bookmarkStart w:id="1588" w:name="Tc_6O_-HMOv6EGA5_WL9N-wdA_14_4"/>
      <w:bookmarkStart w:id="1589" w:name="Tc_S-eQ54pYUE6W1R27a-Y_UQ_14_2"/>
      <w:bookmarkStart w:id="1590" w:name="Tc_MKOl7DvZAUChu8-xn_0SNA_14_0"/>
      <w:bookmarkStart w:id="1591" w:name="Tc_2l-Hem-l-E2HK0XfZI1g_Q_13_11"/>
      <w:bookmarkStart w:id="1592" w:name="Tc_sKzE_E-8ok-DFtqD3EC4nA_13_4"/>
      <w:bookmarkStart w:id="1593" w:name="Tc_tVoIG4vSRUmhA-lY4CPdbw_13_2"/>
      <w:bookmarkStart w:id="1594" w:name="Tc_LCUtWQOMpEyo-2w1jb_x0Q_13_0"/>
      <w:bookmarkStart w:id="1595" w:name="Tc_ffo7QJ56xkOfKyebvancHg_12_11"/>
      <w:bookmarkStart w:id="1596" w:name="Tc_qjpuZhsOK0yMMxYZZnmT3g_12_9"/>
      <w:bookmarkStart w:id="1597" w:name="Tc_EBLJ2E2ge0icjqEySwno4g_12_4"/>
      <w:bookmarkStart w:id="1598" w:name="Tc_7f3ZbqMKnE6Z_o8KvLlnqA_12_2"/>
      <w:bookmarkStart w:id="1599" w:name="Tc_7JTq4il1C0WC8Hhgh_8wTw_12_0"/>
      <w:bookmarkStart w:id="1600" w:name="Tc_GmyIx5P1FEayODBEzlzhfA_11_11"/>
      <w:bookmarkStart w:id="1601" w:name="Tc_c_qec2Q-8EuJ6ltAEll-9w_11_4"/>
      <w:bookmarkStart w:id="1602" w:name="Tc_tnLBYRL1gUeS-rbE1d6v3A_11_2"/>
      <w:bookmarkStart w:id="1603" w:name="Tc_2Ib5RKOK8UWZIFUPGcxQTA_11_0"/>
      <w:bookmarkStart w:id="1604" w:name="Tc_LsjRbTZJkkWNN3eY1hCkjw_10_11"/>
      <w:bookmarkStart w:id="1605" w:name="Tc_tubAjP5ouECk_IbRq9cLEQ_10_4"/>
      <w:bookmarkStart w:id="1606" w:name="Tc_iJO9rcLLIkGS1oizyVpNyw_10_2"/>
      <w:bookmarkStart w:id="1607" w:name="Tc_ICAZLp7_QEyQewKWQWlCTw_10_0"/>
      <w:bookmarkStart w:id="1608" w:name="Tc_dtB21EqOBUuzrDV3IyUVRg_9_11"/>
      <w:bookmarkStart w:id="1609" w:name="Tc_P7cvu9-4mUGxyKivyUmxaA_9_4"/>
      <w:bookmarkStart w:id="1610" w:name="Tc_lrfNUEGdSUC3G8vGtsp82g_9_2"/>
      <w:bookmarkStart w:id="1611" w:name="Tc_azoBTaK2X0OcwTfKZdG7rQ_9_0"/>
      <w:bookmarkStart w:id="1612" w:name="Tc_7stzuQmij0GC2MT7RSgrtA_8_11"/>
      <w:bookmarkStart w:id="1613" w:name="Tc_BkHW_R5H2kKwvI9EUYydEA_8_4"/>
      <w:bookmarkStart w:id="1614" w:name="Tc_qhR8V19Jf0WJaDpbb-BQdg_8_2"/>
      <w:bookmarkStart w:id="1615" w:name="Tc_DuCVUkI9fEmoLCGf0khK4A_8_0"/>
      <w:bookmarkStart w:id="1616" w:name="Tc_kIMBSWIww0qzyYpo7v-Avg_7_11"/>
      <w:bookmarkStart w:id="1617" w:name="Tc_fWU3sn8tn0qr1PYtFKwPBw_7_8"/>
      <w:bookmarkStart w:id="1618" w:name="Tc_kMriV0sXNEy2-aiR6wNx8w_7_4"/>
      <w:bookmarkStart w:id="1619" w:name="Tc_PQIvahXiBkOz6pSTuFtAZw_7_2"/>
      <w:bookmarkStart w:id="1620" w:name="Tc_dOWDRRRFgUyOsDG_B_tsRw_7_0"/>
      <w:bookmarkStart w:id="1621" w:name="Tc_g-mtgV5vO0ymhiJKxbT7RQ_6_11"/>
      <w:bookmarkStart w:id="1622" w:name="Tc_pa1UK7_NIUqSp5RDEqYPfQ_6_4"/>
      <w:bookmarkStart w:id="1623" w:name="Tc_HHbidKIwPkKWDH4upfovpw_6_2"/>
      <w:bookmarkStart w:id="1624" w:name="Tc_sV9h8u_fu06iqiKXJYsqkA_6_0"/>
      <w:bookmarkStart w:id="1625" w:name="Tc_JpocKO9Y_kO29vH0pvGZ_w_5_11"/>
      <w:bookmarkStart w:id="1626" w:name="Tc_Fhy4_zN7902b6nqVu28dDw_5_4"/>
      <w:bookmarkStart w:id="1627" w:name="Tc_Y6kkZpiRGUefP-h87Iv5lg_5_2"/>
      <w:bookmarkStart w:id="1628" w:name="Tc_TVLa6o5eVUycecRFowVFxQ_5_0"/>
      <w:bookmarkStart w:id="1629" w:name="Tc_3eR8cGEUb0GL6E5ubwBIPQ_4_11"/>
      <w:bookmarkStart w:id="1630" w:name="Tc_U9ZGUEg9O0GWq-BUbOR9Vw_4_4"/>
      <w:bookmarkStart w:id="1631" w:name="Tc_fb4WLC364EiOxusq2cyWig_4_2"/>
      <w:bookmarkStart w:id="1632" w:name="Tc_pqYxqdgXlkKMDgIRsNwSVg_4_0"/>
      <w:bookmarkStart w:id="1633" w:name="Tc_q-RtE2v0yUG7TDDF1a5hmA_3_11"/>
      <w:bookmarkStart w:id="1634" w:name="Tc_GWMBRipR0EmQYR48pWaxtg_3_4"/>
      <w:bookmarkStart w:id="1635" w:name="Tc_r1CW2V1fF0CaBqoX7UDabA_3_2"/>
      <w:bookmarkStart w:id="1636" w:name="Tc_DZhiC-4kc0ygA3Px-At5PQ_3_0"/>
      <w:bookmarkStart w:id="1637" w:name="Tc_-0ZEts6LmEmY8aJ0KZl-_w_2_11"/>
      <w:bookmarkStart w:id="1638" w:name="Tc_M69w4DkCWkGZ4MjbWbEemQ_2_9"/>
      <w:bookmarkStart w:id="1639" w:name="Tc_F9-q_p8PYE6DKliub_ZxhQ_2_7"/>
      <w:bookmarkStart w:id="1640" w:name="Tc_vVzWsLhCo0-vEYRtUMlHuw_2_4"/>
      <w:bookmarkStart w:id="1641" w:name="Tc_HLU7mvHGb0iMmGjftkVvwQ_2_2"/>
      <w:bookmarkStart w:id="1642" w:name="Tc_ITqSPPf1K0WIrY53wl2UcQ_1_2"/>
      <w:bookmarkStart w:id="1643" w:name="_23cba1c4_8f74_4eea_a429_b545278f9f6f"/>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r>
        <w:rPr>
          <w:rFonts w:ascii="Times New Roman;Times;serif" w:hAnsi="Times New Roman;Times;serif"/>
          <w:sz w:val="20"/>
        </w:rPr>
        <w:t>the Company is required to issue additional shares of warrants to purchase common stock was reduced to $1.00 per share upon the November 2023 Capital Raise. Refer to Note 15 for information on further triggering of the anti-dilution provisions subsequent to December 31, 2023.</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represent the warrants on common stock outstanding as of December 31, 2023 and June 30, 2023:</w:t>
      </w:r>
    </w:p>
    <w:p>
      <w:pPr>
        <w:pStyle w:val="TextBody"/>
        <w:bidi w:val="0"/>
        <w:spacing w:before="0" w:after="0"/>
        <w:ind w:left="0" w:right="0" w:hanging="0"/>
        <w:jc w:val="left"/>
        <w:rPr/>
      </w:pPr>
      <w:r>
        <w:rPr/>
        <w:t>​</w:t>
      </w:r>
    </w:p>
    <w:tbl>
      <w:tblPr>
        <w:tblW w:w="8640" w:type="dxa"/>
        <w:jc w:val="left"/>
        <w:tblInd w:w="0" w:type="dxa"/>
        <w:tblLayout w:type="fixed"/>
        <w:tblCellMar>
          <w:top w:w="0" w:type="dxa"/>
          <w:left w:w="0" w:type="dxa"/>
          <w:bottom w:w="0" w:type="dxa"/>
          <w:right w:w="0" w:type="dxa"/>
        </w:tblCellMar>
      </w:tblPr>
      <w:tblGrid>
        <w:gridCol w:w="871"/>
        <w:gridCol w:w="326"/>
        <w:gridCol w:w="1426"/>
        <w:gridCol w:w="326"/>
        <w:gridCol w:w="303"/>
        <w:gridCol w:w="822"/>
        <w:gridCol w:w="326"/>
        <w:gridCol w:w="1411"/>
        <w:gridCol w:w="326"/>
        <w:gridCol w:w="1051"/>
        <w:gridCol w:w="326"/>
        <w:gridCol w:w="1126"/>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53085" cy="175260"/>
                      <wp:effectExtent l="0" t="0" r="0" b="0"/>
                      <wp:wrapNone/>
                      <wp:docPr id="252" name="Frame25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05510" cy="175260"/>
                      <wp:effectExtent l="0" t="0" r="0" b="0"/>
                      <wp:wrapNone/>
                      <wp:docPr id="254" name="Frame25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92405" cy="175260"/>
                      <wp:effectExtent l="0" t="0" r="0" b="0"/>
                      <wp:wrapNone/>
                      <wp:docPr id="256" name="Frame25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21970" cy="175260"/>
                      <wp:effectExtent l="0" t="0" r="0" b="0"/>
                      <wp:wrapNone/>
                      <wp:docPr id="257" name="Frame25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895985" cy="175260"/>
                      <wp:effectExtent l="0" t="0" r="0" b="0"/>
                      <wp:wrapNone/>
                      <wp:docPr id="259" name="Frame25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67385" cy="175260"/>
                      <wp:effectExtent l="0" t="0" r="0" b="0"/>
                      <wp:wrapNone/>
                      <wp:docPr id="261" name="Frame26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15010" cy="175260"/>
                      <wp:effectExtent l="0" t="0" r="0" b="0"/>
                      <wp:wrapNone/>
                      <wp:docPr id="263" name="Frame26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44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2023 </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center"/>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center"/>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center"/>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center"/>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41,636</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404,961</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[D]</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178,395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402,679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182,158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2031</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294,725</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[B]</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2032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374,912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8,625,000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[H]</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[I]</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[F]</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[G]</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[J]</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27,340,453</w:t>
            </w:r>
          </w:p>
        </w:tc>
        <w:tc>
          <w:tcPr>
            <w:tcW w:w="32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640" w:type="dxa"/>
        <w:jc w:val="left"/>
        <w:tblInd w:w="0" w:type="dxa"/>
        <w:tblLayout w:type="fixed"/>
        <w:tblCellMar>
          <w:top w:w="0" w:type="dxa"/>
          <w:left w:w="0" w:type="dxa"/>
          <w:bottom w:w="0" w:type="dxa"/>
          <w:right w:w="0" w:type="dxa"/>
        </w:tblCellMar>
      </w:tblPr>
      <w:tblGrid>
        <w:gridCol w:w="871"/>
        <w:gridCol w:w="326"/>
        <w:gridCol w:w="1426"/>
        <w:gridCol w:w="326"/>
        <w:gridCol w:w="303"/>
        <w:gridCol w:w="822"/>
        <w:gridCol w:w="326"/>
        <w:gridCol w:w="1411"/>
        <w:gridCol w:w="326"/>
        <w:gridCol w:w="1051"/>
        <w:gridCol w:w="326"/>
        <w:gridCol w:w="1126"/>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53085" cy="175260"/>
                      <wp:effectExtent l="0" t="0" r="0" b="0"/>
                      <wp:wrapNone/>
                      <wp:docPr id="264" name="Frame26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05510" cy="175260"/>
                      <wp:effectExtent l="0" t="0" r="0" b="0"/>
                      <wp:wrapNone/>
                      <wp:docPr id="266" name="Frame266"/>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92405" cy="175260"/>
                      <wp:effectExtent l="0" t="0" r="0" b="0"/>
                      <wp:wrapNone/>
                      <wp:docPr id="268" name="Frame26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21970" cy="175260"/>
                      <wp:effectExtent l="0" t="0" r="0" b="0"/>
                      <wp:wrapNone/>
                      <wp:docPr id="269" name="Frame26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895985" cy="175260"/>
                      <wp:effectExtent l="0" t="0" r="0" b="0"/>
                      <wp:wrapNone/>
                      <wp:docPr id="271" name="Frame27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67385" cy="175260"/>
                      <wp:effectExtent l="0" t="0" r="0" b="0"/>
                      <wp:wrapNone/>
                      <wp:docPr id="273" name="Frame27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15010" cy="175260"/>
                      <wp:effectExtent l="0" t="0" r="0" b="0"/>
                      <wp:wrapNone/>
                      <wp:docPr id="275" name="Frame27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44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center"/>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center"/>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center"/>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center"/>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41,636</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404,961</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[D]</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178,395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402,679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182,158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2031</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294,725</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[B]</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2032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374,912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8,625,000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[H]</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[I]</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[F]</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[G]</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21,315,453</w:t>
            </w:r>
          </w:p>
        </w:tc>
        <w:tc>
          <w:tcPr>
            <w:tcW w:w="32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Prior period presentation of exercise price has been corrected to reflect the adjusted contractual price.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7"/>
        <w:gridCol w:w="9648"/>
      </w:tblGrid>
      <w:tr>
        <w:trPr/>
        <w:tc>
          <w:tcPr>
            <w:tcW w:w="55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[A] —</w:t>
            </w:r>
          </w:p>
        </w:tc>
        <w:tc>
          <w:tcPr>
            <w:tcW w:w="964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will expire at the earliest of a consummation of an acquisition or one year after the effective date of a registration statement for an initial public offering.</w:t>
            </w:r>
          </w:p>
        </w:tc>
      </w:tr>
    </w:tbl>
    <w:tbl>
      <w:tblPr>
        <w:tblW w:w="10205" w:type="dxa"/>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 —</w:t>
            </w:r>
          </w:p>
        </w:tc>
        <w:tc>
          <w:tcPr>
            <w:tcW w:w="96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Warrant has the option of being converted into a variable number of shares based on the class of shares that the warrant is exercised at the discretion of the warrant holder. The Company notes the most likely conversion is to common stock and have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720" w:right="0" w:hanging="0"/>
        <w:jc w:val="left"/>
        <w:rPr>
          <w:rFonts w:ascii="Times New Roman;Times;serif" w:hAnsi="Times New Roman;Times;serif"/>
          <w:sz w:val="20"/>
        </w:rPr>
      </w:pPr>
      <w:r>
        <w:rPr>
          <w:rFonts w:ascii="Times New Roman;Times;serif" w:hAnsi="Times New Roman;Times;serif"/>
          <w:sz w:val="20"/>
        </w:rPr>
        <w:t xml:space="preserve">calculated the number of shares as the quotient of the aggregate warrant coverage dollar amount value of $1.9 million over the exercise price of $6.53 per share as of December 31, 2023 and June 30, 2023. Warrant will also expire at the earliest of </w:t>
      </w:r>
      <w:r>
        <w:rPr>
          <w:rFonts w:ascii="Times New Roman;Times;serif" w:hAnsi="Times New Roman;Times;serif"/>
          <w:b w:val="false"/>
          <w:i w:val="false"/>
          <w:caps w:val="false"/>
          <w:smallCaps w:val="false"/>
          <w:sz w:val="20"/>
        </w:rPr>
        <w:t>10 years</w:t>
      </w:r>
      <w:r>
        <w:rPr>
          <w:rFonts w:ascii="Times New Roman;Times;serif" w:hAnsi="Times New Roman;Times;serif"/>
          <w:sz w:val="20"/>
        </w:rPr>
        <w:t xml:space="preserve"> from the issuance date of March 5, 2021 or a consummation of an acquisition in which the sole consideration is cash or marketable securities.</w:t>
      </w:r>
    </w:p>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[C] —</w:t>
            </w:r>
          </w:p>
        </w:tc>
        <w:tc>
          <w:tcPr>
            <w:tcW w:w="9595"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expire 5 years from the effective date of a registration statement for an initial public offering should one occur.</w:t>
            </w:r>
          </w:p>
        </w:tc>
      </w:tr>
    </w:tbl>
    <w:tbl>
      <w:tblPr>
        <w:tblW w:w="10205" w:type="dxa"/>
        <w:jc w:val="left"/>
        <w:tblInd w:w="0" w:type="dxa"/>
        <w:tblLayout w:type="fixed"/>
        <w:tblCellMar>
          <w:top w:w="0" w:type="dxa"/>
          <w:left w:w="0" w:type="dxa"/>
          <w:bottom w:w="0" w:type="dxa"/>
          <w:right w:w="0" w:type="dxa"/>
        </w:tblCellMar>
      </w:tblPr>
      <w:tblGrid>
        <w:gridCol w:w="459"/>
        <w:gridCol w:w="9746"/>
      </w:tblGrid>
      <w:tr>
        <w:trPr/>
        <w:tc>
          <w:tcPr>
            <w:tcW w:w="45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[D] —</w:t>
            </w:r>
          </w:p>
        </w:tc>
        <w:tc>
          <w:tcPr>
            <w:tcW w:w="974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were issued in October 2021 and are exercisable contingent on rollouts of the Company’s products and services to the warrant holder. Number of shares represents the maximum number of shares to be issued to the warrant holder of 404,961, of which 0 and 66,396 remained contingent as of December 31, 2023 and June 30, 2023, respectively. Expense related to the cost of these warrants being recognized as a reduction to revenue in the Company’s condensed consolidated statements of operations and comprehensive income (loss).</w:t>
            </w:r>
          </w:p>
        </w:tc>
      </w:tr>
    </w:tbl>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[E] —</w:t>
            </w:r>
          </w:p>
        </w:tc>
        <w:tc>
          <w:tcPr>
            <w:tcW w:w="97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will expire at the earliest of 10 years from the issuance date of March 11, 2016, a consummation of an acquisition or one year after the effective date of a registration statement for an initial public offering. The Merger did not satisfy either of these criteria.</w:t>
            </w:r>
          </w:p>
        </w:tc>
      </w:tr>
    </w:tbl>
    <w:tbl>
      <w:tblPr>
        <w:tblW w:w="10205" w:type="dxa"/>
        <w:jc w:val="left"/>
        <w:tblInd w:w="0" w:type="dxa"/>
        <w:tblLayout w:type="fixed"/>
        <w:tblCellMar>
          <w:top w:w="0" w:type="dxa"/>
          <w:left w:w="0" w:type="dxa"/>
          <w:bottom w:w="0" w:type="dxa"/>
          <w:right w:w="0" w:type="dxa"/>
        </w:tblCellMar>
      </w:tblPr>
      <w:tblGrid>
        <w:gridCol w:w="449"/>
        <w:gridCol w:w="9756"/>
      </w:tblGrid>
      <w:tr>
        <w:trPr/>
        <w:tc>
          <w:tcPr>
            <w:tcW w:w="44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[F] —</w:t>
            </w:r>
          </w:p>
        </w:tc>
        <w:tc>
          <w:tcPr>
            <w:tcW w:w="9756"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[G]</w:t>
            </w:r>
            <w:r>
              <w:rPr>
                <w:rFonts w:ascii="Times New Roman;Times;serif" w:hAnsi="Times New Roman;Times;serif"/>
                <w:sz w:val="20"/>
              </w:rPr>
              <w:t xml:space="preserve"> —</w:t>
            </w:r>
          </w:p>
        </w:tc>
        <w:tc>
          <w:tcPr>
            <w:tcW w:w="9862"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provided,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[H]</w:t>
            </w:r>
            <w:r>
              <w:rPr>
                <w:rFonts w:ascii="Times New Roman;Times;serif" w:hAnsi="Times New Roman;Times;serif"/>
                <w:sz w:val="20"/>
              </w:rPr>
              <w:t xml:space="preserve"> —</w:t>
            </w:r>
          </w:p>
        </w:tc>
        <w:tc>
          <w:tcPr>
            <w:tcW w:w="984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 xml:space="preserve">Represents 17,250,000 public warrants, assumed as part of the Merger, that are exercisable for </w:t>
            </w:r>
            <w:r>
              <w:rPr>
                <w:rFonts w:ascii="Times New Roman;Times;serif" w:hAnsi="Times New Roman;Times;serif"/>
                <w:b w:val="false"/>
                <w:i w:val="false"/>
                <w:caps w:val="false"/>
                <w:smallCaps w:val="false"/>
                <w:sz w:val="20"/>
                <w:shd w:fill="FFFFFF" w:val="clear"/>
              </w:rPr>
              <w:t>one</w:t>
            </w:r>
            <w:r>
              <w:rPr>
                <w:rFonts w:ascii="Times New Roman;Times;serif" w:hAnsi="Times New Roman;Times;serif"/>
                <w:sz w:val="20"/>
                <w:shd w:fill="FFFFFF" w:val="clear"/>
              </w:rPr>
              <w:t xml:space="preserv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w:t>
            </w:r>
            <w:r>
              <w:rPr>
                <w:rFonts w:ascii="Times New Roman;Times;serif" w:hAnsi="Times New Roman;Times;serif"/>
                <w:b w:val="false"/>
                <w:i w:val="false"/>
                <w:caps w:val="false"/>
                <w:smallCaps w:val="false"/>
                <w:sz w:val="20"/>
                <w:shd w:fill="FFFFFF" w:val="clear"/>
              </w:rPr>
              <w:t>twenty</w:t>
            </w:r>
            <w:r>
              <w:rPr>
                <w:rFonts w:ascii="Times New Roman;Times;serif" w:hAnsi="Times New Roman;Times;serif"/>
                <w:sz w:val="20"/>
                <w:shd w:fill="FFFFFF" w:val="clear"/>
              </w:rPr>
              <w:t xml:space="preserve"> (20) trading days within a </w:t>
            </w:r>
            <w:r>
              <w:rPr>
                <w:rFonts w:ascii="Times New Roman;Times;serif" w:hAnsi="Times New Roman;Times;serif"/>
                <w:b w:val="false"/>
                <w:i w:val="false"/>
                <w:caps w:val="false"/>
                <w:smallCaps w:val="false"/>
                <w:sz w:val="20"/>
                <w:shd w:fill="FFFFFF" w:val="clear"/>
              </w:rPr>
              <w:t>thirty</w:t>
            </w:r>
            <w:r>
              <w:rPr>
                <w:rFonts w:ascii="Times New Roman;Times;serif" w:hAnsi="Times New Roman;Times;serif"/>
                <w:sz w:val="20"/>
                <w:shd w:fill="FFFFFF" w:val="clear"/>
              </w:rPr>
              <w:t xml:space="preserve"> (30) trading day period ending on the third business day prior to the date on which notice of redemption is given within a 30-trading day period ending on the third business day prior to the notice of redemption.</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shd w:fill="FFFFFF" w:val="clear"/>
              </w:rPr>
              <w:t>[I]</w:t>
            </w:r>
            <w:r>
              <w:rPr>
                <w:rFonts w:ascii="Times New Roman;Times;serif" w:hAnsi="Times New Roman;Times;serif"/>
                <w:sz w:val="20"/>
              </w:rPr>
              <w:t xml:space="preserve"> —</w:t>
            </w:r>
          </w:p>
        </w:tc>
        <w:tc>
          <w:tcPr>
            <w:tcW w:w="9898"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[J] </w:t>
            </w:r>
          </w:p>
        </w:tc>
        <w:tc>
          <w:tcPr>
            <w:tcW w:w="9940" w:type="dxa"/>
            <w:tcBorders/>
            <w:vAlign w:val="center"/>
          </w:tcPr>
          <w:p>
            <w:pPr>
              <w:pStyle w:val="TableContents"/>
              <w:bidi w:val="0"/>
              <w:spacing w:before="0" w:after="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effectiveness of the Third Amendment to the Credit Agreement, the Company issued the Third Amendment Warrants. The Third Amendment Warrants may be exercised for cash or pursuant to a net exercise at any time on or before the date that is the five year anniversary of the date of the issuance of the warrants; provided,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Third Amendment Warrants for cash at their then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44" w:name="Tc_0Xb0xshutUOGfKFMVq5OvQ_9_4"/>
      <w:bookmarkStart w:id="1645" w:name="Tc_CHpdrtT42kihFk1Ul5OIqw_9_0"/>
      <w:bookmarkStart w:id="1646" w:name="Tc_by9-jmOJaU2WxDzYKo6xBA_8_9"/>
      <w:bookmarkStart w:id="1647" w:name="Tc_SIlCfo9-IUuGDoj0td_u1w_8_4"/>
      <w:bookmarkStart w:id="1648" w:name="Tc_5Rc-Q0HNJEKDOSJ-vNejjQ_8_0"/>
      <w:bookmarkStart w:id="1649" w:name="Tc_pm5OIXDVik2rohMHfOP4WQ_7_4"/>
      <w:bookmarkStart w:id="1650" w:name="Tc_d4x78QWC9U6zmpB2fedqMA_7_0"/>
      <w:bookmarkStart w:id="1651" w:name="Tc_-QbkfNZYjUGITYRvmY71-Q_6_4"/>
      <w:bookmarkStart w:id="1652" w:name="Tc_HbejlJpfAU2AVIdoZ0uzEA_6_0"/>
      <w:bookmarkStart w:id="1653" w:name="Tc__5tOUFAf1EC1RwZ0VVEr1A_5_4"/>
      <w:bookmarkStart w:id="1654" w:name="Tc_3SUQVRECOkiadR-ZTLYcZA_5_0"/>
      <w:bookmarkStart w:id="1655" w:name="Tc__uzM0zq-LkyH9vUwe9xVPw_4_4"/>
      <w:bookmarkStart w:id="1656" w:name="Tc_VUmPgdLGbUu-MMVkt_xr-Q_4_0"/>
      <w:bookmarkStart w:id="1657" w:name="Tc_b__dBvKv80aTta3OB8Wx4w_3_9"/>
      <w:bookmarkStart w:id="1658" w:name="Tc_jj-K5MSquEKJgtzJ4PtWaA_3_7"/>
      <w:bookmarkStart w:id="1659" w:name="Tc_r4Hkk6M9WEWLEBoKRvFQBA_3_4"/>
      <w:bookmarkStart w:id="1660" w:name="Tc_y-77OOCe_E2YtnkYGwxIMw_3_2"/>
      <w:bookmarkStart w:id="1661" w:name="Tc_8Oic9WrS10qeuvXcXsScwQ_2_9"/>
      <w:bookmarkStart w:id="1662" w:name="Tc_U-pWo2JwDUaz-61QUXgKGA_2_7"/>
      <w:bookmarkStart w:id="1663" w:name="Tc_i3NT_AN7jUm8zq2qX_xw5w_2_4"/>
      <w:bookmarkStart w:id="1664" w:name="Tc_jSlWnugmS0miTGJpcoUzHw_2_2"/>
      <w:bookmarkStart w:id="1665" w:name="Tc_sQgi5ioKRUGHpXSNaEQGrg_1_9"/>
      <w:bookmarkStart w:id="1666" w:name="Tc_8pUBB0tmDESSREzKVp7uMA_1_7"/>
      <w:bookmarkStart w:id="1667" w:name="Tc_bkqAW0zkj0mATTVbpRo4IQ_1_4"/>
      <w:bookmarkStart w:id="1668" w:name="Tc_X_DLY7S-AUa84-LUyExVzg_1_2"/>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r>
        <w:rPr>
          <w:rFonts w:ascii="Times New Roman;Times;serif" w:hAnsi="Times New Roman;Times;serif"/>
          <w:b/>
          <w:sz w:val="20"/>
        </w:rPr>
        <w:t>11.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with the Merger, the Board of Directors of the Company (the “Board”) adopted the 2022 Incentive Award Plan (the “2022 Plan”). Prior to the Merger, the Company utilized the 2018 equity incentive plan (“2018 Plan”) which replaced the 2008 Stock Incentive Plan (“2008 Plan”)</w:t>
      </w:r>
      <w:r>
        <w:rPr>
          <w:rFonts w:ascii="Times New Roman;Times;serif" w:hAnsi="Times New Roman;Times;serif"/>
          <w:sz w:val="20"/>
          <w:shd w:fill="FFFFFF" w:val="clear"/>
        </w:rPr>
        <w:t xml:space="preserve">. </w:t>
      </w:r>
      <w:r>
        <w:rPr>
          <w:rFonts w:ascii="Times New Roman;Times;serif" w:hAnsi="Times New Roman;Times;serif"/>
          <w:sz w:val="20"/>
        </w:rPr>
        <w:t xml:space="preserve">As of December 31, 2023, the number of shares of common stock reserved for future issuance under the 2022 Plan was 1,041,589. The Board may grant incentive and non-statutory stock options and restricted stock units (“RSUs”) to employees, outside directors, investors and consultants at an exercise price of not less than 100% of the fair market value at the date of grant. Awards generally vest ratably over periods determined by the Board, generally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and expire no later than </w:t>
      </w:r>
      <w:r>
        <w:rPr>
          <w:rFonts w:ascii="Times New Roman;Times;serif" w:hAnsi="Times New Roman;Times;serif"/>
          <w:b w:val="false"/>
          <w:i w:val="false"/>
          <w:caps w:val="false"/>
          <w:smallCaps w:val="false"/>
          <w:sz w:val="20"/>
        </w:rPr>
        <w:t>ten years</w:t>
      </w:r>
      <w:r>
        <w:rPr>
          <w:rFonts w:ascii="Times New Roman;Times;serif" w:hAnsi="Times New Roman;Times;serif"/>
          <w:sz w:val="20"/>
        </w:rPr>
        <w:t xml:space="preserve"> from the date of grant. For options and RSUs subject to the one-year cliff vesting, the expense is recognized as 25% or 20% of the total option value for a four-year or five-year vesting period, respectively, which is recognized on a straight-line basis over the first year and remaining option expense continues to be recognized straight-line as vesting occurs monthly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had 300,376 stock options with performance and service vesting requirements in the six months ended December 31, 2022. T</w:t>
      </w:r>
      <w:r>
        <w:rPr>
          <w:rFonts w:ascii="Times New Roman;Times;serif" w:hAnsi="Times New Roman;Times;serif"/>
          <w:sz w:val="20"/>
          <w:shd w:fill="FFFFFF" w:val="clear"/>
        </w:rPr>
        <w:t xml:space="preserve">he service-based vesting condition is satisfied by rendering continuous service for </w:t>
      </w:r>
      <w:r>
        <w:rPr>
          <w:rFonts w:ascii="Times New Roman;Times;serif" w:hAnsi="Times New Roman;Times;serif"/>
          <w:b w:val="false"/>
          <w:i w:val="false"/>
          <w:caps w:val="false"/>
          <w:smallCaps w:val="false"/>
          <w:sz w:val="20"/>
          <w:shd w:fill="FFFFFF" w:val="clear"/>
        </w:rPr>
        <w:t>4 years</w:t>
      </w:r>
      <w:r>
        <w:rPr>
          <w:rFonts w:ascii="Times New Roman;Times;serif" w:hAnsi="Times New Roman;Times;serif"/>
          <w:sz w:val="20"/>
          <w:shd w:fill="FFFFFF" w:val="clear"/>
        </w:rPr>
        <w:t xml:space="preserve"> after the performance-based vesting condition occurs. The performance-based vesting condition is satisfied in connection with a public liquidity event. </w:t>
      </w:r>
      <w:r>
        <w:rPr>
          <w:rFonts w:ascii="Times New Roman;Times;serif" w:hAnsi="Times New Roman;Times;serif"/>
          <w:sz w:val="20"/>
        </w:rPr>
        <w:t>Effective with the closing of the Merger, the public liquidity event performance condition was achieved. The Company recognized an immaterial amount of expense associated with these options for the six months ended December 31,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September 2022, the Company granted 1,200,000 RSUs to a director of the Company with a grant date fair value of $4.56 per RSU. The RSUs vest in the following tranches, subject to the continuous service through each applicable vesting date: 33.33% of the RSUs shall vest on December 31, 2022, 56.67% of the RSUs shall vest in equal monthly installments on the last day of each month during the subsequent </w:t>
      </w:r>
      <w:r>
        <w:rPr>
          <w:rFonts w:ascii="Times New Roman;Times;serif" w:hAnsi="Times New Roman;Times;serif"/>
          <w:b w:val="false"/>
          <w:i w:val="false"/>
          <w:caps w:val="false"/>
          <w:smallCaps w:val="false"/>
          <w:sz w:val="20"/>
          <w:shd w:fill="FFFFFF" w:val="clear"/>
        </w:rPr>
        <w:t>23-month</w:t>
      </w:r>
      <w:r>
        <w:rPr>
          <w:rFonts w:ascii="Times New Roman;Times;serif" w:hAnsi="Times New Roman;Times;serif"/>
          <w:sz w:val="20"/>
          <w:shd w:fill="FFFFFF" w:val="clear"/>
        </w:rPr>
        <w:t xml:space="preserve"> period, and the remaining 10% shall vest upon the third anniversary of the vesting commencement date. The Company recorded compensation expense during the three and six months ended December 31, 2023 related to the RSUs of $0.4 million and $0.8 million, respectively. The Company recorded compensation expense during the three and six months ended December 31, 2022 related to the RSUs of $0.4 million and $2.2 million, respectively.</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event of voluntary or involuntary termination of employment with the Company for any reason, with or without cause, all unvested options are forfeited and all vested options must be exercised within a </w:t>
      </w:r>
      <w:r>
        <w:rPr>
          <w:rFonts w:ascii="Times New Roman;Times;serif" w:hAnsi="Times New Roman;Times;serif"/>
          <w:b w:val="false"/>
          <w:i w:val="false"/>
          <w:caps w:val="false"/>
          <w:smallCaps w:val="false"/>
          <w:sz w:val="20"/>
        </w:rPr>
        <w:t>90-day</w:t>
      </w:r>
      <w:r>
        <w:rPr>
          <w:rFonts w:ascii="Times New Roman;Times;serif" w:hAnsi="Times New Roman;Times;serif"/>
          <w:sz w:val="20"/>
        </w:rPr>
        <w:t xml:space="preserve"> period under the 2018 Plan and within a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period under the 2008 Plan or they are forfeited. Under the 2022 Plan, in the event of voluntary or involuntary termination of employment with the Company for any reason, with or without cause, all unvested RSUs are forfeited.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summary of the equity incentive plan option activity is shown collectively for the 2018 Plan and the 2008 Plan:</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025"/>
        <w:gridCol w:w="326"/>
        <w:gridCol w:w="1047"/>
        <w:gridCol w:w="326"/>
        <w:gridCol w:w="342"/>
        <w:gridCol w:w="758"/>
        <w:gridCol w:w="326"/>
        <w:gridCol w:w="1811"/>
        <w:gridCol w:w="326"/>
        <w:gridCol w:w="217"/>
        <w:gridCol w:w="701"/>
      </w:tblGrid>
      <w:tr>
        <w:trPr/>
        <w:tc>
          <w:tcPr>
            <w:tcW w:w="4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555875" cy="175260"/>
                      <wp:effectExtent l="0" t="0" r="0" b="0"/>
                      <wp:wrapNone/>
                      <wp:docPr id="276" name="Frame276"/>
                      <a:graphic xmlns:a="http://schemas.openxmlformats.org/drawingml/2006/main">
                        <a:graphicData uri="http://schemas.microsoft.com/office/word/2010/wordprocessingShape">
                          <wps:wsp>
                            <wps:cNvSpPr txBox="1"/>
                            <wps:spPr>
                              <a:xfrm>
                                <a:off x="0" y="0"/>
                                <a:ext cx="2555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64845" cy="175260"/>
                      <wp:effectExtent l="0" t="0" r="0" b="0"/>
                      <wp:wrapNone/>
                      <wp:docPr id="278" name="Frame27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7170" cy="175260"/>
                      <wp:effectExtent l="0" t="0" r="0" b="0"/>
                      <wp:wrapNone/>
                      <wp:docPr id="280" name="Frame280"/>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81330" cy="175260"/>
                      <wp:effectExtent l="0" t="0" r="0" b="0"/>
                      <wp:wrapNone/>
                      <wp:docPr id="281" name="Frame281"/>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149985" cy="175260"/>
                      <wp:effectExtent l="0" t="0" r="0" b="0"/>
                      <wp:wrapNone/>
                      <wp:docPr id="283" name="Frame283"/>
                      <a:graphic xmlns:a="http://schemas.openxmlformats.org/drawingml/2006/main">
                        <a:graphicData uri="http://schemas.microsoft.com/office/word/2010/wordprocessingShape">
                          <wps:wsp>
                            <wps:cNvSpPr txBox="1"/>
                            <wps:spPr>
                              <a:xfrm>
                                <a:off x="0" y="0"/>
                                <a:ext cx="114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7795" cy="175260"/>
                      <wp:effectExtent l="0" t="0" r="0" b="0"/>
                      <wp:wrapNone/>
                      <wp:docPr id="285" name="Frame28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45135" cy="175260"/>
                      <wp:effectExtent l="0" t="0" r="0" b="0"/>
                      <wp:wrapNone/>
                      <wp:docPr id="286" name="Frame286"/>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    </w:t>
            </w:r>
          </w:p>
        </w:tc>
        <w:tc>
          <w:tcPr>
            <w:tcW w:w="1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9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Remaining</w:t>
            </w:r>
          </w:p>
        </w:tc>
        <w:tc>
          <w:tcPr>
            <w:tcW w:w="326" w:type="dxa"/>
            <w:tcBorders/>
            <w:vAlign w:val="center"/>
          </w:tcPr>
          <w:p>
            <w:pPr>
              <w:pStyle w:val="TableContents"/>
              <w:bidi w:val="0"/>
              <w:spacing w:before="0" w:after="0"/>
              <w:ind w:left="0" w:right="0" w:hanging="0"/>
              <w:jc w:val="center"/>
              <w:rPr/>
            </w:pPr>
            <w:r>
              <w:rPr/>
              <w:t>​</w:t>
            </w:r>
          </w:p>
        </w:tc>
        <w:tc>
          <w:tcPr>
            <w:tcW w:w="9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 (years)</w:t>
            </w:r>
          </w:p>
        </w:tc>
        <w:tc>
          <w:tcPr>
            <w:tcW w:w="326" w:type="dxa"/>
            <w:tcBorders/>
            <w:vAlign w:val="center"/>
          </w:tcPr>
          <w:p>
            <w:pPr>
              <w:pStyle w:val="TableContents"/>
              <w:bidi w:val="0"/>
              <w:spacing w:before="0" w:after="0"/>
              <w:ind w:left="0" w:right="0" w:hanging="0"/>
              <w:jc w:val="center"/>
              <w:rPr/>
            </w:pPr>
            <w:r>
              <w:rPr/>
              <w:t>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2023</w:t>
            </w:r>
          </w:p>
        </w:tc>
        <w:tc>
          <w:tcPr>
            <w:tcW w:w="326" w:type="dxa"/>
            <w:tcBorders/>
            <w:shd w:fill="CCEEFF" w:val="clear"/>
            <w:vAlign w:val="center"/>
          </w:tcPr>
          <w:p>
            <w:pPr>
              <w:pStyle w:val="TableContents"/>
              <w:bidi w:val="0"/>
              <w:spacing w:before="0" w:after="0"/>
              <w:ind w:left="0" w:right="0" w:hanging="0"/>
              <w:jc w:val="center"/>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9,901,703</w:t>
            </w:r>
          </w:p>
        </w:tc>
        <w:tc>
          <w:tcPr>
            <w:tcW w:w="326"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0.72</w:t>
            </w:r>
          </w:p>
        </w:tc>
        <w:tc>
          <w:tcPr>
            <w:tcW w:w="326" w:type="dxa"/>
            <w:tcBorders/>
            <w:shd w:fill="CCEEFF" w:val="clear"/>
            <w:vAlign w:val="center"/>
          </w:tcPr>
          <w:p>
            <w:pPr>
              <w:pStyle w:val="TableContents"/>
              <w:bidi w:val="0"/>
              <w:spacing w:before="0" w:after="0"/>
              <w:ind w:left="0" w:right="0" w:hanging="0"/>
              <w:jc w:val="center"/>
              <w:rPr/>
            </w:pPr>
            <w:r>
              <w:rPr/>
              <w:t> </w:t>
            </w:r>
          </w:p>
        </w:tc>
        <w:tc>
          <w:tcPr>
            <w:tcW w:w="1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w:t>
            </w:r>
          </w:p>
        </w:tc>
        <w:tc>
          <w:tcPr>
            <w:tcW w:w="3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(1,449,879)</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0"/>
              <w:ind w:left="0" w:right="0" w:hanging="0"/>
              <w:jc w:val="left"/>
              <w:rPr/>
            </w:pPr>
            <w:r>
              <w:rPr/>
              <w:t> </w:t>
            </w:r>
          </w:p>
        </w:tc>
        <w:tc>
          <w:tcPr>
            <w:tcW w:w="1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(266,851)</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0"/>
              <w:ind w:left="0" w:right="0" w:hanging="0"/>
              <w:jc w:val="left"/>
              <w:rPr/>
            </w:pPr>
            <w:r>
              <w:rPr/>
              <w:t> </w:t>
            </w:r>
          </w:p>
        </w:tc>
        <w:tc>
          <w:tcPr>
            <w:tcW w:w="1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vAlign w:val="center"/>
          </w:tcPr>
          <w:p>
            <w:pPr>
              <w:pStyle w:val="TableContents"/>
              <w:bidi w:val="0"/>
              <w:spacing w:before="0" w:after="0"/>
              <w:ind w:left="0" w:right="0" w:hanging="0"/>
              <w:jc w:val="left"/>
              <w:rPr/>
            </w:pPr>
            <w:r>
              <w:rPr/>
              <w:t> </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8,184,973</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0.76</w:t>
            </w:r>
          </w:p>
        </w:tc>
        <w:tc>
          <w:tcPr>
            <w:tcW w:w="326" w:type="dxa"/>
            <w:tcBorders/>
            <w:vAlign w:val="center"/>
          </w:tcPr>
          <w:p>
            <w:pPr>
              <w:pStyle w:val="TableContents"/>
              <w:bidi w:val="0"/>
              <w:spacing w:before="0" w:after="0"/>
              <w:ind w:left="0" w:right="0" w:hanging="0"/>
              <w:jc w:val="left"/>
              <w:rPr/>
            </w:pPr>
            <w:r>
              <w:rPr/>
              <w:t> </w:t>
            </w:r>
          </w:p>
        </w:tc>
        <w:tc>
          <w:tcPr>
            <w:tcW w:w="18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w:t>
            </w:r>
          </w:p>
        </w:tc>
        <w:tc>
          <w:tcPr>
            <w:tcW w:w="32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8,184,973</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26" w:type="dxa"/>
            <w:tcBorders/>
            <w:shd w:fill="CCEEFF" w:val="clear"/>
            <w:vAlign w:val="center"/>
          </w:tcPr>
          <w:p>
            <w:pPr>
              <w:pStyle w:val="TableContents"/>
              <w:bidi w:val="0"/>
              <w:spacing w:before="0" w:after="0"/>
              <w:ind w:left="0" w:right="0" w:hanging="0"/>
              <w:jc w:val="left"/>
              <w:rPr/>
            </w:pPr>
            <w:r>
              <w:rPr/>
              <w:t> </w:t>
            </w:r>
          </w:p>
        </w:tc>
        <w:tc>
          <w:tcPr>
            <w:tcW w:w="1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31, 2023</w:t>
            </w:r>
          </w:p>
        </w:tc>
        <w:tc>
          <w:tcPr>
            <w:tcW w:w="32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7,858,409</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26" w:type="dxa"/>
            <w:tcBorders/>
            <w:vAlign w:val="center"/>
          </w:tcPr>
          <w:p>
            <w:pPr>
              <w:pStyle w:val="TableContents"/>
              <w:bidi w:val="0"/>
              <w:spacing w:before="0" w:after="0"/>
              <w:ind w:left="0" w:right="0" w:hanging="0"/>
              <w:jc w:val="left"/>
              <w:rPr/>
            </w:pPr>
            <w:r>
              <w:rPr/>
              <w:t> </w:t>
            </w:r>
          </w:p>
        </w:tc>
        <w:tc>
          <w:tcPr>
            <w:tcW w:w="1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 unrecognized stock-based compensation expense related to outstanding unvested stock options was $0.9 million which is expected to be recognized over a weighted-average period of 1.41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669" w:name="Tc_KYSkjElaSUa6Jhw4npns2Q_6_11"/>
      <w:bookmarkStart w:id="1670" w:name="Tc_h5l1cyT9AkCP1Dpji8kr4w_6_8"/>
      <w:bookmarkStart w:id="1671" w:name="Tc_X9xVhN_mAUqouogYrMQPgA_6_5"/>
      <w:bookmarkStart w:id="1672" w:name="Tc_7cdVyRcmHU6KHg-HnMdK5w_6_2"/>
      <w:bookmarkStart w:id="1673" w:name="Tc_xPG0sQ-eRUKV1glW0wG5kw_5_0"/>
      <w:bookmarkStart w:id="1674" w:name="Tc_wQTRTcBsW0iO42TOQFRoVw_4_0"/>
      <w:bookmarkStart w:id="1675" w:name="Tc_xMKgyhiknUSisogPEjszYQ_3_11"/>
      <w:bookmarkStart w:id="1676" w:name="Tc_XLBnGlOCkkOc03g6_s9WnQ_3_8"/>
      <w:bookmarkStart w:id="1677" w:name="Tc_yLLMaBa9lEu3IO8VboVFuw_3_5"/>
      <w:bookmarkStart w:id="1678" w:name="Tc_H-cm1khEfkWV_rp8m0X_dg_3_2"/>
      <w:bookmarkStart w:id="1679" w:name="Tc_LRnW9GHuukyu_2DkXbou5w_3_0"/>
      <w:bookmarkStart w:id="1680" w:name="Tc_vj444XgHCEul8cU4ia-mqA_2_11"/>
      <w:bookmarkStart w:id="1681" w:name="Tc_xThhX1Rhv0S4TLVSVvJzJA_2_8"/>
      <w:bookmarkStart w:id="1682" w:name="Tc_gUcnWM77BUimNMoKGu2XNQ_2_5"/>
      <w:bookmarkStart w:id="1683" w:name="Tc_c5-4Y0-eIUKDbqIJeOoiZw_2_2"/>
      <w:bookmarkStart w:id="1684" w:name="Tc_qRKUwxuHpU6m-S9GmAvuBg_1_8"/>
      <w:bookmarkStart w:id="1685" w:name="Tc_jflgxWKJx0-XKsyiVbFQCw_1_2"/>
      <w:bookmarkStart w:id="1686" w:name="Tc_IlgCbGIK_Ea_jQx_ZCjR5A_7_4"/>
      <w:bookmarkStart w:id="1687" w:name="Tc_QhM-wsuinESTz422zNbB8A_7_0"/>
      <w:bookmarkStart w:id="1688" w:name="Tc_x-mJSm_hpUOo62M2J2y6iA_6_4"/>
      <w:bookmarkStart w:id="1689" w:name="Tc_zT--FHirnEWs-v35vcXLvA_6_0"/>
      <w:bookmarkStart w:id="1690" w:name="Tc_JR1NU8xUj0-TDbIJvJOq9A_5_4"/>
      <w:bookmarkStart w:id="1691" w:name="Tc_4fXpjVOJ-kWblvbMwUAz5A_5_0"/>
      <w:bookmarkStart w:id="1692" w:name="Tc_vgIDkDojRESAYpF93vSP0A_4_4"/>
      <w:bookmarkStart w:id="1693" w:name="Tc_qk0AiXkxzkOX0-za5-zDPw_4_0"/>
      <w:bookmarkStart w:id="1694" w:name="Tc_0vEX4hUZbEa6K2CsLBPPug_3_4"/>
      <w:bookmarkStart w:id="1695" w:name="Tc_wYmw0-C8bUqedmvaZjBCYw_3_0"/>
      <w:bookmarkStart w:id="1696" w:name="Tc_uSaJDK5OTkKdZQZ1_DJfng_2_4"/>
      <w:bookmarkStart w:id="1697" w:name="Tc_0ll3mn4onkG75UyPfn5gsA_2_2"/>
      <w:bookmarkStart w:id="1698" w:name="Tc_2p1xy-9KV0GltBJYj-oNSA_1_4"/>
      <w:bookmarkStart w:id="1699" w:name="Tc_X_I7svnRgU-pv4SZuYwXfQ_1_2"/>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r>
        <w:rPr>
          <w:rFonts w:ascii="Times New Roman;Times;serif" w:hAnsi="Times New Roman;Times;serif"/>
          <w:sz w:val="20"/>
        </w:rPr>
        <w:t>The following is a summary of the equity incentive plan RSU activity for the 2022 Plan and the 2018 Plan:</w:t>
      </w:r>
    </w:p>
    <w:p>
      <w:pPr>
        <w:pStyle w:val="TextBody"/>
        <w:bidi w:val="0"/>
        <w:spacing w:before="0" w:after="0"/>
        <w:ind w:left="0" w:right="0" w:hanging="0"/>
        <w:jc w:val="left"/>
        <w:rPr/>
      </w:pPr>
      <w:r>
        <w:rPr/>
        <w:t>​</w:t>
      </w:r>
    </w:p>
    <w:tbl>
      <w:tblPr>
        <w:tblW w:w="7389" w:type="dxa"/>
        <w:jc w:val="left"/>
        <w:tblInd w:w="0" w:type="dxa"/>
        <w:tblLayout w:type="fixed"/>
        <w:tblCellMar>
          <w:top w:w="0" w:type="dxa"/>
          <w:left w:w="0" w:type="dxa"/>
          <w:bottom w:w="0" w:type="dxa"/>
          <w:right w:w="0" w:type="dxa"/>
        </w:tblCellMar>
      </w:tblPr>
      <w:tblGrid>
        <w:gridCol w:w="3316"/>
        <w:gridCol w:w="326"/>
        <w:gridCol w:w="1606"/>
        <w:gridCol w:w="326"/>
        <w:gridCol w:w="490"/>
        <w:gridCol w:w="1325"/>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05660" cy="175260"/>
                      <wp:effectExtent l="0" t="0" r="0" b="0"/>
                      <wp:wrapNone/>
                      <wp:docPr id="287" name="Frame28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019810" cy="175260"/>
                      <wp:effectExtent l="0" t="0" r="0" b="0"/>
                      <wp:wrapNone/>
                      <wp:docPr id="289" name="Frame28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11150" cy="175260"/>
                      <wp:effectExtent l="0" t="0" r="0" b="0"/>
                      <wp:wrapNone/>
                      <wp:docPr id="291" name="Frame291"/>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841375" cy="175260"/>
                      <wp:effectExtent l="0" t="0" r="0" b="0"/>
                      <wp:wrapNone/>
                      <wp:docPr id="292" name="Frame292"/>
                      <a:graphic xmlns:a="http://schemas.openxmlformats.org/drawingml/2006/main">
                        <a:graphicData uri="http://schemas.microsoft.com/office/word/2010/wordprocessingShape">
                          <wps:wsp>
                            <wps:cNvSpPr txBox="1"/>
                            <wps:spPr>
                              <a:xfrm>
                                <a:off x="0" y="0"/>
                                <a:ext cx="841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18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Outstanding</w:t>
            </w:r>
          </w:p>
        </w:tc>
        <w:tc>
          <w:tcPr>
            <w:tcW w:w="326" w:type="dxa"/>
            <w:tcBorders/>
            <w:vAlign w:val="center"/>
          </w:tcPr>
          <w:p>
            <w:pPr>
              <w:pStyle w:val="TableContents"/>
              <w:bidi w:val="0"/>
              <w:spacing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 June 30, 2023</w:t>
            </w:r>
          </w:p>
        </w:tc>
        <w:tc>
          <w:tcPr>
            <w:tcW w:w="326" w:type="dxa"/>
            <w:tcBorders/>
            <w:shd w:fill="CCEEFF" w:val="clear"/>
            <w:vAlign w:val="center"/>
          </w:tcPr>
          <w:p>
            <w:pPr>
              <w:pStyle w:val="TableContents"/>
              <w:bidi w:val="0"/>
              <w:spacing w:before="0" w:after="0"/>
              <w:ind w:left="0" w:right="0" w:hanging="0"/>
              <w:jc w:val="center"/>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4,560,645</w:t>
            </w:r>
          </w:p>
        </w:tc>
        <w:tc>
          <w:tcPr>
            <w:tcW w:w="326" w:type="dxa"/>
            <w:tcBorders/>
            <w:shd w:fill="CCEEFF" w:val="clear"/>
            <w:vAlign w:val="center"/>
          </w:tcPr>
          <w:p>
            <w:pPr>
              <w:pStyle w:val="TableContents"/>
              <w:bidi w:val="0"/>
              <w:spacing w:before="0" w:after="0"/>
              <w:ind w:left="0" w:right="0" w:hanging="0"/>
              <w:jc w:val="center"/>
              <w:rPr/>
            </w:pPr>
            <w:r>
              <w:rPr/>
              <w:t>​</w:t>
            </w:r>
          </w:p>
        </w:tc>
        <w:tc>
          <w:tcPr>
            <w:tcW w:w="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1,211,623</w:t>
            </w:r>
          </w:p>
        </w:tc>
        <w:tc>
          <w:tcPr>
            <w:tcW w:w="32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(1,053,099)</w:t>
            </w:r>
          </w:p>
        </w:tc>
        <w:tc>
          <w:tcPr>
            <w:tcW w:w="32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(1,037,931)</w:t>
            </w:r>
          </w:p>
        </w:tc>
        <w:tc>
          <w:tcPr>
            <w:tcW w:w="32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3,681,238</w:t>
            </w:r>
          </w:p>
        </w:tc>
        <w:tc>
          <w:tcPr>
            <w:tcW w:w="32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 unrecognized stock-based compensation expense related to outstanding unvested RSUs was $10.4 million which is expected to be recognized over a weighted-average period of 4.67 years.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Stock-based compensation expense, excluding stock-based compensation in capitalized software, related to employees and non-employees, including the expense associated with the earnout shares, by function is as follows:</w:t>
      </w:r>
    </w:p>
    <w:p>
      <w:pPr>
        <w:pStyle w:val="TextBody"/>
        <w:bidi w:val="0"/>
        <w:spacing w:before="0" w:after="0"/>
        <w:ind w:left="0" w:right="0" w:hanging="0"/>
        <w:jc w:val="left"/>
        <w:rPr/>
      </w:pPr>
      <w:r>
        <w:rPr/>
        <w:t>​</w:t>
      </w:r>
    </w:p>
    <w:tbl>
      <w:tblPr>
        <w:tblW w:w="8414" w:type="dxa"/>
        <w:jc w:val="left"/>
        <w:tblInd w:w="0" w:type="dxa"/>
        <w:tblLayout w:type="fixed"/>
        <w:tblCellMar>
          <w:top w:w="0" w:type="dxa"/>
          <w:left w:w="0" w:type="dxa"/>
          <w:bottom w:w="0" w:type="dxa"/>
          <w:right w:w="0" w:type="dxa"/>
        </w:tblCellMar>
      </w:tblPr>
      <w:tblGrid>
        <w:gridCol w:w="2311"/>
        <w:gridCol w:w="326"/>
        <w:gridCol w:w="294"/>
        <w:gridCol w:w="797"/>
        <w:gridCol w:w="455"/>
        <w:gridCol w:w="294"/>
        <w:gridCol w:w="797"/>
        <w:gridCol w:w="326"/>
        <w:gridCol w:w="273"/>
        <w:gridCol w:w="738"/>
        <w:gridCol w:w="421"/>
        <w:gridCol w:w="273"/>
        <w:gridCol w:w="738"/>
        <w:gridCol w:w="37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467485" cy="175260"/>
                      <wp:effectExtent l="0" t="0" r="0" b="0"/>
                      <wp:wrapNone/>
                      <wp:docPr id="293" name="Frame29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6690" cy="175260"/>
                      <wp:effectExtent l="0" t="0" r="0" b="0"/>
                      <wp:wrapNone/>
                      <wp:docPr id="295" name="Frame29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06095" cy="175260"/>
                      <wp:effectExtent l="0" t="0" r="0" b="0"/>
                      <wp:wrapNone/>
                      <wp:docPr id="296" name="Frame29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88925" cy="175260"/>
                      <wp:effectExtent l="0" t="0" r="0" b="0"/>
                      <wp:wrapNone/>
                      <wp:docPr id="297" name="Frame29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86690" cy="175260"/>
                      <wp:effectExtent l="0" t="0" r="0" b="0"/>
                      <wp:wrapNone/>
                      <wp:docPr id="298" name="Frame29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06095" cy="175260"/>
                      <wp:effectExtent l="0" t="0" r="0" b="0"/>
                      <wp:wrapNone/>
                      <wp:docPr id="299" name="Frame299"/>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73355" cy="175260"/>
                      <wp:effectExtent l="0" t="0" r="0" b="0"/>
                      <wp:wrapNone/>
                      <wp:docPr id="301" name="Frame30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68630" cy="175260"/>
                      <wp:effectExtent l="0" t="0" r="0" b="0"/>
                      <wp:wrapNone/>
                      <wp:docPr id="302" name="Frame302"/>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67335" cy="175260"/>
                      <wp:effectExtent l="0" t="0" r="0" b="0"/>
                      <wp:wrapNone/>
                      <wp:docPr id="303" name="Frame3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73355" cy="175260"/>
                      <wp:effectExtent l="0" t="0" r="0" b="0"/>
                      <wp:wrapNone/>
                      <wp:docPr id="304" name="Frame30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68630" cy="175260"/>
                      <wp:effectExtent l="0" t="0" r="0" b="0"/>
                      <wp:wrapNone/>
                      <wp:docPr id="305" name="Frame305"/>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35585" cy="175260"/>
                      <wp:effectExtent l="0" t="0" r="0" b="0"/>
                      <wp:wrapNone/>
                      <wp:docPr id="306" name="Frame30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center"/>
              <w:rPr/>
            </w:pPr>
            <w:r>
              <w:rPr/>
              <w:t>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7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5" w:type="dxa"/>
            <w:tcBorders/>
            <w:vAlign w:val="center"/>
          </w:tcPr>
          <w:p>
            <w:pPr>
              <w:pStyle w:val="TableContents"/>
              <w:bidi w:val="0"/>
              <w:spacing w:before="0" w:after="0"/>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1" w:type="dxa"/>
            <w:tcBorders/>
            <w:vAlign w:val="center"/>
          </w:tcPr>
          <w:p>
            <w:pPr>
              <w:pStyle w:val="TableContents"/>
              <w:bidi w:val="0"/>
              <w:spacing w:before="0" w:after="0"/>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center"/>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c>
          <w:tcPr>
            <w:tcW w:w="455" w:type="dxa"/>
            <w:tcBorders/>
            <w:shd w:fill="CCEEFF" w:val="clear"/>
            <w:vAlign w:val="center"/>
          </w:tcPr>
          <w:p>
            <w:pPr>
              <w:pStyle w:val="TableContents"/>
              <w:bidi w:val="0"/>
              <w:spacing w:before="0" w:after="0"/>
              <w:ind w:left="0" w:right="0" w:hanging="0"/>
              <w:jc w:val="center"/>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shd w:fill="CCEEFF" w:val="clear"/>
            <w:vAlign w:val="center"/>
          </w:tcPr>
          <w:p>
            <w:pPr>
              <w:pStyle w:val="TableContents"/>
              <w:bidi w:val="0"/>
              <w:spacing w:before="0" w:after="0"/>
              <w:ind w:left="0" w:right="0" w:hanging="0"/>
              <w:jc w:val="center"/>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421" w:type="dxa"/>
            <w:tcBorders/>
            <w:shd w:fill="CCEEFF" w:val="clear"/>
            <w:vAlign w:val="center"/>
          </w:tcPr>
          <w:p>
            <w:pPr>
              <w:pStyle w:val="TableContents"/>
              <w:bidi w:val="0"/>
              <w:spacing w:before="0" w:after="0"/>
              <w:ind w:left="0" w:right="0" w:hanging="0"/>
              <w:jc w:val="center"/>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455"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center"/>
              <w:rPr/>
            </w:pPr>
            <w:r>
              <w:rPr/>
              <w:t>​</w:t>
            </w:r>
          </w:p>
        </w:tc>
        <w:tc>
          <w:tcPr>
            <w:tcW w:w="27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421" w:type="dxa"/>
            <w:tcBorders/>
            <w:vAlign w:val="center"/>
          </w:tcPr>
          <w:p>
            <w:pPr>
              <w:pStyle w:val="TableContents"/>
              <w:bidi w:val="0"/>
              <w:spacing w:before="0" w:after="0"/>
              <w:ind w:left="0" w:right="0" w:hanging="0"/>
              <w:jc w:val="center"/>
              <w:rPr/>
            </w:pPr>
            <w:r>
              <w:rPr/>
              <w:t>​</w:t>
            </w:r>
          </w:p>
        </w:tc>
        <w:tc>
          <w:tcPr>
            <w:tcW w:w="27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7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w:t>
            </w:r>
          </w:p>
        </w:tc>
        <w:tc>
          <w:tcPr>
            <w:tcW w:w="455" w:type="dxa"/>
            <w:tcBorders/>
            <w:shd w:fill="CCEEFF" w:val="clear"/>
            <w:vAlign w:val="center"/>
          </w:tcPr>
          <w:p>
            <w:pPr>
              <w:pStyle w:val="TableContents"/>
              <w:bidi w:val="0"/>
              <w:spacing w:before="0" w:after="0"/>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26" w:type="dxa"/>
            <w:tcBorders/>
            <w:shd w:fill="CCEE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w:t>
            </w:r>
          </w:p>
        </w:tc>
        <w:tc>
          <w:tcPr>
            <w:tcW w:w="421" w:type="dxa"/>
            <w:tcBorders/>
            <w:shd w:fill="CCEE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c>
          <w:tcPr>
            <w:tcW w:w="455"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6,610</w:t>
            </w:r>
          </w:p>
        </w:tc>
        <w:tc>
          <w:tcPr>
            <w:tcW w:w="421"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Stock-based compensation allocated to cost of goods sold was not material for the three and six months ended December 31, 2023 and 2022.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with the closing of the Merger, the Company adopted an employee stock purchase plan (“ESPP”). There was no activity under the plan during the three and six months ended December 31, 2023 and 2022, as the Company has not yet conducted any offerings pursuant to the ESPP.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ESPP allows eligible employees to purchase shares of the Company’s common stock at a discount through payroll deductions of up to 15% of their eligible compensation, subject to any plan limitations, during designated </w:t>
      </w:r>
      <w:r>
        <w:rPr>
          <w:rFonts w:ascii="Times New Roman;Times;serif" w:hAnsi="Times New Roman;Times;serif"/>
          <w:b w:val="false"/>
          <w:i w:val="false"/>
          <w:caps w:val="false"/>
          <w:smallCaps w:val="false"/>
          <w:sz w:val="20"/>
        </w:rPr>
        <w:t>6 month</w:t>
      </w:r>
      <w:r>
        <w:rPr>
          <w:rFonts w:ascii="Times New Roman;Times;serif" w:hAnsi="Times New Roman;Times;serif"/>
          <w:sz w:val="20"/>
        </w:rPr>
        <w:t xml:space="preserve">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Nasdaq on such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Earnout Arrangement with holders of Legacy Presto Common Stock and Outstanding Equity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unrecognized stock-based compensation expense for earnout awards is $4.3 million which is expected to be recognized over a weighted-average period of 0.89 years. As of December 31, 2023, 884,047 earnout shares held by current employees and directors were forfeited. The earnout shares given to common stockholders not held by current employees and directors and warrant holders have been recorded with equal and offsetting effects on additional paid-in capital on its condensed consolidated balance sheet. As of December 31, 2023, all of the earnout shares remain unissued as the conditions to issuance have not been achieved.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CyborgOps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acquisition of CyborgOps, the Company issued 475,638 shares of common stock to employees of CyborgOps who had continued employment with the Company, which are accounted for as stock-based compensation because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shares are subject to forfeiture based on post-acquisition time-based service vesting.</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three and six months ended December 31, 2022, the Company recognized $0.3 million and $0.5 million of stock-based compensation expense related to these equity awards, respectively. Amounts recorded for stock-based compensation expense related to these equity awards was immaterial for the three and six months ended December 31, 2023. </w:t>
      </w:r>
      <w:r>
        <w:rPr>
          <w:rFonts w:ascii="Times New Roman;Times;serif" w:hAnsi="Times New Roman;Times;serif"/>
          <w:sz w:val="20"/>
        </w:rPr>
        <w:t xml:space="preserve">As of December 31, 2023, there are no longer any outstanding equity awards to former CyborgOps employees as they have terminated employment with the Company and all their unvested restricted stock awards were cancelled.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subject to U.S. federal, state, and local corporate income taxes. The Company’s income tax expense was not material for the three and six months ended December 31, 2023 and 2022. The Company does not expect any material changes in tax position for the remainder of the fiscal year.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00" w:name="Tc_5LJzwTd3z0ibdkzIRw4k-w_5_0"/>
      <w:bookmarkStart w:id="1701" w:name="Tc_AI6pqojOrEqYNm-iNGxlzw_4_0"/>
      <w:bookmarkStart w:id="1702" w:name="Tc_8mT62RGBiUipMHzW3O91Xw_3_0"/>
      <w:bookmarkStart w:id="1703" w:name="Tc_86nVvWehoEWJ3_GFAtZzWQ_2_8"/>
      <w:bookmarkStart w:id="1704" w:name="Tc_eNjFOv-YEEetwUOemcwyFQ_2_6"/>
      <w:bookmarkStart w:id="1705" w:name="Tc_GbNZzmtjYkaESDo_6EL9wQ_2_4"/>
      <w:bookmarkStart w:id="1706" w:name="Tc_45eFYdWilk6rY-Bs1o-TkA_2_2"/>
      <w:bookmarkStart w:id="1707" w:name="Tc_ZbL9xcaNM0CAg4YAnqE75A_1_6"/>
      <w:bookmarkStart w:id="1708" w:name="Tc_jY-LIazwvE6g0B2-uggTzQ_1_2"/>
      <w:bookmarkStart w:id="1709" w:name="Tc_7jaVgY3JYEmKjstNTPgm7w_13_11"/>
      <w:bookmarkStart w:id="1710" w:name="Tc_BDfiBSx9QkOlXWoStG2RHg_13_8"/>
      <w:bookmarkStart w:id="1711" w:name="Tc_PLHs26sVh027TAhga1UpHg_13_5"/>
      <w:bookmarkStart w:id="1712" w:name="Tc_mNUFu5hXxkCXUSHel3vg6A_13_2"/>
      <w:bookmarkStart w:id="1713" w:name="Tc_LBK4YNVF-UmfJEiDJwIhfA_13_0"/>
      <w:bookmarkStart w:id="1714" w:name="Tc_vZWVN-egTE-jgW70pMl2qw_12_11"/>
      <w:bookmarkStart w:id="1715" w:name="Tc_lsvYs6VIpkytIqEckVckRQ_12_8"/>
      <w:bookmarkStart w:id="1716" w:name="Tc_STABdCAifEyU2OOkOOfIjQ_12_5"/>
      <w:bookmarkStart w:id="1717" w:name="Tc_lus84EBMXUCEM04fYj1xZg_12_2"/>
      <w:bookmarkStart w:id="1718" w:name="Tc_5nMPBrIsbUOuwXLK0poLKA_12_0"/>
      <w:bookmarkStart w:id="1719" w:name="Tc__PKr8XkOwkSO53Ct0WOumA_11_0"/>
      <w:bookmarkStart w:id="1720" w:name="Tc_WIWveNALv0mZSo6pVAU92Q_10_9"/>
      <w:bookmarkStart w:id="1721" w:name="Tc_8GLHDrwruEGTSo_Gw-gUfQ_10_6"/>
      <w:bookmarkStart w:id="1722" w:name="Tc__w9yMZr0sEqaCTvCyVE1XQ_10_3"/>
      <w:bookmarkStart w:id="1723" w:name="Tc_PkyyeYESNES9iqOWhC_Jag_10_0"/>
      <w:bookmarkStart w:id="1724" w:name="Tc_nk4je8nzQEmPEtpLlT1uDg_9_0"/>
      <w:bookmarkStart w:id="1725" w:name="Tc_PNkYqpFI1EWu3hBMhT8ZKQ_8_0"/>
      <w:bookmarkStart w:id="1726" w:name="Tc_U5iGZvYHo0CLQa051pkKQg_6_11"/>
      <w:bookmarkStart w:id="1727" w:name="Tc__fipCtAT4U-GIJ3PpAre9g_6_8"/>
      <w:bookmarkStart w:id="1728" w:name="Tc_FZq-hjTQQEmIo9_TTp0fjg_6_5"/>
      <w:bookmarkStart w:id="1729" w:name="Tc_z3HSjB3roUyBLWV8eRV_9g_6_2"/>
      <w:bookmarkStart w:id="1730" w:name="Tc_zX1s8HOg9EKCa5701t2u4w_6_0"/>
      <w:bookmarkStart w:id="1731" w:name="Tc_DcCczn5KLEuPkYFsY9k0dQ_5_12"/>
      <w:bookmarkStart w:id="1732" w:name="Tc_2g-SeB5tIEKdZmcT0aVTMw_5_6"/>
      <w:bookmarkStart w:id="1733" w:name="Tc_3lkTOWiv3EWXvSQd7LIlEg_5_0"/>
      <w:bookmarkStart w:id="1734" w:name="Tc_YbTd-cyQhkue97-pRla3Tw_4_11"/>
      <w:bookmarkStart w:id="1735" w:name="Tc_pihoqW8rp0Cf9spcIa0STw_4_8"/>
      <w:bookmarkStart w:id="1736" w:name="Tc_DReehc4Y6UKHmiUhQChKrg_4_5"/>
      <w:bookmarkStart w:id="1737" w:name="Tc_AM5tCXzLNUu_JzJyjPJ34A_4_2"/>
      <w:bookmarkStart w:id="1738" w:name="Tc_VcwwRs9XzkKuF5fHzDY3Ig_4_0"/>
      <w:bookmarkStart w:id="1739" w:name="Tc_5QnkzBhko0i_cc5l5BFnOA_3_0"/>
      <w:bookmarkStart w:id="1740" w:name="Tc_Spmc8haYWk-AKD6xHTaaPQ_2_11"/>
      <w:bookmarkStart w:id="1741" w:name="Tc_pLkotkYjrES7IgC1te4Q8w_2_8"/>
      <w:bookmarkStart w:id="1742" w:name="Tc_3cU1iiU86kep_W6gXaoLaQ_2_5"/>
      <w:bookmarkStart w:id="1743" w:name="Tc_xzwmm1HVvUWk4exrn45WzQ_2_2"/>
      <w:bookmarkStart w:id="1744" w:name="Tc_wsltXEKTv0ec9Mgb8SlDGw_1_8"/>
      <w:bookmarkStart w:id="1745" w:name="Tc_aZxBkRiekkChnB5qHXXVmw_1_2"/>
      <w:bookmarkStart w:id="1746" w:name="_a1de6353_f5b9_46ac_953e_2f7f8a4ea20f"/>
      <w:bookmarkStart w:id="1747" w:name="_69b9f90c_df12_4569_9991_8f84e27d75e0"/>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r>
        <w:rPr>
          <w:rFonts w:ascii="Times New Roman;Times;serif" w:hAnsi="Times New Roman;Times;serif"/>
          <w:b/>
          <w:sz w:val="20"/>
        </w:rPr>
        <w:t>13. Net Income (Loss)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income (loss) per share attributable to common stockholders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12"/>
        <w:gridCol w:w="326"/>
        <w:gridCol w:w="226"/>
        <w:gridCol w:w="1036"/>
        <w:gridCol w:w="326"/>
        <w:gridCol w:w="226"/>
        <w:gridCol w:w="1036"/>
        <w:gridCol w:w="326"/>
        <w:gridCol w:w="211"/>
        <w:gridCol w:w="1036"/>
        <w:gridCol w:w="326"/>
        <w:gridCol w:w="211"/>
        <w:gridCol w:w="1036"/>
        <w:gridCol w:w="371"/>
      </w:tblGrid>
      <w:tr>
        <w:trPr/>
        <w:tc>
          <w:tcPr>
            <w:tcW w:w="3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30120" cy="175260"/>
                      <wp:effectExtent l="0" t="0" r="0" b="0"/>
                      <wp:wrapNone/>
                      <wp:docPr id="307" name="Frame307"/>
                      <a:graphic xmlns:a="http://schemas.openxmlformats.org/drawingml/2006/main">
                        <a:graphicData uri="http://schemas.microsoft.com/office/word/2010/wordprocessingShape">
                          <wps:wsp>
                            <wps:cNvSpPr txBox="1"/>
                            <wps:spPr>
                              <a:xfrm>
                                <a:off x="0" y="0"/>
                                <a:ext cx="2230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3510" cy="175260"/>
                      <wp:effectExtent l="0" t="0" r="0" b="0"/>
                      <wp:wrapNone/>
                      <wp:docPr id="309" name="Frame3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57860" cy="175260"/>
                      <wp:effectExtent l="0" t="0" r="0" b="0"/>
                      <wp:wrapNone/>
                      <wp:docPr id="310" name="Frame3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43510" cy="175260"/>
                      <wp:effectExtent l="0" t="0" r="0" b="0"/>
                      <wp:wrapNone/>
                      <wp:docPr id="312" name="Frame3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57860" cy="175260"/>
                      <wp:effectExtent l="0" t="0" r="0" b="0"/>
                      <wp:wrapNone/>
                      <wp:docPr id="313" name="Frame3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57860" cy="175260"/>
                      <wp:effectExtent l="0" t="0" r="0" b="0"/>
                      <wp:wrapNone/>
                      <wp:docPr id="316" name="Frame3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57860" cy="175260"/>
                      <wp:effectExtent l="0" t="0" r="0" b="0"/>
                      <wp:wrapNone/>
                      <wp:docPr id="319" name="Frame3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35585" cy="175260"/>
                      <wp:effectExtent l="0" t="0" r="0" b="0"/>
                      <wp:wrapNone/>
                      <wp:docPr id="320" name="Frame32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center"/>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71" w:type="dxa"/>
            <w:tcBorders/>
            <w:vAlign w:val="center"/>
          </w:tcPr>
          <w:p>
            <w:pPr>
              <w:pStyle w:val="TableContents"/>
              <w:bidi w:val="0"/>
              <w:spacing w:before="0" w:after="0"/>
              <w:ind w:left="0" w:right="0" w:hanging="0"/>
              <w:jc w:val="center"/>
              <w:rPr/>
            </w:pPr>
            <w:r>
              <w:rPr/>
              <w:t>    </w:t>
            </w:r>
          </w:p>
        </w:tc>
      </w:tr>
      <w:tr>
        <w:trPr/>
        <w:tc>
          <w:tcPr>
            <w:tcW w:w="35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35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3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basic and diluted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w:t>
            </w:r>
          </w:p>
        </w:tc>
        <w:tc>
          <w:tcPr>
            <w:tcW w:w="371" w:type="dxa"/>
            <w:tcBorders/>
            <w:vAlign w:val="center"/>
          </w:tcPr>
          <w:p>
            <w:pPr>
              <w:pStyle w:val="TableContents"/>
              <w:bidi w:val="0"/>
              <w:spacing w:before="0" w:after="0"/>
              <w:ind w:left="0" w:right="0" w:hanging="0"/>
              <w:jc w:val="left"/>
              <w:rPr/>
            </w:pPr>
            <w:r>
              <w:rPr/>
              <w:t>​</w:t>
            </w:r>
          </w:p>
        </w:tc>
      </w:tr>
      <w:tr>
        <w:trPr/>
        <w:tc>
          <w:tcPr>
            <w:tcW w:w="3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deemed dividend on down-round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basic and diluted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w:t>
            </w:r>
          </w:p>
        </w:tc>
        <w:tc>
          <w:tcPr>
            <w:tcW w:w="371" w:type="dxa"/>
            <w:tcBorders/>
            <w:vAlign w:val="center"/>
          </w:tcPr>
          <w:p>
            <w:pPr>
              <w:pStyle w:val="TableContents"/>
              <w:bidi w:val="0"/>
              <w:spacing w:before="0" w:after="0"/>
              <w:ind w:left="0" w:right="0" w:hanging="0"/>
              <w:jc w:val="left"/>
              <w:rPr/>
            </w:pPr>
            <w:r>
              <w:rPr/>
              <w:t>​</w:t>
            </w:r>
          </w:p>
        </w:tc>
      </w:tr>
      <w:tr>
        <w:trPr/>
        <w:tc>
          <w:tcPr>
            <w:tcW w:w="35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income (loss) per share attributable to common stockholders, basic</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63,599,890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50,998,941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60,721,231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40,475,200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Weighted average dilutive effect of stock options, RSUs and warrants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10,299,972</w:t>
            </w:r>
          </w:p>
        </w:tc>
        <w:tc>
          <w:tcPr>
            <w:tcW w:w="371" w:type="dxa"/>
            <w:tcBorders/>
            <w:vAlign w:val="center"/>
          </w:tcPr>
          <w:p>
            <w:pPr>
              <w:pStyle w:val="TableContents"/>
              <w:bidi w:val="0"/>
              <w:spacing w:before="0" w:after="0"/>
              <w:ind w:left="0" w:right="0" w:hanging="0"/>
              <w:jc w:val="left"/>
              <w:rPr/>
            </w:pPr>
            <w:r>
              <w:rPr/>
              <w:t>​</w:t>
            </w:r>
          </w:p>
        </w:tc>
      </w:tr>
      <w:tr>
        <w:trPr/>
        <w:tc>
          <w:tcPr>
            <w:tcW w:w="3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63,599,890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50,998,941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60,721,231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50,775,172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basic</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71" w:type="dxa"/>
            <w:tcBorders/>
            <w:vAlign w:val="center"/>
          </w:tcPr>
          <w:p>
            <w:pPr>
              <w:pStyle w:val="TableContents"/>
              <w:bidi w:val="0"/>
              <w:spacing w:before="0" w:after="0"/>
              <w:ind w:left="0" w:right="0" w:hanging="0"/>
              <w:jc w:val="left"/>
              <w:rPr/>
            </w:pPr>
            <w:r>
              <w:rPr/>
              <w:t>​</w:t>
            </w:r>
          </w:p>
        </w:tc>
      </w:tr>
      <w:tr>
        <w:trPr/>
        <w:tc>
          <w:tcPr>
            <w:tcW w:w="3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potential shares of common stock that were excluded from the computation of diluted net income (loss) per share attributable to common stockholders for the periods presented because including them would have been antidilutive are as follows: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253"/>
        <w:gridCol w:w="326"/>
        <w:gridCol w:w="1077"/>
        <w:gridCol w:w="339"/>
        <w:gridCol w:w="1077"/>
        <w:gridCol w:w="326"/>
        <w:gridCol w:w="1051"/>
        <w:gridCol w:w="330"/>
        <w:gridCol w:w="1051"/>
        <w:gridCol w:w="375"/>
      </w:tblGrid>
      <w:tr>
        <w:trPr/>
        <w:tc>
          <w:tcPr>
            <w:tcW w:w="4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700655" cy="175260"/>
                      <wp:effectExtent l="0" t="0" r="0" b="0"/>
                      <wp:wrapNone/>
                      <wp:docPr id="321" name="Frame321"/>
                      <a:graphic xmlns:a="http://schemas.openxmlformats.org/drawingml/2006/main">
                        <a:graphicData uri="http://schemas.microsoft.com/office/word/2010/wordprocessingShape">
                          <wps:wsp>
                            <wps:cNvSpPr txBox="1"/>
                            <wps:spPr>
                              <a:xfrm>
                                <a:off x="0" y="0"/>
                                <a:ext cx="270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83895" cy="175260"/>
                      <wp:effectExtent l="0" t="0" r="0" b="0"/>
                      <wp:wrapNone/>
                      <wp:docPr id="323" name="Frame323"/>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5265" cy="175260"/>
                      <wp:effectExtent l="0" t="0" r="0" b="0"/>
                      <wp:wrapNone/>
                      <wp:docPr id="324" name="Frame32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83895" cy="175260"/>
                      <wp:effectExtent l="0" t="0" r="0" b="0"/>
                      <wp:wrapNone/>
                      <wp:docPr id="325" name="Frame325"/>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67385" cy="175260"/>
                      <wp:effectExtent l="0" t="0" r="0" b="0"/>
                      <wp:wrapNone/>
                      <wp:docPr id="327" name="Frame32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9550" cy="175260"/>
                      <wp:effectExtent l="0" t="0" r="0" b="0"/>
                      <wp:wrapNone/>
                      <wp:docPr id="328" name="Frame32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67385" cy="175260"/>
                      <wp:effectExtent l="0" t="0" r="0" b="0"/>
                      <wp:wrapNone/>
                      <wp:docPr id="329" name="Frame3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38125" cy="175260"/>
                      <wp:effectExtent l="0" t="0" r="0" b="0"/>
                      <wp:wrapNone/>
                      <wp:docPr id="330" name="Frame33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center"/>
              <w:rPr/>
            </w:pPr>
            <w:r>
              <w:rPr/>
              <w:t>    </w:t>
            </w:r>
          </w:p>
        </w:tc>
        <w:tc>
          <w:tcPr>
            <w:tcW w:w="243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75" w:type="dxa"/>
            <w:tcBorders/>
            <w:vAlign w:val="center"/>
          </w:tcPr>
          <w:p>
            <w:pPr>
              <w:pStyle w:val="TableContents"/>
              <w:bidi w:val="0"/>
              <w:spacing w:before="0" w:after="0"/>
              <w:ind w:left="0" w:right="0" w:hanging="0"/>
              <w:jc w:val="center"/>
              <w:rPr/>
            </w:pPr>
            <w:r>
              <w:rPr/>
              <w:t>    </w:t>
            </w:r>
          </w:p>
        </w:tc>
      </w:tr>
      <w:tr>
        <w:trPr/>
        <w:tc>
          <w:tcPr>
            <w:tcW w:w="42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9" w:type="dxa"/>
            <w:tcBorders/>
            <w:vAlign w:val="center"/>
          </w:tcPr>
          <w:p>
            <w:pPr>
              <w:pStyle w:val="TableContents"/>
              <w:bidi w:val="0"/>
              <w:spacing w:before="0" w:after="0"/>
              <w:ind w:left="0" w:right="0" w:hanging="0"/>
              <w:jc w:val="center"/>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0"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5" w:type="dxa"/>
            <w:tcBorders/>
            <w:vAlign w:val="center"/>
          </w:tcPr>
          <w:p>
            <w:pPr>
              <w:pStyle w:val="TableContents"/>
              <w:bidi w:val="0"/>
              <w:spacing w:before="0" w:after="0"/>
              <w:ind w:left="0" w:right="0" w:hanging="0"/>
              <w:jc w:val="center"/>
              <w:rPr/>
            </w:pPr>
            <w:r>
              <w:rPr/>
              <w:t>​</w:t>
            </w:r>
          </w:p>
        </w:tc>
      </w:tr>
      <w:tr>
        <w:trPr/>
        <w:tc>
          <w:tcPr>
            <w:tcW w:w="4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and RSUs</w:t>
            </w:r>
          </w:p>
        </w:tc>
        <w:tc>
          <w:tcPr>
            <w:tcW w:w="326" w:type="dxa"/>
            <w:tcBorders/>
            <w:shd w:fill="CCEEFF" w:val="clear"/>
            <w:vAlign w:val="center"/>
          </w:tcPr>
          <w:p>
            <w:pPr>
              <w:pStyle w:val="TableContents"/>
              <w:bidi w:val="0"/>
              <w:spacing w:before="0" w:after="0"/>
              <w:ind w:left="0" w:right="0" w:hanging="0"/>
              <w:jc w:val="center"/>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11,866,211</w:t>
            </w:r>
          </w:p>
        </w:tc>
        <w:tc>
          <w:tcPr>
            <w:tcW w:w="339" w:type="dxa"/>
            <w:tcBorders/>
            <w:shd w:fill="CCEEFF" w:val="clear"/>
            <w:vAlign w:val="center"/>
          </w:tcPr>
          <w:p>
            <w:pPr>
              <w:pStyle w:val="TableContents"/>
              <w:bidi w:val="0"/>
              <w:spacing w:before="0" w:after="0"/>
              <w:ind w:left="0" w:right="0" w:hanging="0"/>
              <w:jc w:val="center"/>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12,756,522</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11,866,211</w:t>
            </w:r>
          </w:p>
        </w:tc>
        <w:tc>
          <w:tcPr>
            <w:tcW w:w="330"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198,692</w:t>
            </w:r>
          </w:p>
        </w:tc>
        <w:tc>
          <w:tcPr>
            <w:tcW w:w="375" w:type="dxa"/>
            <w:tcBorders/>
            <w:shd w:fill="CCEEFF" w:val="clear"/>
            <w:vAlign w:val="center"/>
          </w:tcPr>
          <w:p>
            <w:pPr>
              <w:pStyle w:val="TableContents"/>
              <w:bidi w:val="0"/>
              <w:spacing w:before="0" w:after="0"/>
              <w:ind w:left="0" w:right="0" w:hanging="0"/>
              <w:jc w:val="center"/>
              <w:rPr/>
            </w:pPr>
            <w:r>
              <w:rPr/>
              <w:t>​</w:t>
            </w:r>
          </w:p>
        </w:tc>
      </w:tr>
      <w:tr>
        <w:trPr/>
        <w:tc>
          <w:tcPr>
            <w:tcW w:w="4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27,340,453</w:t>
            </w:r>
          </w:p>
        </w:tc>
        <w:tc>
          <w:tcPr>
            <w:tcW w:w="339"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18,150,077</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27,340,453</w:t>
            </w:r>
          </w:p>
        </w:tc>
        <w:tc>
          <w:tcPr>
            <w:tcW w:w="330"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10,129,619</w:t>
            </w:r>
          </w:p>
        </w:tc>
        <w:tc>
          <w:tcPr>
            <w:tcW w:w="375" w:type="dxa"/>
            <w:tcBorders/>
            <w:vAlign w:val="center"/>
          </w:tcPr>
          <w:p>
            <w:pPr>
              <w:pStyle w:val="TableContents"/>
              <w:bidi w:val="0"/>
              <w:spacing w:before="0" w:after="0"/>
              <w:ind w:left="0" w:right="0" w:hanging="0"/>
              <w:jc w:val="left"/>
              <w:rPr/>
            </w:pPr>
            <w:r>
              <w:rPr/>
              <w:t> </w:t>
            </w:r>
          </w:p>
        </w:tc>
      </w:tr>
      <w:tr>
        <w:trPr/>
        <w:tc>
          <w:tcPr>
            <w:tcW w:w="4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of common stock excluded from the computation of diluted net income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39,206,664</w:t>
            </w:r>
          </w:p>
        </w:tc>
        <w:tc>
          <w:tcPr>
            <w:tcW w:w="339" w:type="dxa"/>
            <w:tcBorders/>
            <w:shd w:fill="CCEEFF" w:val="clear"/>
            <w:vAlign w:val="center"/>
          </w:tcPr>
          <w:p>
            <w:pPr>
              <w:pStyle w:val="TableContents"/>
              <w:bidi w:val="0"/>
              <w:spacing w:before="0" w:after="0"/>
              <w:ind w:left="0" w:right="0" w:hanging="0"/>
              <w:jc w:val="left"/>
              <w:rPr/>
            </w:pPr>
            <w:r>
              <w:rPr/>
              <w:t> </w:t>
            </w:r>
          </w:p>
        </w:tc>
        <w:tc>
          <w:tcPr>
            <w:tcW w:w="10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30,906,599</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39,206,664</w:t>
            </w:r>
          </w:p>
        </w:tc>
        <w:tc>
          <w:tcPr>
            <w:tcW w:w="330"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10,328,311</w:t>
            </w:r>
          </w:p>
        </w:tc>
        <w:tc>
          <w:tcPr>
            <w:tcW w:w="37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excluded 1,187,083 RSU’s from the calculation of diluted EPS as they are subject to performance conditions for which the necessary conditions had not been satisfied as of December 31,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sz w:val="20"/>
          <w:shd w:fill="FFFFFF" w:val="clear"/>
        </w:rPr>
        <w:t>he Company excluded 14,115,953 and 15,000,000 earnout shares from the calculation of diluted EPS as of December 31, 2023 and 2022 as they are subject to market conditions for which the necessary conditions have not been satisfied.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Related Party Transactions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On October 10, 2023, the Company entered into the October Purchase Agreement with Presto CA, LLC, pursuant to which the Company agreed to sell 1,500,000 newly issued shares of the Company’s common stock, at a purchase price of $2.00 per share for an aggregate purchase price of $3.0 million. Presto CA, LLC is affiliated with Cleveland Avenue, LLC, and Keith Kravcik, a director of the Company, who is the Chief Investment Officer of all of Cleveland Avenue’s various investment funds, including Presto CA, LLC.</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a result of anti-dilution provisions in the October Purchase Agreement, the Company issued 1,500,000 additional shares to Presto CA, LLC upon the issuance of common stock with the November Purchase Agreements. The Company recorded an offsetting entry to additional paid-in capital of $1.5 million.</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21, 2023, the Company entered into the November Purchase Agreements, one of which was with Zaffran Special Opportunities, LLC, a related party, to which the Company issued 750,000 newly issued shares of the Company’s common stock. </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December 31, 2022, the Company received an equity investment of $1.0 million from an investor in exchange for 133,333 shares in the Company. Refer to Note 9 for further details. </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20"/>
        </w:rPr>
        <w:t>In addition, during the six months ended December 31, 2022, the Company granted 1,200,000</w:t>
      </w:r>
      <w:r>
        <w:rPr>
          <w:rFonts w:ascii="Times New Roman;Times;serif" w:hAnsi="Times New Roman;Times;serif"/>
          <w:sz w:val="18"/>
        </w:rPr>
        <w:t xml:space="preserve"> </w:t>
      </w:r>
      <w:r>
        <w:rPr>
          <w:rFonts w:ascii="Times New Roman;Times;serif" w:hAnsi="Times New Roman;Times;serif"/>
          <w:sz w:val="20"/>
        </w:rPr>
        <w:t>of RSUs to a director and the previous interim chief executive officer (“CEO”)</w:t>
      </w:r>
      <w:r>
        <w:rPr>
          <w:rFonts w:ascii="Times New Roman;Times;serif" w:hAnsi="Times New Roman;Times;serif"/>
          <w:sz w:val="18"/>
        </w:rPr>
        <w:t xml:space="preserve"> </w:t>
      </w:r>
      <w:r>
        <w:rPr>
          <w:rFonts w:ascii="Times New Roman;Times;serif" w:hAnsi="Times New Roman;Times;serif"/>
          <w:sz w:val="20"/>
        </w:rPr>
        <w:t>of the Company with a grant date fair value of $4.56</w:t>
      </w:r>
      <w:r>
        <w:rPr>
          <w:rFonts w:ascii="Times New Roman;Times;serif" w:hAnsi="Times New Roman;Times;serif"/>
          <w:sz w:val="18"/>
        </w:rPr>
        <w:t xml:space="preserve"> </w:t>
      </w:r>
      <w:r>
        <w:rPr>
          <w:rFonts w:ascii="Times New Roman;Times;serif" w:hAnsi="Times New Roman;Times;serif"/>
          <w:sz w:val="20"/>
        </w:rPr>
        <w:t>per RSU. Refer to Note 11.</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1748" w:name="_Hlk158881445"/>
      <w:bookmarkEnd w:id="1748"/>
      <w:r>
        <w:rPr>
          <w:rFonts w:ascii="Times New Roman;Times;serif" w:hAnsi="Times New Roman;Times;serif"/>
          <w:b/>
          <w:sz w:val="20"/>
        </w:rPr>
        <w:t>15. Subsequent Events</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Collateral Account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January 11, 2024, the Lenders delivered an activation notice to the Company’s bank and wired $10.0 million of restricted cash to an account designated by the Lenders as a result of existing events of default described below. The funds were applied to reduce the outstanding loan balance, which as of December 31, 2023 totaled $61.7 million in principal amount plus accrued interest.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XAC Judgment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 decision rendered on January 16, 2024 by the Singapore Court of Appeal, the Company obtained a favorable verdict in the final hearing regarding its case against XAC Automation Corp (5490.TWO) (“XAC”). The Court dismissed XAC’s appeal and upheld the award of $11.1 million previously made to the Company. XAC has no further recourse to set aside the award and the Company is able to seek to enforce the award against XAC in Taiwan, the country of XAC’s domicile, going forward. The Company intends to pursue full collection of this award from XAC in Taiwan, which involves domesticating the award there and may take between several months to more than a year.</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Touch Business Term Sheet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17, 2024, the Company entered into a non-binding memorandum of understanding (“MoU”) with respect to the formation of a new company (the “Joint Venture”) for the purposes of the creation of and joint investment (the “Transaction”) in the business-to-business tablet touchscreen and tabletop ordering and restaurant services platform business currently owned by the Company (the “Touch Business”). Should the Transaction close, the Company will cease its own operations of the Touch Business. It is envisaged that the Company will enter into a transition services agreement with the Joint Venture for a limited period with respect to certain services.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MoU specifies that the Company may own 40% of the Joint Venture. Other investors, including I2BF, Krishna Gupta and Remus Capital, related parties of the Company, as well as Joint Venture management, may hold the remaining ownership in the Joint Venture. I2BF and Remus Capital have appointed board representatives pursuant to contractual nominating rights with the Company. The Joint Venture will need additional capital to fund its operations and the Company will have a right of first refusal to participate in future capital raises by the Joint Venture.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of directors of Joint Venture will consist of five members, two of whom will be appointed by the Investors, one by the Company, one of whom will be the CEO of the Joint Venture and one of whom will be Krishna Gupta.</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pPr>
      <w:r>
        <w:rPr/>
        <w:t> </w:t>
      </w:r>
      <w:r>
        <w:rPr>
          <w:rFonts w:ascii="Times New Roman;Times;serif" w:hAnsi="Times New Roman;Times;serif"/>
          <w:sz w:val="20"/>
        </w:rPr>
        <w:t xml:space="preserve">The Joint Venture is intended to constitute a Touch Business Plan within the meaning of such term within the Credit Agreement. As such, it remains subject to the reasonable approval of the Agent pursuant to the terms of the Credit Agreement.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Forbearance Agreement</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22, 2024, the Company entered into a Forbearance Agreement and Fourth Amendment to Credit Agreement (the “Forbearance Agreement”) with the Agent and the Lenders. The Forbearance Agreement provides that the Lenders will not exercise remedies for a specified period of time pursuant to the events of default in December 2023 for failing to pay the quarterly monitoring fee and failing to deliver a Presto Touch business plan, as well as the anticipated future event of default due to the Company failing to appoint a new Chief Financial Officer reasonably acceptable to the Agent within 90 days of the prior Chief Financial Officer’s resignation, subject to the agreements and conditions set out below. The Company will pay the Agent a fee of $0.3 million to enter into the Forbearance Agreement. The Forbearance Agreement was terminated on February 17, 2024 by the Lenders.</w:t>
      </w:r>
    </w:p>
    <w:p>
      <w:pPr>
        <w:pStyle w:val="TextBody"/>
        <w:shd w:fill="FFFFFF" w:val="clear"/>
        <w:bidi w:val="0"/>
        <w:spacing w:before="0" w:after="0"/>
        <w:ind w:left="0" w:right="0" w:firstLine="53"/>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the Company raises gross cash proceeds of at least $6 million by January 29, 2024 in a Capital Raise (as defined below), the forbearance date would be extended to February 29, 2024 (the “First Forbearance”) (see below for termination date) and the following additional terms shall apply:</w:t>
      </w:r>
    </w:p>
    <w:p>
      <w:pPr>
        <w:pStyle w:val="TextBody"/>
        <w:shd w:fill="FFFFFF" w:val="clear"/>
        <w:bidi w:val="0"/>
        <w:spacing w:before="0" w:after="0"/>
        <w:ind w:left="0" w:right="0" w:firstLine="53"/>
        <w:jc w:val="left"/>
        <w:rPr/>
      </w:pPr>
      <w:r>
        <w:rPr/>
        <w:t>​</w:t>
      </w:r>
    </w:p>
    <w:tbl>
      <w:tblPr>
        <w:tblW w:w="9201" w:type="dxa"/>
        <w:jc w:val="left"/>
        <w:tblInd w:w="0" w:type="dxa"/>
        <w:shd w:fill="FFFFFF" w:val="clear"/>
        <w:tblLayout w:type="fixed"/>
        <w:tblCellMar>
          <w:top w:w="28" w:type="dxa"/>
          <w:left w:w="28" w:type="dxa"/>
          <w:bottom w:w="28" w:type="dxa"/>
          <w:right w:w="28" w:type="dxa"/>
        </w:tblCellMar>
      </w:tblPr>
      <w:tblGrid>
        <w:gridCol w:w="124"/>
        <w:gridCol w:w="256"/>
        <w:gridCol w:w="88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interest rate under the Credit Agreement shall be reduced from 15%</w:t>
            </w:r>
            <w:r>
              <w:rPr>
                <w:caps w:val="false"/>
                <w:smallCaps w:val="false"/>
              </w:rPr>
              <w:t xml:space="preserve"> </w:t>
            </w:r>
            <w:r>
              <w:rPr>
                <w:rFonts w:ascii="Times New Roman;Times;serif" w:hAnsi="Times New Roman;Times;serif"/>
                <w:b w:val="false"/>
                <w:i w:val="false"/>
                <w:caps w:val="false"/>
                <w:smallCaps w:val="false"/>
                <w:sz w:val="20"/>
              </w:rPr>
              <w:t>to 8%</w:t>
            </w:r>
            <w:r>
              <w:rPr>
                <w:caps w:val="false"/>
                <w:smallCaps w:val="false"/>
              </w:rPr>
              <w:t xml:space="preserve"> </w:t>
            </w:r>
            <w:r>
              <w:rPr>
                <w:rFonts w:ascii="Times New Roman;Times;serif" w:hAnsi="Times New Roman;Times;serif"/>
                <w:b w:val="false"/>
                <w:i w:val="false"/>
                <w:caps w:val="false"/>
                <w:smallCaps w:val="false"/>
                <w:sz w:val="20"/>
              </w:rPr>
              <w:t>through December 31, 2024;</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issue warrants with an exercise price of $0.01</w:t>
            </w:r>
            <w:r>
              <w:rPr>
                <w:caps w:val="false"/>
                <w:smallCaps w:val="false"/>
              </w:rPr>
              <w:t xml:space="preserve"> </w:t>
            </w:r>
            <w:r>
              <w:rPr>
                <w:rFonts w:ascii="Times New Roman;Times;serif" w:hAnsi="Times New Roman;Times;serif"/>
                <w:b w:val="false"/>
                <w:i w:val="false"/>
                <w:caps w:val="false"/>
                <w:smallCaps w:val="false"/>
                <w:sz w:val="20"/>
              </w:rPr>
              <w:t>per share with the number of shares determined by the amount of interest that would accrue on the outstanding loan under the Credit Agreement through December 31, 2024 at a rate of 4%</w:t>
            </w:r>
            <w:r>
              <w:rPr>
                <w:caps w:val="false"/>
                <w:smallCaps w:val="false"/>
              </w:rPr>
              <w:t xml:space="preserve"> </w:t>
            </w:r>
            <w:r>
              <w:rPr>
                <w:rFonts w:ascii="Times New Roman;Times;serif" w:hAnsi="Times New Roman;Times;serif"/>
                <w:b w:val="false"/>
                <w:i w:val="false"/>
                <w:caps w:val="false"/>
                <w:smallCaps w:val="false"/>
                <w:sz w:val="20"/>
              </w:rPr>
              <w:t>per annum;</w:t>
            </w:r>
          </w:p>
        </w:tc>
      </w:tr>
    </w:tbl>
    <w:tbl>
      <w:tblPr>
        <w:tblW w:w="9546" w:type="dxa"/>
        <w:jc w:val="left"/>
        <w:tblInd w:w="0" w:type="dxa"/>
        <w:shd w:fill="FFFFFF" w:val="clear"/>
        <w:tblLayout w:type="fixed"/>
        <w:tblCellMar>
          <w:top w:w="28" w:type="dxa"/>
          <w:left w:w="28" w:type="dxa"/>
          <w:bottom w:w="28" w:type="dxa"/>
          <w:right w:w="28" w:type="dxa"/>
        </w:tblCellMar>
      </w:tblPr>
      <w:tblGrid>
        <w:gridCol w:w="124"/>
        <w:gridCol w:w="256"/>
        <w:gridCol w:w="916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permitted to pay interest under the Credit Agreement via PIK through June 30, 2024; and</w:t>
            </w:r>
          </w:p>
        </w:tc>
      </w:tr>
    </w:tbl>
    <w:p>
      <w:pPr>
        <w:pStyle w:val="TextBody"/>
        <w:shd w:fill="FFFFFF" w:val="clear"/>
        <w:bidi w:val="0"/>
        <w:spacing w:before="0" w:after="0"/>
        <w:ind w:left="0" w:right="0" w:firstLine="53"/>
        <w:jc w:val="left"/>
        <w:rPr>
          <w:rFonts w:ascii="Times New Roman;Times;serif" w:hAnsi="Times New Roman;Times;serif"/>
          <w:sz w:val="20"/>
        </w:rPr>
      </w:pPr>
      <w:r>
        <w:rPr>
          <w:rFonts w:ascii="Times New Roman;Times;serif" w:hAnsi="Times New Roman;Times;serif"/>
          <w:sz w:val="20"/>
        </w:rPr>
        <w:t>payment of the monitoring fee for the period ending March 31, 2024 shall be deferred until June 30, 2024.</w:t>
      </w:r>
    </w:p>
    <w:p>
      <w:pPr>
        <w:pStyle w:val="TextBody"/>
        <w:shd w:fill="FFFFFF" w:val="clear"/>
        <w:bidi w:val="0"/>
        <w:spacing w:before="0" w:after="0"/>
        <w:ind w:left="0" w:right="0" w:firstLine="53"/>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other additional terms appliable to the Forbearance Agreement that never took effect before the termination of the agreement.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“Capital Raise” means the sale of new equity interests of the Company or the issue of a convertible subordinated note with specified terms and conditions and that is reasonably satisfactory to the Agent. The Capital Raise associated with the Third Forbearance can be achieved in whole or in part by means of the settlement with or direct payment to the Company of proceeds from the judgment against XAC Automation.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each Forbearance, the Lenders have agreed to waive the anti-dilution protection that they received in the Third Amendment Warrants, solely with respect to the Capital Raise, conditioned on the investors in the October Purchase Agreement and the November Purchase Agreements waiving the anti-dilution provisions in each respective agreement, solely with respect to the Capital Raise.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Forbearance Agreement was contingent on the Company having appointed an independent member of the Board whose independence is acceptable to the Agent in its sole discretion. This was satisfied with the appointment of Matthew MacDonald as a member of the Board on January 28, 2024. </w:t>
      </w:r>
    </w:p>
    <w:p>
      <w:pPr>
        <w:pStyle w:val="TextBody"/>
        <w:shd w:fill="FFFFFF" w:val="clear"/>
        <w:bidi w:val="0"/>
        <w:spacing w:before="0" w:after="0"/>
        <w:ind w:left="0" w:right="0" w:firstLine="53"/>
        <w:jc w:val="left"/>
        <w:rPr/>
      </w:pPr>
      <w:r>
        <w:rPr/>
        <w:t>​</w:t>
      </w:r>
    </w:p>
    <w:p>
      <w:pPr>
        <w:pStyle w:val="TextBody"/>
        <w:shd w:fill="FFFFFF" w:val="clear"/>
        <w:bidi w:val="0"/>
        <w:spacing w:before="0" w:after="0"/>
        <w:ind w:left="0" w:right="0" w:hanging="0"/>
        <w:jc w:val="left"/>
        <w:rPr/>
      </w:pPr>
      <w:r>
        <w:rPr/>
        <w:t> </w:t>
      </w:r>
      <w:r>
        <w:rPr>
          <w:rFonts w:ascii="Times New Roman;Times;serif" w:hAnsi="Times New Roman;Times;serif"/>
          <w:i/>
          <w:sz w:val="20"/>
        </w:rPr>
        <w:t>Purchase Agreements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On January 29, 2024, the Company entered into Securities Purchase Agreements with several investors relating to the issuance and sale of an aggregate of:</w:t>
      </w:r>
    </w:p>
    <w:p>
      <w:pPr>
        <w:pStyle w:val="TextBody"/>
        <w:shd w:fill="FFFFFF" w:val="clear"/>
        <w:bidi w:val="0"/>
        <w:spacing w:before="0" w:after="0"/>
        <w:ind w:left="0" w:right="0" w:hanging="0"/>
        <w:jc w:val="both"/>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$6.0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subordinated notes (the “January 2024 Notes”) from a number of investors consisting of (i) an investor (the “Lead Investor”) who purchased $3.0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of the January 2024 Notes, (ii) Remus Capital Series B II, L.P. (“Remus Capital”), a related party affiliated with Krishna Gupta, which purchased $2.675</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of the January 2024 Notes, and (iii) various other investors,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$3.0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subordinated notes issued to the Lead Investor in exchange for forfeiting 3,000,000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shares of the Company’s common stock that the Lead Investor had purchased on November 21, 2023 at a price of $1.00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per share in addition to 4,500,000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additional shares of common stock that would be issuable as a result of the triggering of the anti-dilution adjustment.</w:t>
            </w:r>
          </w:p>
        </w:tc>
      </w:tr>
    </w:tbl>
    <w:p>
      <w:pPr>
        <w:pStyle w:val="TextBody"/>
        <w:shd w:fill="FFFFFF" w:val="clear"/>
        <w:bidi w:val="0"/>
        <w:spacing w:before="0" w:after="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PIK Interest on the January 2024 Notes accrues monthly at a rate of 7.5% per annum. The interest rate shall increase to 12% in the case of an event of default. The January 2024 Notes are convertible into 36,000,000 shares of common stock at the option of each holder at an initial conversion price of $0.25 per share. The January 2024 Notes shall convert mandatorily into common stock at the conversion price immediately prior to (a) a restructuring transaction, and (b) a change of control transaction with a financial investor.</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Upon the issuance of the January 2024 Notes through September 30, 2024, if the Company issues any common stock or securities convertible into or exchangeable for common stock at a price that is less than the initial conversion price of $0.25 per share, the conversion price shall be reduced to that lower price. </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January 2024 Notes are subordinated to the payment in full of the principal outstanding under the Credit Agreement.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Triggering and Partial Waiver of Anti-dilution Protection Associated with Previously Issued Securities</w:t>
      </w:r>
      <w:r>
        <w:rPr>
          <w:rFonts w:ascii="Times New Roman;Times;serif" w:hAnsi="Times New Roman;Times;serif"/>
          <w:sz w:val="20"/>
        </w:rPr>
        <w: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issuance of the January 2024 Notes triggered anti-dilution adjustment provisions in the October Purchase Agreement, the Third Amendment Conversion Warrants and the November Purchase Agreements.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investors in the October Purchase Agreement and the November Purchase Agreements (other than one investor holding 1,000,000 shares) and the Lenders agreed that the “New Issuance Price” for the purpose of anti-dilution protection would be $0.40 and not $0.25. For the one investor holding 1,000,000 shares, the “New Issuance Price” was $0.25. As a result, the Company (i) increased the number of shares issuable upon the exercise of the Third Amendment Conversion Warrants by an additional 9,000,000 shares and (ii) issued 12,000,000 additional shares of the Company’s common stock to the investors in the October Purchase Agreement and the November Purchase Agreements, of which 4,500,000 additional shares were issued to a related party. Additional shares issued includes the one investor holding 1,000,000 shares who received 3,000,000 additional shares and excludes the Lead Investor holding 3,000,000 shares that were forfeited and exchanged for $3.0 million principal amount of subordinated notes.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 </w:t>
      </w:r>
      <w:r>
        <w:rPr>
          <w:rFonts w:ascii="Times New Roman;Times;serif" w:hAnsi="Times New Roman;Times;serif"/>
          <w:i/>
          <w:sz w:val="20"/>
        </w:rPr>
        <w:t>Fifth Amendment to the Credit Agreement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30, 2024, the Company entered into a Fifth Amendment and Acknowledgment to the Credit Agreement (the “Fifth Amendment”). The material terms of the Fifth Amendment are as follows:</w:t>
      </w:r>
    </w:p>
    <w:p>
      <w:pPr>
        <w:pStyle w:val="TextBody"/>
        <w:shd w:fill="FFFFFF" w:val="clear"/>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parties confirmed that the issuance of the January 2024 Notes satisfied the requirements of the Forbearance Agreement in order for the Lenders to grant continued forbearance with respect to events of default under the Credit Agreement.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date until which initial forbearance is granted was extended from the original date of February 29, 2024 in the Forbearance Agreement until March 8, 2024.</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Company agreed that on or prior to March 6, 2024, it will hold a shareholder meeting, among other things, to (i) approve the issuance of certain shares, including, without limitation, the Third Amendment Warrants, the Fifth Amendment Warrants and the Convertible Notes, and (ii) amend its certificate of incorporation to increase the authorized shares of common stock to not less than 100,000,000,000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shares. The failure of such meeting of the shareholders of the Company to occur on or before March 6, 2024 shall constitute an immediate event of default under the Credit Agreement.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anticipates that its cash payments in February will result in a reduction in its operating cash that breaches the permitted “Net Adjusted Decrease in Operating Cash” covenant under the Credit Agreement. </w:t>
            </w:r>
          </w:p>
        </w:tc>
      </w:tr>
    </w:tbl>
    <w:p>
      <w:pPr>
        <w:pStyle w:val="TextBody"/>
        <w:shd w:fill="FFFFFF" w:val="clear"/>
        <w:bidi w:val="0"/>
        <w:spacing w:before="0" w:after="0"/>
        <w:ind w:left="720" w:right="0" w:hanging="0"/>
        <w:jc w:val="left"/>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 to Purchase Common Stock</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effectiveness of the Fifth Amendment, the Company issued to the Agent warrants to purchase 5,323,298 shares of common stock with an exercise price of $0.01 (the “Fifth Amendment Warrants”). The Fifth Amendment Warrants were required to be issued pursuant to the Forbearance Agreement to account for the reduction in interest rate under the Credit Agreement from 12% to 8% upon the issuance of the January 2024 Notes. The Fifth Amendment Warrants may be exercised for cash or pursuant to a net exercise at any time on or before the date that is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year anniversary of the date of issuance; provided, that the Company shall not effect the exercise of any portion of the Fifth Amendment Warrants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to April 1, 2024 at a price per share below $0.40.</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Developments with Hi Auto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29, 2024, the Company and Hi Auto amended their agreement to allow for each of Hi Auto and the Company to compete for the Checkers relationship, beginning on May 1, 2024. Hi Auto and the Company agree to continue their obligations under the existing agreement until the last remaining contract linked to the existing agreement ends June 30, 2024.</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Liquidity Update</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projects that the net proceeds from the January 2024 Notes, together with the Company’s other cash resources and projected revenues, are sufficient for the Company to sustain its operations through the end of February 2024. The Company is currently exploring alternatives and is in discussions with potential investors to raise capital.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CEO Resignation</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4, 2024, Xavier Casanova tendered his resignation as CEO of the Company, effective immediately. The Company is in the process of identifying candidates to serve as CEO.</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 xml:space="preserve">Notice of Failure to Satisfy a Continued Listing Rule </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February 6, 2024, the Company received a notice from Nasdaq stating that the Company is not in compliance with the requirement to maintain a minimum Market Value of Listed Securities (“MVLS”) of $50 million, as set forth in Nasdaq Listing Rule 5450(b)(2)(A) (the “MVLS Requirement”), because the MVLS of the Company was below $50 million for the 30 consecutive business days prior to February 6, 2024. Nasdaq further indicated that, as of February 6, 2024, the Company did not comply with certain requirements under the alternative standards set forth in Nasdaq Listing Rule 5450(b)(3)(A) for continued listing on the Nasdaq Global Market. The Notice is in addition to the previously disclosed letter received on December 28, 2023, notifying the Company that it was not in compliance with the requirement to maintain a minimum bid price of $1.00 per share, as set forth in Nasdaq Listing Rule 5450(a)(1). The notice does not currently impact the listing of the common stock on the Nasdaq Global Market at this time. The Company has a period of 180 calendar days, or until August 5, 2024, to regain compliance with the MLVS Requirement. During this period, the common stock will continue to trade on the Nasdaq Global Market. If at any time before August 5, 2024 the MLVS closes at $50 million or more for a minimum of ten consecutive business days, Nasdaq will provide written notification that the Company has achieved compliance with the MLVS Requirement and the matter will be closed. In the event the Company does not regain compliance by August 5, 2024, the Company will receive written notification that its securities are subject to delisting. At that time, the Company may appeal the delisting determination to a Hearings Panel. The Notice provides that the Company may be eligible to transfer the listing of its securities to The Nasdaq Capital Market (provided that it then satisfies the requirements for continued listing on that market).</w:t>
      </w:r>
    </w:p>
    <w:p>
      <w:pPr>
        <w:pStyle w:val="TextBody"/>
        <w:pBdr/>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Significant Customer Cancellation</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noted in Note 1, on February 1, 2024, one of the Company’s three major Presto Touch customers informed the Company of its intention to not renew its contract that expires on February 29, 2024.</w:t>
      </w:r>
    </w:p>
    <w:p>
      <w:pPr>
        <w:pStyle w:val="TextBody"/>
        <w:pBdr/>
        <w:shd w:fill="FFFFFF" w:val="clear"/>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Termination of Forbearance Agreement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17, 2024, the Company received notice from the Agent and the Lenders of two events of default under the Credit Agreement: (1) that the Company did not replace its CEO with a chief restructuring officer or person with significant restructuring, turnaround and insolvency experience reasonably acceptable to the Agent within the time period required following the resignation of the prior CEO; and (2) that the Company failed to deliver certain financial reports to the Agent on a weekly basis as required by the Credit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the Agent and the Lenders notified the Company that the forbearance agreement had terminated with the result that the Agent and Lenders are no longer required to forbear from exercising rights and remedies against the Company under the Credit Agreement as a result of these defaults or other existing and anticipated defaults that were the subject of the Forbearance Agreement.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Appointment of Interim Chief Executive Officer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18, 2024, the Board appointed Gee Lefevre as Interim CEO of the Company to fill the previously disclosed vacancy of such position. In his capacity as Interim CEO, Mr. Lefevre will serve as the principal executive officer of the Company.</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749" w:name="ITEM2MANAGEMENTSDISCUSSIONANDANALYSISOFF"/>
      <w:bookmarkStart w:id="1750" w:name="_d674db94_cbf0_4af8_a8f4_74b6a46a6215"/>
      <w:bookmarkEnd w:id="1749"/>
      <w:bookmarkEnd w:id="1750"/>
      <w:r>
        <w:rPr>
          <w:rFonts w:ascii="Times New Roman;Times;serif" w:hAnsi="Times New Roman;Times;serif"/>
          <w:sz w:val="20"/>
        </w:rPr>
        <w:t>ITEM 2. MANAGEMENT’S DISCUSSION AND ANALYSIS OF FINANCIAL CONDITION AND RESULTS OF OPERATIONS.</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should be read in conjunction with Presto’s condensed consolidated financial statements and related notes appearing elsewhere in the Quarterly Report on Form 10-Q and our audited consolidated financial statements as of and for the years ended June 30, 2023 and 2022 and the related notes contained in Part II, Item 8 of the Annual Financial Statements on Form 10-K filed with the SEC on October 10, 2023.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this report. Additionally, Presto’s historical results are not necessarily indicative of the results that may be expected in any future period. Amounts are presented in U.S. dollars.</w:t>
      </w:r>
    </w:p>
    <w:p>
      <w:pPr>
        <w:pStyle w:val="TextBody"/>
        <w:bidi w:val="0"/>
        <w:spacing w:before="0" w:after="24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the Annual Report on Form 10-K filed with the SEC on October 10, 2023:</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provide enterprise grade AI and automation solutions to the restaurant technology industry. Our solutions are designed to decrease labor costs, improve staff productivity, increase revenue and enhance the guest experience. We offer our industry-leading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 and Applebee’s, Chili’s and Red Lobster for Presto Touch.</w:t>
      </w:r>
    </w:p>
    <w:p>
      <w:pPr>
        <w:pStyle w:val="TextBody"/>
        <w:bidi w:val="0"/>
        <w:spacing w:before="0" w:after="0"/>
        <w:ind w:left="0" w:right="0" w:hanging="0"/>
        <w:jc w:val="left"/>
        <w:rPr/>
      </w:pPr>
      <w:r>
        <w:rPr/>
        <w:t>​</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Presto Voice accounts for over 10% of our revenue for the three and six months ended December 31, 2023, and we believe that Presto Voice will contribute an increasing portion of our revenues in the future.</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We are considering strategic alternatives related to our Presto Touch solution including evaluating whether to engage in a wind-down from Presto Touch, which could include either a sale, partial sale or abandonment in the coming months, and allows us to focus our efforts on our Presto Voice solution. </w:t>
      </w:r>
      <w:r>
        <w:rPr>
          <w:rFonts w:ascii="Times New Roman;Times;serif" w:hAnsi="Times New Roman;Times;serif"/>
          <w:color w:val="222222"/>
          <w:sz w:val="20"/>
        </w:rPr>
        <w:t xml:space="preserve">Refer to Note 15 in </w:t>
      </w:r>
      <w:r>
        <w:rPr>
          <w:rFonts w:ascii="Times New Roman;Times;serif" w:hAnsi="Times New Roman;Times;serif"/>
          <w:sz w:val="20"/>
        </w:rPr>
        <w:t>Part I, Item 1, of this Quarterly Report on Form 10-Q</w:t>
      </w:r>
      <w:r>
        <w:rPr>
          <w:rFonts w:ascii="Times New Roman;Times;serif" w:hAnsi="Times New Roman;Times;serif"/>
          <w:color w:val="222222"/>
          <w:sz w:val="20"/>
        </w:rPr>
        <w:t xml:space="preserve"> for details on a memorandum of understanding relating to the Presto Touch solution entered into on January 17, 2024.</w:t>
      </w:r>
    </w:p>
    <w:p>
      <w:pPr>
        <w:pStyle w:val="TextBody"/>
        <w:shd w:fill="FFFFFF" w:val="clear"/>
        <w:bidi w:val="0"/>
        <w:spacing w:before="0" w:after="240"/>
        <w:ind w:left="0" w:right="0" w:hanging="0"/>
        <w:jc w:val="both"/>
        <w:rPr>
          <w:rFonts w:ascii="Times New Roman;Times;serif" w:hAnsi="Times New Roman;Times;serif"/>
          <w:b/>
          <w:color w:val="222222"/>
          <w:sz w:val="20"/>
        </w:rPr>
      </w:pPr>
      <w:r>
        <w:rPr>
          <w:rFonts w:ascii="Times New Roman;Times;serif" w:hAnsi="Times New Roman;Times;serif"/>
          <w:b/>
          <w:color w:val="222222"/>
          <w:sz w:val="20"/>
        </w:rPr>
        <w:t xml:space="preserve">Liquidity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currently face severe liquidity challenges. We project that the net proceeds from our recent capital raise in January 2024, together with our other cash resources and projected revenues, are sufficient for us to sustain our operations through the end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2024. We entered into a forbearance agreement with the Agent, the Lenders and other parties, which was terminated on February 17, 2024 and as a result the Lenders are not required to forbear from exercising remedies under the Credit Agreement related to previous and current events of default. If we are able to raise the required capital by March 8, 2024, additional financing will still be necessary. Our future capital requirements will depend on many factors, including the revenue growth rate, the success of future product development, and the timing and extent of spending to support further sales and marketing and research and development efforts.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cannot offer any assurance that any additional financing will be available on acceptable terms or at all. If the Company is unable to raise additional capital it would likely lead to an event of default under the Credit Agreement and the potential exercise of remedies by the Agent and Lender, which would materially and adversely impact our business, results of operations and financial condition.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Strategy</w:t>
      </w:r>
    </w:p>
    <w:p>
      <w:pPr>
        <w:pStyle w:val="TextBody"/>
        <w:shd w:fill="FFFFFF" w:val="clear"/>
        <w:bidi w:val="0"/>
        <w:spacing w:before="0" w:after="0"/>
        <w:ind w:left="0" w:right="0" w:firstLine="480"/>
        <w:jc w:val="both"/>
        <w:rPr/>
      </w:pPr>
      <w:r>
        <w:rPr/>
        <w:t>​</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Our business is guided by the principles that our solutions should seamlessly and effortlessly increase revenue for restaurant operators, improve productivity of the restaurant staff and enhance the guest experience. These principles ensure that our focus remains aligned with the priorities of our customers and with our objective of being a leader in the restaurant technology market.</w:t>
      </w:r>
    </w:p>
    <w:p>
      <w:pPr>
        <w:pStyle w:val="TextBody"/>
        <w:shd w:fill="FFFFFF" w:val="clear"/>
        <w:bidi w:val="0"/>
        <w:spacing w:before="0" w:after="0"/>
        <w:ind w:left="0" w:right="0" w:firstLine="480"/>
        <w:jc w:val="both"/>
        <w:rPr/>
      </w:pPr>
      <w:r>
        <w:rPr/>
        <w:t>​</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pStyle w:val="TextBody"/>
        <w:shd w:fill="FFFFFF" w:val="clear"/>
        <w:bidi w:val="0"/>
        <w:spacing w:before="0" w:after="240"/>
        <w:ind w:left="0" w:right="0" w:firstLine="480"/>
        <w:jc w:val="left"/>
        <w:rPr>
          <w:rFonts w:ascii="Times New Roman;Times;serif" w:hAnsi="Times New Roman;Times;serif"/>
          <w:sz w:val="20"/>
        </w:rPr>
      </w:pPr>
      <w:r>
        <w:rPr>
          <w:rFonts w:ascii="Times New Roman;Times;serif" w:hAnsi="Times New Roman;Times;serif"/>
          <w:sz w:val="20"/>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Merger with Ventoux CCM Acquisition Corp.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Merger has been accounted for as a reverse recapitalization in accordance with United States Generally Accepted Accounting Principles (“U.S. GAAP”). Under the guidance in ASC 805, </w:t>
      </w:r>
      <w:r>
        <w:rPr>
          <w:rFonts w:ascii="Times New Roman;Times;serif" w:hAnsi="Times New Roman;Times;serif"/>
          <w:i/>
          <w:sz w:val="20"/>
        </w:rPr>
        <w:t>Business Combinations</w:t>
      </w:r>
      <w:r>
        <w:rPr>
          <w:rFonts w:ascii="Times New Roman;Times;serif" w:hAnsi="Times New Roman;Times;serif"/>
          <w:sz w:val="20"/>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Continued Expansion in the Number of Locations in which Our Solutions are Used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Maintaining Relationships with Existing Customers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and six months ended December 31, 2023, our three largest restaurant customers (including, as applicable, the franchisees of such restaurants aggregated as a single customer for reporting purposes) generated an aggregate of approximately 86% and 88% of our revenue, respectively, while for the three and six months ended December 31, 2022, they generated an aggregate of approximately 96% and 97%, respectively.  Two of these customers have entered into contracts for our Presto Touch that expire or were extended to June 30, 2024 and one customer’s contract term ends February 29, 2024. All three customers do not intend to renew.  Our effort to satisfy our lender by securing renewals of Presto Touch with all our existing customers with a transition to our next generation technology was not achieved as we have received notifications from two major customers of their intent to not renew on the next generation technology. Our lender required the renewals to be secured by December 31, 2023 and if not to provide and implement a strategic wind-down plan that is reasonably acceptable to Metropolitan with respect to Presto Touch. We are considering strategic alternatives with regards to our Presto Touch solution and are evaluating whether to engage in a wind-down which could be either a sale, partial sale or abandonment of the Presto Touch business in the coming months, to allow us to focus our efforts on our Presto Voice business. </w:t>
      </w:r>
      <w:r>
        <w:rPr>
          <w:rFonts w:ascii="Times New Roman;Times;serif" w:hAnsi="Times New Roman;Times;serif"/>
          <w:color w:val="222222"/>
          <w:sz w:val="20"/>
        </w:rPr>
        <w:t>Refer to Note 15 of Part 1, Item 1 of this quarterly report on Form 10-Q for details on a memorandum of understanding relating to the Presto Touch solution entered into on January 17, 2024.</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Attraction of New Customers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there is a substantial opportunity to continue to grow our restaurant solutions across the QSR sectors in the United States. Since the third quarter of 2022, we have signed several pilot agreements with new customers for Presto Voice. We hope to convert each of our pilot customers into broader customer relationships in the fiscal years 2024 and 2025.  We believe that this will serve as a driver of revenue in the future.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Continued Innovation of Our AI Technology  </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the machine learning associated with all AI technology, including our solution, we use an approach which is commonly employed in the AI industry referred to as human-in-the loop (HITL) to ensure the desired level of accuracy in order taking is achieved.  If we are unable to reduce the degree or cost of HITL and/or achieve greater efficiencies with our human agents, our results of operations and business may be adversely affected.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we continue to grow our Presto Voice business, we are focusing on increasing the rate at which our solution successfully receives orders without the need for any HITL. As we continue to improve our AI accuracy and further deploy Presto Voice across store locations, we believe that the percentage of orders that do not require any human agent intervention will reach 30% or better.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select locations where we our piloting the most advanced version of its AI technology, approximately 30% of orders taken at those locations do not require human agents to enter the orders. With this version of the AI engine, although the AI is able to complete the order without a human agent intervention, human supervision ensures that the AI is accurately entering the order and is immediately ready to review, validate and correct orders if necessary. We are rolling out this enhanced AI capability to all restaurants enabled by our AI technology and target enabling more than 80% of these stores by March 31, 2024. Pending the completion of that roll out, locations that use our AI technology currently use human agent intervention, including entering the order, in all instances.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January 17, 2024, our Voice AI technology has been installed in 122 restaurant locations (e.g., locations other than the 347 Checkers locations which are powered by Hi Auto’s solution). Of these 122 stores, 44 stores are using the most advanced version of our Voice AI technology and on average approximately 30% of orders taken at those locations do not require human intervention to complete the order. In these locations, human supervision still ensures that the Voice AI is accurately entering the order and is immediately ready to review, validate and correct orders if necessary. The percentage of orders that on average do not require human intervention may fluctuate over time as we continue the roll out of our technology. As of January 16, 2024, we had contracts for the installation of our Voice AI technology at an additional 184 restaurant locations.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 increasing automation of orders through our improving AI engine and continuing to optimize human intervention will allow us to maintain desired levels of order accuracy while achieving profitability at the restaurant location level (referred to as “site margin”)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pPr>
      <w:r>
        <w:rPr/>
        <w:t>​</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Seasonality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Continued Implementation of On-Going Cost Improvement Program</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became a public company through a deSPAC process on September 21, 2022 upon the consummation of the Business Combination and, as a result, are incurring costs related to, among other things, directors’ and officers’ liability insurance and audit, legal and other functions.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taken several steps during 2023 to operate our business more efficiently, improve profitability, streamline operations and reduce costs, including a reduction in force of our global full-time employees by 17% on November 15, 2023. The current execution of this cost reduction plan resulted in approximately $0.5 million in cost reduction charges for the three and six months ended December 31, 2023.  In addition, we have implemented initiatives including realigning personnel and other resources consistent with our current business needs and strategic plans. We intend to continue to evaluate opportunities to enhance our efficiencies, including further cost reductions as necessary.</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17, 2024, we entered into a non-binding memorandum of understanding (“MoU”) with respect to the formation of a new company (the “Joint Venture”) for the creation of and joint investment in our Presto Touch. Following the closing of the Joint Venture, we will cease our own operations of the Presto Touch and will not be responsible for subsequent costs. We expect to enter into a transition services agreement with the Joint Venture for a limited period with respect to certain services.  The MoU specifies that we will own 40% of the Joint Venture.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December 31,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Over the last several months, we have been evaluating strategic alternatives for our Presto Touch solution and on January 17, 2024, we entered into a non-binding memorandum of understanding to form a new company for the purpose of the creation of a joint venture in the tablet touchscreen and tabletop ordering and restaurant services platform business currently owned by us. Following the closing of the transaction, we will cease operations of the Presto Touch business and we will not be responsible for ongoing costs with respect to the Presto Touch business. It is expected that we will enter into a transition services agreement with the Joint Venture for a limited period with respect to certain services. This will adversely impact our total revenue in the short-term, but we believe it will position us for revenue growth in the long-term. </w:t>
      </w:r>
      <w:r>
        <w:rPr>
          <w:rFonts w:ascii="Times New Roman;Times;serif" w:hAnsi="Times New Roman;Times;serif"/>
          <w:color w:val="222222"/>
          <w:sz w:val="20"/>
        </w:rPr>
        <w:t>Refer to Note 15 of Part 1, Item 1 of this quarterly report on Form 10-Q for details on this memorandum of understanding relating to the Presto Touch solution.</w:t>
      </w:r>
    </w:p>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Platform Revenue</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During the three and six months ended December 31, 2023, our Voice solutions for drive-thru restaurants contributed $0.6 million and $1.0 million respectively, which accounts for 12% and 10% of the total revenue generated during the respective periods. Revenue generated from Presto Voice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was not material for the three and six months ended December 31, 2022.We are dedicated to expanding our presence in the drive-thru restaurant market, and we are committed to driving continued growth in our Presto Voice revenue stream.</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an agreement with Hi Auto Ltd, (“Hi Auto”), we remit a revenue share associated with our Presto Voice at Checkers locations.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64% to 66% of the gross billings to the restaurant operators for the three and six months ended December 31, 2023 and between 64% and 68% for the three and six months ended December 31, 2022.  Our revenue for the three and six months ended December 31, 2023 and 2022, from Checkers also reflects, as a reduction to transaction price, the fair value of the warrant issued to Checkers. (See Note 3 of the condensed consolidated financial statements included within this Quarterly Report on Form 10-Q for further details).  We also pay Hi Auto a fee that is accounted for as cost of revenue which was $0.3 million and $0.6 million for the three and six months ended December 31, 2023, respectively, and $0.4 million and $0.5 million for the three and six months ended December 31, 2022, respectively.</w:t>
      </w:r>
    </w:p>
    <w:p>
      <w:pPr>
        <w:pStyle w:val="TextBody"/>
        <w:bidi w:val="0"/>
        <w:spacing w:lineRule="auto" w:line="240" w:before="0" w:after="0"/>
        <w:ind w:left="0" w:right="0" w:firstLine="720"/>
        <w:jc w:val="left"/>
        <w:rPr>
          <w:rFonts w:ascii="Times New Roman;Times;serif" w:hAnsi="Times New Roman;Times;serif"/>
          <w:sz w:val="14"/>
        </w:rPr>
      </w:pPr>
      <w:r>
        <w:rPr>
          <w:rFonts w:ascii="Times New Roman;Times;serif" w:hAnsi="Times New Roman;Times;serif"/>
          <w:sz w:val="20"/>
        </w:rPr>
        <w:t>We also maintain an agreement with a legacy customer whereby we lease Presto Touch to that customer.</w:t>
      </w:r>
      <w:r>
        <w:rPr>
          <w:rFonts w:ascii="Times New Roman;Times;serif" w:hAnsi="Times New Roman;Times;serif"/>
          <w:sz w:val="14"/>
        </w:rPr>
        <w:t xml:space="preserve">  </w:t>
      </w:r>
      <w:r>
        <w:rPr>
          <w:rFonts w:ascii="Times New Roman;Times;serif" w:hAnsi="Times New Roman;Times;serif"/>
          <w:sz w:val="20"/>
        </w:rPr>
        <w:t>Revenue associated with the lease is recognized on a straight-line basis as Platform revenue over the lease term in the condensed consolidated statements of operations and comprehensive income (loss).</w:t>
      </w:r>
    </w:p>
    <w:p>
      <w:pPr>
        <w:pStyle w:val="TextBody"/>
        <w:pBdr/>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 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a lesser extent,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discussed above, regarding anticipated transition away from our Presto Touch business, we expect that this action will adversely impact our transaction revenue as it is related to our Presto Touch solution.</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pStyle w:val="TextBody"/>
        <w:shd w:fill="FFFFFF" w:val="clear"/>
        <w:bidi w:val="0"/>
        <w:spacing w:before="0" w:after="0"/>
        <w:ind w:left="0" w:right="0" w:firstLine="72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86% to 98% and 86% to 96% of premium gaming content revenue by customer brand for the three and six months ended December 31, 2023, respectively, and 83% to 90% and 83% to 92% for the three and six months ended December 31, 2022, respectively.</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Depreciation, amortization and impairment cost of revenue consists primarily of the costs of leased assets that are included in property and equipment, net in the balance sheet that are amortized to cost of revenue as well as capitalized software amortization.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 impairment charges are included for obsolete developed technology acquired in the CyborgOps acquisition and inventory related to Presto Touch.</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and will continue to implement measures to streamline operations, improve efficiencies, increase profitability and reduce costs on a go forward basis, including a realignment of personnel and other resources consistent with our strategic plans.  We may nonetheless face increased legal expenses as we address litigation and government investigations.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Research and development</w:t>
      </w:r>
      <w:r>
        <w:rPr>
          <w:rFonts w:ascii="Times New Roman;Times;serif" w:hAnsi="Times New Roman;Times;serif"/>
          <w:sz w:val="20"/>
        </w:rPr>
        <w:t xml:space="preserve">. Research and development expenses consist primarily of employee-related costs associated with maintenance and the development of our solutions, and expenses associated with the use of third-party software directly related to the preliminary development and maintenance of our solutions and services, as well as allocated overhead. In addition, research and development expenses includes the impairment of intangible assets that were never placed into service. These costs are expensed as incurred unless they meet the requirements for capitalization. </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Sales and Marketing</w:t>
      </w:r>
      <w:r>
        <w:rPr>
          <w:rFonts w:ascii="Times New Roman;Times;serif" w:hAnsi="Times New Roman;Times;serif"/>
          <w:sz w:val="20"/>
        </w:rPr>
        <w:t>. Sales and marketing expenses consist primarily of employee-related costs incurred to acquire new customers and increase product adoption across our existing customer base. Marketing expenses also include fees incurred to generate demand through various advertising channels and allocated overhead costs.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and Convertible Promissory Notes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Black-Scholes-Merton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Black-Scholes-Merton valuation model are classified as equity instruments. Warrants classified as equity instruments are initially recognized at fair value and are not subsequently remeasured.</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expense primarily consists of interest incurred on our financing obligations and outstanding loans.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Loss on Extinguishment of Debt and Financial Obligations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Loss on extinguishment of debt and financial obligations consists of losses incurred related to the extinguishment of our term loans outstanding prior to the Merger during the six months ended December 31, 2022 and the extinguishment of our financial obligation with third parties during the three and six months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financing and financial instrument costs, net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financing and financial instrument costs, net primarily consists of expense related to the issuance of shares of common stock and the transfer of warrants upon termination of a convertible note agreement in the six months ended December 31, 2022, and associated legal fees, offset by the remeasurement of the liability related to the Unvested Sponsor Shares.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account for the arrangement related to the Unvested Sponsor Shares in accordance with ASC 815-40 as equity-linked instruments which are not indexed to the entity’s own stock and accordingly such instruments are liability classified.</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Income, Net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income, net includes income of $2.0 million due to the forgiveness of our Paycheck Protection Program (“PPP”) loans in the six months ended December 31, 2022.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three and six months ended December 31, 2023.</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(Benefit) for Income Taxes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position. The amount that is ultimately sustained for an individual uncertain tax position or for all uncertain tax positions in the aggregate could differ from the amount that is initially recognized.</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record interest and penalties related to income tax matters in income tax expense.</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three and six months ended December 31, 2023 and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283"/>
        <w:gridCol w:w="326"/>
        <w:gridCol w:w="230"/>
        <w:gridCol w:w="851"/>
        <w:gridCol w:w="355"/>
        <w:gridCol w:w="230"/>
        <w:gridCol w:w="851"/>
        <w:gridCol w:w="326"/>
        <w:gridCol w:w="217"/>
        <w:gridCol w:w="804"/>
        <w:gridCol w:w="335"/>
        <w:gridCol w:w="217"/>
        <w:gridCol w:w="804"/>
        <w:gridCol w:w="376"/>
      </w:tblGrid>
      <w:tr>
        <w:trPr/>
        <w:tc>
          <w:tcPr>
            <w:tcW w:w="4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719705" cy="175260"/>
                      <wp:effectExtent l="0" t="0" r="0" b="0"/>
                      <wp:wrapNone/>
                      <wp:docPr id="331" name="Frame331"/>
                      <a:graphic xmlns:a="http://schemas.openxmlformats.org/drawingml/2006/main">
                        <a:graphicData uri="http://schemas.microsoft.com/office/word/2010/wordprocessingShape">
                          <wps:wsp>
                            <wps:cNvSpPr txBox="1"/>
                            <wps:spPr>
                              <a:xfrm>
                                <a:off x="0" y="0"/>
                                <a:ext cx="271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6050" cy="175260"/>
                      <wp:effectExtent l="0" t="0" r="0" b="0"/>
                      <wp:wrapNone/>
                      <wp:docPr id="333" name="Frame33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40385" cy="175260"/>
                      <wp:effectExtent l="0" t="0" r="0" b="0"/>
                      <wp:wrapNone/>
                      <wp:docPr id="334" name="Frame334"/>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25425" cy="175260"/>
                      <wp:effectExtent l="0" t="0" r="0" b="0"/>
                      <wp:wrapNone/>
                      <wp:docPr id="335" name="Frame33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6050" cy="175260"/>
                      <wp:effectExtent l="0" t="0" r="0" b="0"/>
                      <wp:wrapNone/>
                      <wp:docPr id="336" name="Frame33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40385" cy="175260"/>
                      <wp:effectExtent l="0" t="0" r="0" b="0"/>
                      <wp:wrapNone/>
                      <wp:docPr id="337" name="Frame337"/>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7795" cy="175260"/>
                      <wp:effectExtent l="0" t="0" r="0" b="0"/>
                      <wp:wrapNone/>
                      <wp:docPr id="339" name="Frame33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10540" cy="175260"/>
                      <wp:effectExtent l="0" t="0" r="0" b="0"/>
                      <wp:wrapNone/>
                      <wp:docPr id="340" name="Frame34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2725" cy="175260"/>
                      <wp:effectExtent l="0" t="0" r="0" b="0"/>
                      <wp:wrapNone/>
                      <wp:docPr id="341" name="Frame34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7795" cy="175260"/>
                      <wp:effectExtent l="0" t="0" r="0" b="0"/>
                      <wp:wrapNone/>
                      <wp:docPr id="342" name="Frame34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10540" cy="175260"/>
                      <wp:effectExtent l="0" t="0" r="0" b="0"/>
                      <wp:wrapNone/>
                      <wp:docPr id="343" name="Frame343"/>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38760" cy="175260"/>
                      <wp:effectExtent l="0" t="0" r="0" b="0"/>
                      <wp:wrapNone/>
                      <wp:docPr id="344" name="Frame34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center"/>
              <w:rPr/>
            </w:pPr>
            <w:r>
              <w:rPr/>
              <w:t>    </w:t>
            </w:r>
          </w:p>
        </w:tc>
        <w:tc>
          <w:tcPr>
            <w:tcW w:w="237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76" w:type="dxa"/>
            <w:tcBorders/>
            <w:vAlign w:val="center"/>
          </w:tcPr>
          <w:p>
            <w:pPr>
              <w:pStyle w:val="TableContents"/>
              <w:bidi w:val="0"/>
              <w:spacing w:before="0" w:after="0"/>
              <w:ind w:left="0" w:right="0" w:hanging="0"/>
              <w:jc w:val="center"/>
              <w:rPr/>
            </w:pPr>
            <w:r>
              <w:rPr/>
              <w:t>    </w:t>
            </w:r>
          </w:p>
        </w:tc>
      </w:tr>
      <w:tr>
        <w:trPr/>
        <w:tc>
          <w:tcPr>
            <w:tcW w:w="42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5"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6" w:type="dxa"/>
            <w:tcBorders/>
            <w:vAlign w:val="center"/>
          </w:tcPr>
          <w:p>
            <w:pPr>
              <w:pStyle w:val="TableContents"/>
              <w:bidi w:val="0"/>
              <w:spacing w:before="0" w:after="0"/>
              <w:ind w:left="0" w:right="0" w:hanging="0"/>
              <w:jc w:val="center"/>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center"/>
              <w:rPr/>
            </w:pPr>
            <w:r>
              <w:rPr/>
              <w:t>  </w:t>
            </w:r>
          </w:p>
        </w:tc>
        <w:tc>
          <w:tcPr>
            <w:tcW w:w="851"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center"/>
              <w:rPr/>
            </w:pPr>
            <w:r>
              <w:rPr/>
              <w:t>  </w:t>
            </w:r>
          </w:p>
        </w:tc>
        <w:tc>
          <w:tcPr>
            <w:tcW w:w="8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center"/>
              <w:rPr/>
            </w:pPr>
            <w:r>
              <w:rPr/>
              <w:t>  </w:t>
            </w:r>
          </w:p>
        </w:tc>
        <w:tc>
          <w:tcPr>
            <w:tcW w:w="804" w:type="dxa"/>
            <w:tcBorders/>
            <w:shd w:fill="CCEEFF" w:val="clear"/>
            <w:vAlign w:val="center"/>
          </w:tcPr>
          <w:p>
            <w:pPr>
              <w:pStyle w:val="TableContents"/>
              <w:bidi w:val="0"/>
              <w:spacing w:before="0" w:after="0"/>
              <w:ind w:left="0" w:right="0" w:hanging="0"/>
              <w:jc w:val="center"/>
              <w:rPr/>
            </w:pPr>
            <w:r>
              <w:rPr/>
              <w:t>​</w:t>
            </w:r>
          </w:p>
        </w:tc>
        <w:tc>
          <w:tcPr>
            <w:tcW w:w="335"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center"/>
              <w:rPr/>
            </w:pPr>
            <w:r>
              <w:rPr/>
              <w:t>  </w:t>
            </w:r>
          </w:p>
        </w:tc>
        <w:tc>
          <w:tcPr>
            <w:tcW w:w="804"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8,529</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5,537</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6,180</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9,778</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14,709</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8,208</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amortization and impairments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14,267</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  </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3,835</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4,626</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6,276</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16,799</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12,200</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18,948</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13,615</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32,416</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28,207</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(19,900)</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(13,606)</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(33,165)</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(27,765)</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26,311</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59,444</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(6,406)</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(costs), net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20,479</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45,530</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(18,054)</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(17,024)</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(12,686)</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17,765</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4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6" w:type="dxa"/>
            <w:tcBorders/>
            <w:vAlign w:val="center"/>
          </w:tcPr>
          <w:p>
            <w:pPr>
              <w:pStyle w:val="TableContents"/>
              <w:bidi w:val="0"/>
              <w:spacing w:before="0" w:after="0"/>
              <w:ind w:left="0" w:right="0" w:hanging="0"/>
              <w:jc w:val="left"/>
              <w:rPr/>
            </w:pPr>
            <w:r>
              <w:rPr/>
              <w:t>​</w:t>
            </w:r>
          </w:p>
        </w:tc>
      </w:tr>
      <w:tr>
        <w:trPr/>
        <w:tc>
          <w:tcPr>
            <w:tcW w:w="4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and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(18,054)</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(17,029)</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w:t>
            </w:r>
          </w:p>
        </w:tc>
        <w:tc>
          <w:tcPr>
            <w:tcW w:w="37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92"/>
        <w:gridCol w:w="326"/>
        <w:gridCol w:w="216"/>
        <w:gridCol w:w="587"/>
        <w:gridCol w:w="335"/>
        <w:gridCol w:w="216"/>
        <w:gridCol w:w="587"/>
        <w:gridCol w:w="146"/>
        <w:gridCol w:w="211"/>
        <w:gridCol w:w="635"/>
        <w:gridCol w:w="326"/>
        <w:gridCol w:w="380"/>
        <w:gridCol w:w="271"/>
        <w:gridCol w:w="326"/>
        <w:gridCol w:w="214"/>
        <w:gridCol w:w="580"/>
        <w:gridCol w:w="331"/>
        <w:gridCol w:w="214"/>
        <w:gridCol w:w="686"/>
        <w:gridCol w:w="326"/>
        <w:gridCol w:w="211"/>
        <w:gridCol w:w="635"/>
        <w:gridCol w:w="326"/>
        <w:gridCol w:w="380"/>
        <w:gridCol w:w="271"/>
        <w:gridCol w:w="377"/>
      </w:tblGrid>
      <w:tr>
        <w:trPr/>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3420" cy="175260"/>
                      <wp:effectExtent l="0" t="0" r="0" b="0"/>
                      <wp:wrapNone/>
                      <wp:docPr id="345" name="Frame345"/>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7160" cy="175260"/>
                      <wp:effectExtent l="0" t="0" r="0" b="0"/>
                      <wp:wrapNone/>
                      <wp:docPr id="347" name="Frame34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72745" cy="175260"/>
                      <wp:effectExtent l="0" t="0" r="0" b="0"/>
                      <wp:wrapNone/>
                      <wp:docPr id="348" name="Frame348"/>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2725" cy="175260"/>
                      <wp:effectExtent l="0" t="0" r="0" b="0"/>
                      <wp:wrapNone/>
                      <wp:docPr id="349" name="Frame34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7160" cy="175260"/>
                      <wp:effectExtent l="0" t="0" r="0" b="0"/>
                      <wp:wrapNone/>
                      <wp:docPr id="350" name="Frame35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72745" cy="175260"/>
                      <wp:effectExtent l="0" t="0" r="0" b="0"/>
                      <wp:wrapNone/>
                      <wp:docPr id="351" name="Frame351"/>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92710" cy="175260"/>
                      <wp:effectExtent l="0" t="0" r="0" b="0"/>
                      <wp:wrapNone/>
                      <wp:docPr id="352" name="Frame3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03225" cy="175260"/>
                      <wp:effectExtent l="0" t="0" r="0" b="0"/>
                      <wp:wrapNone/>
                      <wp:docPr id="354" name="Frame354"/>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41300" cy="175260"/>
                      <wp:effectExtent l="0" t="0" r="0" b="0"/>
                      <wp:wrapNone/>
                      <wp:docPr id="356" name="Frame35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2085" cy="175260"/>
                      <wp:effectExtent l="0" t="0" r="0" b="0"/>
                      <wp:wrapNone/>
                      <wp:docPr id="357" name="Frame35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5890" cy="175260"/>
                      <wp:effectExtent l="0" t="0" r="0" b="0"/>
                      <wp:wrapNone/>
                      <wp:docPr id="359" name="Frame35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68300" cy="175260"/>
                      <wp:effectExtent l="0" t="0" r="0" b="0"/>
                      <wp:wrapNone/>
                      <wp:docPr id="360" name="Frame360"/>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0185" cy="175260"/>
                      <wp:effectExtent l="0" t="0" r="0" b="0"/>
                      <wp:wrapNone/>
                      <wp:docPr id="361" name="Frame36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5890" cy="175260"/>
                      <wp:effectExtent l="0" t="0" r="0" b="0"/>
                      <wp:wrapNone/>
                      <wp:docPr id="362" name="Frame36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35610" cy="175260"/>
                      <wp:effectExtent l="0" t="0" r="0" b="0"/>
                      <wp:wrapNone/>
                      <wp:docPr id="363" name="Frame36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03225" cy="175260"/>
                      <wp:effectExtent l="0" t="0" r="0" b="0"/>
                      <wp:wrapNone/>
                      <wp:docPr id="366" name="Frame366"/>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41300" cy="175260"/>
                      <wp:effectExtent l="0" t="0" r="0" b="0"/>
                      <wp:wrapNone/>
                      <wp:docPr id="368" name="Frame36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72085" cy="175260"/>
                      <wp:effectExtent l="0" t="0" r="0" b="0"/>
                      <wp:wrapNone/>
                      <wp:docPr id="369" name="Frame3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39395" cy="175260"/>
                      <wp:effectExtent l="0" t="0" r="0" b="0"/>
                      <wp:wrapNone/>
                      <wp:docPr id="370" name="Frame37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146" w:type="dxa"/>
            <w:tcBorders/>
            <w:vAlign w:val="center"/>
          </w:tcPr>
          <w:p>
            <w:pPr>
              <w:pStyle w:val="TableContents"/>
              <w:bidi w:val="0"/>
              <w:spacing w:before="0" w:after="0"/>
              <w:ind w:left="0" w:right="0" w:hanging="0"/>
              <w:jc w:val="center"/>
              <w:rPr/>
            </w:pPr>
            <w:r>
              <w:rPr/>
              <w:t>​</w:t>
            </w:r>
          </w:p>
        </w:tc>
        <w:tc>
          <w:tcPr>
            <w:tcW w:w="15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center"/>
              <w:rPr/>
            </w:pPr>
            <w:r>
              <w:rPr/>
              <w:t>    </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center"/>
              <w:rPr/>
            </w:pPr>
            <w:r>
              <w:rPr/>
              <w:t>    </w:t>
            </w:r>
          </w:p>
        </w:tc>
        <w:tc>
          <w:tcPr>
            <w:tcW w:w="15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center"/>
              <w:rPr/>
            </w:pPr>
            <w:r>
              <w:rPr/>
              <w:t>    </w:t>
            </w:r>
          </w:p>
        </w:tc>
      </w:tr>
      <w:tr>
        <w:trPr/>
        <w:tc>
          <w:tcPr>
            <w:tcW w:w="10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5" w:type="dxa"/>
            <w:tcBorders/>
            <w:vAlign w:val="center"/>
          </w:tcPr>
          <w:p>
            <w:pPr>
              <w:pStyle w:val="TableContents"/>
              <w:bidi w:val="0"/>
              <w:spacing w:before="0" w:after="0"/>
              <w:ind w:left="0" w:right="0" w:hanging="0"/>
              <w:jc w:val="center"/>
              <w:rPr/>
            </w:pPr>
            <w:r>
              <w:rPr/>
              <w:t>    </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center"/>
              <w:rPr/>
            </w:pPr>
            <w:r>
              <w:rPr/>
              <w:t>​</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1" w:type="dxa"/>
            <w:tcBorders/>
            <w:vAlign w:val="center"/>
          </w:tcPr>
          <w:p>
            <w:pPr>
              <w:pStyle w:val="TableContents"/>
              <w:bidi w:val="0"/>
              <w:spacing w:before="0" w:after="0"/>
              <w:ind w:left="0" w:right="0" w:hanging="0"/>
              <w:jc w:val="center"/>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center"/>
              <w:rPr/>
            </w:pPr>
            <w:r>
              <w:rPr/>
              <w:t>​</w:t>
            </w:r>
          </w:p>
        </w:tc>
      </w:tr>
      <w:tr>
        <w:trPr/>
        <w:tc>
          <w:tcPr>
            <w:tcW w:w="10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w:t>
            </w:r>
          </w:p>
        </w:tc>
        <w:tc>
          <w:tcPr>
            <w:tcW w:w="335"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c>
          <w:tcPr>
            <w:tcW w:w="1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w:t>
            </w:r>
          </w:p>
        </w:tc>
        <w:tc>
          <w:tcPr>
            <w:tcW w:w="32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331"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(4,288)</w:t>
            </w:r>
          </w:p>
        </w:tc>
        <w:tc>
          <w:tcPr>
            <w:tcW w:w="32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7" w:type="dxa"/>
            <w:tcBorders/>
            <w:shd w:fill="CCEEFF" w:val="clear"/>
            <w:vAlign w:val="center"/>
          </w:tcPr>
          <w:p>
            <w:pPr>
              <w:pStyle w:val="TableContents"/>
              <w:bidi w:val="0"/>
              <w:spacing w:before="0" w:after="0"/>
              <w:ind w:left="0" w:right="0" w:hanging="0"/>
              <w:jc w:val="center"/>
              <w:rPr/>
            </w:pPr>
            <w:r>
              <w:rPr/>
              <w:t>​</w:t>
            </w:r>
          </w:p>
        </w:tc>
      </w:tr>
      <w:tr>
        <w:trPr/>
        <w:tc>
          <w:tcPr>
            <w:tcW w:w="1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0"/>
              <w:ind w:left="0" w:right="0" w:hanging="0"/>
              <w:jc w:val="left"/>
              <w:rPr/>
            </w:pPr>
            <w:r>
              <w:rPr/>
              <w:t> </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w:t>
            </w:r>
          </w:p>
        </w:tc>
        <w:tc>
          <w:tcPr>
            <w:tcW w:w="335" w:type="dxa"/>
            <w:tcBorders/>
            <w:vAlign w:val="center"/>
          </w:tcPr>
          <w:p>
            <w:pPr>
              <w:pStyle w:val="TableContents"/>
              <w:bidi w:val="0"/>
              <w:spacing w:before="0" w:after="0"/>
              <w:ind w:left="0" w:right="0" w:hanging="0"/>
              <w:jc w:val="left"/>
              <w:rPr/>
            </w:pPr>
            <w:r>
              <w:rPr/>
              <w:t> </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vAlign w:val="center"/>
          </w:tcPr>
          <w:p>
            <w:pPr>
              <w:pStyle w:val="TableContents"/>
              <w:bidi w:val="0"/>
              <w:spacing w:before="0" w:after="0"/>
              <w:ind w:left="0" w:right="0" w:hanging="0"/>
              <w:jc w:val="left"/>
              <w:rPr/>
            </w:pPr>
            <w:r>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5,537</w:t>
            </w:r>
          </w:p>
        </w:tc>
        <w:tc>
          <w:tcPr>
            <w:tcW w:w="331"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vAlign w:val="center"/>
          </w:tcPr>
          <w:p>
            <w:pPr>
              <w:pStyle w:val="TableContents"/>
              <w:bidi w:val="0"/>
              <w:spacing w:before="0" w:after="0"/>
              <w:ind w:left="0" w:right="0" w:hanging="0"/>
              <w:jc w:val="left"/>
              <w:rPr/>
            </w:pPr>
            <w:r>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7" w:type="dxa"/>
            <w:tcBorders/>
            <w:vAlign w:val="center"/>
          </w:tcPr>
          <w:p>
            <w:pPr>
              <w:pStyle w:val="TableContents"/>
              <w:bidi w:val="0"/>
              <w:spacing w:before="0" w:after="0"/>
              <w:ind w:left="0" w:right="0" w:hanging="0"/>
              <w:jc w:val="left"/>
              <w:rPr/>
            </w:pPr>
            <w:r>
              <w:rPr/>
              <w:t> </w:t>
            </w:r>
          </w:p>
        </w:tc>
      </w:tr>
      <w:tr>
        <w:trPr/>
        <w:tc>
          <w:tcPr>
            <w:tcW w:w="10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w:t>
            </w:r>
          </w:p>
        </w:tc>
        <w:tc>
          <w:tcPr>
            <w:tcW w:w="335"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9,778</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326" w:type="dxa"/>
            <w:tcBorders/>
            <w:shd w:fill="CCEEFF" w:val="clear"/>
            <w:vAlign w:val="center"/>
          </w:tcPr>
          <w:p>
            <w:pPr>
              <w:pStyle w:val="TableContents"/>
              <w:bidi w:val="0"/>
              <w:spacing w:before="0" w:after="0"/>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revenue decreased 33% to $4.9 million for the three months ended December 31, 2023, as compared to $7.4 million for the three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Platform revenue decreased 47% to $2.2 million for the three months ended December 31, 2023, as compared to $4.1 million for the three months ended December 31, 2022. The d</w:t>
      </w:r>
      <w:r>
        <w:rPr>
          <w:rFonts w:ascii="Times New Roman;Times;serif" w:hAnsi="Times New Roman;Times;serif"/>
          <w:sz w:val="20"/>
          <w:shd w:fill="FFFFFF" w:val="clear"/>
        </w:rPr>
        <w:t xml:space="preserve">ecrease is </w:t>
      </w:r>
      <w:r>
        <w:rPr>
          <w:rFonts w:ascii="Times New Roman;Times;serif" w:hAnsi="Times New Roman;Times;serif"/>
          <w:sz w:val="20"/>
        </w:rPr>
        <w:t>primarily attributable to the amortization and roll-off of deferred revenue related to legacy Touch contracts. This was offset by an increase of $0.6 million in the Presto Voice solution revenue, attributable to the continued rollout to new locations.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Transaction revenue decreased 16% to $2.7 million for the three months ended December 31, 2023, as compared to $3.2 million for the three months ended December 31, 2022. This is primarily attributable to lower volume of games being played by restaurant guests</w:t>
      </w:r>
      <w:r>
        <w:rPr>
          <w:rFonts w:ascii="Times New Roman;Times;serif" w:hAnsi="Times New Roman;Times;serif"/>
          <w:sz w:val="20"/>
          <w:shd w:fill="FFFFFF" w:val="clear"/>
        </w:rPr>
        <w:t>, partially offset by increases in pricing for our gaming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revenue decreased 34% to $9.8 million for the six months ended December 31, 2023, as compared to $14.7 million for the six months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Platform revenue decreased 50% to $4.2 million for the six months ended December 31, 2023, as compared to $8.5 million for the six months ended December 31, 2022. The d</w:t>
      </w:r>
      <w:r>
        <w:rPr>
          <w:rFonts w:ascii="Times New Roman;Times;serif" w:hAnsi="Times New Roman;Times;serif"/>
          <w:sz w:val="20"/>
          <w:shd w:fill="FFFFFF" w:val="clear"/>
        </w:rPr>
        <w:t xml:space="preserve">ecrease is </w:t>
      </w:r>
      <w:r>
        <w:rPr>
          <w:rFonts w:ascii="Times New Roman;Times;serif" w:hAnsi="Times New Roman;Times;serif"/>
          <w:sz w:val="20"/>
        </w:rPr>
        <w:t>primarily attributable to the amortization and roll-off of deferred revenue related to legacy Touch contracts. This was offset by an increase of $1.0 million in the Presto Voice solution revenue, attributable to the continued rollout to new locations.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Transaction revenue decreased 10% to $5.5 million for the six months ended December 31, 2023, as compared to $6.2 million for the six months ended December 31, 2022. This is primarily attributable to lower volume of games being played by restaurant guests</w:t>
      </w:r>
      <w:r>
        <w:rPr>
          <w:rFonts w:ascii="Times New Roman;Times;serif" w:hAnsi="Times New Roman;Times;serif"/>
          <w:sz w:val="20"/>
          <w:shd w:fill="FFFFFF" w:val="clear"/>
        </w:rPr>
        <w:t>, partially offset by increases in pricing for our gaming fees.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tbl>
      <w:tblPr>
        <w:tblW w:w="10601" w:type="dxa"/>
        <w:jc w:val="left"/>
        <w:tblInd w:w="0" w:type="dxa"/>
        <w:tblLayout w:type="fixed"/>
        <w:tblCellMar>
          <w:top w:w="0" w:type="dxa"/>
          <w:left w:w="0" w:type="dxa"/>
          <w:bottom w:w="0" w:type="dxa"/>
          <w:right w:w="0" w:type="dxa"/>
        </w:tblCellMar>
      </w:tblPr>
      <w:tblGrid>
        <w:gridCol w:w="1216"/>
        <w:gridCol w:w="326"/>
        <w:gridCol w:w="211"/>
        <w:gridCol w:w="571"/>
        <w:gridCol w:w="326"/>
        <w:gridCol w:w="211"/>
        <w:gridCol w:w="571"/>
        <w:gridCol w:w="326"/>
        <w:gridCol w:w="211"/>
        <w:gridCol w:w="631"/>
        <w:gridCol w:w="326"/>
        <w:gridCol w:w="421"/>
        <w:gridCol w:w="271"/>
        <w:gridCol w:w="326"/>
        <w:gridCol w:w="211"/>
        <w:gridCol w:w="676"/>
        <w:gridCol w:w="326"/>
        <w:gridCol w:w="211"/>
        <w:gridCol w:w="676"/>
        <w:gridCol w:w="326"/>
        <w:gridCol w:w="211"/>
        <w:gridCol w:w="631"/>
        <w:gridCol w:w="326"/>
        <w:gridCol w:w="421"/>
        <w:gridCol w:w="271"/>
        <w:gridCol w:w="371"/>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72160" cy="175260"/>
                      <wp:effectExtent l="0" t="0" r="0" b="0"/>
                      <wp:wrapNone/>
                      <wp:docPr id="371" name="Frame37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62585" cy="175260"/>
                      <wp:effectExtent l="0" t="0" r="0" b="0"/>
                      <wp:wrapNone/>
                      <wp:docPr id="374" name="Frame3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62585" cy="175260"/>
                      <wp:effectExtent l="0" t="0" r="0" b="0"/>
                      <wp:wrapNone/>
                      <wp:docPr id="377" name="Frame3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00685" cy="175260"/>
                      <wp:effectExtent l="0" t="0" r="0" b="0"/>
                      <wp:wrapNone/>
                      <wp:docPr id="380" name="Frame3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67335" cy="175260"/>
                      <wp:effectExtent l="0" t="0" r="0" b="0"/>
                      <wp:wrapNone/>
                      <wp:docPr id="382" name="Frame38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2085" cy="175260"/>
                      <wp:effectExtent l="0" t="0" r="0" b="0"/>
                      <wp:wrapNone/>
                      <wp:docPr id="383" name="Frame38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29260" cy="175260"/>
                      <wp:effectExtent l="0" t="0" r="0" b="0"/>
                      <wp:wrapNone/>
                      <wp:docPr id="386" name="Frame3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9260" cy="175260"/>
                      <wp:effectExtent l="0" t="0" r="0" b="0"/>
                      <wp:wrapNone/>
                      <wp:docPr id="389" name="Frame3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00685" cy="175260"/>
                      <wp:effectExtent l="0" t="0" r="0" b="0"/>
                      <wp:wrapNone/>
                      <wp:docPr id="392" name="Frame39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67335" cy="175260"/>
                      <wp:effectExtent l="0" t="0" r="0" b="0"/>
                      <wp:wrapNone/>
                      <wp:docPr id="394" name="Frame39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72085" cy="175260"/>
                      <wp:effectExtent l="0" t="0" r="0" b="0"/>
                      <wp:wrapNone/>
                      <wp:docPr id="395" name="Frame39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35585" cy="175260"/>
                      <wp:effectExtent l="0" t="0" r="0" b="0"/>
                      <wp:wrapNone/>
                      <wp:docPr id="396" name="Frame39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left"/>
              <w:rPr/>
            </w:pPr>
            <w:r>
              <w:rPr/>
              <w:t>    </w:t>
            </w:r>
          </w:p>
        </w:tc>
        <w:tc>
          <w:tcPr>
            <w:tcW w:w="15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left"/>
              <w:rPr/>
            </w:pPr>
            <w:r>
              <w:rPr/>
              <w:t>    </w:t>
            </w:r>
          </w:p>
        </w:tc>
        <w:tc>
          <w:tcPr>
            <w:tcW w:w="15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amortization and impairments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revenue decreased 20% to $5.8 million for the three months ended December 31, 2023, as compared to $7.3 million for the three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Platform cost of revenue decreased 69% to $1.3 million for the three months ended December 31, 2023, as compared to $4.2 million for the three months ended December 31, 2022. The decrease was in line with the decrease in Platform revenue which impacted</w:t>
      </w:r>
      <w:r>
        <w:rPr>
          <w:rFonts w:ascii="Times New Roman;Times;serif" w:hAnsi="Times New Roman;Times;serif"/>
          <w:sz w:val="20"/>
          <w:shd w:fill="FFFFFF" w:val="clear"/>
        </w:rPr>
        <w:t xml:space="preserve"> product deferred costs, installation and shipping costs during the three months ended December 31, 2023, relative to the three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Transaction cost of revenue decreased 14% to $2.4 million for the three months ended December 31, 2023, as compared to $2.8 million for the three months ended December 31, 2022. The decrease was in line with the decrease in Transaction revenue</w:t>
      </w:r>
      <w:r>
        <w:rPr>
          <w:rFonts w:ascii="Times New Roman;Times;serif" w:hAnsi="Times New Roman;Times;serif"/>
          <w:sz w:val="20"/>
          <w:shd w:fill="FFFFFF"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revenue decreased 26% to $10.5 million for the six months ended December 31, 2023, as compared to $14.3 million for the six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Platform cost of revenue decreased 69% to $2.5 million for the six months ended December 31, 2023, as compared to $8.2 million for the six months ended December 31, 2022. The decrease was in line with the decrease in Platform revenue which impacted</w:t>
      </w:r>
      <w:r>
        <w:rPr>
          <w:rFonts w:ascii="Times New Roman;Times;serif" w:hAnsi="Times New Roman;Times;serif"/>
          <w:sz w:val="20"/>
          <w:shd w:fill="FFFFFF" w:val="clear"/>
        </w:rPr>
        <w:t xml:space="preserve"> product deferred costs, installation and shipping costs during the six months ended December 31, 2023, relative to the six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Transaction cost of revenue decreased 9% to $5.0 million for the six months ended December 31, 2023, as compared to $5.5 million for the six months ended December 31, 2022. The decrease was in line with the decrease in Transaction revenue</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Revenue — Depreciation, amortization, and impairment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depreciation, amortization, and impairment in cost of revenue increased 614% to $2.1 million for the three months ended December 31, 2023 as compared to $0.3 million for the three months ended December 31, 2022 due to an increase in amortization of intangibles of $0.5 million for capitalized software that was both developed and became ready for its intended use either at the end of fiscal year 2023 or during fiscal year 2024, $0.9 million in impairment of our acquired technology related to CyborgOps and $0.4 million impairment of inventory related to our Presto Touch solution.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depreciation, amortization, and impairment cost in cost of revenue increased 423% to $3.0 million for the six months ended December 31, 2023 as compared to $0.6 million for the six months ended December 31, 2022 due to an increase in amortization of intangibles of $1.2 million for capitalized software that was both developed and became ready for its intended use either at the end of fiscal year 2023 or during fiscal year 2024, $0.9 million in impairment of our acquired technology related to CyborgOps and $0.4 million impairment of inventory related to our Presto Touch solution.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w:t>
      </w:r>
    </w:p>
    <w:tbl>
      <w:tblPr>
        <w:tblW w:w="10676" w:type="dxa"/>
        <w:jc w:val="left"/>
        <w:tblInd w:w="0" w:type="dxa"/>
        <w:tblLayout w:type="fixed"/>
        <w:tblCellMar>
          <w:top w:w="0" w:type="dxa"/>
          <w:left w:w="0" w:type="dxa"/>
          <w:bottom w:w="0" w:type="dxa"/>
          <w:right w:w="0" w:type="dxa"/>
        </w:tblCellMar>
      </w:tblPr>
      <w:tblGrid>
        <w:gridCol w:w="1291"/>
        <w:gridCol w:w="326"/>
        <w:gridCol w:w="211"/>
        <w:gridCol w:w="676"/>
        <w:gridCol w:w="326"/>
        <w:gridCol w:w="211"/>
        <w:gridCol w:w="676"/>
        <w:gridCol w:w="326"/>
        <w:gridCol w:w="211"/>
        <w:gridCol w:w="571"/>
        <w:gridCol w:w="326"/>
        <w:gridCol w:w="376"/>
        <w:gridCol w:w="271"/>
        <w:gridCol w:w="326"/>
        <w:gridCol w:w="211"/>
        <w:gridCol w:w="676"/>
        <w:gridCol w:w="326"/>
        <w:gridCol w:w="211"/>
        <w:gridCol w:w="676"/>
        <w:gridCol w:w="326"/>
        <w:gridCol w:w="211"/>
        <w:gridCol w:w="571"/>
        <w:gridCol w:w="326"/>
        <w:gridCol w:w="376"/>
        <w:gridCol w:w="271"/>
        <w:gridCol w:w="371"/>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819785" cy="175260"/>
                      <wp:effectExtent l="0" t="0" r="0" b="0"/>
                      <wp:wrapNone/>
                      <wp:docPr id="397" name="Frame39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29260" cy="175260"/>
                      <wp:effectExtent l="0" t="0" r="0" b="0"/>
                      <wp:wrapNone/>
                      <wp:docPr id="400" name="Frame4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29260" cy="175260"/>
                      <wp:effectExtent l="0" t="0" r="0" b="0"/>
                      <wp:wrapNone/>
                      <wp:docPr id="403" name="Frame4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62585" cy="175260"/>
                      <wp:effectExtent l="0" t="0" r="0" b="0"/>
                      <wp:wrapNone/>
                      <wp:docPr id="406" name="Frame4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38760" cy="175260"/>
                      <wp:effectExtent l="0" t="0" r="0" b="0"/>
                      <wp:wrapNone/>
                      <wp:docPr id="408" name="Frame40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72085" cy="175260"/>
                      <wp:effectExtent l="0" t="0" r="0" b="0"/>
                      <wp:wrapNone/>
                      <wp:docPr id="409" name="Frame40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29260" cy="175260"/>
                      <wp:effectExtent l="0" t="0" r="0" b="0"/>
                      <wp:wrapNone/>
                      <wp:docPr id="412" name="Frame4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29260" cy="175260"/>
                      <wp:effectExtent l="0" t="0" r="0" b="0"/>
                      <wp:wrapNone/>
                      <wp:docPr id="415" name="Frame4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62585" cy="175260"/>
                      <wp:effectExtent l="0" t="0" r="0" b="0"/>
                      <wp:wrapNone/>
                      <wp:docPr id="418" name="Frame4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38760" cy="175260"/>
                      <wp:effectExtent l="0" t="0" r="0" b="0"/>
                      <wp:wrapNone/>
                      <wp:docPr id="420" name="Frame42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72085" cy="175260"/>
                      <wp:effectExtent l="0" t="0" r="0" b="0"/>
                      <wp:wrapNone/>
                      <wp:docPr id="421" name="Frame42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35585" cy="175260"/>
                      <wp:effectExtent l="0" t="0" r="0" b="0"/>
                      <wp:wrapNone/>
                      <wp:docPr id="422" name="Frame42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left"/>
              <w:rPr/>
            </w:pPr>
            <w:r>
              <w:rPr/>
              <w:t>    </w:t>
            </w:r>
          </w:p>
        </w:tc>
        <w:tc>
          <w:tcPr>
            <w:tcW w:w="14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left"/>
              <w:rPr/>
            </w:pPr>
            <w:r>
              <w:rPr/>
              <w:t>    </w:t>
            </w:r>
          </w:p>
        </w:tc>
        <w:tc>
          <w:tcPr>
            <w:tcW w:w="14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2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3,453</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w:t>
            </w:r>
          </w:p>
        </w:tc>
        <w:tc>
          <w:tcPr>
            <w:tcW w:w="32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w:t>
            </w:r>
          </w:p>
        </w:tc>
        <w:tc>
          <w:tcPr>
            <w:tcW w:w="32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expenses increased by 39% to $18.9 million for the three months ended December 31, 2023, as compared to $13.6 million for the three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expenses increased by 15% to $32.4 million for the six months ended December 31, 2023, as compared to $28.2 million for the six months ended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increased 43% to $7.3 million for the three months ended December 31, 2023, as compared to $5.1 million for the three months ended December 31, 2022. The increase resulted primarily from the impairment of capitalized software of $2.8 million related to our discontinued vision offering, as well as impairment of capitalized software of $0.4 million related to the next generation of our Presto Touch solution. Both of these abandoned technologies had not previously been placed into service. Other increases include an increase of $0.6 million in stock-based compensation expense, offset by a decrease of salaries and employee benefits expense of $0.5 million due to a decrease in overall headcount and a decrease in bonuses paid to employees from the acquisition of CyborgOps, Inc in the three months ended December 31, 2022, a decrease in professional fees of $0.6 million, and a decrease in other expenses of $0.5 million.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increased 4% to $11.8 million for the six months ended December 31, 2023, as compared to $11.4 million for the six months ended December 31, 2022. The increase resulted primarily from the impairment of capitalized software of $2.8 million related to our discontinued vision offering as well as impairment of capitalized software of $0.4 million related to the next generation of our Presto Touch solution. Both of these abandoned technologies had not previously been placed into service. Other increases to research and development expense include an increase of $1.8 million in stock-based compensation expense, offset by a decrease of salaries and employee benefits expense of $2.8 million due to a decrease in overall headcount and a decrease in bonuses paid to employees from the acquisition of CyborgOps, Inc for the six months ended December 31, 2022, decrease in professional fees of $0.9 million, and decrease in other expenses of $0.9 million</w:t>
      </w:r>
      <w:r>
        <w:rPr>
          <w:rFonts w:ascii="Times New Roman;Times;serif" w:hAnsi="Times New Roman;Times;serif"/>
          <w:sz w:val="24"/>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and marketing expenses decreased 14% to $1.9 million for the three months ended December 31, 2023, as compared to $2.2 million for the three months ended December 31, 2022. The decrease resulted primarily from a decrease in salaries and employee benefits expense of $0.3 million, as a result of a decrease in headcount and a decrease of $0.1 million in other costs, offset by an increase of $0.1 million in stock-based compensation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and marketing expenses decreased 17% to $3.8 million for the six months ended December 31, 2023, as compared to $4.6 million for the six months ended December 31, 2022. The decrease resulted primarily from a decrease in salaries and employee benefits expense of $0.5 million, as a result of a decrease in headcount, a decrease in professional fees as a result of a public relations fee paid upon the completion of the Merger of $0.4 million in the six months ended December 31, 2022, and a decrease of $0.2 million in other costs offset by an increase of $0.3 million in stock-based compensation expense.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increased 55% to $9.7 million for the three months ended December 31, 2023, as compared to $6.3 million for the three months ended December 31, 2022. The increase resulted primarily from an increase of $3.3 million in professional fees for legal, audit, public company compliance and other expenses, an increase of $0.2 million in other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increased 38% to $16.8 million for the six months ended December 31, 2023, as compared to $12.2 million for the six months ended December 31, 2022. The increase resulted primarily from an increase of $5.0 million in professional fees for legal, audit, public company compliance and other expenses, an increase of $0.2 million due to D&amp;O insurance, offset by a decrease of $0.4 million in stock-based compensation and $0.2 million in salaries and benefits.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and Convertible Promissory Notes</w:t>
      </w:r>
    </w:p>
    <w:p>
      <w:pPr>
        <w:pStyle w:val="TextBody"/>
        <w:bidi w:val="0"/>
        <w:spacing w:before="0" w:after="0"/>
        <w:ind w:left="0" w:right="0" w:hanging="0"/>
        <w:jc w:val="left"/>
        <w:rPr/>
      </w:pPr>
      <w:r>
        <w:rPr/>
        <w:t>​</w:t>
      </w:r>
    </w:p>
    <w:tbl>
      <w:tblPr>
        <w:tblW w:w="10436" w:type="dxa"/>
        <w:jc w:val="left"/>
        <w:tblInd w:w="0" w:type="dxa"/>
        <w:tblLayout w:type="fixed"/>
        <w:tblCellMar>
          <w:top w:w="0" w:type="dxa"/>
          <w:left w:w="0" w:type="dxa"/>
          <w:bottom w:w="0" w:type="dxa"/>
          <w:right w:w="0" w:type="dxa"/>
        </w:tblCellMar>
      </w:tblPr>
      <w:tblGrid>
        <w:gridCol w:w="1051"/>
        <w:gridCol w:w="326"/>
        <w:gridCol w:w="211"/>
        <w:gridCol w:w="571"/>
        <w:gridCol w:w="326"/>
        <w:gridCol w:w="211"/>
        <w:gridCol w:w="481"/>
        <w:gridCol w:w="326"/>
        <w:gridCol w:w="211"/>
        <w:gridCol w:w="571"/>
        <w:gridCol w:w="326"/>
        <w:gridCol w:w="571"/>
        <w:gridCol w:w="271"/>
        <w:gridCol w:w="326"/>
        <w:gridCol w:w="211"/>
        <w:gridCol w:w="676"/>
        <w:gridCol w:w="326"/>
        <w:gridCol w:w="211"/>
        <w:gridCol w:w="676"/>
        <w:gridCol w:w="326"/>
        <w:gridCol w:w="211"/>
        <w:gridCol w:w="736"/>
        <w:gridCol w:w="326"/>
        <w:gridCol w:w="316"/>
        <w:gridCol w:w="271"/>
        <w:gridCol w:w="37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67385" cy="175260"/>
                      <wp:effectExtent l="0" t="0" r="0" b="0"/>
                      <wp:wrapNone/>
                      <wp:docPr id="423" name="Frame42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62585" cy="175260"/>
                      <wp:effectExtent l="0" t="0" r="0" b="0"/>
                      <wp:wrapNone/>
                      <wp:docPr id="426" name="Frame4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05435" cy="175260"/>
                      <wp:effectExtent l="0" t="0" r="0" b="0"/>
                      <wp:wrapNone/>
                      <wp:docPr id="429" name="Frame42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62585" cy="175260"/>
                      <wp:effectExtent l="0" t="0" r="0" b="0"/>
                      <wp:wrapNone/>
                      <wp:docPr id="432" name="Frame4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62585" cy="175260"/>
                      <wp:effectExtent l="0" t="0" r="0" b="0"/>
                      <wp:wrapNone/>
                      <wp:docPr id="434" name="Frame4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72085" cy="175260"/>
                      <wp:effectExtent l="0" t="0" r="0" b="0"/>
                      <wp:wrapNone/>
                      <wp:docPr id="435" name="Frame43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29260" cy="175260"/>
                      <wp:effectExtent l="0" t="0" r="0" b="0"/>
                      <wp:wrapNone/>
                      <wp:docPr id="438" name="Frame4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29260" cy="175260"/>
                      <wp:effectExtent l="0" t="0" r="0" b="0"/>
                      <wp:wrapNone/>
                      <wp:docPr id="441"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67360" cy="175260"/>
                      <wp:effectExtent l="0" t="0" r="0" b="0"/>
                      <wp:wrapNone/>
                      <wp:docPr id="444" name="Frame4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0660" cy="175260"/>
                      <wp:effectExtent l="0" t="0" r="0" b="0"/>
                      <wp:wrapNone/>
                      <wp:docPr id="446" name="Frame4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72085" cy="175260"/>
                      <wp:effectExtent l="0" t="0" r="0" b="0"/>
                      <wp:wrapNone/>
                      <wp:docPr id="447" name="Frame44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35585" cy="175260"/>
                      <wp:effectExtent l="0" t="0" r="0" b="0"/>
                      <wp:wrapNone/>
                      <wp:docPr id="448" name="Frame44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left"/>
              <w:rPr/>
            </w:pPr>
            <w:r>
              <w:rPr/>
              <w:t>    </w:t>
            </w:r>
          </w:p>
        </w:tc>
        <w:tc>
          <w:tcPr>
            <w:tcW w:w="16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left"/>
              <w:rPr/>
            </w:pPr>
            <w:r>
              <w:rPr/>
              <w:t>    </w:t>
            </w:r>
          </w:p>
        </w:tc>
        <w:tc>
          <w:tcPr>
            <w:tcW w:w="15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December 31, 2023, the change in fair value of warrants and convertible promissory notes was a gain of $5.3 million, as compared to a loss of $0.4 million during the three months ended December 31, 2022, due to the warrants being remeasured and the gain being driven primarily by a decrease in our stock price during the three months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December 31, 2023, the change in fair value of warrants and convertible promissory notes was a gain of $26.3 million, as compared to a gain of $59.4 million during the six months ended December 31, 2022. The primary reason for the gain in the six months ended December 31, 2023 was due to the warrants being remeasured resulting in a gain, with such gain being driven primarily by a decrease in our stock price.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remeasurement gain recorded during the six months ended December 31, 2022, was primarily driven by two factors. First, immediately prior to the closing of the Merger, the convertible notes and warrants were remeasured to their then fair value of $41.4 million, resulting in a gain on remeasurement of $48.3 million. Second, with the closing of the Merger, we assumed $9.4 million of warrant liabilities associated with the legacy private warrants of VTAQ and issued additional warrants with a fair value of $0.8 million. At December 31, 2022, the warrants were remeasured to fair value based on the December 31, 2022 price of our common stock, resulting in $11.2 million gain on remeasurement. The primary factor affecting the change in fair value of the warrants was the assumption of the private warrants, the issuance of additional warrant shares, and the decrease in our stock price during the six months ended December 31, 2022.</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16"/>
        <w:gridCol w:w="326"/>
        <w:gridCol w:w="238"/>
        <w:gridCol w:w="645"/>
        <w:gridCol w:w="368"/>
        <w:gridCol w:w="238"/>
        <w:gridCol w:w="645"/>
        <w:gridCol w:w="326"/>
        <w:gridCol w:w="230"/>
        <w:gridCol w:w="461"/>
        <w:gridCol w:w="326"/>
        <w:gridCol w:w="316"/>
        <w:gridCol w:w="271"/>
        <w:gridCol w:w="326"/>
        <w:gridCol w:w="231"/>
        <w:gridCol w:w="625"/>
        <w:gridCol w:w="357"/>
        <w:gridCol w:w="231"/>
        <w:gridCol w:w="625"/>
        <w:gridCol w:w="326"/>
        <w:gridCol w:w="230"/>
        <w:gridCol w:w="461"/>
        <w:gridCol w:w="326"/>
        <w:gridCol w:w="316"/>
        <w:gridCol w:w="271"/>
        <w:gridCol w:w="374"/>
      </w:tblGrid>
      <w:tr>
        <w:trPr/>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08660" cy="175260"/>
                      <wp:effectExtent l="0" t="0" r="0" b="0"/>
                      <wp:wrapNone/>
                      <wp:docPr id="449" name="Frame449"/>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51130" cy="175260"/>
                      <wp:effectExtent l="0" t="0" r="0" b="0"/>
                      <wp:wrapNone/>
                      <wp:docPr id="451" name="Frame45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09575" cy="175260"/>
                      <wp:effectExtent l="0" t="0" r="0" b="0"/>
                      <wp:wrapNone/>
                      <wp:docPr id="452" name="Frame452"/>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33680" cy="175260"/>
                      <wp:effectExtent l="0" t="0" r="0" b="0"/>
                      <wp:wrapNone/>
                      <wp:docPr id="453" name="Frame453"/>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51130" cy="175260"/>
                      <wp:effectExtent l="0" t="0" r="0" b="0"/>
                      <wp:wrapNone/>
                      <wp:docPr id="454" name="Frame45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09575" cy="175260"/>
                      <wp:effectExtent l="0" t="0" r="0" b="0"/>
                      <wp:wrapNone/>
                      <wp:docPr id="455" name="Frame455"/>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46050" cy="175260"/>
                      <wp:effectExtent l="0" t="0" r="0" b="0"/>
                      <wp:wrapNone/>
                      <wp:docPr id="457" name="Frame4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92735" cy="175260"/>
                      <wp:effectExtent l="0" t="0" r="0" b="0"/>
                      <wp:wrapNone/>
                      <wp:docPr id="458" name="Frame45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0660" cy="175260"/>
                      <wp:effectExtent l="0" t="0" r="0" b="0"/>
                      <wp:wrapNone/>
                      <wp:docPr id="460" name="Frame4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72085" cy="175260"/>
                      <wp:effectExtent l="0" t="0" r="0" b="0"/>
                      <wp:wrapNone/>
                      <wp:docPr id="461" name="Frame46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46685" cy="175260"/>
                      <wp:effectExtent l="0" t="0" r="0" b="0"/>
                      <wp:wrapNone/>
                      <wp:docPr id="463" name="Frame46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96875" cy="175260"/>
                      <wp:effectExtent l="0" t="0" r="0" b="0"/>
                      <wp:wrapNone/>
                      <wp:docPr id="464" name="Frame464"/>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26695" cy="175260"/>
                      <wp:effectExtent l="0" t="0" r="0" b="0"/>
                      <wp:wrapNone/>
                      <wp:docPr id="465" name="Frame46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46685" cy="175260"/>
                      <wp:effectExtent l="0" t="0" r="0" b="0"/>
                      <wp:wrapNone/>
                      <wp:docPr id="466" name="Frame46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96875" cy="175260"/>
                      <wp:effectExtent l="0" t="0" r="0" b="0"/>
                      <wp:wrapNone/>
                      <wp:docPr id="467" name="Frame46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46050" cy="175260"/>
                      <wp:effectExtent l="0" t="0" r="0" b="0"/>
                      <wp:wrapNone/>
                      <wp:docPr id="469" name="Frame46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92735" cy="175260"/>
                      <wp:effectExtent l="0" t="0" r="0" b="0"/>
                      <wp:wrapNone/>
                      <wp:docPr id="470" name="Frame47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0660" cy="175260"/>
                      <wp:effectExtent l="0" t="0" r="0" b="0"/>
                      <wp:wrapNone/>
                      <wp:docPr id="472" name="Frame4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72085" cy="175260"/>
                      <wp:effectExtent l="0" t="0" r="0" b="0"/>
                      <wp:wrapNone/>
                      <wp:docPr id="473" name="Frame47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37490" cy="175260"/>
                      <wp:effectExtent l="0" t="0" r="0" b="0"/>
                      <wp:wrapNone/>
                      <wp:docPr id="474" name="Frame474"/>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1"/>
              <w:ind w:left="0" w:right="0" w:hanging="0"/>
              <w:jc w:val="center"/>
              <w:rPr/>
            </w:pPr>
            <w:r>
              <w:rPr/>
              <w:t>    </w:t>
            </w:r>
          </w:p>
        </w:tc>
        <w:tc>
          <w:tcPr>
            <w:tcW w:w="13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1"/>
              <w:ind w:left="0" w:right="0" w:hanging="0"/>
              <w:jc w:val="center"/>
              <w:rPr/>
            </w:pPr>
            <w:r>
              <w:rPr/>
              <w:t>    </w:t>
            </w:r>
          </w:p>
        </w:tc>
        <w:tc>
          <w:tcPr>
            <w:tcW w:w="13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center"/>
              <w:rPr/>
            </w:pPr>
            <w:r>
              <w:rPr/>
              <w:t>    </w:t>
            </w:r>
          </w:p>
        </w:tc>
      </w:tr>
      <w:tr>
        <w:trPr/>
        <w:tc>
          <w:tcPr>
            <w:tcW w:w="11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1"/>
              <w:ind w:left="0" w:right="0" w:hanging="0"/>
              <w:jc w:val="center"/>
              <w:rPr/>
            </w:pPr>
            <w:r>
              <w:rPr/>
              <w:t>​</w:t>
            </w:r>
          </w:p>
        </w:tc>
        <w:tc>
          <w:tcPr>
            <w:tcW w:w="8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8" w:type="dxa"/>
            <w:tcBorders/>
            <w:vAlign w:val="center"/>
          </w:tcPr>
          <w:p>
            <w:pPr>
              <w:pStyle w:val="TableContents"/>
              <w:bidi w:val="0"/>
              <w:spacing w:before="0" w:after="1"/>
              <w:ind w:left="0" w:right="0" w:hanging="0"/>
              <w:jc w:val="center"/>
              <w:rPr/>
            </w:pPr>
            <w:r>
              <w:rPr/>
              <w:t>    </w:t>
            </w:r>
          </w:p>
        </w:tc>
        <w:tc>
          <w:tcPr>
            <w:tcW w:w="8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7" w:type="dxa"/>
            <w:tcBorders/>
            <w:vAlign w:val="center"/>
          </w:tcPr>
          <w:p>
            <w:pPr>
              <w:pStyle w:val="TableContents"/>
              <w:bidi w:val="0"/>
              <w:spacing w:before="0" w:after="1"/>
              <w:ind w:left="0" w:right="0" w:hanging="0"/>
              <w:jc w:val="center"/>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center"/>
              <w:rPr/>
            </w:pPr>
            <w:r>
              <w:rPr/>
              <w:t>​</w:t>
            </w:r>
          </w:p>
        </w:tc>
      </w:tr>
      <w:tr>
        <w:trPr/>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center"/>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3,557</w:t>
            </w:r>
          </w:p>
        </w:tc>
        <w:tc>
          <w:tcPr>
            <w:tcW w:w="368" w:type="dxa"/>
            <w:tcBorders/>
            <w:shd w:fill="CCEEFF" w:val="clear"/>
            <w:vAlign w:val="center"/>
          </w:tcPr>
          <w:p>
            <w:pPr>
              <w:pStyle w:val="TableContents"/>
              <w:bidi w:val="0"/>
              <w:spacing w:before="0" w:after="1"/>
              <w:ind w:left="0" w:right="0" w:hanging="0"/>
              <w:jc w:val="center"/>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7,315</w:t>
            </w:r>
          </w:p>
        </w:tc>
        <w:tc>
          <w:tcPr>
            <w:tcW w:w="357"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6,406</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4"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expense increased 17% to $3.6 million for the three months ended December 31, 2023, as compared to $3.0 million for the three months ended December 31, 2022. The increase was due to us having higher interest-bearing term loan debt outstanding during the three months ended December 31, 2023 as compared to the three months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expense increased 14% to $7.3 million for the six months ended December 31, 2023, as compared to $6.4 million for the six months ended December 31, 2022. The increase was due to us having higher interest-bearing term loan debt outstanding during the six months ended December 31, 2023 as compared to the six months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Extinguishment of Debt and Financial Obligations</w:t>
      </w:r>
    </w:p>
    <w:tbl>
      <w:tblPr>
        <w:tblW w:w="10205" w:type="dxa"/>
        <w:jc w:val="left"/>
        <w:tblInd w:w="0" w:type="dxa"/>
        <w:tblLayout w:type="fixed"/>
        <w:tblCellMar>
          <w:top w:w="0" w:type="dxa"/>
          <w:left w:w="0" w:type="dxa"/>
          <w:bottom w:w="0" w:type="dxa"/>
          <w:right w:w="0" w:type="dxa"/>
        </w:tblCellMar>
      </w:tblPr>
      <w:tblGrid>
        <w:gridCol w:w="1755"/>
        <w:gridCol w:w="326"/>
        <w:gridCol w:w="227"/>
        <w:gridCol w:w="373"/>
        <w:gridCol w:w="351"/>
        <w:gridCol w:w="227"/>
        <w:gridCol w:w="454"/>
        <w:gridCol w:w="326"/>
        <w:gridCol w:w="211"/>
        <w:gridCol w:w="487"/>
        <w:gridCol w:w="326"/>
        <w:gridCol w:w="487"/>
        <w:gridCol w:w="109"/>
        <w:gridCol w:w="326"/>
        <w:gridCol w:w="221"/>
        <w:gridCol w:w="363"/>
        <w:gridCol w:w="342"/>
        <w:gridCol w:w="221"/>
        <w:gridCol w:w="599"/>
        <w:gridCol w:w="326"/>
        <w:gridCol w:w="211"/>
        <w:gridCol w:w="637"/>
        <w:gridCol w:w="326"/>
        <w:gridCol w:w="487"/>
        <w:gridCol w:w="109"/>
        <w:gridCol w:w="378"/>
      </w:tblGrid>
      <w:tr>
        <w:trPr/>
        <w:tc>
          <w:tcPr>
            <w:tcW w:w="1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114425" cy="175260"/>
                      <wp:effectExtent l="0" t="0" r="0" b="0"/>
                      <wp:wrapNone/>
                      <wp:docPr id="475" name="Frame475"/>
                      <a:graphic xmlns:a="http://schemas.openxmlformats.org/drawingml/2006/main">
                        <a:graphicData uri="http://schemas.microsoft.com/office/word/2010/wordprocessingShape">
                          <wps:wsp>
                            <wps:cNvSpPr txBox="1"/>
                            <wps:spPr>
                              <a:xfrm>
                                <a:off x="0" y="0"/>
                                <a:ext cx="1114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44145" cy="175260"/>
                      <wp:effectExtent l="0" t="0" r="0" b="0"/>
                      <wp:wrapNone/>
                      <wp:docPr id="477" name="Frame477"/>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36855" cy="175260"/>
                      <wp:effectExtent l="0" t="0" r="0" b="0"/>
                      <wp:wrapNone/>
                      <wp:docPr id="478" name="Frame47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22885" cy="175260"/>
                      <wp:effectExtent l="0" t="0" r="0" b="0"/>
                      <wp:wrapNone/>
                      <wp:docPr id="479" name="Frame47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44145" cy="175260"/>
                      <wp:effectExtent l="0" t="0" r="0" b="0"/>
                      <wp:wrapNone/>
                      <wp:docPr id="480" name="Frame48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88290" cy="175260"/>
                      <wp:effectExtent l="0" t="0" r="0" b="0"/>
                      <wp:wrapNone/>
                      <wp:docPr id="481" name="Frame481"/>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09245" cy="175260"/>
                      <wp:effectExtent l="0" t="0" r="0" b="0"/>
                      <wp:wrapNone/>
                      <wp:docPr id="484" name="Frame484"/>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09245" cy="175260"/>
                      <wp:effectExtent l="0" t="0" r="0" b="0"/>
                      <wp:wrapNone/>
                      <wp:docPr id="486" name="Frame486"/>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260"/>
                      <wp:effectExtent l="0" t="0" r="0" b="0"/>
                      <wp:wrapNone/>
                      <wp:docPr id="487" name="Frame4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0335" cy="175260"/>
                      <wp:effectExtent l="0" t="0" r="0" b="0"/>
                      <wp:wrapNone/>
                      <wp:docPr id="489" name="Frame48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30505" cy="175260"/>
                      <wp:effectExtent l="0" t="0" r="0" b="0"/>
                      <wp:wrapNone/>
                      <wp:docPr id="490" name="Frame49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7170" cy="175260"/>
                      <wp:effectExtent l="0" t="0" r="0" b="0"/>
                      <wp:wrapNone/>
                      <wp:docPr id="491" name="Frame49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40335" cy="175260"/>
                      <wp:effectExtent l="0" t="0" r="0" b="0"/>
                      <wp:wrapNone/>
                      <wp:docPr id="492" name="Frame49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80365" cy="175260"/>
                      <wp:effectExtent l="0" t="0" r="0" b="0"/>
                      <wp:wrapNone/>
                      <wp:docPr id="493" name="Frame493"/>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494"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495"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04495" cy="175260"/>
                      <wp:effectExtent l="0" t="0" r="0" b="0"/>
                      <wp:wrapNone/>
                      <wp:docPr id="496" name="Frame496"/>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09245" cy="175260"/>
                      <wp:effectExtent l="0" t="0" r="0" b="0"/>
                      <wp:wrapNone/>
                      <wp:docPr id="498" name="Frame498"/>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499" name="Frame4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40030" cy="175260"/>
                      <wp:effectExtent l="0" t="0" r="0" b="0"/>
                      <wp:wrapNone/>
                      <wp:docPr id="500" name="Frame500"/>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center"/>
              <w:rPr/>
            </w:pPr>
            <w:r>
              <w:rPr/>
              <w:t>    </w:t>
            </w:r>
          </w:p>
        </w:tc>
        <w:tc>
          <w:tcPr>
            <w:tcW w:w="151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center"/>
              <w:rPr/>
            </w:pPr>
            <w:r>
              <w:rPr/>
              <w:t>    </w:t>
            </w:r>
          </w:p>
        </w:tc>
        <w:tc>
          <w:tcPr>
            <w:tcW w:w="16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    </w:t>
            </w:r>
          </w:p>
        </w:tc>
      </w:tr>
      <w:tr>
        <w:trPr/>
        <w:tc>
          <w:tcPr>
            <w:tcW w:w="1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6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1" w:type="dxa"/>
            <w:tcBorders/>
            <w:vAlign w:val="center"/>
          </w:tcPr>
          <w:p>
            <w:pPr>
              <w:pStyle w:val="TableContents"/>
              <w:bidi w:val="0"/>
              <w:spacing w:before="0" w:after="0"/>
              <w:ind w:left="0" w:right="0" w:hanging="0"/>
              <w:jc w:val="center"/>
              <w:rPr/>
            </w:pPr>
            <w:r>
              <w:rPr/>
              <w:t>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6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2" w:type="dxa"/>
            <w:tcBorders/>
            <w:vAlign w:val="center"/>
          </w:tcPr>
          <w:p>
            <w:pPr>
              <w:pStyle w:val="TableContents"/>
              <w:bidi w:val="0"/>
              <w:spacing w:before="0" w:after="0"/>
              <w:ind w:left="0" w:right="0" w:hanging="0"/>
              <w:jc w:val="center"/>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r>
      <w:tr>
        <w:trPr/>
        <w:tc>
          <w:tcPr>
            <w:tcW w:w="17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0"/>
              <w:ind w:left="0" w:right="0" w:hanging="0"/>
              <w:jc w:val="center"/>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0"/>
              <w:ind w:left="0" w:right="0" w:hanging="0"/>
              <w:jc w:val="right"/>
              <w:rPr/>
            </w:pPr>
            <w:r>
              <w:rPr/>
              <w:t>—</w:t>
            </w:r>
          </w:p>
        </w:tc>
        <w:tc>
          <w:tcPr>
            <w:tcW w:w="351" w:type="dxa"/>
            <w:tcBorders/>
            <w:shd w:fill="CCEEFF" w:val="clear"/>
            <w:vAlign w:val="center"/>
          </w:tcPr>
          <w:p>
            <w:pPr>
              <w:pStyle w:val="TableContents"/>
              <w:bidi w:val="0"/>
              <w:spacing w:before="0" w:after="0"/>
              <w:ind w:left="0" w:right="0" w:hanging="0"/>
              <w:jc w:val="center"/>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right"/>
              <w:rPr/>
            </w:pPr>
            <w:r>
              <w:rPr/>
              <w:t>​</w:t>
            </w:r>
          </w:p>
        </w:tc>
        <w:tc>
          <w:tcPr>
            <w:tcW w:w="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26" w:type="dxa"/>
            <w:tcBorders/>
            <w:shd w:fill="CCEEFF" w:val="clear"/>
            <w:vAlign w:val="center"/>
          </w:tcPr>
          <w:p>
            <w:pPr>
              <w:pStyle w:val="TableContents"/>
              <w:bidi w:val="0"/>
              <w:spacing w:before="0" w:after="0"/>
              <w:ind w:left="0" w:right="0" w:hanging="0"/>
              <w:jc w:val="right"/>
              <w:rPr/>
            </w:pPr>
            <w:r>
              <w:rPr/>
              <w:t>​</w:t>
            </w:r>
          </w:p>
        </w:tc>
        <w:tc>
          <w:tcPr>
            <w:tcW w:w="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Loss on extinguishment of debt and financial obligations was zero during the three and six months ended December 31, 2023 as compared with a loss of $0.3 million and $8.1 million recorded in the three and six months ended December 31, 2022, respectively. </w:t>
      </w:r>
      <w:r>
        <w:rPr>
          <w:rFonts w:ascii="Times New Roman;Times;serif" w:hAnsi="Times New Roman;Times;serif"/>
          <w:sz w:val="20"/>
          <w:shd w:fill="FFFFFF" w:val="clear"/>
        </w:rPr>
        <w:t xml:space="preserve">The loss during six months ended December 31, 2022 is principally due to our loss on the extinguishment of its term loans outstanding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prior to the Merger in the amount of $7.8 million. Further during the three and six months ended December 31, 2022, we recorded a loss of $0.3 million related to the extinguishment of certain financing obligations.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Financing and Financial Instrument (Costs) Income, Net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43"/>
        <w:gridCol w:w="326"/>
        <w:gridCol w:w="236"/>
        <w:gridCol w:w="472"/>
        <w:gridCol w:w="365"/>
        <w:gridCol w:w="236"/>
        <w:gridCol w:w="388"/>
        <w:gridCol w:w="326"/>
        <w:gridCol w:w="230"/>
        <w:gridCol w:w="461"/>
        <w:gridCol w:w="326"/>
        <w:gridCol w:w="323"/>
        <w:gridCol w:w="109"/>
        <w:gridCol w:w="326"/>
        <w:gridCol w:w="218"/>
        <w:gridCol w:w="591"/>
        <w:gridCol w:w="337"/>
        <w:gridCol w:w="218"/>
        <w:gridCol w:w="665"/>
        <w:gridCol w:w="326"/>
        <w:gridCol w:w="211"/>
        <w:gridCol w:w="571"/>
        <w:gridCol w:w="326"/>
        <w:gridCol w:w="490"/>
        <w:gridCol w:w="109"/>
        <w:gridCol w:w="376"/>
      </w:tblGrid>
      <w:tr>
        <w:trPr/>
        <w:tc>
          <w:tcPr>
            <w:tcW w:w="1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043305" cy="175260"/>
                      <wp:effectExtent l="0" t="0" r="0" b="0"/>
                      <wp:wrapNone/>
                      <wp:docPr id="501" name="Frame501"/>
                      <a:graphic xmlns:a="http://schemas.openxmlformats.org/drawingml/2006/main">
                        <a:graphicData uri="http://schemas.microsoft.com/office/word/2010/wordprocessingShape">
                          <wps:wsp>
                            <wps:cNvSpPr txBox="1"/>
                            <wps:spPr>
                              <a:xfrm>
                                <a:off x="0" y="0"/>
                                <a:ext cx="1043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49860" cy="175260"/>
                      <wp:effectExtent l="0" t="0" r="0" b="0"/>
                      <wp:wrapNone/>
                      <wp:docPr id="503" name="Frame50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99720" cy="175260"/>
                      <wp:effectExtent l="0" t="0" r="0" b="0"/>
                      <wp:wrapNone/>
                      <wp:docPr id="504" name="Frame504"/>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31775" cy="175260"/>
                      <wp:effectExtent l="0" t="0" r="0" b="0"/>
                      <wp:wrapNone/>
                      <wp:docPr id="505" name="Frame50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49860" cy="175260"/>
                      <wp:effectExtent l="0" t="0" r="0" b="0"/>
                      <wp:wrapNone/>
                      <wp:docPr id="506" name="Frame50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46380" cy="175260"/>
                      <wp:effectExtent l="0" t="0" r="0" b="0"/>
                      <wp:wrapNone/>
                      <wp:docPr id="507" name="Frame50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46050" cy="175260"/>
                      <wp:effectExtent l="0" t="0" r="0" b="0"/>
                      <wp:wrapNone/>
                      <wp:docPr id="509" name="Frame50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92735" cy="175260"/>
                      <wp:effectExtent l="0" t="0" r="0" b="0"/>
                      <wp:wrapNone/>
                      <wp:docPr id="510" name="Frame51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5105" cy="175260"/>
                      <wp:effectExtent l="0" t="0" r="0" b="0"/>
                      <wp:wrapNone/>
                      <wp:docPr id="512" name="Frame51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13"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14"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8430" cy="175260"/>
                      <wp:effectExtent l="0" t="0" r="0" b="0"/>
                      <wp:wrapNone/>
                      <wp:docPr id="515" name="Frame51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75285" cy="175260"/>
                      <wp:effectExtent l="0" t="0" r="0" b="0"/>
                      <wp:wrapNone/>
                      <wp:docPr id="516" name="Frame516"/>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3995" cy="175260"/>
                      <wp:effectExtent l="0" t="0" r="0" b="0"/>
                      <wp:wrapNone/>
                      <wp:docPr id="517" name="Frame51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8430" cy="175260"/>
                      <wp:effectExtent l="0" t="0" r="0" b="0"/>
                      <wp:wrapNone/>
                      <wp:docPr id="518" name="Frame51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22275" cy="175260"/>
                      <wp:effectExtent l="0" t="0" r="0" b="0"/>
                      <wp:wrapNone/>
                      <wp:docPr id="519" name="Frame519"/>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21"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362585" cy="175260"/>
                      <wp:effectExtent l="0" t="0" r="0" b="0"/>
                      <wp:wrapNone/>
                      <wp:docPr id="522" name="Frame5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23"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11150" cy="175260"/>
                      <wp:effectExtent l="0" t="0" r="0" b="0"/>
                      <wp:wrapNone/>
                      <wp:docPr id="524" name="Frame524"/>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25"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38760" cy="175260"/>
                      <wp:effectExtent l="0" t="0" r="0" b="0"/>
                      <wp:wrapNone/>
                      <wp:docPr id="526" name="Frame52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left"/>
              <w:rPr/>
            </w:pPr>
            <w:r>
              <w:rPr/>
              <w:t>    </w:t>
            </w:r>
          </w:p>
        </w:tc>
        <w:tc>
          <w:tcPr>
            <w:tcW w:w="13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left"/>
              <w:rPr/>
            </w:pPr>
            <w:r>
              <w:rPr/>
              <w:t>    </w:t>
            </w:r>
          </w:p>
        </w:tc>
        <w:tc>
          <w:tcPr>
            <w:tcW w:w="15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r>
      <w:tr>
        <w:trPr/>
        <w:tc>
          <w:tcPr>
            <w:tcW w:w="16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5" w:type="dxa"/>
            <w:tcBorders/>
            <w:vAlign w:val="center"/>
          </w:tcPr>
          <w:p>
            <w:pPr>
              <w:pStyle w:val="TableContents"/>
              <w:bidi w:val="0"/>
              <w:spacing w:before="0" w:after="0"/>
              <w:ind w:left="0" w:right="0" w:hanging="0"/>
              <w:jc w:val="left"/>
              <w:rPr/>
            </w:pPr>
            <w:r>
              <w:rPr/>
              <w:t>    </w:t>
            </w:r>
          </w:p>
        </w:tc>
        <w:tc>
          <w:tcPr>
            <w:tcW w:w="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7"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income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right"/>
              <w:rPr/>
            </w:pPr>
            <w:r>
              <w:rPr/>
              <w:t>​</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3,159</w:t>
            </w:r>
          </w:p>
        </w:tc>
        <w:tc>
          <w:tcPr>
            <w:tcW w:w="326" w:type="dxa"/>
            <w:tcBorders/>
            <w:shd w:fill="CCEEFF" w:val="clear"/>
            <w:vAlign w:val="center"/>
          </w:tcPr>
          <w:p>
            <w:pPr>
              <w:pStyle w:val="TableContents"/>
              <w:bidi w:val="0"/>
              <w:spacing w:before="0" w:after="0"/>
              <w:ind w:left="0" w:right="0" w:hanging="0"/>
              <w:jc w:val="righ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financing and financial instrument income (costs), net was immaterial for the three months ended December 31, 2023 and 2022</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Other financing and financial instrument income (costs), net was $1.4 million and cost of $1.8 million for the six months ended December 31, 2023 and 2022,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income incurred during the six months ended December 31, 2023, was due solely to </w:t>
      </w:r>
      <w:r>
        <w:rPr>
          <w:rFonts w:ascii="Times New Roman;Times;serif" w:hAnsi="Times New Roman;Times;serif"/>
          <w:sz w:val="20"/>
        </w:rPr>
        <w:t xml:space="preserve">$1.4 million of income from the remeasurement of the unvested sponsor shares liability. </w:t>
      </w:r>
      <w:r>
        <w:rPr>
          <w:rFonts w:ascii="Times New Roman;Times;serif" w:hAnsi="Times New Roman;Times;serif"/>
          <w:sz w:val="20"/>
          <w:shd w:fill="FFFFFF" w:val="clear"/>
        </w:rPr>
        <w:t>The costs incurred during the six months ended December 31, 2022 were due to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41"/>
        <w:gridCol w:w="326"/>
        <w:gridCol w:w="269"/>
        <w:gridCol w:w="403"/>
        <w:gridCol w:w="416"/>
        <w:gridCol w:w="269"/>
        <w:gridCol w:w="538"/>
        <w:gridCol w:w="326"/>
        <w:gridCol w:w="211"/>
        <w:gridCol w:w="502"/>
        <w:gridCol w:w="326"/>
        <w:gridCol w:w="397"/>
        <w:gridCol w:w="271"/>
        <w:gridCol w:w="326"/>
        <w:gridCol w:w="248"/>
        <w:gridCol w:w="371"/>
        <w:gridCol w:w="383"/>
        <w:gridCol w:w="248"/>
        <w:gridCol w:w="672"/>
        <w:gridCol w:w="326"/>
        <w:gridCol w:w="211"/>
        <w:gridCol w:w="652"/>
        <w:gridCol w:w="326"/>
        <w:gridCol w:w="397"/>
        <w:gridCol w:w="271"/>
        <w:gridCol w:w="379"/>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24535" cy="175260"/>
                      <wp:effectExtent l="0" t="0" r="0" b="0"/>
                      <wp:wrapNone/>
                      <wp:docPr id="527" name="Frame5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70815" cy="175260"/>
                      <wp:effectExtent l="0" t="0" r="0" b="0"/>
                      <wp:wrapNone/>
                      <wp:docPr id="529" name="Frame52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55905" cy="175260"/>
                      <wp:effectExtent l="0" t="0" r="0" b="0"/>
                      <wp:wrapNone/>
                      <wp:docPr id="530" name="Frame53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64160" cy="175260"/>
                      <wp:effectExtent l="0" t="0" r="0" b="0"/>
                      <wp:wrapNone/>
                      <wp:docPr id="531" name="Frame531"/>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70815" cy="175260"/>
                      <wp:effectExtent l="0" t="0" r="0" b="0"/>
                      <wp:wrapNone/>
                      <wp:docPr id="532" name="Frame532"/>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41630" cy="175260"/>
                      <wp:effectExtent l="0" t="0" r="0" b="0"/>
                      <wp:wrapNone/>
                      <wp:docPr id="533" name="Frame533"/>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34"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35" name="Frame5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18770" cy="175260"/>
                      <wp:effectExtent l="0" t="0" r="0" b="0"/>
                      <wp:wrapNone/>
                      <wp:docPr id="536" name="Frame536"/>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37"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52095" cy="175260"/>
                      <wp:effectExtent l="0" t="0" r="0" b="0"/>
                      <wp:wrapNone/>
                      <wp:docPr id="538" name="Frame53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72085" cy="175260"/>
                      <wp:effectExtent l="0" t="0" r="0" b="0"/>
                      <wp:wrapNone/>
                      <wp:docPr id="539" name="Frame53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57480" cy="175260"/>
                      <wp:effectExtent l="0" t="0" r="0" b="0"/>
                      <wp:wrapNone/>
                      <wp:docPr id="541" name="Frame54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35585" cy="175260"/>
                      <wp:effectExtent l="0" t="0" r="0" b="0"/>
                      <wp:wrapNone/>
                      <wp:docPr id="542" name="Frame54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43205" cy="175260"/>
                      <wp:effectExtent l="0" t="0" r="0" b="0"/>
                      <wp:wrapNone/>
                      <wp:docPr id="543" name="Frame54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57480" cy="175260"/>
                      <wp:effectExtent l="0" t="0" r="0" b="0"/>
                      <wp:wrapNone/>
                      <wp:docPr id="544" name="Frame54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26720" cy="175260"/>
                      <wp:effectExtent l="0" t="0" r="0" b="0"/>
                      <wp:wrapNone/>
                      <wp:docPr id="545" name="Frame545"/>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3985" cy="175260"/>
                      <wp:effectExtent l="0" t="0" r="0" b="0"/>
                      <wp:wrapNone/>
                      <wp:docPr id="547"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14020" cy="175260"/>
                      <wp:effectExtent l="0" t="0" r="0" b="0"/>
                      <wp:wrapNone/>
                      <wp:docPr id="548" name="Frame548"/>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52095" cy="175260"/>
                      <wp:effectExtent l="0" t="0" r="0" b="0"/>
                      <wp:wrapNone/>
                      <wp:docPr id="550" name="Frame550"/>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72085" cy="175260"/>
                      <wp:effectExtent l="0" t="0" r="0" b="0"/>
                      <wp:wrapNone/>
                      <wp:docPr id="551" name="Frame55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40665" cy="175260"/>
                      <wp:effectExtent l="0" t="0" r="0" b="0"/>
                      <wp:wrapNone/>
                      <wp:docPr id="552" name="Frame55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left"/>
              <w:rPr/>
            </w:pPr>
            <w:r>
              <w:rPr/>
              <w:t>    </w:t>
            </w:r>
          </w:p>
        </w:tc>
        <w:tc>
          <w:tcPr>
            <w:tcW w:w="14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left"/>
              <w:rPr/>
            </w:pPr>
            <w:r>
              <w:rPr/>
              <w:t>    </w:t>
            </w:r>
          </w:p>
        </w:tc>
        <w:tc>
          <w:tcPr>
            <w:tcW w:w="158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6" w:type="dxa"/>
            <w:tcBorders/>
            <w:vAlign w:val="center"/>
          </w:tcPr>
          <w:p>
            <w:pPr>
              <w:pStyle w:val="TableContents"/>
              <w:bidi w:val="0"/>
              <w:spacing w:before="0" w:after="0"/>
              <w:ind w:left="0" w:right="0" w:hanging="0"/>
              <w:jc w:val="left"/>
              <w:rPr/>
            </w:pPr>
            <w:r>
              <w:rPr/>
              <w:t>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3"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1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83"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(2,263)</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income, net decreased to $0.0 million for the three months ended December 31, 2023, as compared to other income, net of $0.3 million for the three months ended December 31, 2022. </w:t>
      </w:r>
      <w:r>
        <w:rPr>
          <w:rFonts w:ascii="Times New Roman;Times;serif" w:hAnsi="Times New Roman;Times;serif"/>
          <w:sz w:val="20"/>
          <w:shd w:fill="FFFFFF" w:val="clear"/>
        </w:rPr>
        <w:t>The decrease was primarily due to interest earned on proceeds received from the Merger which were held in money market accounts during the three months ended December 31, 2022.</w:t>
      </w:r>
      <w:r>
        <w:rPr>
          <w:rFonts w:ascii="Times New Roman;Times;serif" w:hAnsi="Times New Roman;Times;serif"/>
          <w:sz w:val="20"/>
        </w:rPr>
        <w:t xml:space="preserve"> We did not have significant interest from money markets accounts during the</w:t>
      </w:r>
      <w:r>
        <w:rPr>
          <w:rFonts w:ascii="Times New Roman;Times;serif" w:hAnsi="Times New Roman;Times;serif"/>
          <w:sz w:val="20"/>
          <w:shd w:fill="FFFFFF" w:val="clear"/>
        </w:rPr>
        <w:t xml:space="preserve"> three months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income, net decreased to $0.1 million for the six months ended December 31, 2023, as compared to other income, net of $2.4 million for the six months ended December 31, 2022. The decrease was primarily due to the forgiveness of our PPP loan during the six months ended December 31, 2022 as well as the interest </w:t>
      </w:r>
      <w:r>
        <w:rPr>
          <w:rFonts w:ascii="Times New Roman;Times;serif" w:hAnsi="Times New Roman;Times;serif"/>
          <w:sz w:val="20"/>
          <w:shd w:fill="FFFFFF" w:val="clear"/>
        </w:rPr>
        <w:t>earned on proceeds received from the Merger which were held in money market accounts during the three months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Provision for income taxes was not material in the three and six months ended December 31,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and June 30, 2023, our principal sources of liquidity were cash and cash equivalents of $3.4 million and $15.1 million, respectively, which were held for working capital purposes. This excludes $10.0 million of restricted cash as of December 31, 2023 and June 30,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11, 2024, our Lenders delivered an activation notice to our bank and wired the $10.0 million of restricted cash to an account designated by the Lender. The funds were applied to reduce the outstanding loan balance which as of December 31, 2023 totaled $61.7 million in principal amount plus accrued interest.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currently face severe liquidity challenges.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29, 2024, we raised gross proceeds of $6.0 million through the issuance of subordinated notes. Refer to Note 15. </w:t>
      </w:r>
      <w:r>
        <w:rPr>
          <w:rFonts w:ascii="Times New Roman;Times;serif" w:hAnsi="Times New Roman;Times;serif"/>
          <w:i/>
          <w:sz w:val="20"/>
        </w:rPr>
        <w:t xml:space="preserve">Subsequent Events </w:t>
      </w:r>
      <w:r>
        <w:rPr>
          <w:rFonts w:ascii="Times New Roman;Times;serif" w:hAnsi="Times New Roman;Times;serif"/>
          <w:sz w:val="20"/>
        </w:rPr>
        <w:t xml:space="preserve">of Item 1 of this Quarterly Report on Form 10-Q for further details. We project that the net proceeds from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recent capital raise in January 2024, together with our other cash resources and projected revenues, are sufficient for us to sustain our operations through the end of February 2024.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Substantial doubt exists about our ability to continue as a going concern within one year after the date that the financial statements are available to be issued. We are seeking to mitigate the conditions or events that raise this substantial doubt, however, as some components of these plans are outside of management’s control, we cannot offer any assurances they will be effectively implemented. We cannot offer any assurance that any additional financing will be available on acceptable terms or at all. If we are unable to raise additional capital it would likely lead to an event of default under the Credit Agreement and the potential exercise of remedies by the Agent and Lender, which would materially and adversely impact our business, results of operations and financial condition. Our condensed consolidated financial statements have been prepared on a going concern basis, which contemplates the realization of assets and satisfaction of liabilities in the normal course of business.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Our financial statements have been prepared on a going concern basis, which contemplates the realization of assets and satisfaction of liabilities in the normal course of business. However, substantial doubt exists about our ability to continue as a going concern within one year after the date that the financial statements are available to be issued. Our plans for additional financing are intended to mitigate the conditions or events that raise this substantial doubt. However, as some aspects of the plans are outside of our control, we cannot provide any assurance that they will be effectively implemented. We cannot be certain that any additional financing will be available to us on acceptable terms if at all. If we are unable to raise additional capital when desired, our business, operating results, and financial condition could be materially and adversely affected.</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Summary of Cash Flows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p>
      <w:pPr>
        <w:pStyle w:val="TextBody"/>
        <w:bidi w:val="0"/>
        <w:spacing w:before="0" w:after="240"/>
        <w:ind w:left="0" w:right="0" w:hanging="0"/>
        <w:jc w:val="left"/>
        <w:rPr/>
      </w:pPr>
      <w:r>
        <w:rPr/>
        <w:t>​</w:t>
      </w:r>
    </w:p>
    <w:tbl>
      <w:tblPr>
        <w:tblW w:w="8752" w:type="dxa"/>
        <w:jc w:val="left"/>
        <w:tblInd w:w="0" w:type="dxa"/>
        <w:tblLayout w:type="fixed"/>
        <w:tblCellMar>
          <w:top w:w="0" w:type="dxa"/>
          <w:left w:w="0" w:type="dxa"/>
          <w:bottom w:w="0" w:type="dxa"/>
          <w:right w:w="0" w:type="dxa"/>
        </w:tblCellMar>
      </w:tblPr>
      <w:tblGrid>
        <w:gridCol w:w="3466"/>
        <w:gridCol w:w="326"/>
        <w:gridCol w:w="220"/>
        <w:gridCol w:w="832"/>
        <w:gridCol w:w="340"/>
        <w:gridCol w:w="220"/>
        <w:gridCol w:w="832"/>
        <w:gridCol w:w="326"/>
        <w:gridCol w:w="211"/>
        <w:gridCol w:w="796"/>
        <w:gridCol w:w="326"/>
        <w:gridCol w:w="54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200910" cy="175260"/>
                      <wp:effectExtent l="0" t="0" r="0" b="0"/>
                      <wp:wrapNone/>
                      <wp:docPr id="553" name="Frame55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39700" cy="175260"/>
                      <wp:effectExtent l="0" t="0" r="0" b="0"/>
                      <wp:wrapNone/>
                      <wp:docPr id="555" name="Frame55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28320" cy="175260"/>
                      <wp:effectExtent l="0" t="0" r="0" b="0"/>
                      <wp:wrapNone/>
                      <wp:docPr id="556" name="Frame556"/>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5900" cy="175260"/>
                      <wp:effectExtent l="0" t="0" r="0" b="0"/>
                      <wp:wrapNone/>
                      <wp:docPr id="557" name="Frame55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9700" cy="175260"/>
                      <wp:effectExtent l="0" t="0" r="0" b="0"/>
                      <wp:wrapNone/>
                      <wp:docPr id="558" name="Frame55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28320" cy="175260"/>
                      <wp:effectExtent l="0" t="0" r="0" b="0"/>
                      <wp:wrapNone/>
                      <wp:docPr id="559" name="Frame559"/>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60"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3985" cy="175260"/>
                      <wp:effectExtent l="0" t="0" r="0" b="0"/>
                      <wp:wrapNone/>
                      <wp:docPr id="561" name="Frame5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505460" cy="175260"/>
                      <wp:effectExtent l="0" t="0" r="0" b="0"/>
                      <wp:wrapNone/>
                      <wp:docPr id="562" name="Frame5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63"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43535" cy="175260"/>
                      <wp:effectExtent l="0" t="0" r="0" b="0"/>
                      <wp:wrapNone/>
                      <wp:docPr id="564" name="Frame56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0660" cy="175260"/>
                      <wp:effectExtent l="0" t="0" r="0" b="0"/>
                      <wp:wrapNone/>
                      <wp:docPr id="565" name="Frame5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26" w:type="dxa"/>
            <w:tcBorders/>
            <w:vAlign w:val="center"/>
          </w:tcPr>
          <w:p>
            <w:pPr>
              <w:pStyle w:val="TableContents"/>
              <w:bidi w:val="0"/>
              <w:spacing w:before="0" w:after="0"/>
              <w:ind w:left="0" w:right="0" w:hanging="0"/>
              <w:jc w:val="center"/>
              <w:rPr/>
            </w:pPr>
            <w:r>
              <w:rPr/>
              <w:t>    </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(21,934)</w:t>
            </w:r>
          </w:p>
        </w:tc>
        <w:tc>
          <w:tcPr>
            <w:tcW w:w="340"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w:t>
            </w:r>
          </w:p>
        </w:tc>
        <w:tc>
          <w:tcPr>
            <w:tcW w:w="32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righ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40"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righ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12,418</w:t>
            </w:r>
          </w:p>
        </w:tc>
        <w:tc>
          <w:tcPr>
            <w:tcW w:w="34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(53,967)</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(11,768)</w:t>
            </w:r>
          </w:p>
        </w:tc>
        <w:tc>
          <w:tcPr>
            <w:tcW w:w="340"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(46,962)</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December 31, 2023, net cash used in operating activities decreased by 17%, to $21.9 million, as compared to $26.6 million for the six months ended December 31, 2022. </w:t>
      </w:r>
    </w:p>
    <w:p>
      <w:pPr>
        <w:pStyle w:val="TextBody"/>
        <w:bidi w:val="0"/>
        <w:spacing w:before="0" w:after="0"/>
        <w:ind w:left="0" w:right="0" w:firstLine="720"/>
        <w:jc w:val="left"/>
        <w:rPr>
          <w:rFonts w:ascii="Times New Roman;Times;serif" w:hAnsi="Times New Roman;Times;serif"/>
          <w:sz w:val="20"/>
        </w:rPr>
      </w:pPr>
      <w:r>
        <w:rPr>
          <w:rFonts w:ascii="Times New Roman PS Std" w:hAnsi="Times New Roman PS Std"/>
          <w:sz w:val="20"/>
          <w:shd w:fill="FFFFFF" w:val="clear"/>
        </w:rPr>
        <w:t>For the six months ended December 31, 2023, net cash used in operating activities was $21.9</w:t>
      </w:r>
      <w:r>
        <w:rPr>
          <w:rFonts w:ascii="Times New Roman;Times;serif" w:hAnsi="Times New Roman;Times;serif"/>
          <w:sz w:val="20"/>
          <w:shd w:fill="FFFFFF" w:val="clear"/>
        </w:rPr>
        <w:t> </w:t>
      </w:r>
      <w:r>
        <w:rPr>
          <w:rFonts w:ascii="Times New Roman PS Std" w:hAnsi="Times New Roman PS Std"/>
          <w:sz w:val="20"/>
          <w:shd w:fill="FFFFFF" w:val="clear"/>
        </w:rPr>
        <w:t>million. This consisted of our net loss of $12.7 million and net use of cash from changes in operating assets and liabilities of $1.6 million and non-cash</w:t>
      </w:r>
      <w:r>
        <w:rPr>
          <w:rFonts w:ascii="Times New Roman;Times;serif" w:hAnsi="Times New Roman;Times;serif"/>
          <w:sz w:val="20"/>
          <w:shd w:fill="FFFFFF" w:val="clear"/>
        </w:rPr>
        <w:t> </w:t>
      </w:r>
      <w:r>
        <w:rPr>
          <w:rFonts w:ascii="Times New Roman PS Std" w:hAnsi="Times New Roman PS Std"/>
          <w:sz w:val="20"/>
          <w:shd w:fill="FFFFFF" w:val="clear"/>
        </w:rPr>
        <w:t>adjustments of $7.7 million. The net use of cash from changes in operating assets and liabilities primarily relates to an increase in inventory of $0.1 million and a decrease in accounts payable of $0.3 million, accrued liabilities of $0.8 million, deferred revenue of $0.3 million and other long-term liabilities of $0.1 million. Such uses of cash were partially offset by a decrease in deferred costs of $0.5</w:t>
      </w:r>
      <w:r>
        <w:rPr>
          <w:rFonts w:ascii="Times New Roman;Times;serif" w:hAnsi="Times New Roman;Times;serif"/>
          <w:sz w:val="20"/>
          <w:shd w:fill="FFFFFF" w:val="clear"/>
        </w:rPr>
        <w:t> </w:t>
      </w:r>
      <w:r>
        <w:rPr>
          <w:rFonts w:ascii="Times New Roman PS Std" w:hAnsi="Times New Roman PS Std"/>
          <w:sz w:val="20"/>
          <w:shd w:fill="FFFFFF" w:val="clear"/>
        </w:rPr>
        <w:t>million and a decrease of $0.6 million in prepaid expenses and other current assets. The non-cash</w:t>
      </w:r>
      <w:r>
        <w:rPr>
          <w:rFonts w:ascii="Times New Roman;Times;serif" w:hAnsi="Times New Roman;Times;serif"/>
          <w:sz w:val="20"/>
          <w:shd w:fill="FFFFFF" w:val="clear"/>
        </w:rPr>
        <w:t> </w:t>
      </w:r>
      <w:r>
        <w:rPr>
          <w:rFonts w:ascii="Times New Roman PS Std" w:hAnsi="Times New Roman PS Std"/>
          <w:sz w:val="20"/>
          <w:shd w:fill="FFFFFF" w:val="clear"/>
        </w:rPr>
        <w:t>adjustments primarily relate to gains associated with changes in the fair value of warrants and convertible promissory notes of $26.3</w:t>
      </w:r>
      <w:r>
        <w:rPr>
          <w:rFonts w:ascii="Times New Roman;Times;serif" w:hAnsi="Times New Roman;Times;serif"/>
          <w:sz w:val="20"/>
          <w:shd w:fill="FFFFFF" w:val="clear"/>
        </w:rPr>
        <w:t> </w:t>
      </w:r>
      <w:r>
        <w:rPr>
          <w:rFonts w:ascii="Times New Roman PS Std" w:hAnsi="Times New Roman PS Std"/>
          <w:sz w:val="20"/>
          <w:shd w:fill="FFFFFF" w:val="clear"/>
        </w:rPr>
        <w:t xml:space="preserve">million and </w:t>
      </w:r>
      <w:r>
        <w:rPr>
          <w:rFonts w:ascii="Times New Roman;Times;serif" w:hAnsi="Times New Roman;Times;serif"/>
          <w:sz w:val="20"/>
          <w:shd w:fill="FFFFFF" w:val="clear"/>
        </w:rPr>
        <w:t>changes in the fair value of unvested sponsor shares liability of $1.4 million, partially offset by stock-based compensation expense of $3.9 million, paid in-kind interest expense of $4.3 million, impairment of capitalized software and acquired technology of $4.1 million, earnout share stock-based compensation expense of $2.7 million, amortization of debt discount and debt issuance costs of $2.4 million, and depreciation and amortization of $1.8 million.</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For the six months ended December 31, 2022, net cash used in operating activities was $26.6 million. </w:t>
      </w:r>
      <w:r>
        <w:rPr>
          <w:rFonts w:ascii="Times New Roman PS Std" w:hAnsi="Times New Roman PS Std"/>
          <w:sz w:val="20"/>
          <w:shd w:fill="FFFFFF" w:val="clear"/>
        </w:rPr>
        <w:t>This consisted of our net income of $17.8 million and a net use of cash from changes in operating assets and liabilities of $3.0 million partially offset by adjustments for non-cash gains, net of $41.3 million. The net use of cash from changes in operating assets and liabilities primarily relate to an increase in accounts receivable of $1.1 million, an increase in prepaids and other current assets of $1.2 million, a decrease in accrued liabilities of $2.1 million and a decrease in deferred revenue of $6.6 million. Such uses of cash were partially offset by a decrease in deferred costs of $6.3 million and a decrease in accounts payable of $1.4 million. The non-cash adjustments primarily relate to gains associated with changes in fair value of warrants and convertible promissory notes of $48.3 million and change in fair value of our liability-classified warrants of $11.2 million,</w:t>
      </w:r>
      <w:r>
        <w:rPr>
          <w:rFonts w:ascii="Times New Roman;Times;serif" w:hAnsi="Times New Roman;Times;serif"/>
          <w:sz w:val="20"/>
          <w:shd w:fill="FFFFFF" w:val="clear"/>
        </w:rPr>
        <w:t xml:space="preserve">  forgiveness of our outstanding PPP loan of $2.0 million, and change in fair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value of unvested founder shares liability of $1.2 million, partially offset by loss on debt extinguishment of debt and financing obligations of $8.1 million, stock-based compensation expense of $3.0 million, paid in-kind interest expense of $2.4 million, share and warrant cost on termination of convertible note agreement of $2.4 million, earnout share stock-based compensation expense of $1.9 million, amortization of debt discount and debt issuance costs of $1.9 million, and depreciation, amortization and impairment of $0.8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December 31, 2023, net cash used in investing activities decreased to $2.3 million, as compared to $4.6 million for the six months ended December 31, 2022. </w:t>
      </w:r>
    </w:p>
    <w:p>
      <w:pPr>
        <w:pStyle w:val="TextBody"/>
        <w:pBdr/>
        <w:bidi w:val="0"/>
        <w:spacing w:before="0" w:after="0"/>
        <w:ind w:left="0" w:right="0" w:firstLine="720"/>
        <w:jc w:val="left"/>
        <w:rPr>
          <w:rFonts w:ascii="Times New Roman;Times;serif" w:hAnsi="Times New Roman;Times;serif"/>
          <w:sz w:val="20"/>
        </w:rPr>
      </w:pPr>
      <w:r>
        <w:rPr>
          <w:rFonts w:ascii="Times New Roman PS Std" w:hAnsi="Times New Roman PS Std"/>
          <w:sz w:val="20"/>
          <w:shd w:fill="FFFFFF" w:val="clear"/>
        </w:rPr>
        <w:t>For the six months ended December 31, 2023, cash used in investing activities primarily consisted of cash outflows for capitalized software of $2.0</w:t>
      </w:r>
      <w:r>
        <w:rPr>
          <w:rFonts w:ascii="Times New Roman;Times;serif" w:hAnsi="Times New Roman;Times;serif"/>
          <w:sz w:val="20"/>
          <w:shd w:fill="FFFFFF" w:val="clear"/>
        </w:rPr>
        <w:t> </w:t>
      </w:r>
      <w:r>
        <w:rPr>
          <w:rFonts w:ascii="Times New Roman PS Std" w:hAnsi="Times New Roman PS Std"/>
          <w:sz w:val="20"/>
          <w:shd w:fill="FFFFFF" w:val="clear"/>
        </w:rPr>
        <w:t>million.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December 31, 2022, cash used in investing activities primarily consisted of cash outflows for capitalized software of $2.5 million and a cash outflow for an investment in a non-affiliate of $2.0 million.</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December 31, 2023, net cash provided by financing activities decreased to $12.4 million of cash, as compared to $66.4 million cash provided by financing activities for the six months ended December 31, 2022. </w:t>
      </w:r>
    </w:p>
    <w:p>
      <w:pPr>
        <w:pStyle w:val="TextBody"/>
        <w:pBdr/>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For the six months ended December 31, 2023, cash provided by financing activities was $12.4 million, which consisted primarily of proceeds from equity financing, net of transaction costs, of $9.2 million and net proceeds from the issuance of additional term loans of $3.8 million, proceeds from the exercise of stock options of $0.2 million, partially offset by principal payments of financing obligations of $0.8 million.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December 31, 2022, cash provided by financing activities was $66.4 million, which consisted primarily of proceeds from the issuance of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$2.7 million, and payment of debt issuance costs of $1.1 million.</w:t>
      </w:r>
    </w:p>
    <w:p>
      <w:pPr>
        <w:pStyle w:val="TextBody"/>
        <w:shd w:fill="FFFFFF" w:val="clear"/>
        <w:bidi w:val="0"/>
        <w:spacing w:before="0" w:after="0"/>
        <w:ind w:left="0" w:right="0" w:firstLine="720"/>
        <w:jc w:val="left"/>
        <w:rPr/>
      </w:pPr>
      <w:r>
        <w:rPr/>
        <w:t>​</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Capital Raise</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November 17, 2023, we entered into agreements with a syndicate of investors, to sell 7,000,000 shares of our common stock in a registered offering that resulted in gross proceeds of approximately $7.0 million. The offering also included the issuance of an additional 750,000 shares to a related party, Zaffran Special Opportunities, LLC, bringing the total of shares issued in the offering to 7,750,000 shares. The offering closed on November 21, 2023.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offering of our securities triggered anti-dilution provisions in the Purchase Agreement with Presto CA, LLC and the Third Amendment Conversion Warrants. We agreed with each of CA and the Lenders that the “New Issuance Price” (as defined in the Purchase Agreement and Third Amendment Conversion Warrants, respectively) would be $1.00. As a result of the capital raise, we were required to issue an additional 1,500,000 shares to CA and increase the amount of common stock issuable upon the exercise of the Third Amendment Conversion Warrants from 3,000,000 shares to 6,000,000 shares. </w:t>
      </w:r>
    </w:p>
    <w:p>
      <w:pPr>
        <w:pStyle w:val="TextBody"/>
        <w:shd w:fill="FFFFFF" w:val="clear"/>
        <w:bidi w:val="0"/>
        <w:spacing w:before="0" w:after="0"/>
        <w:ind w:left="0" w:right="0" w:firstLine="72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June 30, 2023, our financing obligations consisted of the following:</w:t>
      </w:r>
    </w:p>
    <w:p>
      <w:pPr>
        <w:pStyle w:val="TextBody"/>
        <w:bidi w:val="0"/>
        <w:spacing w:before="0" w:after="240"/>
        <w:ind w:left="0" w:right="0" w:firstLine="720"/>
        <w:jc w:val="left"/>
        <w:rPr/>
      </w:pPr>
      <w:r>
        <w:rPr/>
        <w:t>​</w:t>
      </w:r>
    </w:p>
    <w:tbl>
      <w:tblPr>
        <w:tblW w:w="6833" w:type="dxa"/>
        <w:jc w:val="left"/>
        <w:tblInd w:w="0" w:type="dxa"/>
        <w:tblLayout w:type="fixed"/>
        <w:tblCellMar>
          <w:top w:w="0" w:type="dxa"/>
          <w:left w:w="0" w:type="dxa"/>
          <w:bottom w:w="0" w:type="dxa"/>
          <w:right w:w="0" w:type="dxa"/>
        </w:tblCellMar>
      </w:tblPr>
      <w:tblGrid>
        <w:gridCol w:w="3391"/>
        <w:gridCol w:w="326"/>
        <w:gridCol w:w="390"/>
        <w:gridCol w:w="1170"/>
        <w:gridCol w:w="326"/>
        <w:gridCol w:w="274"/>
        <w:gridCol w:w="95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53285" cy="175260"/>
                      <wp:effectExtent l="0" t="0" r="0" b="0"/>
                      <wp:wrapNone/>
                      <wp:docPr id="566" name="Frame566"/>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47650" cy="175260"/>
                      <wp:effectExtent l="0" t="0" r="0" b="0"/>
                      <wp:wrapNone/>
                      <wp:docPr id="568" name="Frame568"/>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742950" cy="175260"/>
                      <wp:effectExtent l="0" t="0" r="0" b="0"/>
                      <wp:wrapNone/>
                      <wp:docPr id="569" name="Frame569"/>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73990" cy="175260"/>
                      <wp:effectExtent l="0" t="0" r="0" b="0"/>
                      <wp:wrapNone/>
                      <wp:docPr id="571" name="Frame57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07060" cy="175260"/>
                      <wp:effectExtent l="0" t="0" r="0" b="0"/>
                      <wp:wrapNone/>
                      <wp:docPr id="572" name="Frame572"/>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 financing facility</w:t>
            </w:r>
          </w:p>
        </w:tc>
        <w:tc>
          <w:tcPr>
            <w:tcW w:w="326" w:type="dxa"/>
            <w:tcBorders/>
            <w:shd w:fill="CCEEFF" w:val="clear"/>
            <w:vAlign w:val="center"/>
          </w:tcPr>
          <w:p>
            <w:pPr>
              <w:pStyle w:val="TableContents"/>
              <w:bidi w:val="0"/>
              <w:spacing w:before="0" w:after="0"/>
              <w:ind w:left="0" w:right="0" w:hanging="0"/>
              <w:jc w:val="center"/>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financing facility</w:t>
            </w:r>
          </w:p>
        </w:tc>
        <w:tc>
          <w:tcPr>
            <w:tcW w:w="326" w:type="dxa"/>
            <w:tcBorders/>
            <w:vAlign w:val="center"/>
          </w:tcPr>
          <w:p>
            <w:pPr>
              <w:pStyle w:val="TableContents"/>
              <w:bidi w:val="0"/>
              <w:spacing w:before="0" w:after="0"/>
              <w:ind w:left="0" w:right="0" w:hanging="0"/>
              <w:jc w:val="left"/>
              <w:rPr/>
            </w:pPr>
            <w:r>
              <w:rPr/>
              <w:t> </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right"/>
              <w:rPr/>
            </w:pPr>
            <w:r>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financing obligations, current</w:t>
            </w:r>
          </w:p>
        </w:tc>
        <w:tc>
          <w:tcPr>
            <w:tcW w:w="326" w:type="dxa"/>
            <w:tcBorders/>
            <w:vAlign w:val="center"/>
          </w:tcPr>
          <w:p>
            <w:pPr>
              <w:pStyle w:val="TableContents"/>
              <w:bidi w:val="0"/>
              <w:spacing w:before="0" w:after="0"/>
              <w:ind w:left="0" w:right="0" w:hanging="0"/>
              <w:jc w:val="left"/>
              <w:rPr/>
            </w:pPr>
            <w:r>
              <w:rPr/>
              <w:t> </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Receivable Financing Facility</w:t>
      </w:r>
    </w:p>
    <w:p>
      <w:pPr>
        <w:pStyle w:val="TextBody"/>
        <w:pBdr/>
        <w:bidi w:val="0"/>
        <w:spacing w:before="0" w:after="0"/>
        <w:ind w:left="0" w:right="0" w:firstLine="720"/>
        <w:jc w:val="left"/>
        <w:rPr>
          <w:rFonts w:ascii="Times New Roman;Times;serif" w:hAnsi="Times New Roman;Times;serif"/>
          <w:sz w:val="20"/>
        </w:rPr>
      </w:pPr>
      <w:bookmarkStart w:id="1751" w:name="_Hlk158134434"/>
      <w:bookmarkEnd w:id="1751"/>
      <w:r>
        <w:rPr>
          <w:rFonts w:ascii="Times New Roman;Times;serif" w:hAnsi="Times New Roman;Times;serif"/>
          <w:sz w:val="20"/>
        </w:rPr>
        <w:t>On December 15, 2023, we entered into an amendment to the receivable facility, which changed the amount and timing of certain repayments but not the aggregate amount or the maturity date. The amendment is considered a troubled debt restructuring under the guidance of ASC 470 with no gain or loss recorded at the time of the amendment. We did not incur any additional expenses.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receivable financing arrangement calls for monthly payments of principal and interest totaling an aggregate of $0.9 million and $3.0 million in the remainder of fiscal years 2024 and fiscal year 2025,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Equipment Financing Facility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equipment financing facilities with third party financing partners to secure payments of certain tablet purchases. Such arrangements generally had terms ranging from three to five years and interest rates ranging from 8% to 14%. We then leased the tablets to one of our customers through operating leases that have 4-year terms. This facility no longer has an outstanding balance as of December 31, 2023.</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November 21, 2022, we executed an amendment with one of our third-party financing partners, under which we repaid one of the arrangements by making a cash disbursement of $0.4 million, which extinguished all obligations and resulted in $0.3 million being recorded as a loss on extinguishment of debt and financial obligations on the condensed consolidated statement of operations and comprehensive income (loss).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and June 30, 2022, our outstanding debt, net of debt discounts, under our Credit Agreement (described below) consisted of the following:</w:t>
      </w:r>
    </w:p>
    <w:p>
      <w:pPr>
        <w:pStyle w:val="TextBody"/>
        <w:bidi w:val="0"/>
        <w:spacing w:before="0" w:after="0"/>
        <w:ind w:left="0" w:right="0" w:hanging="0"/>
        <w:jc w:val="left"/>
        <w:rPr/>
      </w:pPr>
      <w:r>
        <w:rPr/>
        <w:t>​</w:t>
      </w:r>
    </w:p>
    <w:tbl>
      <w:tblPr>
        <w:tblW w:w="5378" w:type="dxa"/>
        <w:jc w:val="left"/>
        <w:tblInd w:w="0" w:type="dxa"/>
        <w:tblLayout w:type="fixed"/>
        <w:tblCellMar>
          <w:top w:w="0" w:type="dxa"/>
          <w:left w:w="0" w:type="dxa"/>
          <w:bottom w:w="0" w:type="dxa"/>
          <w:right w:w="0" w:type="dxa"/>
        </w:tblCellMar>
      </w:tblPr>
      <w:tblGrid>
        <w:gridCol w:w="1936"/>
        <w:gridCol w:w="326"/>
        <w:gridCol w:w="347"/>
        <w:gridCol w:w="1213"/>
        <w:gridCol w:w="326"/>
        <w:gridCol w:w="246"/>
        <w:gridCol w:w="984"/>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229360" cy="175260"/>
                      <wp:effectExtent l="0" t="0" r="0" b="0"/>
                      <wp:wrapNone/>
                      <wp:docPr id="573" name="Frame573"/>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7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20345" cy="175260"/>
                      <wp:effectExtent l="0" t="0" r="0" b="0"/>
                      <wp:wrapNone/>
                      <wp:docPr id="575" name="Frame57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770255" cy="175260"/>
                      <wp:effectExtent l="0" t="0" r="0" b="0"/>
                      <wp:wrapNone/>
                      <wp:docPr id="576" name="Frame576"/>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56210" cy="175260"/>
                      <wp:effectExtent l="0" t="0" r="0" b="0"/>
                      <wp:wrapNone/>
                      <wp:docPr id="578" name="Frame57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24840" cy="175260"/>
                      <wp:effectExtent l="0" t="0" r="0" b="0"/>
                      <wp:wrapNone/>
                      <wp:docPr id="579" name="Frame579"/>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26" w:type="dxa"/>
            <w:tcBorders/>
            <w:shd w:fill="CCEEFF" w:val="clear"/>
            <w:vAlign w:val="center"/>
          </w:tcPr>
          <w:p>
            <w:pPr>
              <w:pStyle w:val="TableContents"/>
              <w:bidi w:val="0"/>
              <w:spacing w:before="0" w:after="0"/>
              <w:ind w:left="0" w:right="0" w:hanging="0"/>
              <w:jc w:val="left"/>
              <w:rPr/>
            </w:pPr>
            <w:r>
              <w:rPr/>
              <w:t> </w:t>
            </w:r>
          </w:p>
        </w:tc>
        <w:tc>
          <w:tcPr>
            <w:tcW w:w="347" w:type="dxa"/>
            <w:tcBorders/>
            <w:shd w:fill="CCEEFF" w:val="clear"/>
            <w:vAlign w:val="center"/>
          </w:tcPr>
          <w:p>
            <w:pPr>
              <w:pStyle w:val="TableContents"/>
              <w:bidi w:val="0"/>
              <w:spacing w:before="0" w:after="0"/>
              <w:ind w:left="0" w:right="0" w:hanging="0"/>
              <w:jc w:val="righ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55,632</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righ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55,632</w:t>
            </w:r>
          </w:p>
        </w:tc>
        <w:tc>
          <w:tcPr>
            <w:tcW w:w="32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righ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current</w:t>
            </w:r>
          </w:p>
        </w:tc>
        <w:tc>
          <w:tcPr>
            <w:tcW w:w="326" w:type="dxa"/>
            <w:tcBorders/>
            <w:shd w:fill="CCEEFF" w:val="clear"/>
            <w:vAlign w:val="center"/>
          </w:tcPr>
          <w:p>
            <w:pPr>
              <w:pStyle w:val="TableContents"/>
              <w:bidi w:val="0"/>
              <w:spacing w:before="0" w:after="0"/>
              <w:ind w:left="0" w:right="0" w:hanging="0"/>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(55,632)</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noncurrent</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Term Loan - Credit Agreement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w:t>
      </w:r>
      <w:r>
        <w:rPr>
          <w:rFonts w:ascii="Times New Roman PS Std" w:hAnsi="Times New Roman PS Std"/>
          <w:sz w:val="20"/>
        </w:rPr>
        <w:t>term loans having an aggregate original principal amount of $55.0 million (the “Initial Term Loans” </w:t>
      </w:r>
      <w:r>
        <w:rPr>
          <w:rFonts w:ascii="Times New Roman;Times;serif" w:hAnsi="Times New Roman;Times;serif"/>
          <w:sz w:val="20"/>
        </w:rPr>
        <w:t xml:space="preserve">and which the Lenders have agreed to extend by an additional $3.0 million (the “Third Amendment Term Loans” and together with the Initial Term Loans, the “Term Loans”). In conjunction with the initial Credit Agreement, we issued 1,500,000 warrants to purchase common stock to the Lenders as debt discount. Such warrants were determined to be equity classified and we recorded the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associated with such warrants of $2.1 million within additional paid in capital, with an offsetting debt discount being recorded. Refer to Note 10 for further details on the aforementioned warrants. We also pay a debt monitoring fee under the Credit Agreement of $0.1 million per quarter which is recorded as interest expense in the condensed consolidated statement of operations and comprehensive income (loss).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Purchase Agreements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On January 29, 2024, we entered into Securities Purchase Agreements with several investors relating to the issuance and sale of an aggregate of:</w:t>
      </w:r>
    </w:p>
    <w:p>
      <w:pPr>
        <w:pStyle w:val="TextBody"/>
        <w:shd w:fill="FFFFFF" w:val="clear"/>
        <w:bidi w:val="0"/>
        <w:spacing w:before="0" w:after="0"/>
        <w:ind w:left="0" w:right="0" w:hanging="0"/>
        <w:jc w:val="both"/>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$6.0 million principal amount of subordinated notes (the “January 2024 Notes”) from a number of investors consisting of (i) an investor (the “Lead Investor”) who purchased $3.0 million of the Notes, (ii) Remus Capital Series B II, L.P. (“Remus Capital”), a related party affiliated with Krishna Gupta, which purchased $2.675 million of the Notes, and (iii) various other investors,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$3.0 million principal amount of subordinated notes issued to the Lead Investor in exchange for forfeiting 3,000,000 shares of our common stock that the Lead Investor had purchased on November 21, 2023 at a price of $1.00 per share in addition to 4,500,000 additional shares of common stock that would be issuable as a result of the triggering of the anti-dilution adjustment.</w:t>
            </w:r>
          </w:p>
        </w:tc>
      </w:tr>
    </w:tbl>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PIK Interest on the January 2024 Notes accrues monthly at a rate of 7.5% per annum. The interest rate shall increase to 12% in the case of an event of default. The January 2024 Notes are convertible into 36,000,000 shares of common stock at the option of each holder at an initial conversion price of $0.25 per share. The January 2024 Notes shall convert mandatorily into common stock at the conversion price immediately prior to (a) a restructuring transaction, and (b) a change of control transaction with a financial investor.</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Upon the issuance of the January 2024 Notes through September 30, 2024, if we issue any common stock or securities convertible into or exchangeable for common stock at a price that is less than the initial conversion price of $0.25 per share, the conversion price shall be reduced to that lower price. </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January 2024 Notes are subordinated to the payment in full of the principal outstanding under the Credit Agreement.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Triggering and Partial Waiver of Anti-dilution Protection Associated with Previously Issued Securities</w:t>
      </w:r>
      <w:r>
        <w:rPr>
          <w:rFonts w:ascii="Times New Roman;Times;serif" w:hAnsi="Times New Roman;Times;serif"/>
          <w:sz w:val="20"/>
        </w:rPr>
        <w: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issuance of the January 2024 Notes triggered anti-dilution adjustment provisions in the October Purchase Agreement, the Third Amendment Conversion Warrants and the November Purchase Agreements.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investors in the October Purchase Agreement and the November Purchase Agreements (other than one investor holding 1,000,000 shares) and the Lenders agreed that the “New Issuance Price” for the purpose of anti-dilution protection would be $0.40 and not $0.25. For the one investor holding 1,000,000 shares, the “New Issuance Price” was $0.25. As a result, we (i) increased the number of shares issuable upon the exercise of the Third Amendment Conversion Warrants by an additional 9,000,000 shares and (ii) issued 12,000,000 additional shares of our common stock to the investors in the October Purchase Agreement and the November Purchase Agreements, of which 4,500,000 additional shares were issued to a related party. Additional shares issued includes the one investor holding 1,000,000 shares who received 3,000,000 additional shares and excludes the Lead Investor holding 3,000,000 shares that were forfeited and exchanged for $3.0 million principal amount of subordinated notes.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 </w:t>
      </w:r>
      <w:r>
        <w:rPr>
          <w:rFonts w:ascii="Times New Roman;Times;serif" w:hAnsi="Times New Roman;Times;serif"/>
          <w:i/>
          <w:sz w:val="20"/>
        </w:rPr>
        <w:t>Fifth Amendment to the Credit Agreement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January 30, 2024, we entered into a Fifth Amendment and Acknowledgment to the Credit Agreement (the “Fifth Amendment”).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material terms of the Fifth Amendment are as follows:</w:t>
      </w:r>
    </w:p>
    <w:p>
      <w:pPr>
        <w:pStyle w:val="TextBody"/>
        <w:shd w:fill="FFFFFF" w:val="clear"/>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parties confirmed that the issuance of the January 2024 Notes satisfied the requirements of the Forbearance Agreement in order for the Lenders to grant continued forbearance with respect to events of default under the Credit Agreement.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date until which initial forbearance is granted was extended from the original date of February 29, 2024 in the Forbearance Agreement until March 8,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agreed that on or prior to March 6, 2024, we will hold a shareholder meeting, among other things, to (i) approve the issuance of certain shares, including, without limitation, the Third Amendment Warrants, the Fifth Amendment Warrants and the Convertible Notes, and (ii) amend its certificate of incorporation to increase the authorized shares of common stock to not less than 100,000,000,000 shares. The failure of such meeting of our shareholders to occur on or before March 6, 2024 shall constitute an immediate event of default under the Credit Agreement.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We anticipate that our cash payments in February will result in a reduction in our operating cash that breaches the permitted “Net Adjusted Decrease in Operating Cash” covenant under the Credit Agreement. </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 to Purchase Common Stock</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effectiveness of the Fifth Amendment, we issued to the Agent warrants to purchase 5,323,298 shares of common stock with an exercise price of $0.01. (the “Fifth Amendment Warrants”). The Fifth Amendment Warrants were required to be issued pursuant to the Forbearance Agreement to account for the reduction in interest rate under the Credit Agreement from 12% to 8% upon the issuance of the January 2024 Notes. The Fifth Amendment Warrants may be exercised for cash or pursuant to a net exercise at any time on or before the date that is the five year anniversary of the date of issuance; provided, that we shall not effect the exercise of any portion of the Fifth Amendment Warrants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our common stock from the issuance date to April 1, 2024 at a price per share below $0.40.</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Liquidity Update</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project that the net proceeds from the January 2024 Notes, together with our other cash resources and projected revenues, are sufficient for us to sustain our operations through the end of February 2024. We are currently exploring alternatives and are in discussions with potential investors to raise capital. </w:t>
      </w:r>
    </w:p>
    <w:p>
      <w:pPr>
        <w:pStyle w:val="TextBody"/>
        <w:shd w:fill="FFFFFF" w:val="clear"/>
        <w:bidi w:val="0"/>
        <w:spacing w:before="0" w:after="0"/>
        <w:ind w:left="0" w:right="0" w:firstLine="720"/>
        <w:jc w:val="both"/>
        <w:rPr/>
      </w:pPr>
      <w:r>
        <w:rPr/>
        <w: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Termination of Forbearance Agreement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17, 2024, we received notice from the Agent and the Lenders of two events of default under the Credit Agreement: (1) that we did not replace our CEO with a chief restructuring officer or person with significant restructuring, turnaround and insolvency experience reasonably acceptable to the Agent within the time period required following the resignation of the prior CEO; and (2) that we failed to deliver certain financial reports to the Agent on a weekly basis as required by the Credit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the Agent and the Lenders notified us that the forbearance agreement had terminated with the result that the Agent and Lenders are no longer required to forbear from exercising rights and remedies against us under the Credit Agreement as a result of these defaults or other existing and anticipated defaults that were the subject of the Forbearance Agreement.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Appointment of Interim Chief Executive Officer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18, 2024, the Board appointed Gee Lefevre as Interim CEO of the Company to fill the previously disclosed vacancy of such position. In his capacity as Interim CEO, Mr. Lefevre will serve as the principal executive officer of the Company.</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Forbearance Agreement and Fourth Amendment to the Credit Agreement</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22, 2024, we entered into a Forbearance Agreement and Fourth Amendment to the Credit Agreement (“the Forbearance Agreement”) with the Agent and the Lenders. The Forbearance Agreement provides that the Lenders will not exercise remedies for a specified period of time pursuant to the events of the December 2023 default for failing to pay the quarterly monitoring fee and failing to deliver a Presto Touch business plan, as well as the anticipated future event of default due to us failing to appoint a new Chief Financial Officer reasonably acceptable to the Agent within 90 days of the prior Chief Financial Officer’s resignation, subject to the agreements and conditions set out below. We will pay the Agent a fee of $0.3 million to enter into the Forbearance Agreement.</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Forbearance Date and Related Terms</w:t>
      </w:r>
    </w:p>
    <w:p>
      <w:pPr>
        <w:pStyle w:val="TextBody"/>
        <w:shd w:fill="FFFFFF" w:val="clear"/>
        <w:bidi w:val="0"/>
        <w:spacing w:before="0" w:after="0"/>
        <w:ind w:left="0" w:right="0" w:firstLine="53"/>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810"/>
        <w:jc w:val="left"/>
        <w:rPr>
          <w:rFonts w:ascii="Times New Roman;Times;serif" w:hAnsi="Times New Roman;Times;serif"/>
          <w:sz w:val="20"/>
        </w:rPr>
      </w:pPr>
      <w:r>
        <w:rPr>
          <w:rFonts w:ascii="Times New Roman;Times;serif" w:hAnsi="Times New Roman;Times;serif"/>
          <w:sz w:val="20"/>
        </w:rPr>
        <w:t>If we raise gross cash proceeds of at least $6 million by January 29, 2024 in a Capital Raise (as defined below), the forbearance date would be February 29, 2024 (the “First Forbearance”) (see termination date above) and the following additional terms shall apply:</w:t>
      </w:r>
    </w:p>
    <w:p>
      <w:pPr>
        <w:pStyle w:val="TextBody"/>
        <w:shd w:fill="FFFFFF" w:val="clear"/>
        <w:bidi w:val="0"/>
        <w:spacing w:before="0" w:after="0"/>
        <w:ind w:left="0" w:right="0" w:firstLine="53"/>
        <w:jc w:val="left"/>
        <w:rPr/>
      </w:pPr>
      <w:r>
        <w:rPr/>
        <w:t>​</w:t>
      </w:r>
    </w:p>
    <w:tbl>
      <w:tblPr>
        <w:tblW w:w="9171" w:type="dxa"/>
        <w:jc w:val="left"/>
        <w:tblInd w:w="0" w:type="dxa"/>
        <w:shd w:fill="FFFFFF" w:val="clear"/>
        <w:tblLayout w:type="fixed"/>
        <w:tblCellMar>
          <w:top w:w="28" w:type="dxa"/>
          <w:left w:w="28" w:type="dxa"/>
          <w:bottom w:w="28" w:type="dxa"/>
          <w:right w:w="28" w:type="dxa"/>
        </w:tblCellMar>
      </w:tblPr>
      <w:tblGrid>
        <w:gridCol w:w="124"/>
        <w:gridCol w:w="256"/>
        <w:gridCol w:w="87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under the Credit Agreement shall be reduced from 15% to 8% through December 31, 2024;</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warrants with an exercise price of $0.01 per share with the number of shares determined by to the amount of interest that would accrue on the outstanding loan under the Credit Agreement through December 31, 2024 at a rate of 4% per annum;</w:t>
            </w:r>
          </w:p>
        </w:tc>
      </w:tr>
    </w:tbl>
    <w:tbl>
      <w:tblPr>
        <w:tblW w:w="8601" w:type="dxa"/>
        <w:jc w:val="left"/>
        <w:tblInd w:w="0" w:type="dxa"/>
        <w:shd w:fill="FFFFFF" w:val="clear"/>
        <w:tblLayout w:type="fixed"/>
        <w:tblCellMar>
          <w:top w:w="28" w:type="dxa"/>
          <w:left w:w="28" w:type="dxa"/>
          <w:bottom w:w="28" w:type="dxa"/>
          <w:right w:w="28" w:type="dxa"/>
        </w:tblCellMar>
      </w:tblPr>
      <w:tblGrid>
        <w:gridCol w:w="124"/>
        <w:gridCol w:w="256"/>
        <w:gridCol w:w="82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permitted to pay interest under the Credit Agreement via PIK through June 30, 2024; and</w:t>
            </w:r>
          </w:p>
        </w:tc>
      </w:tr>
    </w:tbl>
    <w:tbl>
      <w:tblPr>
        <w:tblW w:w="9096" w:type="dxa"/>
        <w:jc w:val="left"/>
        <w:tblInd w:w="0" w:type="dxa"/>
        <w:shd w:fill="FFFFFF" w:val="clear"/>
        <w:tblLayout w:type="fixed"/>
        <w:tblCellMar>
          <w:top w:w="28" w:type="dxa"/>
          <w:left w:w="28" w:type="dxa"/>
          <w:bottom w:w="28" w:type="dxa"/>
          <w:right w:w="28" w:type="dxa"/>
        </w:tblCellMar>
      </w:tblPr>
      <w:tblGrid>
        <w:gridCol w:w="124"/>
        <w:gridCol w:w="256"/>
        <w:gridCol w:w="871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monitoring fee for the period ending March 31, 2024 will be deferred until June 30, 2024. </w:t>
            </w:r>
          </w:p>
        </w:tc>
      </w:tr>
    </w:tbl>
    <w:p>
      <w:pPr>
        <w:pStyle w:val="TextBody"/>
        <w:shd w:fill="FFFFFF" w:val="clear"/>
        <w:bidi w:val="0"/>
        <w:spacing w:before="0" w:after="0"/>
        <w:ind w:left="720" w:right="0" w:firstLine="53"/>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other additional terms of the Forbearance Agreement which were terminated prior to them becoming effective on the forbearance termination date.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“Capital Raise” means the sale of new equity interests or the issue of a convertible subordinated note with specified terms and conditions and that is reasonably satisfactory to the Agent. The Capital Raise associated with the Third Forbearance can be achieved in whole or in part by means of the settlement with or direct payment to us of proceeds from the judgment against XAC Automation.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each Forbearance, the Lenders have agreed to waive the anti-dilution protection that they received in the Third Amendment Warrants, solely with respect to the Capital Raise, conditioned on the investors in the October Purchase Agreement and the November Purchase Agreements waiving the anti-dilution provisions in each respective agreement, solely with respect to the Capital Raise.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pPr>
      <w:r>
        <w:rPr/>
        <w:t> </w:t>
      </w:r>
      <w:r>
        <w:rPr>
          <w:rFonts w:ascii="Times New Roman;Times;serif" w:hAnsi="Times New Roman;Times;serif"/>
          <w:i/>
          <w:sz w:val="20"/>
        </w:rPr>
        <w:t>Cash Collateral Account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11, 2024, the Lenders delivered an activation notice to our bank and wired $10.0 million of restricted cash to an account designated by the Lenders as a result of the existing events of default described above. The funds were applied to reduce the outstanding loan balance which as of December 31, 2023 totaled $61.7 million in principal amount plus accrued interest.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Touch Business Term Sheet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17, 2024, we entered into a non-binding memorandum of understanding (“MoU”) with respect to the formation of a new company (the “Joint Venture”) for the purposes of the creation of and joint investment (the “Transaction”) in Presto Touch. If the Transaction closes, we will cease our own operations of Presto Touch and will not be responsible for ongoing costs with respect to Presto Touch. We expect to enter into a transition services agreement with the Joint Venture for a limited period with respect to certain services.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Joint Venture is intended to constitute a Touch Business Plan within the meaning of such term within the Credit Agreement. As such, it remains subject to the reasonable approval of the Agent pursuant to the terms of the Credit Agreement. </w:t>
      </w:r>
    </w:p>
    <w:p>
      <w:pPr>
        <w:pStyle w:val="TextBody"/>
        <w:shd w:fill="FFFFFF" w:val="clear"/>
        <w:bidi w:val="0"/>
        <w:spacing w:before="0" w:after="0"/>
        <w:ind w:left="0" w:right="0" w:hanging="0"/>
        <w:jc w:val="left"/>
        <w:rPr/>
      </w:pPr>
      <w:r>
        <w:rPr/>
        <w:t> </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Third Amendment and Related Purchase Agreement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we entered into a Third Amendment to the Credit Agreement (the “Third Amendment”) pursuant to which the parties amended or removed certain covenants of the Credit Agreement (including the removal of a covenant in respect of a maximum net leverage ratio of 1.20 to 1.00) and, the Lenders agreed to waive existing defaults under the Credit Facility, advance an additional $3.0 million of Term Loans to us, and exchange an aggregate of $6.0 million of accrued and previously capitalized interest for warrants to purchase 3,000,000 shares of common stock at an exercise price of $0.01 per share (the “Third Amendment Conversion Warrants”). The effectiveness of the Third Amendment was conditioned, in part, upon (1) evidence of a gross amount of additional equity investment of $3.0 million, to be used for working capital purposes, which closed on October 16, 2023, in private placement with an affiliate of our existing shareholder, Cleveland Avenue, (described below), (2) us hiring a chief financial officer reasonably satisfactory to the Agent, which was satisfied on October 10, 2023, (3) by no later than October 16, 2023, evidence that we have engaged the services of an investment bank reasonably acceptable to Metropolitan on terms reasonably acceptable to Metropolitan in connection with upcoming capital raises. The conditions precedent were satisfied and the Amendment was closed on October 17,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anti-dilution provisions of the Third Amendment were triggered with the November 17, 2023 capital raise and we were required to increase the number of shares issuable under the Third Amendment Warrants from 3,000,000 to 6,000,000 shares of common stock.</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Concurrent with the Third Amendment, we entered into a Securities Purchase Agreement (“Purchase Agreement”) which closed on October 16, 2023, with Presto CA LLC, an affiliate of Cleveland Avenue, pursuant to which we sold an aggregate of 1,500,000 newly issued shares of common stock at a purchase price of $2.00 per share for an aggregate purchase price of $3.0 million. The Purchase Agreement contains customary representations, warranties and covenants of the parties. In addition, the Purchase Agreement includes anti-dilution provisions relating to future issuances or deemed issuances of common stock from the closing date to April 1, 2024 at a price per share below $2.00 per share, which would require us to issue additional shares of common stock to the purchaser, upon the terms and subject to the conditions contained in the Purchase Agreement. The anti-dilution provision was triggered upon the November 17, 2023 capital raise and we were required to issue 1,500,000 newly issued shares of common stock based on a revised purchase price of $1.00 per share from $2.00 in the Purchase Agreement. </w:t>
      </w:r>
    </w:p>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Loans were borrowed in full at closing. Amounts outstanding under the Credit Agreement will incur interest at the rate of 15% per annum. The amendments to the Credit Agreement provide that, with respect to interest accruing for the interest periods ending December 31,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December 31, 2023, we recorded PIK interest expense amounts of $3.1 million and $4.2 million, which have been reflected as an increase to the outstanding debt balance. Further, during the three and six months ended December 31, 2023, we recorded interest expense associated with the amortization of debt discounts in the amount $1.1 million and $2.4 million. Accordingly at December 31, 2023, the term loans, current balance of $55.1 million reflects $58.0 million of principal and $3.7 million PIK interest accrual, as reduced by unamortized debt issuance costs of $6.6 million.</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Covenants and Waivers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must comply with certain financial covenants as set forth in the Credit Agreement,</w:t>
      </w:r>
    </w:p>
    <w:tbl>
      <w:tblPr>
        <w:tblW w:w="9456" w:type="dxa"/>
        <w:jc w:val="left"/>
        <w:tblInd w:w="0" w:type="dxa"/>
        <w:shd w:fill="FFFFFF" w:val="clear"/>
        <w:tblLayout w:type="fixed"/>
        <w:tblCellMar>
          <w:top w:w="28" w:type="dxa"/>
          <w:left w:w="28" w:type="dxa"/>
          <w:bottom w:w="28" w:type="dxa"/>
          <w:right w:w="28" w:type="dxa"/>
        </w:tblCellMar>
      </w:tblPr>
      <w:tblGrid>
        <w:gridCol w:w="124"/>
        <w:gridCol w:w="256"/>
        <w:gridCol w:w="90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shd w:fill="FFFFFF" w:val="clear"/>
              </w:rPr>
              <w:t>Minimum Unrestricted Cash</w:t>
            </w:r>
            <w:r>
              <w:rPr>
                <w:rFonts w:ascii="Times New Roman;Times;serif" w:hAnsi="Times New Roman;Times;serif"/>
                <w:b w:val="false"/>
                <w:i w:val="false"/>
                <w:caps w:val="false"/>
                <w:smallCaps w:val="false"/>
                <w:sz w:val="20"/>
                <w:shd w:fill="FFFFFF" w:val="clear"/>
              </w:rPr>
              <w:t>. We must maintain $10.0 million in separate and blocked cash collateral account.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shd w:fill="FFFFFF" w:val="clear"/>
              </w:rPr>
              <w:t>Net Adjusted Decrease in Operating Cash.</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Subject to certain excluded payments, the decrease in our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w:t>
            </w:r>
          </w:p>
        </w:tc>
      </w:tr>
    </w:tbl>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Without an injection of further capital, we anticipate being unable to comply with the minimum unrestricted cash covenant by approximately the end of February 2024.</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pursued renewals of Presto Touch with all our existing customers including a transition to our next generation technology. Our lender required us to obtain renewals by December 31, 2023, or we would have to provide and implement a strategic wind-down plan that is reasonably acceptable to Metropolitan with respect to Presto Touch. We have received notification from two of our three major Presto Touch customers of their intent to not renew their contracts which expire June 30, 2024. We are considering strategic alternatives with regards to our Presto Touch solution and are evaluating whether to engage in a wind-down which could be either a sale, partial sale or abandonment of the Presto Touch business in the coming months, to allow us to focus our efforts on our Presto Voice business. </w:t>
      </w:r>
      <w:r>
        <w:rPr>
          <w:rFonts w:ascii="Times New Roman;Times;serif" w:hAnsi="Times New Roman;Times;serif"/>
          <w:color w:val="222222"/>
          <w:sz w:val="20"/>
        </w:rPr>
        <w:t>The estimated monthly reduction in expenditures and the incurrence of nonrecurrent expenses is included in the full implementation of the steps set out in this Item 2, under the heading, “</w:t>
      </w:r>
      <w:r>
        <w:rPr>
          <w:rFonts w:ascii="Times New Roman;Times;serif" w:hAnsi="Times New Roman;Times;serif"/>
          <w:sz w:val="20"/>
        </w:rPr>
        <w:t>Continued Implementation of On-Going Cost Improvement Program</w:t>
      </w:r>
      <w:r>
        <w:rPr>
          <w:rFonts w:ascii="Times New Roman;Times;serif" w:hAnsi="Times New Roman;Times;serif"/>
          <w:color w:val="222222"/>
          <w:sz w:val="20"/>
        </w:rPr>
        <w:t>,” on the cost reduction initiated on November 15, 2023. Refer to Note 15 for details on a memorandum of understanding relating to the Presto Touch solution entered into on January 17, 2024.</w:t>
      </w:r>
    </w:p>
    <w:p>
      <w:pPr>
        <w:pStyle w:val="TextBody"/>
        <w:shd w:fill="FFFFFF" w:val="clear"/>
        <w:bidi w:val="0"/>
        <w:spacing w:before="0" w:after="0"/>
        <w:ind w:left="0" w:right="0" w:firstLine="720"/>
        <w:jc w:val="left"/>
        <w:rPr>
          <w:color w:val="222222"/>
        </w:rPr>
      </w:pPr>
      <w:r>
        <w:rPr>
          <w:color w:val="222222"/>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Premium 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4, 2023, we entered into a premium financing agreement to finance approximately $0.8 million in the form of a term loan, which is secured by our insurance policies. The proceeds of the loan will be used to pay insurance premiums for D&amp;O insurance. The related interest rate is 8.43% with monthly principal and interest payments of $0.1 million and a maturity date of May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Term Loans</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Horizon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March 4, 2021, we entered into a loan agreement (the “Horizon Loan”) with Horizon Technology Finance Corporation (“Horizon”), which provided us with $15.0 million, bore interest at prime rate plus 6.5% per annum, and had a term of 54 months from each loan funding date.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Lago Term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11, 2022, we entered into a loan agreement (the “Lago Loan”) with Lago Innovation Fund I &amp; II, LLC, which provided us with $12.6 million, bore interest at the greater of 12% plus the greater of 1% or 30 day LIBOR, bore 2% payable in kind interest, and matured on April 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on September 21, 2022, we repaid all outstanding loans by making a cash disbursement of $22.4 million, of which $17.9 million was repayment of principal and $0.1 million was payment of payable in-kind interest. Further $4.4 million of cash was paid related to prepayment and other penalties.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Paycheck Protection Program Loan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March 2021 we obtained a PPP loan in the amount of $2.0 million through the U.S. Small Business Administration. The loan was to be fully forgiven if the funds received were used for payroll costs, interest on mortgages, rent, and utilities, with at least 60% being used for payroll. We utilized the funds for these purposes and applied for loan forgiveness of the PPP funds. Our accounting policy provides that if the loans are forgiven, the forgiven loan balance will be recognized as income in the period of forgiveness. During the six months ended December 31, 2022, we received forgiveness of the PPP loan of $2.0 million and recognized income on forgiveness within other income, net in our condensed consolidated statements of operations and comprehensive income (loss).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10-Q.</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Gross Profit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Adjusted Gross Profit is calculated as gross profit adjusted to add back depreciation.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gross profit to Adjusted Gross Profit for each of the periods indicated:</w:t>
      </w:r>
    </w:p>
    <w:p>
      <w:pPr>
        <w:pStyle w:val="TextBody"/>
        <w:bidi w:val="0"/>
        <w:spacing w:before="0" w:after="240"/>
        <w:ind w:left="0" w:right="0" w:firstLine="720"/>
        <w:jc w:val="left"/>
        <w:rPr/>
      </w:pPr>
      <w:r>
        <w:rPr/>
        <w:t>​</w:t>
      </w:r>
    </w:p>
    <w:tbl>
      <w:tblPr>
        <w:tblW w:w="9796" w:type="dxa"/>
        <w:jc w:val="left"/>
        <w:tblInd w:w="0" w:type="dxa"/>
        <w:tblLayout w:type="fixed"/>
        <w:tblCellMar>
          <w:top w:w="0" w:type="dxa"/>
          <w:left w:w="0" w:type="dxa"/>
          <w:bottom w:w="0" w:type="dxa"/>
          <w:right w:w="0" w:type="dxa"/>
        </w:tblCellMar>
      </w:tblPr>
      <w:tblGrid>
        <w:gridCol w:w="3691"/>
        <w:gridCol w:w="326"/>
        <w:gridCol w:w="320"/>
        <w:gridCol w:w="866"/>
        <w:gridCol w:w="494"/>
        <w:gridCol w:w="320"/>
        <w:gridCol w:w="639"/>
        <w:gridCol w:w="326"/>
        <w:gridCol w:w="273"/>
        <w:gridCol w:w="738"/>
        <w:gridCol w:w="421"/>
        <w:gridCol w:w="273"/>
        <w:gridCol w:w="738"/>
        <w:gridCol w:w="371"/>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343785" cy="175260"/>
                      <wp:effectExtent l="0" t="0" r="0" b="0"/>
                      <wp:wrapNone/>
                      <wp:docPr id="580" name="Frame580"/>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81"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3200" cy="175260"/>
                      <wp:effectExtent l="0" t="0" r="0" b="0"/>
                      <wp:wrapNone/>
                      <wp:docPr id="582" name="Frame58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49910" cy="175260"/>
                      <wp:effectExtent l="0" t="0" r="0" b="0"/>
                      <wp:wrapNone/>
                      <wp:docPr id="583" name="Frame58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313690" cy="175260"/>
                      <wp:effectExtent l="0" t="0" r="0" b="0"/>
                      <wp:wrapNone/>
                      <wp:docPr id="584" name="Frame584"/>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3200" cy="175260"/>
                      <wp:effectExtent l="0" t="0" r="0" b="0"/>
                      <wp:wrapNone/>
                      <wp:docPr id="585" name="Frame58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05765" cy="175260"/>
                      <wp:effectExtent l="0" t="0" r="0" b="0"/>
                      <wp:wrapNone/>
                      <wp:docPr id="586" name="Frame586"/>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587"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73355" cy="175260"/>
                      <wp:effectExtent l="0" t="0" r="0" b="0"/>
                      <wp:wrapNone/>
                      <wp:docPr id="588" name="Frame58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68630" cy="175260"/>
                      <wp:effectExtent l="0" t="0" r="0" b="0"/>
                      <wp:wrapNone/>
                      <wp:docPr id="589" name="Frame589"/>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67335" cy="175260"/>
                      <wp:effectExtent l="0" t="0" r="0" b="0"/>
                      <wp:wrapNone/>
                      <wp:docPr id="590" name="Frame5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73355" cy="175260"/>
                      <wp:effectExtent l="0" t="0" r="0" b="0"/>
                      <wp:wrapNone/>
                      <wp:docPr id="591" name="Frame59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68630" cy="175260"/>
                      <wp:effectExtent l="0" t="0" r="0" b="0"/>
                      <wp:wrapNone/>
                      <wp:docPr id="592" name="Frame592"/>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35585" cy="175260"/>
                      <wp:effectExtent l="0" t="0" r="0" b="0"/>
                      <wp:wrapNone/>
                      <wp:docPr id="593" name="Frame59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0"/>
              <w:ind w:left="0" w:right="0" w:hanging="0"/>
              <w:jc w:val="center"/>
              <w:rPr/>
            </w:pPr>
            <w:r>
              <w:rPr/>
              <w:t>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71" w:type="dxa"/>
            <w:tcBorders/>
            <w:vAlign w:val="center"/>
          </w:tcPr>
          <w:p>
            <w:pPr>
              <w:pStyle w:val="TableContents"/>
              <w:bidi w:val="0"/>
              <w:spacing w:before="0" w:after="0"/>
              <w:ind w:left="0" w:right="0" w:hanging="0"/>
              <w:jc w:val="center"/>
              <w:rPr/>
            </w:pPr>
            <w:r>
              <w:rPr/>
              <w:t>    </w:t>
            </w:r>
          </w:p>
        </w:tc>
      </w:tr>
      <w:tr>
        <w:trPr/>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4" w:type="dxa"/>
            <w:tcBorders/>
            <w:vAlign w:val="center"/>
          </w:tcPr>
          <w:p>
            <w:pPr>
              <w:pStyle w:val="TableContents"/>
              <w:bidi w:val="0"/>
              <w:spacing w:before="0" w:after="0"/>
              <w:ind w:left="0" w:right="0" w:hanging="0"/>
              <w:jc w:val="center"/>
              <w:rPr/>
            </w:pPr>
            <w:r>
              <w:rPr/>
              <w:t>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1" w:type="dxa"/>
            <w:tcBorders/>
            <w:vAlign w:val="center"/>
          </w:tcPr>
          <w:p>
            <w:pPr>
              <w:pStyle w:val="TableContents"/>
              <w:bidi w:val="0"/>
              <w:spacing w:before="0" w:after="0"/>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center"/>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494" w:type="dxa"/>
            <w:tcBorders/>
            <w:shd w:fill="CCEEFF" w:val="clear"/>
            <w:vAlign w:val="center"/>
          </w:tcPr>
          <w:p>
            <w:pPr>
              <w:pStyle w:val="TableContents"/>
              <w:bidi w:val="0"/>
              <w:spacing w:before="0" w:after="0"/>
              <w:ind w:left="0" w:right="0" w:hanging="0"/>
              <w:jc w:val="center"/>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center"/>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421" w:type="dxa"/>
            <w:tcBorders/>
            <w:shd w:fill="CCEEFF" w:val="clear"/>
            <w:vAlign w:val="center"/>
          </w:tcPr>
          <w:p>
            <w:pPr>
              <w:pStyle w:val="TableContents"/>
              <w:bidi w:val="0"/>
              <w:spacing w:before="0" w:after="0"/>
              <w:ind w:left="0" w:right="0" w:hanging="0"/>
              <w:jc w:val="center"/>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amortization and impairments</w:t>
            </w:r>
          </w:p>
        </w:tc>
        <w:tc>
          <w:tcPr>
            <w:tcW w:w="326" w:type="dxa"/>
            <w:tcBorders/>
            <w:vAlign w:val="center"/>
          </w:tcPr>
          <w:p>
            <w:pPr>
              <w:pStyle w:val="TableContents"/>
              <w:bidi w:val="0"/>
              <w:spacing w:before="0" w:after="0"/>
              <w:ind w:left="0" w:right="0" w:hanging="0"/>
              <w:jc w:val="left"/>
              <w:rPr/>
            </w:pPr>
            <w:r>
              <w:rPr/>
              <w:t> </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494" w:type="dxa"/>
            <w:tcBorders/>
            <w:vAlign w:val="center"/>
          </w:tcPr>
          <w:p>
            <w:pPr>
              <w:pStyle w:val="TableContents"/>
              <w:bidi w:val="0"/>
              <w:spacing w:before="0" w:after="0"/>
              <w:ind w:left="0" w:right="0" w:hanging="0"/>
              <w:jc w:val="left"/>
              <w:rPr/>
            </w:pPr>
            <w:r>
              <w:rPr/>
              <w:t> </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w:t>
            </w:r>
          </w:p>
        </w:tc>
        <w:tc>
          <w:tcPr>
            <w:tcW w:w="421" w:type="dxa"/>
            <w:tcBorders/>
            <w:vAlign w:val="center"/>
          </w:tcPr>
          <w:p>
            <w:pPr>
              <w:pStyle w:val="TableContents"/>
              <w:bidi w:val="0"/>
              <w:spacing w:before="0" w:after="0"/>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71" w:type="dxa"/>
            <w:tcBorders/>
            <w:vAlign w:val="center"/>
          </w:tcPr>
          <w:p>
            <w:pPr>
              <w:pStyle w:val="TableContents"/>
              <w:bidi w:val="0"/>
              <w:spacing w:before="0" w:after="0"/>
              <w:ind w:left="0" w:right="0" w:hanging="0"/>
              <w:jc w:val="left"/>
              <w:rPr/>
            </w:pPr>
            <w:r>
              <w:rPr/>
              <w:t> </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494"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w:t>
            </w:r>
          </w:p>
        </w:tc>
        <w:tc>
          <w:tcPr>
            <w:tcW w:w="421"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(loss), adjusted to exclude interest expense, other income, net, provision (benefit) for income taxes, depreciation and amortization expense, developed and acquired technology impairment, impairment of inventory</w:t>
      </w:r>
      <w:r>
        <w:rPr>
          <w:rFonts w:ascii="Times New Roman;Times;serif" w:hAnsi="Times New Roman;Times;serif"/>
          <w:sz w:val="24"/>
        </w:rPr>
        <w:t xml:space="preserve">, </w:t>
      </w:r>
      <w:r>
        <w:rPr>
          <w:rFonts w:ascii="Times New Roman;Times;serif" w:hAnsi="Times New Roman;Times;serif"/>
          <w:sz w:val="20"/>
        </w:rPr>
        <w:t>stock-based compensation expense, earnout stock-based compensation expense, change in fair value of warrants and convertible promissory notes, loss on extinguishment of debt and financing obligations, other financing and financial instrument income (costs), net, deferred compensation and bonuses earned upon closing of the Merger, and the public relations fee paid upon closing of the Merger.</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non-recurring costs related to the closing of the Merger, including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net income (loss) to Adjusted EBITDA for each of the periods presented:</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322"/>
        <w:gridCol w:w="326"/>
        <w:gridCol w:w="228"/>
        <w:gridCol w:w="841"/>
        <w:gridCol w:w="352"/>
        <w:gridCol w:w="228"/>
        <w:gridCol w:w="841"/>
        <w:gridCol w:w="326"/>
        <w:gridCol w:w="216"/>
        <w:gridCol w:w="798"/>
        <w:gridCol w:w="335"/>
        <w:gridCol w:w="216"/>
        <w:gridCol w:w="798"/>
        <w:gridCol w:w="378"/>
      </w:tblGrid>
      <w:tr>
        <w:trPr/>
        <w:tc>
          <w:tcPr>
            <w:tcW w:w="4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744470" cy="175260"/>
                      <wp:effectExtent l="0" t="0" r="0" b="0"/>
                      <wp:wrapNone/>
                      <wp:docPr id="594" name="Frame594"/>
                      <a:graphic xmlns:a="http://schemas.openxmlformats.org/drawingml/2006/main">
                        <a:graphicData uri="http://schemas.microsoft.com/office/word/2010/wordprocessingShape">
                          <wps:wsp>
                            <wps:cNvSpPr txBox="1"/>
                            <wps:spPr>
                              <a:xfrm>
                                <a:off x="0" y="0"/>
                                <a:ext cx="274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595" name="Frame5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44780" cy="175260"/>
                      <wp:effectExtent l="0" t="0" r="0" b="0"/>
                      <wp:wrapNone/>
                      <wp:docPr id="596" name="Frame59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34035" cy="175260"/>
                      <wp:effectExtent l="0" t="0" r="0" b="0"/>
                      <wp:wrapNone/>
                      <wp:docPr id="597" name="Frame5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23520" cy="175260"/>
                      <wp:effectExtent l="0" t="0" r="0" b="0"/>
                      <wp:wrapNone/>
                      <wp:docPr id="598" name="Frame59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44780" cy="175260"/>
                      <wp:effectExtent l="0" t="0" r="0" b="0"/>
                      <wp:wrapNone/>
                      <wp:docPr id="599" name="Frame59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34035" cy="175260"/>
                      <wp:effectExtent l="0" t="0" r="0" b="0"/>
                      <wp:wrapNone/>
                      <wp:docPr id="600" name="Frame60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07010" cy="175260"/>
                      <wp:effectExtent l="0" t="0" r="0" b="0"/>
                      <wp:wrapNone/>
                      <wp:docPr id="601"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7160" cy="175260"/>
                      <wp:effectExtent l="0" t="0" r="0" b="0"/>
                      <wp:wrapNone/>
                      <wp:docPr id="602" name="Frame60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06730" cy="175260"/>
                      <wp:effectExtent l="0" t="0" r="0" b="0"/>
                      <wp:wrapNone/>
                      <wp:docPr id="603" name="Frame603"/>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2725" cy="175260"/>
                      <wp:effectExtent l="0" t="0" r="0" b="0"/>
                      <wp:wrapNone/>
                      <wp:docPr id="604" name="Frame60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7160" cy="175260"/>
                      <wp:effectExtent l="0" t="0" r="0" b="0"/>
                      <wp:wrapNone/>
                      <wp:docPr id="605" name="Frame60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06730" cy="175260"/>
                      <wp:effectExtent l="0" t="0" r="0" b="0"/>
                      <wp:wrapNone/>
                      <wp:docPr id="606" name="Frame606"/>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40030" cy="175260"/>
                      <wp:effectExtent l="0" t="0" r="0" b="0"/>
                      <wp:wrapNone/>
                      <wp:docPr id="607" name="Frame60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26" w:type="dxa"/>
            <w:tcBorders/>
            <w:vAlign w:val="center"/>
          </w:tcPr>
          <w:p>
            <w:pPr>
              <w:pStyle w:val="TableContents"/>
              <w:bidi w:val="0"/>
              <w:spacing w:before="0" w:after="1"/>
              <w:ind w:left="0" w:right="0" w:hanging="0"/>
              <w:jc w:val="center"/>
              <w:rPr/>
            </w:pPr>
            <w:r>
              <w:rPr/>
              <w:t>    </w:t>
            </w:r>
          </w:p>
        </w:tc>
        <w:tc>
          <w:tcPr>
            <w:tcW w:w="23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378" w:type="dxa"/>
            <w:tcBorders/>
            <w:vAlign w:val="center"/>
          </w:tcPr>
          <w:p>
            <w:pPr>
              <w:pStyle w:val="TableContents"/>
              <w:bidi w:val="0"/>
              <w:spacing w:before="0" w:after="1"/>
              <w:ind w:left="0" w:right="0" w:hanging="0"/>
              <w:jc w:val="center"/>
              <w:rPr/>
            </w:pPr>
            <w:r>
              <w:rPr/>
              <w:t>    </w:t>
            </w:r>
          </w:p>
        </w:tc>
      </w:tr>
      <w:tr>
        <w:trPr/>
        <w:tc>
          <w:tcPr>
            <w:tcW w:w="432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2" w:type="dxa"/>
            <w:tcBorders/>
            <w:vAlign w:val="center"/>
          </w:tcPr>
          <w:p>
            <w:pPr>
              <w:pStyle w:val="TableContents"/>
              <w:bidi w:val="0"/>
              <w:spacing w:before="0" w:after="1"/>
              <w:ind w:left="0" w:right="0" w:hanging="0"/>
              <w:jc w:val="center"/>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5" w:type="dxa"/>
            <w:tcBorders/>
            <w:vAlign w:val="center"/>
          </w:tcPr>
          <w:p>
            <w:pPr>
              <w:pStyle w:val="TableContents"/>
              <w:bidi w:val="0"/>
              <w:spacing w:before="0" w:after="1"/>
              <w:ind w:left="0" w:right="0" w:hanging="0"/>
              <w:jc w:val="center"/>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8" w:type="dxa"/>
            <w:tcBorders/>
            <w:vAlign w:val="center"/>
          </w:tcPr>
          <w:p>
            <w:pPr>
              <w:pStyle w:val="TableContents"/>
              <w:bidi w:val="0"/>
              <w:spacing w:before="0" w:after="1"/>
              <w:ind w:left="0" w:right="0" w:hanging="0"/>
              <w:jc w:val="center"/>
              <w:rPr/>
            </w:pPr>
            <w:r>
              <w:rPr/>
              <w:t>​</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(18,054)</w:t>
            </w:r>
          </w:p>
        </w:tc>
        <w:tc>
          <w:tcPr>
            <w:tcW w:w="352"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(17,029)</w:t>
            </w:r>
          </w:p>
        </w:tc>
        <w:tc>
          <w:tcPr>
            <w:tcW w:w="326" w:type="dxa"/>
            <w:tcBorders/>
            <w:shd w:fill="CCEEFF" w:val="clear"/>
            <w:vAlign w:val="center"/>
          </w:tcPr>
          <w:p>
            <w:pPr>
              <w:pStyle w:val="TableContents"/>
              <w:bidi w:val="0"/>
              <w:spacing w:before="0" w:after="1"/>
              <w:ind w:left="0" w:right="0" w:hanging="0"/>
              <w:jc w:val="center"/>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(12,682)</w:t>
            </w:r>
          </w:p>
        </w:tc>
        <w:tc>
          <w:tcPr>
            <w:tcW w:w="335" w:type="dxa"/>
            <w:tcBorders/>
            <w:shd w:fill="CCEEFF" w:val="clear"/>
            <w:vAlign w:val="center"/>
          </w:tcPr>
          <w:p>
            <w:pPr>
              <w:pStyle w:val="TableContents"/>
              <w:bidi w:val="0"/>
              <w:spacing w:before="0" w:after="1"/>
              <w:ind w:left="0" w:right="0" w:hanging="0"/>
              <w:jc w:val="center"/>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17,760</w:t>
            </w:r>
          </w:p>
        </w:tc>
        <w:tc>
          <w:tcPr>
            <w:tcW w:w="378" w:type="dxa"/>
            <w:tcBorders/>
            <w:shd w:fill="CCEEFF" w:val="clear"/>
            <w:vAlign w:val="center"/>
          </w:tcPr>
          <w:p>
            <w:pPr>
              <w:pStyle w:val="TableContents"/>
              <w:bidi w:val="0"/>
              <w:spacing w:before="0" w:after="1"/>
              <w:ind w:left="0" w:right="0" w:hanging="0"/>
              <w:jc w:val="center"/>
              <w:rPr/>
            </w:pPr>
            <w:r>
              <w:rPr/>
              <w:t>​</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3,557</w:t>
            </w:r>
          </w:p>
        </w:tc>
        <w:tc>
          <w:tcPr>
            <w:tcW w:w="352"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7,315</w:t>
            </w:r>
          </w:p>
        </w:tc>
        <w:tc>
          <w:tcPr>
            <w:tcW w:w="335"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6,406</w:t>
            </w:r>
          </w:p>
        </w:tc>
        <w:tc>
          <w:tcPr>
            <w:tcW w:w="378" w:type="dxa"/>
            <w:tcBorders/>
            <w:vAlign w:val="center"/>
          </w:tcPr>
          <w:p>
            <w:pPr>
              <w:pStyle w:val="TableContents"/>
              <w:bidi w:val="0"/>
              <w:spacing w:before="0" w:after="1"/>
              <w:ind w:left="0" w:right="0" w:hanging="0"/>
              <w:jc w:val="left"/>
              <w:rPr/>
            </w:pPr>
            <w:r>
              <w:rPr/>
              <w:t> </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52"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35"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w:t>
            </w:r>
          </w:p>
        </w:tc>
        <w:tc>
          <w:tcPr>
            <w:tcW w:w="378" w:type="dxa"/>
            <w:tcBorders/>
            <w:shd w:fill="CCEEFF" w:val="clear"/>
            <w:vAlign w:val="center"/>
          </w:tcPr>
          <w:p>
            <w:pPr>
              <w:pStyle w:val="TableContents"/>
              <w:bidi w:val="0"/>
              <w:spacing w:before="0" w:after="1"/>
              <w:ind w:left="0" w:right="0" w:hanging="0"/>
              <w:jc w:val="left"/>
              <w:rPr/>
            </w:pPr>
            <w:r>
              <w:rPr/>
              <w:t> </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52"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35"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78" w:type="dxa"/>
            <w:tcBorders/>
            <w:vAlign w:val="center"/>
          </w:tcPr>
          <w:p>
            <w:pPr>
              <w:pStyle w:val="TableContents"/>
              <w:bidi w:val="0"/>
              <w:spacing w:before="0" w:after="1"/>
              <w:ind w:left="0" w:right="0" w:hanging="0"/>
              <w:jc w:val="center"/>
              <w:rPr/>
            </w:pPr>
            <w:r>
              <w:rPr/>
              <w:t>​</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52"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w:t>
            </w:r>
          </w:p>
        </w:tc>
        <w:tc>
          <w:tcPr>
            <w:tcW w:w="335"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w:t>
            </w:r>
          </w:p>
        </w:tc>
        <w:tc>
          <w:tcPr>
            <w:tcW w:w="378" w:type="dxa"/>
            <w:tcBorders/>
            <w:shd w:fill="CCEEFF" w:val="clear"/>
            <w:vAlign w:val="center"/>
          </w:tcPr>
          <w:p>
            <w:pPr>
              <w:pStyle w:val="TableContents"/>
              <w:bidi w:val="0"/>
              <w:spacing w:before="0" w:after="1"/>
              <w:ind w:left="0" w:right="0" w:hanging="0"/>
              <w:jc w:val="left"/>
              <w:rPr/>
            </w:pPr>
            <w:r>
              <w:rPr/>
              <w:t> </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developed and acquired technology</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4,056</w:t>
            </w:r>
          </w:p>
        </w:tc>
        <w:tc>
          <w:tcPr>
            <w:tcW w:w="352"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4,056</w:t>
            </w:r>
          </w:p>
        </w:tc>
        <w:tc>
          <w:tcPr>
            <w:tcW w:w="335"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pPr>
            <w:r>
              <w:rPr/>
              <w:t>—</w:t>
            </w:r>
          </w:p>
        </w:tc>
        <w:tc>
          <w:tcPr>
            <w:tcW w:w="378" w:type="dxa"/>
            <w:tcBorders/>
            <w:vAlign w:val="center"/>
          </w:tcPr>
          <w:p>
            <w:pPr>
              <w:pStyle w:val="TableContents"/>
              <w:bidi w:val="0"/>
              <w:spacing w:before="0" w:after="1"/>
              <w:ind w:left="0" w:right="0" w:hanging="0"/>
              <w:jc w:val="left"/>
              <w:rPr/>
            </w:pPr>
            <w:r>
              <w:rPr/>
              <w:t>​</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52"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35"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pPr>
            <w:r>
              <w:rPr/>
              <w:t>—</w:t>
            </w:r>
          </w:p>
        </w:tc>
        <w:tc>
          <w:tcPr>
            <w:tcW w:w="378" w:type="dxa"/>
            <w:tcBorders/>
            <w:shd w:fill="CCEEFF" w:val="clear"/>
            <w:vAlign w:val="center"/>
          </w:tcPr>
          <w:p>
            <w:pPr>
              <w:pStyle w:val="TableContents"/>
              <w:bidi w:val="0"/>
              <w:spacing w:before="0" w:after="1"/>
              <w:ind w:left="0" w:right="0" w:hanging="0"/>
              <w:jc w:val="left"/>
              <w:rPr/>
            </w:pPr>
            <w:r>
              <w:rPr/>
              <w:t>​</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w:t>
            </w:r>
          </w:p>
        </w:tc>
        <w:tc>
          <w:tcPr>
            <w:tcW w:w="352"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3,935</w:t>
            </w:r>
          </w:p>
        </w:tc>
        <w:tc>
          <w:tcPr>
            <w:tcW w:w="335"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3,002</w:t>
            </w:r>
          </w:p>
        </w:tc>
        <w:tc>
          <w:tcPr>
            <w:tcW w:w="378" w:type="dxa"/>
            <w:tcBorders/>
            <w:vAlign w:val="center"/>
          </w:tcPr>
          <w:p>
            <w:pPr>
              <w:pStyle w:val="TableContents"/>
              <w:bidi w:val="0"/>
              <w:spacing w:before="0" w:after="1"/>
              <w:ind w:left="0" w:right="0" w:hanging="0"/>
              <w:jc w:val="left"/>
              <w:rPr/>
            </w:pPr>
            <w:r>
              <w:rPr/>
              <w:t> </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stock-based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c>
          <w:tcPr>
            <w:tcW w:w="352"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2,675</w:t>
            </w:r>
          </w:p>
        </w:tc>
        <w:tc>
          <w:tcPr>
            <w:tcW w:w="335"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w:t>
            </w:r>
          </w:p>
        </w:tc>
        <w:tc>
          <w:tcPr>
            <w:tcW w:w="378" w:type="dxa"/>
            <w:tcBorders/>
            <w:shd w:fill="CCEEFF" w:val="clear"/>
            <w:vAlign w:val="center"/>
          </w:tcPr>
          <w:p>
            <w:pPr>
              <w:pStyle w:val="TableContents"/>
              <w:bidi w:val="0"/>
              <w:spacing w:before="0" w:after="1"/>
              <w:ind w:left="0" w:right="0" w:hanging="0"/>
              <w:jc w:val="left"/>
              <w:rPr/>
            </w:pPr>
            <w:r>
              <w:rPr/>
              <w:t> </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(5,286)</w:t>
            </w:r>
          </w:p>
        </w:tc>
        <w:tc>
          <w:tcPr>
            <w:tcW w:w="352"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(26,311)</w:t>
            </w:r>
          </w:p>
        </w:tc>
        <w:tc>
          <w:tcPr>
            <w:tcW w:w="335"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(59,444)</w:t>
            </w:r>
          </w:p>
        </w:tc>
        <w:tc>
          <w:tcPr>
            <w:tcW w:w="378" w:type="dxa"/>
            <w:tcBorders/>
            <w:vAlign w:val="center"/>
          </w:tcPr>
          <w:p>
            <w:pPr>
              <w:pStyle w:val="TableContents"/>
              <w:bidi w:val="0"/>
              <w:spacing w:before="0" w:after="1"/>
              <w:ind w:left="0" w:right="0" w:hanging="0"/>
              <w:jc w:val="left"/>
              <w:rPr/>
            </w:pPr>
            <w:r>
              <w:rPr/>
              <w:t> </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financing obligations</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8,095</w:t>
            </w:r>
          </w:p>
        </w:tc>
        <w:tc>
          <w:tcPr>
            <w:tcW w:w="378" w:type="dxa"/>
            <w:tcBorders/>
            <w:shd w:fill="CCEEFF" w:val="clear"/>
            <w:vAlign w:val="center"/>
          </w:tcPr>
          <w:p>
            <w:pPr>
              <w:pStyle w:val="TableContents"/>
              <w:bidi w:val="0"/>
              <w:spacing w:before="0" w:after="1"/>
              <w:ind w:left="0" w:right="0" w:hanging="0"/>
              <w:jc w:val="left"/>
              <w:rPr/>
            </w:pPr>
            <w:r>
              <w:rPr/>
              <w:t> </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income (costs), net</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52"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w:t>
            </w:r>
          </w:p>
        </w:tc>
        <w:tc>
          <w:tcPr>
            <w:tcW w:w="335"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78" w:type="dxa"/>
            <w:tcBorders/>
            <w:vAlign w:val="center"/>
          </w:tcPr>
          <w:p>
            <w:pPr>
              <w:pStyle w:val="TableContents"/>
              <w:bidi w:val="0"/>
              <w:spacing w:before="0" w:after="1"/>
              <w:ind w:left="0" w:right="0" w:hanging="0"/>
              <w:jc w:val="left"/>
              <w:rPr/>
            </w:pPr>
            <w:r>
              <w:rPr/>
              <w:t> </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and bonuses earned upon closing of the Merger</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w:t>
            </w:r>
          </w:p>
        </w:tc>
        <w:tc>
          <w:tcPr>
            <w:tcW w:w="378" w:type="dxa"/>
            <w:tcBorders/>
            <w:shd w:fill="CCEEFF" w:val="clear"/>
            <w:vAlign w:val="center"/>
          </w:tcPr>
          <w:p>
            <w:pPr>
              <w:pStyle w:val="TableContents"/>
              <w:bidi w:val="0"/>
              <w:spacing w:before="0" w:after="1"/>
              <w:ind w:left="0" w:right="0" w:hanging="0"/>
              <w:jc w:val="left"/>
              <w:rPr/>
            </w:pPr>
            <w:r>
              <w:rPr/>
              <w:t> </w:t>
            </w:r>
          </w:p>
        </w:tc>
      </w:tr>
      <w:tr>
        <w:trPr/>
        <w:tc>
          <w:tcPr>
            <w:tcW w:w="4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relations fee due upon closing of the Merger</w:t>
            </w:r>
          </w:p>
        </w:tc>
        <w:tc>
          <w:tcPr>
            <w:tcW w:w="326" w:type="dxa"/>
            <w:tcBorders/>
            <w:vAlign w:val="center"/>
          </w:tcPr>
          <w:p>
            <w:pPr>
              <w:pStyle w:val="TableContents"/>
              <w:bidi w:val="0"/>
              <w:spacing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left"/>
              <w:rPr/>
            </w:pPr>
            <w:r>
              <w:rPr/>
              <w:t> </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78" w:type="dxa"/>
            <w:tcBorders/>
            <w:vAlign w:val="center"/>
          </w:tcPr>
          <w:p>
            <w:pPr>
              <w:pStyle w:val="TableContents"/>
              <w:bidi w:val="0"/>
              <w:spacing w:before="0" w:after="1"/>
              <w:ind w:left="0" w:right="0" w:hanging="0"/>
              <w:jc w:val="left"/>
              <w:rPr/>
            </w:pPr>
            <w:r>
              <w:rPr/>
              <w:t> </w:t>
            </w:r>
          </w:p>
        </w:tc>
      </w:tr>
      <w:tr>
        <w:trPr/>
        <w:tc>
          <w:tcPr>
            <w:tcW w:w="4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(11,425)</w:t>
            </w:r>
          </w:p>
        </w:tc>
        <w:tc>
          <w:tcPr>
            <w:tcW w:w="352"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(20,230)</w:t>
            </w:r>
          </w:p>
        </w:tc>
        <w:tc>
          <w:tcPr>
            <w:tcW w:w="335"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(19,562)</w:t>
            </w:r>
          </w:p>
        </w:tc>
        <w:tc>
          <w:tcPr>
            <w:tcW w:w="378"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have any off-balance sheet arrangements as of December 31, 2023 and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Updates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June 2022, we received a favorable arbitrator ruling</w:t>
      </w:r>
      <w:r>
        <w:rPr>
          <w:rFonts w:ascii="Times New Roman;Times;serif" w:hAnsi="Times New Roman;Times;serif"/>
          <w:sz w:val="20"/>
          <w:shd w:fill="FFFFFF" w:val="clear"/>
        </w:rPr>
        <w:t xml:space="preserve"> from the Singapore International Arbitration Center</w:t>
      </w:r>
      <w:r>
        <w:rPr>
          <w:rFonts w:ascii="Times New Roman;Times;serif" w:hAnsi="Times New Roman;Times;serif"/>
          <w:sz w:val="20"/>
        </w:rPr>
        <w:t xml:space="preserve"> related to a matter with our third-party subcontractor and were awarded approximately $11.3 million in damages related to our loss on infrequent product repairs and to cover our legal expenses. This arbitration ruling was affirmed by the appellate court in Singapore on March 6, 2023. On May 2, 2023, the vendor appealed the ruling to the highest court in Singapore. The award has not met the criteria to be considered realizable as of December 31, 2023. As a result, we have not recognized any gain related to this settlement in our condensed consolidated statement of operations and comprehensive income (loss).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 decision rendered on January 16, 2024 by the Singapore Court of Appeal, we obtained a favorable verdict in the final hearing regarding its case against XAC Automation Corp (5490.TWO) (“XAC”). The Court dismissed XAC’s appeal and upheld the award of $11.1 million previously made to us. XAC has no further recourse to set aside the award and we are able to seek to enforce the award against XAC in Taiwan, the country of XAC’s domicile, going forward. We intend to pursue full collection of this award from XAC in Taiwan, which involves domesticating the award there and may take between several months to more than a year. </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On October 10, 2023, we entered into the October Purchase Agreement with Presto CA, LLC, pursuant to which we agreed to sell 1,500,000 newly issued shares of our common stock, at a purchase price of $2.00 per share for an aggregate purchase price of $3.0 million. Presto CA, LLC is affiliated with Cleveland Avenue, LLC, and Keith Kravcik, a member of our Board, who is the Chief Investment Officer of all of Cleveland Avenue’s various investment funds, including Presto CA, LLC.</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As a result of anti-dilution provisions in the October Purchase Agreement, we issued 1,500,000 additional shares to the Purchaser upon the issuance of common stock with the November Purchase Agreements.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21, 2023, we entered into the November Purchase Agreements, one of which was with Zaffran Special Opportunities, LLC, a related party, to which we agreed to issue 750,000 newly issued shares of our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December 31, 2022, we received an equity investment of $1.0 million from an investor in exchange for 133,333 shares of our common stock. Refer to Note 9 of Item 1 of this Quarterly Report on Form 10-Q for further details.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during the six months ended December 31, 2022 we granted 1,200,000 of RSUs to a director and former interim CEO of ours with a grant date fair value of $4.56 per RSU. Refer to Note 11 of Item 1 of this Quarterly Report on Form 10-Q for further details.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certain estimates and assumptions that affect the reported amounts of certain assets, liabilities, revenues, expenses and disclosures. Accordingly, actual amounts could differ from those estimates, and those differences could be material.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18"/>
        </w:rPr>
      </w:pPr>
      <w:r>
        <w:rPr>
          <w:rFonts w:ascii="Times New Roman;Times;serif" w:hAnsi="Times New Roman;Times;serif"/>
          <w:sz w:val="20"/>
        </w:rPr>
        <w:t>Our most significant estimates and judgments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We have assessed the impact and are not aware of any specific events or circumstances, other than the events and circumstances that lead to the adjustment to certain intangible assets</w:t>
      </w:r>
      <w:r>
        <w:rPr>
          <w:rFonts w:ascii="Segoe UI" w:hAnsi="Segoe UI"/>
          <w:sz w:val="18"/>
        </w:rPr>
        <w:t>,</w:t>
      </w:r>
      <w:r>
        <w:rPr>
          <w:rFonts w:ascii="Times New Roman;Times;serif" w:hAnsi="Times New Roman;Times;serif"/>
          <w:sz w:val="18"/>
        </w:rPr>
        <w:t xml:space="preserve"> </w:t>
      </w:r>
      <w:r>
        <w:rPr>
          <w:rFonts w:ascii="Times New Roman;Times;serif" w:hAnsi="Times New Roman;Times;serif"/>
          <w:sz w:val="20"/>
        </w:rPr>
        <w:t>that required an update to our estimates and assumptions or materially affected the carrying value of our assets or liabilities as of the date of issuance of this report. Those estimates may change as new events occur and additional information is obtained.</w:t>
      </w:r>
    </w:p>
    <w:p>
      <w:pPr>
        <w:pStyle w:val="TextBody"/>
        <w:shd w:fill="FFFFFF" w:val="clear"/>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the Annual Report on Form 10-K filed with the SEC on October 10, 2023.</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account for our revenue in accordance with ASC 606 Revenue from Contracts with Customers. 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and six months ended December 31,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determine revenue recognition through the following steps:</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Identification of the contract, or contracts, with a customer — </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In connection with our Presto Touch and Presto Voice solutions,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Identification of the performance obligations in the contract — </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tc>
      </w:tr>
    </w:tbl>
    <w:p>
      <w:pPr>
        <w:pStyle w:val="TextBody"/>
        <w:pBdr/>
        <w:bidi w:val="0"/>
        <w:spacing w:before="0" w:after="0"/>
        <w:ind w:left="108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identified the following performance obligations: for the MSAs and license agreements, 1) sales or leases of hardware, SaaS and maintenance are one combined performance obligation for the Presto Touch or Presto Voice product, and 2) providing premium content, or gaming, is a single performance obligation for the gaming agreements. Professional services were insignificant during the three and six months ended December 31, 2023 and 2022.</w:t>
      </w:r>
    </w:p>
    <w:p>
      <w:pPr>
        <w:pStyle w:val="TextBody"/>
        <w:pBdr/>
        <w:shd w:fill="FFFFFF" w:val="clear"/>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Our Presto Touch and Presto Voice solution are both considered to have a single performance obligation because each element of the Presto Touch and Presto Voice solution is interdependent and cannot function independently. The software and hardware for the Presto Touch and Presto Voice solution represents one combined output and the customer cannot benefit from the use of one element without the other.</w:t>
      </w:r>
    </w:p>
    <w:p>
      <w:pPr>
        <w:pStyle w:val="TextBody"/>
        <w:shd w:fill="FFFFFF" w:val="clear"/>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When we enter into gaming agreements, our Presto Touch product includes the capability of providing entertainment services, provided by us via internet, that can be purchased by guests. The games are only accessible over the internet, and upon the guest making the decision to pay for the content, the guest receives the right to access the game on the Presto Touch product. Gaming fees are usage based through the guest’s use of the device and stipulated in a separate contract with the guest. Any fees that are incurred are collected by the restaurant as part of the normal payment for the dining check from the guest and remitted back to us, net of commissions paid to the restaurant as the sales. Premium content revenue, or gaming revenue, is therefore one performance obligation</w:t>
      </w:r>
    </w:p>
    <w:tbl>
      <w:tblPr>
        <w:tblW w:w="10205" w:type="dxa"/>
        <w:jc w:val="left"/>
        <w:tblInd w:w="0" w:type="dxa"/>
        <w:shd w:fill="FFFFFF" w:val="clear"/>
        <w:tblLayout w:type="fixed"/>
        <w:tblCellMar>
          <w:top w:w="28" w:type="dxa"/>
          <w:left w:w="28" w:type="dxa"/>
          <w:bottom w:w="28" w:type="dxa"/>
          <w:right w:w="28" w:type="dxa"/>
        </w:tblCellMar>
      </w:tblPr>
      <w:tblGrid>
        <w:gridCol w:w="124"/>
        <w:gridCol w:w="217"/>
        <w:gridCol w:w="9864"/>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 — Our MSAs stipulate the terms and conditions of providing the Presto Touch and Presto Voice solutions, and separate license agreements dictate the transaction price, and typically outline a price per store location or number of Presto Touch devices used. The transaction price is generally a fixed fee, with a portion due upfront upon signing of the contract and the remainder due upon installation of the Presto Touch solutions.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4"/>
        <w:gridCol w:w="9857"/>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57"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Allocation of the transaction price to the performance obligations in the contract — </w:t>
            </w:r>
            <w:r>
              <w:rPr>
                <w:rFonts w:ascii="Times New Roman;Times;serif" w:hAnsi="Times New Roman;Times;serif"/>
                <w:b w:val="false"/>
                <w:i w:val="false"/>
                <w:caps w:val="false"/>
                <w:smallCaps w:val="false"/>
                <w:sz w:val="20"/>
                <w:shd w:fill="FFFFFF" w:val="clear"/>
              </w:rPr>
              <w:t>The Presto Touch and Presto Voice solutions are each comprised of one performance obligation and do not require reallocation of the contract price</w:t>
            </w:r>
            <w:r>
              <w:rPr>
                <w:rFonts w:ascii="Times New Roman;Times;serif" w:hAnsi="Times New Roman;Times;serif"/>
                <w:b w:val="false"/>
                <w:i w:val="false"/>
                <w:caps w:val="false"/>
                <w:smallCaps w:val="false"/>
                <w:sz w:val="20"/>
              </w:rPr>
              <w:t>. Our premium content contract is comprised of one performance obligation and does not require reallocation of the contract price.</w:t>
            </w:r>
          </w:p>
        </w:tc>
      </w:tr>
    </w:tbl>
    <w:tbl>
      <w:tblPr>
        <w:tblW w:w="10205" w:type="dxa"/>
        <w:jc w:val="left"/>
        <w:tblInd w:w="0" w:type="dxa"/>
        <w:tblLayout w:type="fixed"/>
        <w:tblCellMar>
          <w:top w:w="28" w:type="dxa"/>
          <w:left w:w="28" w:type="dxa"/>
          <w:bottom w:w="28" w:type="dxa"/>
          <w:right w:w="28" w:type="dxa"/>
        </w:tblCellMar>
      </w:tblPr>
      <w:tblGrid>
        <w:gridCol w:w="124"/>
        <w:gridCol w:w="219"/>
        <w:gridCol w:w="98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Recognition of revenue when, or as, we satisfy a performance obligation — </w:t>
            </w:r>
            <w:r>
              <w:rPr>
                <w:rFonts w:ascii="Times New Roman;Times;serif" w:hAnsi="Times New Roman;Times;serif"/>
                <w:b w:val="false"/>
                <w:i w:val="false"/>
                <w:caps w:val="false"/>
                <w:smallCaps w:val="false"/>
                <w:sz w:val="20"/>
                <w:shd w:fill="FFFFFF" w:val="clear"/>
              </w:rPr>
              <w:t>As the customer simultaneously receives and consumes the benefits provided by us through continuous access to our SaaS platform, revenue from the Presto Touch and Presto Voice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tc>
      </w:tr>
    </w:tbl>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We have granted only RSUs in the three and six months ended December 31, 2023 and 2022. There were no stock options granted in the three and six months ended December 31, 2023 and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earnout shares are equity classified since they do not meet the liability classification criteria outlined in ASC 480, </w:t>
      </w:r>
      <w:r>
        <w:rPr>
          <w:rFonts w:ascii="Times New Roman;Times;serif" w:hAnsi="Times New Roman;Times;serif"/>
          <w:i/>
          <w:sz w:val="20"/>
        </w:rPr>
        <w:t>Distinguishing Liabilities from Equity</w:t>
      </w:r>
      <w:r>
        <w:rPr>
          <w:rFonts w:ascii="Times New Roman;Times;serif" w:hAnsi="Times New Roman;Times;serif"/>
          <w:sz w:val="20"/>
        </w:rPr>
        <w:t> and are under ASC 815-40 are both (i) indexed to our own shares and (ii) meet the 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Warrants</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We account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change in fair value of warrants and convertible promissory notes in the consolidated statement of operations and comprehensive loss. Warrants that meet the fixed-for-fixed criteria or contain variability related to an implicit or explicit input to the valuation of our Company are classified as equity instruments. Warrants classified as equity instruments are initially recognized at fair value and are not subsequently remeasured.</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Level 1</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Quoted prices in active markets for identical assets as of the reporting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3 — Unobservable inputs that are supported by little or no market activity and that are significant to the fair value of the assets.</w:t>
            </w:r>
          </w:p>
        </w:tc>
      </w:tr>
    </w:tbl>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Unvested Sponsor Share liability was determined using a Monte Carlo valuation model, which requires estimates including the expected volatility of our common stock. The expected annual volatility of our common stock was estimated to be 68.3% and 70.4% as of December 31, 2023 and June 30, 2023, respectively, based on the historical volatility of comparable publicly traded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the sections entitled “</w:t>
      </w:r>
      <w:r>
        <w:rPr>
          <w:rFonts w:ascii="Times New Roman;Times;serif" w:hAnsi="Times New Roman;Times;serif"/>
          <w:i/>
          <w:sz w:val="20"/>
        </w:rPr>
        <w:t>Recently Adopted Accounting Standards</w:t>
      </w:r>
      <w:r>
        <w:rPr>
          <w:rFonts w:ascii="Times New Roman;Times;serif" w:hAnsi="Times New Roman;Times;serif"/>
          <w:sz w:val="20"/>
        </w:rPr>
        <w:t>” and “</w:t>
      </w:r>
      <w:r>
        <w:rPr>
          <w:rFonts w:ascii="Times New Roman;Times;serif" w:hAnsi="Times New Roman;Times;serif"/>
          <w:i/>
          <w:sz w:val="20"/>
        </w:rPr>
        <w:t>Recently Issued Accounting Standards Not Yet Adopted</w:t>
      </w:r>
      <w:r>
        <w:rPr>
          <w:rFonts w:ascii="Times New Roman;Times;serif" w:hAnsi="Times New Roman;Times;serif"/>
          <w:sz w:val="20"/>
        </w:rPr>
        <w:t>” in Note 1 of Part I, Item 1, of this Quarterly Report on Form 10-Q for recently adopted accounting pronouncements and recently issued accounting pronouncements not yet adopted as of the filing date of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52" w:name="ITEM3QUANTITATIVEANDQUALITATIVEDISCLOSUR"/>
      <w:bookmarkStart w:id="1753" w:name="_07abf257_6d2f_4854_9153_ae2d7fe96ea4"/>
      <w:bookmarkEnd w:id="1752"/>
      <w:bookmarkEnd w:id="1753"/>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Sensitivity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customers accounted for more than 10% of revenues during the following periods:</w:t>
      </w:r>
    </w:p>
    <w:p>
      <w:pPr>
        <w:pStyle w:val="TextBody"/>
        <w:bidi w:val="0"/>
        <w:spacing w:before="0" w:after="240"/>
        <w:ind w:left="0" w:right="0" w:firstLine="720"/>
        <w:jc w:val="left"/>
        <w:rPr/>
      </w:pPr>
      <w:r>
        <w:rPr/>
        <w:t>​</w:t>
      </w:r>
    </w:p>
    <w:tbl>
      <w:tblPr>
        <w:tblW w:w="7729" w:type="dxa"/>
        <w:jc w:val="left"/>
        <w:tblInd w:w="0" w:type="dxa"/>
        <w:tblLayout w:type="fixed"/>
        <w:tblCellMar>
          <w:top w:w="0" w:type="dxa"/>
          <w:left w:w="0" w:type="dxa"/>
          <w:bottom w:w="0" w:type="dxa"/>
          <w:right w:w="0" w:type="dxa"/>
        </w:tblCellMar>
      </w:tblPr>
      <w:tblGrid>
        <w:gridCol w:w="1081"/>
        <w:gridCol w:w="326"/>
        <w:gridCol w:w="951"/>
        <w:gridCol w:w="737"/>
        <w:gridCol w:w="951"/>
        <w:gridCol w:w="271"/>
        <w:gridCol w:w="326"/>
        <w:gridCol w:w="881"/>
        <w:gridCol w:w="682"/>
        <w:gridCol w:w="881"/>
        <w:gridCol w:w="271"/>
        <w:gridCol w:w="37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86435" cy="175260"/>
                      <wp:effectExtent l="0" t="0" r="0" b="0"/>
                      <wp:wrapNone/>
                      <wp:docPr id="608" name="Frame60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03885" cy="175260"/>
                      <wp:effectExtent l="0" t="0" r="0" b="0"/>
                      <wp:wrapNone/>
                      <wp:docPr id="610" name="Frame610"/>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67995" cy="175260"/>
                      <wp:effectExtent l="0" t="0" r="0" b="0"/>
                      <wp:wrapNone/>
                      <wp:docPr id="611" name="Frame61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03885" cy="175260"/>
                      <wp:effectExtent l="0" t="0" r="0" b="0"/>
                      <wp:wrapNone/>
                      <wp:docPr id="612" name="Frame612"/>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72085" cy="175260"/>
                      <wp:effectExtent l="0" t="0" r="0" b="0"/>
                      <wp:wrapNone/>
                      <wp:docPr id="613" name="Frame61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14" name="Frame6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59435" cy="175260"/>
                      <wp:effectExtent l="0" t="0" r="0" b="0"/>
                      <wp:wrapNone/>
                      <wp:docPr id="615" name="Frame615"/>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33070" cy="175260"/>
                      <wp:effectExtent l="0" t="0" r="0" b="0"/>
                      <wp:wrapNone/>
                      <wp:docPr id="616" name="Frame616"/>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59435" cy="175260"/>
                      <wp:effectExtent l="0" t="0" r="0" b="0"/>
                      <wp:wrapNone/>
                      <wp:docPr id="617" name="Frame617"/>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72085" cy="175260"/>
                      <wp:effectExtent l="0" t="0" r="0" b="0"/>
                      <wp:wrapNone/>
                      <wp:docPr id="618" name="Frame6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35585" cy="175260"/>
                      <wp:effectExtent l="0" t="0" r="0" b="0"/>
                      <wp:wrapNone/>
                      <wp:docPr id="619" name="Frame61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3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27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center"/>
              <w:rPr/>
            </w:pPr>
            <w:r>
              <w:rPr/>
              <w:t>    </w:t>
            </w:r>
          </w:p>
        </w:tc>
        <w:tc>
          <w:tcPr>
            <w:tcW w:w="244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December 31, </w:t>
            </w:r>
          </w:p>
        </w:tc>
        <w:tc>
          <w:tcPr>
            <w:tcW w:w="27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737" w:type="dxa"/>
            <w:tcBorders/>
            <w:vAlign w:val="center"/>
          </w:tcPr>
          <w:p>
            <w:pPr>
              <w:pStyle w:val="TableContents"/>
              <w:bidi w:val="0"/>
              <w:spacing w:before="0" w:after="1"/>
              <w:ind w:left="0" w:right="0" w:hanging="0"/>
              <w:jc w:val="center"/>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center"/>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82" w:type="dxa"/>
            <w:tcBorders/>
            <w:vAlign w:val="center"/>
          </w:tcPr>
          <w:p>
            <w:pPr>
              <w:pStyle w:val="TableContents"/>
              <w:bidi w:val="0"/>
              <w:spacing w:before="0" w:after="1"/>
              <w:ind w:left="0" w:right="0" w:hanging="0"/>
              <w:jc w:val="center"/>
              <w:rPr/>
            </w:pPr>
            <w:r>
              <w:rPr/>
              <w:t>    </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center"/>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center"/>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7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6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7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6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7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6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7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6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D and E represents less than 10% of revenue and therefore was omitted from the above schedule.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customers accounted for more than 10% of accounts receivable as of December 31, 2023 and June 30, 2023:</w:t>
      </w:r>
    </w:p>
    <w:p>
      <w:pPr>
        <w:pStyle w:val="TextBody"/>
        <w:bidi w:val="0"/>
        <w:spacing w:before="0" w:after="240"/>
        <w:ind w:left="0" w:right="0" w:firstLine="720"/>
        <w:jc w:val="left"/>
        <w:rPr/>
      </w:pPr>
      <w:r>
        <w:rPr/>
        <w:t>​</w:t>
      </w:r>
    </w:p>
    <w:tbl>
      <w:tblPr>
        <w:tblW w:w="4831" w:type="dxa"/>
        <w:jc w:val="left"/>
        <w:tblInd w:w="0" w:type="dxa"/>
        <w:tblLayout w:type="fixed"/>
        <w:tblCellMar>
          <w:top w:w="0" w:type="dxa"/>
          <w:left w:w="0" w:type="dxa"/>
          <w:bottom w:w="0" w:type="dxa"/>
          <w:right w:w="0" w:type="dxa"/>
        </w:tblCellMar>
      </w:tblPr>
      <w:tblGrid>
        <w:gridCol w:w="1081"/>
        <w:gridCol w:w="326"/>
        <w:gridCol w:w="1561"/>
        <w:gridCol w:w="361"/>
        <w:gridCol w:w="1186"/>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86435" cy="175260"/>
                      <wp:effectExtent l="0" t="0" r="0" b="0"/>
                      <wp:wrapNone/>
                      <wp:docPr id="620" name="Frame62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991235" cy="175260"/>
                      <wp:effectExtent l="0" t="0" r="0" b="0"/>
                      <wp:wrapNone/>
                      <wp:docPr id="622" name="Frame62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29235" cy="175260"/>
                      <wp:effectExtent l="0" t="0" r="0" b="0"/>
                      <wp:wrapNone/>
                      <wp:docPr id="623" name="Frame6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753110" cy="175260"/>
                      <wp:effectExtent l="0" t="0" r="0" b="0"/>
                      <wp:wrapNone/>
                      <wp:docPr id="624" name="Frame62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0660" cy="175260"/>
                      <wp:effectExtent l="0" t="0" r="0" b="0"/>
                      <wp:wrapNone/>
                      <wp:docPr id="625" name="Frame6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6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center"/>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C represents less than 10% of accounts receivable and therefore was omitted from the above schedule. Customer E represents an arrangement in which we serve as the agent.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October 30, 2023, Customer C provided notice of its intent to not renew its contract at the end of the expiration date of December 31, 2023. The customer also sought and was granted a limited transition extension period through June 30, 2024. In addition, in the three months ended December 31, 2023, Customer A notified us of their intent not to renew their contract which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scheduled to expire June 30, 2024. We also received notification of Customer B’s intent to not renew their contract that expires on February 29,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vendor concentration risk as it purchases</w:t>
      </w:r>
      <w:r>
        <w:rPr>
          <w:rFonts w:ascii="Times New Roman;Times;serif" w:hAnsi="Times New Roman;Times;serif"/>
          <w:sz w:val="20"/>
          <w:shd w:fill="FFFFFF" w:val="clear"/>
        </w:rPr>
        <w:t> its next generation version of Presto Touch tablets and other equipment</w:t>
      </w:r>
      <w:r>
        <w:rPr>
          <w:rFonts w:ascii="Times New Roman;Times;serif" w:hAnsi="Times New Roman;Times;serif"/>
          <w:sz w:val="20"/>
        </w:rPr>
        <w:t xml:space="preserve"> from one vendor. Our operating results could be adversely affected in the event that the vendor increases its prices or incurs disruptions in its supply of goods or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Institutions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instruments that potentially expose us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and restricted cash as needed, our financial position and ability to operate our business could be adversely affected. The Company has $12.9 million in deposits in excess of the FDIC limits as of December 31, 2023.</w:t>
      </w:r>
    </w:p>
    <w:p>
      <w:pPr>
        <w:pStyle w:val="TextBody"/>
        <w:bidi w:val="0"/>
        <w:spacing w:before="0" w:after="240"/>
        <w:ind w:left="0" w:right="0" w:hanging="0"/>
        <w:jc w:val="left"/>
        <w:rPr>
          <w:rFonts w:ascii="Times New Roman;Times;serif" w:hAnsi="Times New Roman;Times;serif"/>
          <w:b/>
          <w:sz w:val="20"/>
        </w:rPr>
      </w:pPr>
      <w:bookmarkStart w:id="1754" w:name="ITEM4CONTROLSANDPROCEDURES_752359"/>
      <w:bookmarkStart w:id="1755" w:name="_5c94e940_a675_4c09_a6de_e5225ce4ee7f"/>
      <w:bookmarkEnd w:id="1754"/>
      <w:bookmarkEnd w:id="1755"/>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principle executive officer and principal financial officer, we conducted an evaluation of the effectiveness of our disclosure controls and procedures as of the end of the fiscal quarter ended December 31,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December 31,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the identified material weaknesses, management, including our principal executive officer and principal financial officer, believes the condensed consolidated financial information included in this Quarterly Report on Form 10-Q fairly represent in all material respects our financial condition, results of operations and cash flows at and for the periods presented in accordance with U.S.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previously identified four material weaknesses, as disclosed in our Annual Report on Form 10-K, filed with the SEC on October 10, 2023. The material weaknesses as of June 30, 2023 that we have identified are listed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an effective control environment, including not having designed a risk assessment process and not having designed formalized internal controls, including a lack of policies supporting segregation of duties.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over our financial statement closing process. Specifically, we did not design and maintain effective controls over certain account analyses and account reconciliations.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internal accounting records to adequately support the reporting of certain transactions in our financial statements.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material weaknesses could result in a misstatement of account balances or disclosures that would result in a material misstatement to the annual or interim condensed consolidated financial statements that would not be prevented or detected.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Remediation Initiatives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in the early stages of designing and implementing a plan to remediate the material weaknesses identified. Our plan includes the following actions:</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Designing and implementing a risk assessment process supporting the identification of risks facing Presto.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complying with Section 404 of the Sarbanes Oxley Act of 2002. We have recently hired additional resources and we are engaging with a third-party consulting firm to assist us with our formal internal control plan and provide staff augmentation of our internal audit function.</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enable an effective and timely review of account analyses and account reconciliations.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enable an accurate and timely review of accounting records that support our accounting processes and maintain documents for internal accounting reviews.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56" w:name="PARTIIOTHERINFORMATION_874388"/>
      <w:bookmarkEnd w:id="175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757" w:name="Item1LegalProceedings_429978"/>
      <w:bookmarkStart w:id="1758" w:name="_d5e766cf_349d_41f2_ba29_aead3bde22e8"/>
      <w:bookmarkEnd w:id="1757"/>
      <w:bookmarkEnd w:id="1758"/>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Discussion of legal matters is in Part I, Note 8, “Commitments and Contingencies,” of this document, and should be considered an integral part of Part II, Item 1 “Legal Proceedings.”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1759" w:name="Item1ARiskFactors_746758"/>
      <w:bookmarkStart w:id="1760" w:name="_1ad6b3f6_5ad3_4127_9c56_f6a3f1210f5d"/>
      <w:bookmarkEnd w:id="1759"/>
      <w:bookmarkEnd w:id="1760"/>
      <w:r>
        <w:rPr>
          <w:rFonts w:ascii="Times New Roman;Times;serif" w:hAnsi="Times New Roman;Times;serif"/>
          <w:b/>
          <w:sz w:val="20"/>
        </w:rPr>
        <w:t>Item 1A. Risk Factors</w:t>
      </w:r>
    </w:p>
    <w:p>
      <w:pPr>
        <w:pStyle w:val="TextBody"/>
        <w:shd w:fill="FFFFFF" w:val="clear"/>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 comprehensive discussion of our other risk factors is included in the “Risk Factors” section of our annual report on Form 10-K for the year ended June 30, 2023 which was filed with the SEC on October 10, 2023. The risks described in our Form 10-K are not the only risks we face. Additional risks and uncertainties not currently known to us or that we currently deem to be immaterial also may materially adversely affect our business, financial condition and/or operating results. During the period covered by this quarterly report on Form 10-Q, there have been no material changes in our risk factors as previously disclosed except the following: </w:t>
      </w:r>
    </w:p>
    <w:p>
      <w:pPr>
        <w:pStyle w:val="TextBody"/>
        <w:pBdr/>
        <w:bidi w:val="0"/>
        <w:spacing w:before="0" w:after="0"/>
        <w:ind w:left="0" w:right="0" w:firstLine="480"/>
        <w:jc w:val="both"/>
        <w:rPr>
          <w:rFonts w:ascii="Times New Roman;Times;serif" w:hAnsi="Times New Roman;Times;serif"/>
          <w:b/>
          <w:sz w:val="20"/>
        </w:rPr>
      </w:pPr>
      <w:r>
        <w:rPr>
          <w:rFonts w:ascii="Times New Roman;Times;serif" w:hAnsi="Times New Roman;Times;serif"/>
          <w:b/>
          <w:sz w:val="20"/>
        </w:rPr>
        <w:t>Our current liquidity resources raise substantial doubt about our ability to continue as a going concern and to comply with our debt covenants unless we raise additional capital to meet its obligations in the near term.</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 xml:space="preserve">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The Company has incurred operating losses of $19.9 million and $33.2 million for the three and six months ended December 31 2023, respectively. As of December 31, 2023, the Company had an accumulated deficit of $247.9 million and the Company expects to generate operating and net losses for the near term. Cash from operations is also affected by various risks and uncertainties, including, but not limited to, the timing of cash collections from customers and other risks. </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 xml:space="preserve">On January 11, 2024, following notice of breaches of covenants contained in the Credit Facility, the Lenders delivered an activation notice to the Company’s bank in which $10.0 million of restricted cash was deposited as collateral for the Term Loans and caused the bank to wire that amount to an account designated by the Lenders (refer to Note 15. </w:t>
      </w:r>
      <w:r>
        <w:rPr>
          <w:rFonts w:ascii="Times New Roman;Times;serif" w:hAnsi="Times New Roman;Times;serif"/>
          <w:i/>
          <w:sz w:val="20"/>
        </w:rPr>
        <w:t xml:space="preserve">Subsequent Events </w:t>
      </w:r>
      <w:r>
        <w:rPr>
          <w:rFonts w:ascii="Times New Roman;Times;serif" w:hAnsi="Times New Roman;Times;serif"/>
          <w:sz w:val="20"/>
        </w:rPr>
        <w:t>of Item 1 of this Quarterly Report on Form 10-Q for further details). The funds were applied to reduce the outstanding balance of the Term Loans which as of December 31, 2023 totaled $61.7 million in principal amount plus accrued interest.</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While the Company raised net cash proceeds of $2.9 million from the issuance of new debt in the closing of the Third Amendment to the Credit Agreement, and received $10.0 million from the sale of common stock in private placements and registered direct offerings during the six months ended December 31, 2023, the Company used cash from operating activities of $21.9 million and incurred a net loss of $12.7 million during the six months ended December 31, 2023. As a result, additional capital infusions will be necessary in order to fund currently anticipated expenditures and to meet the Company’s obligations as they come due. In addition, pursuant to a forbearance agreement entered into with the Agent, the Lenders and other parties, among other things, the Company is required to raise additional gross proceeds of $6.0 million in order for the Lenders to forbear from exercising remedies under the Credit Agreement related to prior events of default. The Company’s future capital requirements will depend on many factors, including the revenue growth rate, the success of future product development, and the timing and extent of spending to support further sales and marketing and research and development efforts.</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If the Company cannot satisfy this or other requirements, the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 xml:space="preserve">Substantial doubt exists about the Company’s ability to continue as a going concern within one year after the date that the financial statements are available to be issued. The Company continues efforts to mitigate the conditions or events that raise this substantial doubt, however, as some components of these plans are outside of management’s control, the Company cannot offer any assurances they will be effectively implemented. The Company cannot offer any assurance that any additional financing will be available on acceptable terms or at all. If the Company is unable to raise additional capital it would likely lead to an event of default under the Credit Agreement and the potential exercise of remedies by the Agent and Lender, which would materially and adversely impact its business, results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operations and financial condition. The Company’s condensed consolidated financial statements have been prepared on a going concern basis, which contemplates the realization of assets and satisfaction of liabilities in the normal course of business.</w:t>
      </w:r>
    </w:p>
    <w:p>
      <w:pPr>
        <w:pStyle w:val="TextBody"/>
        <w:bidi w:val="0"/>
        <w:spacing w:before="240" w:after="0"/>
        <w:ind w:left="0" w:right="0" w:firstLine="480"/>
        <w:jc w:val="both"/>
        <w:rPr>
          <w:rFonts w:ascii="Times New Roman;Times;serif" w:hAnsi="Times New Roman;Times;serif"/>
          <w:b/>
          <w:sz w:val="20"/>
        </w:rPr>
      </w:pPr>
      <w:r>
        <w:rPr>
          <w:rFonts w:ascii="Times New Roman;Times;serif" w:hAnsi="Times New Roman;Times;serif"/>
          <w:b/>
          <w:sz w:val="20"/>
        </w:rPr>
        <w:t>We may be unable to realize the benefits we expect from our Touch business.</w:t>
      </w:r>
    </w:p>
    <w:p>
      <w:pPr>
        <w:pStyle w:val="TextBody"/>
        <w:bidi w:val="0"/>
        <w:spacing w:before="240" w:after="0"/>
        <w:ind w:left="0" w:right="0" w:firstLine="480"/>
        <w:jc w:val="both"/>
        <w:rPr>
          <w:rFonts w:ascii="Times New Roman;Times;serif" w:hAnsi="Times New Roman;Times;serif"/>
          <w:sz w:val="20"/>
        </w:rPr>
      </w:pPr>
      <w:r>
        <w:rPr>
          <w:rFonts w:ascii="Times New Roman;Times;serif" w:hAnsi="Times New Roman;Times;serif"/>
          <w:sz w:val="20"/>
        </w:rPr>
        <w:t xml:space="preserve">We are evaluating strategic alternatives for our Touch Business including a sale, partial sale or abandonment of the Touch Business in the coming months, to allow us to focus our efforts on our Presto Voice business.  On January 17, 2024, we entered into a non-binding MoU with respect to the formation of a Joint Venture for the purposes of the creation and joint investment in the Touch Business.  If the transaction closes, the Company will cease its own operations of the Touch Business. For a more detailed description of the MoU and Joint Venture, refer to Note 15. </w:t>
      </w:r>
      <w:r>
        <w:rPr>
          <w:rFonts w:ascii="Times New Roman;Times;serif" w:hAnsi="Times New Roman;Times;serif"/>
          <w:i/>
          <w:sz w:val="20"/>
        </w:rPr>
        <w:t xml:space="preserve">Subsequent Events </w:t>
      </w:r>
      <w:r>
        <w:rPr>
          <w:rFonts w:ascii="Times New Roman;Times;serif" w:hAnsi="Times New Roman;Times;serif"/>
          <w:sz w:val="20"/>
        </w:rPr>
        <w:t>of Item 1 of this Quarterly Report on Form 10-Q for further details.</w:t>
      </w:r>
    </w:p>
    <w:p>
      <w:pPr>
        <w:pStyle w:val="TextBody"/>
        <w:bidi w:val="0"/>
        <w:spacing w:before="240" w:after="0"/>
        <w:ind w:left="0" w:right="0" w:firstLine="480"/>
        <w:jc w:val="both"/>
        <w:rPr/>
      </w:pPr>
      <w:r>
        <w:rPr/>
        <w:t> </w:t>
      </w:r>
      <w:r>
        <w:rPr>
          <w:rFonts w:ascii="Times New Roman;Times;serif" w:hAnsi="Times New Roman;Times;serif"/>
          <w:sz w:val="20"/>
        </w:rPr>
        <w:t>The estimates of the savings that we hope to accrue and the non-recurring costs associated with these actions may be based on mistaken assumptions or may change as a result of intervening events.  In addition, these actions will require management time and attention which could distract from our focus on our Presto Voice business.  We may be unable to realize the benefits we expect from the wind-down of either a sale, partial sale or abandonment of the Touch Business, including the Joint Venture, which could adversely impact our overall business going forward.</w:t>
      </w:r>
    </w:p>
    <w:p>
      <w:pPr>
        <w:pStyle w:val="TextBody"/>
        <w:bidi w:val="0"/>
        <w:spacing w:before="160" w:after="0"/>
        <w:ind w:left="0" w:right="0" w:firstLine="480"/>
        <w:jc w:val="both"/>
        <w:rPr>
          <w:rFonts w:ascii="Times New Roman;Times;serif" w:hAnsi="Times New Roman;Times;serif"/>
          <w:b/>
          <w:sz w:val="20"/>
        </w:rPr>
      </w:pPr>
      <w:r>
        <w:rPr>
          <w:rFonts w:ascii="Times New Roman;Times;serif" w:hAnsi="Times New Roman;Times;serif"/>
          <w:b/>
          <w:sz w:val="20"/>
        </w:rPr>
        <w:t xml:space="preserve">We are currently listed on the Nasdaq Global Market. We have failed, and may continue to fail, to meet the listing standards of the Nasdaq Global Market, and as a result our common stock may become delisted, which could have a material adverse effect on the liquidity of our common stock. </w:t>
      </w:r>
    </w:p>
    <w:p>
      <w:pPr>
        <w:pStyle w:val="TextBody"/>
        <w:bidi w:val="0"/>
        <w:spacing w:before="160" w:after="0"/>
        <w:ind w:left="0" w:right="0" w:firstLine="480"/>
        <w:jc w:val="both"/>
        <w:rPr/>
      </w:pPr>
      <w:r>
        <w:rPr/>
        <w:t> </w:t>
      </w:r>
      <w:r>
        <w:rPr>
          <w:rFonts w:ascii="Times New Roman;Times;serif" w:hAnsi="Times New Roman;Times;serif"/>
          <w:sz w:val="20"/>
        </w:rPr>
        <w:t xml:space="preserve">Although our common stock is currently listed on the Nasdaq Global Market, we have failed, and may continue to fail, to meet the listing standards of the Nasdaq Global Market. If we fail to continue to satisfy the continued listing requirements of the Nasdaq Global Market, Nasdaq will take steps to delist our common stock. Such a delisting would likely have a negative effect on the price of our common stock and would impair your ability to sell or purchase our common stock when you wish to do so, as well as adversely affect our ability to issue additional securities and obtain additional financing in the future. </w:t>
      </w:r>
    </w:p>
    <w:p>
      <w:pPr>
        <w:pStyle w:val="TextBody"/>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 xml:space="preserve">On December 28, 2023, we received a notice (the “December Notice”) from Nasdaq stating that the Company is not in compliance with the requirement to maintain a minimum closing bid price of $1.00 per share, as set forth in Nasdaq Listing Rule 5450(a)(1) (the “Bid Price Requirement”), because the closing bid price of the Common Stock was below $1.00 per share for 30 consecutive business days. In accordance with Nasdaq Listing Rule 5810(c)(3)(A), the Company has a period of 180 calendar days from the date of the December Notice, or until June 25, 2024, to regain compliance with the Bid Price Requirement. 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 If it appears to the Nasdaq staff that the Company will not be able to cure the deficiency, or if the Company is otherwise not eligible or determines not to submit a transfer application or make the required representation, Nasdaq would provide notice to the Company that its common stock would be subject to delisting. At that time, the Company may appeal the Nasdaq staff’s delisting determination to a Nasdaq Hearings Panel (the “Panel”). </w:t>
      </w:r>
    </w:p>
    <w:p>
      <w:pPr>
        <w:pStyle w:val="TextBody"/>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On February 6, 2024, we received a notice (the “February Notice”) from Nasdaq stating that the Company is not in compliance with the requirement to maintain a minimum Market Value of Listed Securities (“MVLS”) of $50 million, as set forth in Nasdaq Listing Rule 5450(b)(2)(A) (the “MVLS Requirement”), because the MVLS of the Company was below $50 million for the 30 consecutive business days prior to the date of the February Notice. Nasdaq further indicated that, as of the date of the Notice, the Company did not comply with certain requirements under the alternative standards set forth in Nasdaq Listing Rule 5450(b)(3)(A) for continued listing on the Nasdaq Global Market. In accordance with Nasdaq Listing Rule 5810(c)(3)(C), the Company has a period of 180 calendar days from the date of the February Notice, or until August 5, 2024, to regain compliance with the MVLS Requirement.  In the event the Company does not regain compliance by August 5, 2024, the Company will receive written notification that its securities are subject to delisting. At that time, the Company may appeal the delisting determination to the Panel. The February Notice provides that the Company may be eligible to transfer the listing of its securities to The Nasdaq Capital Market (provided that it then satisfies the requirements for continued listing on that market).</w:t>
      </w:r>
    </w:p>
    <w:p>
      <w:pPr>
        <w:pStyle w:val="TextBody"/>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Any potential delisting of our common stock from Nasdaq would likely result in decreased liquidity and increased volatility for our common stock and would adversely affect our ability to raise additional capital or to enter into strategic transactions, in addition to adversely impacting the perception of our financial condition and could cause reputational harm to investors and parties conducting business with us. Any potential delisting of our common stock from Nasdaq would also make it more difficult for our stockholders to sell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In the event of a delisting, we would take actions to restore our compliance with Nasdaq Marketplace Rules, but we can provide no assurances that the listing of our common stock would be restored, that our common stock will remain above the Bid Price Requirement, that we will remain in compliance with the MVLS Requirement or that we otherwise will remain in compliance with other Nasdaq Marketplace Rules. </w:t>
      </w:r>
    </w:p>
    <w:p>
      <w:pPr>
        <w:pStyle w:val="TextBody"/>
        <w:bidi w:val="0"/>
        <w:spacing w:before="160" w:after="0"/>
        <w:ind w:left="0" w:right="0" w:firstLine="480"/>
        <w:jc w:val="both"/>
        <w:rPr>
          <w:rFonts w:ascii="Times New Roman;Times;serif" w:hAnsi="Times New Roman;Times;serif"/>
          <w:b/>
          <w:sz w:val="20"/>
        </w:rPr>
      </w:pPr>
      <w:r>
        <w:rPr>
          <w:rFonts w:ascii="Times New Roman;Times;serif" w:hAnsi="Times New Roman;Times;serif"/>
          <w:b/>
          <w:sz w:val="20"/>
        </w:rPr>
        <w:t>We granted anti-dilution protection to certain of our investors, which have and will cause additional significant dilution to our stockholders and may have a material adverse impact on the market price of our common stock and make it more difficult for us to raise funds through future equity offerings.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have granted anti-dilution protections as follows:</w:t>
      </w:r>
    </w:p>
    <w:p>
      <w:pPr>
        <w:pStyle w:val="TextBody"/>
        <w:shd w:fill="FFFFFF" w:val="clear"/>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10, 2023, the Company entered into a Securities Purchase Agreement (the “CA Purchase Agreement”) with Presto CA LLC (“CA”), a related party, pursuant to which the Company sold 1,500,000 shares of common stock, at a purchase price of $2.00 per share, for an aggregate purchase price of $3.0 million (the “Private Placement”).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w:t>
            </w:r>
          </w:p>
        </w:tc>
      </w:tr>
    </w:tbl>
    <w:p>
      <w:pPr>
        <w:pStyle w:val="TextBody"/>
        <w:bidi w:val="0"/>
        <w:spacing w:before="0" w:after="0"/>
        <w:ind w:left="0" w:right="0" w:firstLine="405"/>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On </w:t>
            </w:r>
            <w:r>
              <w:rPr>
                <w:rFonts w:ascii="Times New Roman;Times;serif" w:hAnsi="Times New Roman;Times;serif"/>
                <w:b w:val="false"/>
                <w:i w:val="false"/>
                <w:caps w:val="false"/>
                <w:smallCaps w:val="false"/>
                <w:sz w:val="20"/>
              </w:rPr>
              <w:t>October 10, 2023, </w:t>
            </w:r>
            <w:r>
              <w:rPr>
                <w:rFonts w:ascii="Times New Roman;Times;serif" w:hAnsi="Times New Roman;Times;serif"/>
                <w:b w:val="false"/>
                <w:i w:val="false"/>
                <w:caps w:val="false"/>
                <w:smallCaps w:val="false"/>
                <w:sz w:val="20"/>
                <w:shd w:fill="FFFFFF" w:val="clear"/>
              </w:rPr>
              <w:t>the Company </w:t>
            </w:r>
            <w:r>
              <w:rPr>
                <w:rFonts w:ascii="Times New Roman;Times;serif" w:hAnsi="Times New Roman;Times;serif"/>
                <w:b w:val="false"/>
                <w:i w:val="false"/>
                <w:caps w:val="false"/>
                <w:smallCaps w:val="false"/>
                <w:sz w:val="20"/>
              </w:rPr>
              <w:t>entered into a Third Amendment (the “Third Amendment”) to the Credit Agreement (“Credit Agreement”) dated as of September 21, 2022, as amended on March 31, 2023 and May 22, 2023, with the Metropolitan Partners Group Administration, LLC, Metropolitan Levered Partners Fund VII, LP, Metropolitan Partners Fund VII, LP, Metropolitan Offshore Partners Fund VII, LP and CEOF Holdings LP (collectively, the “Lenders”). </w:t>
            </w:r>
            <w:r>
              <w:rPr>
                <w:rFonts w:ascii="Times New Roman;Times;serif" w:hAnsi="Times New Roman;Times;serif"/>
                <w:b w:val="false"/>
                <w:i w:val="false"/>
                <w:caps w:val="false"/>
                <w:smallCaps w:val="false"/>
                <w:sz w:val="20"/>
                <w:shd w:fill="FFFFFF" w:val="clear"/>
              </w:rPr>
              <w:t>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the Company’s common stock from October 16, 2023 to April 1, 2024 at a price per share below $2.00, upon the terms and subject to the conditions contained in the Third Amendment Conversion Warrants.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shd w:fill="FFFFFF" w:val="clear"/>
              </w:rPr>
              <w:t>November</w:t>
            </w:r>
            <w:r>
              <w:rPr>
                <w:caps w:val="false"/>
                <w:smallCaps w:val="false"/>
              </w:rPr>
              <w:t xml:space="preserve"> </w:t>
            </w:r>
            <w:r>
              <w:rPr>
                <w:rFonts w:ascii="Times New Roman;Times;serif" w:hAnsi="Times New Roman;Times;serif"/>
                <w:b w:val="false"/>
                <w:i w:val="false"/>
                <w:caps w:val="false"/>
                <w:smallCaps w:val="false"/>
                <w:sz w:val="20"/>
              </w:rPr>
              <w:t xml:space="preserve">17, 2023, the Company entered into Purchase Agreements (the “November 2023 Purchase Agreements”) for the issuance of 7,750,000 shares of common stock for $7.0 million (the “November Offering”) including 750,000 shares issued to a related party. </w:t>
            </w:r>
            <w:r>
              <w:rPr>
                <w:rFonts w:ascii="Times New Roman;Times;serif" w:hAnsi="Times New Roman;Times;serif"/>
                <w:b w:val="false"/>
                <w:i w:val="false"/>
                <w:caps w:val="false"/>
                <w:smallCaps w:val="false"/>
                <w:sz w:val="20"/>
                <w:shd w:fill="FFFFFF" w:val="clear"/>
              </w:rPr>
              <w:t xml:space="preserve">The </w:t>
            </w:r>
            <w:r>
              <w:rPr>
                <w:rFonts w:ascii="Times New Roman;Times;serif" w:hAnsi="Times New Roman;Times;serif"/>
                <w:b w:val="false"/>
                <w:i w:val="false"/>
                <w:caps w:val="false"/>
                <w:smallCaps w:val="false"/>
                <w:sz w:val="20"/>
              </w:rPr>
              <w:t xml:space="preserve">November 2023 </w:t>
            </w:r>
            <w:r>
              <w:rPr>
                <w:rFonts w:ascii="Times New Roman;Times;serif" w:hAnsi="Times New Roman;Times;serif"/>
                <w:b w:val="false"/>
                <w:i w:val="false"/>
                <w:caps w:val="false"/>
                <w:smallCaps w:val="false"/>
                <w:sz w:val="20"/>
                <w:shd w:fill="FFFFFF" w:val="clear"/>
              </w:rPr>
              <w:t xml:space="preserve">Purchase Agreements include anti-dilution provisions relating to future issuances or deemed issuances of the Company’s common stock from November 21, 2023 to April 1, 2024 at a price per share below $1.00, which required the Company to issue additional shares of common stock to the purchasers when this provision was triggered upon issuance of the January 2024 Notes, upon the terms and subject to the conditions contained in the </w:t>
            </w:r>
            <w:r>
              <w:rPr>
                <w:rFonts w:ascii="Times New Roman;Times;serif" w:hAnsi="Times New Roman;Times;serif"/>
                <w:b w:val="false"/>
                <w:i w:val="false"/>
                <w:caps w:val="false"/>
                <w:smallCaps w:val="false"/>
                <w:sz w:val="20"/>
              </w:rPr>
              <w:t xml:space="preserve">November 2023 </w:t>
            </w:r>
            <w:r>
              <w:rPr>
                <w:rFonts w:ascii="Times New Roman;Times;serif" w:hAnsi="Times New Roman;Times;serif"/>
                <w:b w:val="false"/>
                <w:i w:val="false"/>
                <w:caps w:val="false"/>
                <w:smallCaps w:val="false"/>
                <w:sz w:val="20"/>
                <w:shd w:fill="FFFFFF" w:val="clear"/>
              </w:rPr>
              <w:t>Purchase Agreements.  </w:t>
            </w:r>
          </w:p>
        </w:tc>
      </w:tr>
    </w:tbl>
    <w:p>
      <w:pPr>
        <w:pStyle w:val="TextBody"/>
        <w:bidi w:val="0"/>
        <w:spacing w:before="0" w:after="0"/>
        <w:ind w:left="0" w:right="0" w:hanging="0"/>
        <w:jc w:val="left"/>
        <w:rPr>
          <w:shd w:fill="FFFFFF" w:val="clear"/>
        </w:rPr>
      </w:pPr>
      <w:r>
        <w:rPr>
          <w:shd w:fill="FFFFFF" w:val="clea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November Offering triggered the anti-dilution provisions in the CA Purchase Agreement and the Third Amendment Conversion Warrants.  The Company agreed with each of CA and the Lenders that the “New Issuance Price” (as defined in the CA Purchase Agreement and Third Amendment Conversion Warrants, respectively) would be $1.00. As a result, we were required to issue an additional 1,500,000 shares to CA and increase the amount of common stock issuable upon the exercise of the Third Amendment Conversion Warrants from 3,000,000 shares to 6,000,000 shares. Subsequently, the January 2024 Notes triggered the anti-dilution provisions in the CA Purchase Agreement, the Third Amendment Conversion Warrants and the November Purchase Agreements. In connection with the January 2024 Notes, the Lenders, CA and the holders of 3,000,000 out of the 4,000,000 shares issued in the November 2023 Offering that were not being forfeited agreed that the “New Issuance Price” for the purpose of anti-dilution protection regarding the January 2024 Notes would be $0.40 and not $0.25. For the one investor holding 1,000,000 shares, the “New Issuance Price” was $0.25. As a result, we were required to (i) issue an additional 4,500,000 shares to CA, (ii) increase the amount of common stock issuable upon the exercise of the Third Amendment Conversion Warrants from 6,000,000 shares to 15,000,000 shares and (iii) issue an additional 7,500,000 shares to the November 2023 Purchasers. Additional shares issued includes the one investor holding 1,000,000 shares who received 3,000,000 additional shares and excludes the Lead Investor holding 3,000,000 shares that were forfeited and exchanged for $3.0 million principal amount of subordinated notes.</w:t>
      </w:r>
    </w:p>
    <w:p>
      <w:pPr>
        <w:pStyle w:val="TextBody"/>
        <w:shd w:fill="FFFFFF" w:val="clear"/>
        <w:bidi w:val="0"/>
        <w:spacing w:before="0" w:after="0"/>
        <w:ind w:left="0" w:right="0" w:hanging="0"/>
        <w:jc w:val="left"/>
        <w:rPr/>
      </w:pPr>
      <w:r>
        <w:rPr/>
        <w:t>​</w:t>
      </w:r>
    </w:p>
    <w:p>
      <w:pPr>
        <w:pStyle w:val="TextBody"/>
        <w:bidi w:val="0"/>
        <w:spacing w:before="0" w:after="16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If the foregoing anti-dilution provisions are triggered again in the future, (for example, refer to </w:t>
      </w:r>
      <w:r>
        <w:rPr>
          <w:rFonts w:ascii="Times New Roman;Times;serif" w:hAnsi="Times New Roman;Times;serif"/>
          <w:color w:val="222222"/>
          <w:sz w:val="20"/>
          <w:shd w:fill="FFFFFF" w:val="clear"/>
        </w:rPr>
        <w:t xml:space="preserve">Note 15 in </w:t>
      </w:r>
      <w:r>
        <w:rPr>
          <w:rFonts w:ascii="Times New Roman;Times;serif" w:hAnsi="Times New Roman;Times;serif"/>
          <w:sz w:val="20"/>
        </w:rPr>
        <w:t>Part I, Item 1, of this Quarterly Report on Form 10-Q</w:t>
      </w:r>
      <w:r>
        <w:rPr>
          <w:rFonts w:ascii="Times New Roman;Times;serif" w:hAnsi="Times New Roman;Times;serif"/>
          <w:color w:val="222222"/>
          <w:sz w:val="20"/>
          <w:shd w:fill="FFFFFF" w:val="clear"/>
        </w:rPr>
        <w:t xml:space="preserve">, </w:t>
      </w:r>
      <w:r>
        <w:rPr>
          <w:rFonts w:ascii="Times New Roman;Times;serif" w:hAnsi="Times New Roman;Times;serif"/>
          <w:i/>
          <w:sz w:val="20"/>
        </w:rPr>
        <w:t>Triggering and Partial Waiver of Anti-dilution Protection Associated with Previously Issued Securities</w:t>
      </w:r>
      <w:r>
        <w:rPr>
          <w:rFonts w:ascii="Times New Roman;Times;serif" w:hAnsi="Times New Roman;Times;serif"/>
          <w:sz w:val="20"/>
        </w:rPr>
        <w:t xml:space="preserve">, </w:t>
      </w:r>
      <w:r>
        <w:rPr>
          <w:rFonts w:ascii="Times New Roman;Times;serif" w:hAnsi="Times New Roman;Times;serif"/>
          <w:color w:val="222222"/>
          <w:sz w:val="20"/>
          <w:shd w:fill="FFFFFF" w:val="clear"/>
        </w:rPr>
        <w:t xml:space="preserve">for details of the anti-dilution adjustment provision triggered upon the issuance of the January 2024 Notes) </w:t>
      </w:r>
      <w:r>
        <w:rPr>
          <w:rFonts w:ascii="Times New Roman;Times;serif" w:hAnsi="Times New Roman;Times;serif"/>
          <w:sz w:val="20"/>
          <w:shd w:fill="FFFFFF" w:val="clear"/>
        </w:rPr>
        <w:t xml:space="preserve">the issuance of additional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shares thereunder </w:t>
      </w:r>
      <w:r>
        <w:rPr>
          <w:rFonts w:ascii="Times New Roman;Times;serif" w:hAnsi="Times New Roman;Times;serif"/>
          <w:sz w:val="20"/>
        </w:rPr>
        <w:t>will further dilute the percentage ownership interest of all stockholders, will dilute the book value per share of the Company’s common stock and will increase the number of the Company’s outstanding shares, which could depress the market price of the Company’s common stock.</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61" w:name="Item2UnregisteredSalesofEquitySecurities"/>
      <w:bookmarkStart w:id="1762" w:name="_c5a3fc16_95a5_4d8a_93fe_f4c275dd09b1"/>
      <w:bookmarkEnd w:id="1761"/>
      <w:bookmarkEnd w:id="1762"/>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1763" w:name="Item3DefaultsuponSeniorSecurities_104256"/>
      <w:bookmarkStart w:id="1764" w:name="_2385cc6c_71dd_401a_a620_8d10a4f4d497"/>
      <w:bookmarkEnd w:id="1763"/>
      <w:bookmarkEnd w:id="1764"/>
      <w:r>
        <w:rPr>
          <w:rFonts w:ascii="Times New Roman;Times;serif" w:hAnsi="Times New Roman;Times;serif"/>
          <w:b/>
          <w:sz w:val="20"/>
        </w:rPr>
        <w:t>Item 3. Defaults upon Senior Securities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not subject to a material default in the payment of principal, interest, a sinking or purchase fund installment in connection with its indebtedness or the indebtedness of any of its significant subsidiaries exceeding five percent of the total of their consolidated assets.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17, 2024, the Agent and Lenders under the Credit Agreement asserted the following events of default: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replace its CEO with a chief restructuring officer or person with significant restructuring, turnaround and insolvency experience reasonably acceptable to the Agent within the time period required following the resignation of the prior CEO.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Company’s failure to deliver certain financial reports to the Agent on a weekly basis as required by the Credit Agreement.</w:t>
            </w:r>
            <w:hyperlink w:anchor="footnote-2">
              <w:r>
                <w:rPr>
                  <w:rStyle w:val="InternetLink"/>
                  <w:rFonts w:ascii="Times New Roman;Times;serif" w:hAnsi="Times New Roman;Times;serif"/>
                  <w:b w:val="false"/>
                  <w:i w:val="false"/>
                  <w:caps w:val="false"/>
                  <w:smallCaps w:val="false"/>
                  <w:sz w:val="15"/>
                </w:rPr>
                <w:t>1</w:t>
              </w:r>
            </w:hyperlink>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These events of default are in addition to those disclosed by the Company in its Current Report on Form 8-K filed on January 22, 2024 that were the subject of the Forbearance Agreement. Please see Item 5, </w:t>
      </w:r>
      <w:r>
        <w:rPr>
          <w:rFonts w:ascii="Times New Roman;Times;serif" w:hAnsi="Times New Roman;Times;serif"/>
          <w:i/>
          <w:sz w:val="20"/>
        </w:rPr>
        <w:t>Other Information</w:t>
      </w:r>
      <w:r>
        <w:rPr>
          <w:rFonts w:ascii="Times New Roman;Times;serif" w:hAnsi="Times New Roman;Times;serif"/>
          <w:sz w:val="20"/>
        </w:rPr>
        <w:t xml:space="preserve"> for information regarding the termination of the Forbearance Agreement.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765" w:name="Item4MineSafetyDisclosures_817186"/>
      <w:bookmarkStart w:id="1766" w:name="_9efdf4b7_c5b5_4c2e_bbd3_26fce35188d2"/>
      <w:bookmarkEnd w:id="1765"/>
      <w:bookmarkEnd w:id="1766"/>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767" w:name="Item5OtherInformation_439122"/>
      <w:bookmarkStart w:id="1768" w:name="_9c04ccf8_392f_4485_81de_f3bfff32bd43"/>
      <w:bookmarkEnd w:id="1767"/>
      <w:bookmarkEnd w:id="1768"/>
      <w:r>
        <w:rPr>
          <w:rFonts w:ascii="Times New Roman;Times;serif" w:hAnsi="Times New Roman;Times;serif"/>
          <w:b/>
          <w:sz w:val="20"/>
        </w:rPr>
        <w:t>Item 5. Other Information.</w:t>
      </w:r>
    </w:p>
    <w:tbl>
      <w:tblPr>
        <w:tblW w:w="9246" w:type="dxa"/>
        <w:jc w:val="left"/>
        <w:tblInd w:w="0" w:type="dxa"/>
        <w:shd w:fill="FFFFFF" w:val="clear"/>
        <w:tblLayout w:type="fixed"/>
        <w:tblCellMar>
          <w:top w:w="28" w:type="dxa"/>
          <w:left w:w="28" w:type="dxa"/>
          <w:bottom w:w="28" w:type="dxa"/>
          <w:right w:w="28" w:type="dxa"/>
        </w:tblCellMar>
      </w:tblPr>
      <w:tblGrid>
        <w:gridCol w:w="124"/>
        <w:gridCol w:w="316"/>
        <w:gridCol w:w="88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reporting the following information in lieu of reporting on a Current Report on Form 8-K. </w:t>
            </w:r>
          </w:p>
        </w:tc>
      </w:tr>
    </w:tbl>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Disclosure Pursuant to Item 1.02 of Form 8-K.Termination of a Material Definitive Agreement.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Termination of Forbearance Agreement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17, 2024, the Company received notice from the Agent and the Lenders of two events of default under the Credit Agreement: (1) that the Company did not replace its CEO with a chief restructuring officer or person with significant restructuring, turnaround and insolvency experience reasonably acceptable to the Agent within the time period required following the resignation of the prior CEO; and (2) that the Company failed to deliver certain financial reports to the Agent on a weekly basis as required by the Credit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the Agent and the Lenders notified the Company that the Forbearance Termination Date (as defined in the Forbearance Agreement) had occurred with the result that the Agent and Lenders are no longer required to forbear from exercising rights and remedies against the Company under the Credit Agreement as a result of these defaults or other existing and anticipated defaults that were the subject of the Forbearance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contests the termination of the Forbearance Agreement on the basis stated by the Agent and the Lenders. </w:t>
      </w:r>
    </w:p>
    <w:p>
      <w:pPr>
        <w:pStyle w:val="TextBody"/>
        <w:bidi w:val="0"/>
        <w:spacing w:before="0" w:after="0"/>
        <w:ind w:left="0" w:right="0" w:hanging="0"/>
        <w:jc w:val="left"/>
        <w:rPr/>
      </w:pPr>
      <w:bookmarkStart w:id="1769" w:name="footnote-2"/>
      <w:bookmarkEnd w:id="1769"/>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Disclosure Pursuant to Item 5.02 of Form 8-K.Departure of Directors or Certain Officers; Election of Directors; Appointment of Certain Officers; Compensatory Arrangements of Certain Officers.</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Resignation of Directors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20, 2024, Sasha Hoffman, a member of our Board and the Compensation Committee of our Board, notified the Company of her intention to resign from the Board and all committees thereof, effective immediately.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Also on February 20, 2024, Ilya Golubovich, a member of our Board and the Audit Committee of our Board, and the chairperson of the Nominating and Corporate Governance Committee of our Board, notified the Company of his intention to resign from the Board and all committees thereof, effective immediately.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i/>
          <w:sz w:val="20"/>
        </w:rPr>
        <w:t>Appointment of Interim Chief Executive Officer</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18, 2024, the Board appointed Guillaume Lefevre as Interim CEO of the Company to fill the previously disclosed vacancy of such position. In his capacity as Interim CEO, Mr. Lefevre will serve as the principal executive officer of the Company.</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Mr. Lefevre, 33, is a Senior Managing Director and Head of New York Office at Teneo Capital LLC (“Teneo”), a global advisory firm, a position he has held since January 2023. Mr. Lefevre leads Teneo’s work in Travel, Leisure, and Hospitality, as well as providing broader advisory on economics, demand, and consumer behavior to a wide range of industries and public bodies. From July 2017 through January 2023, Mr. Lefevre held other positions at Teneo. He holds an MA (hons) in Philosophy, Psychology, and Physiology from the University of Oxford.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Mr. Lefevre has been, and will remain, employed by Teneo and will be providing his services pursuant to an Engagement Letter between the Company and Teneo (the “Engagement Letter”). The Company will pay a fixed monthly fee to Teneo of $85,000 per calendar month of service rendered by Mr. Lefevre, which monthly fee shall increase to $165,000 per calendar month if, by June 30, 2024, the Company has not filed for Chapter 11 bankruptcy. The Company shall also reimburse Teneo for its reasonable out-of-pocket expenses. Pursuant to the Engagement Letter, in addition to Mr. Lefevre being covered by the Company’s standard directors’ and officers’ insurance (“D&amp;O Insurance”) with at least $20 million in coverage, the Company is required to procure and maintain a dedicated D&amp;O Insurance policy providing extended run-off coverage of an aggregate coverage amount of $10 million for six years after the term of the engagement letter 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than as disclosed above, there are no other arrangements or understandings between Mr. Lefevre and any other persons in connection with his appointment. There are no family relationships between Mr. Lefevre and any director or executive officer of the Company, and Mr. Lefevre is not a party to any transaction required to be disclosed pursuant to Item 404(a) of Regulation S-K under the Securities Act.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copy of the Engagement Letter is attached as Exhibit 10.23 to this Quarterly Report on Form 10-Q.</w:t>
      </w:r>
    </w:p>
    <w:p>
      <w:pPr>
        <w:pStyle w:val="TextBody"/>
        <w:shd w:fill="FFFFFF" w:val="clear"/>
        <w:bidi w:val="0"/>
        <w:spacing w:before="0" w:after="0"/>
        <w:ind w:left="0" w:right="0" w:firstLine="50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i/>
          <w:sz w:val="20"/>
        </w:rPr>
        <w:t>None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500"/>
        <w:jc w:val="left"/>
        <w:rPr>
          <w:rFonts w:ascii="Times New Roman;Times;serif" w:hAnsi="Times New Roman;Times;serif"/>
          <w:sz w:val="20"/>
        </w:rPr>
      </w:pPr>
      <w:r>
        <w:rPr>
          <w:rFonts w:ascii="Times New Roman;Times;serif" w:hAnsi="Times New Roman;Times;serif"/>
          <w:sz w:val="20"/>
        </w:rPr>
        <w:t>(c) During the fiscal quarter ended </w:t>
      </w:r>
      <w:r>
        <w:rPr>
          <w:rFonts w:ascii="Times New Roman;Times;serif" w:hAnsi="Times New Roman;Times;serif"/>
          <w:i/>
          <w:sz w:val="20"/>
        </w:rPr>
        <w:t>December 31, 2023, </w:t>
      </w:r>
      <w:r>
        <w:rPr>
          <w:rFonts w:ascii="Times New Roman;Times;serif" w:hAnsi="Times New Roman;Times;serif"/>
          <w:sz w:val="20"/>
        </w:rPr>
        <w:t>none of our directors or officers adopted, modified or terminated a “Rule </w:t>
      </w:r>
      <w:r>
        <w:rPr>
          <w:rFonts w:ascii="Times New Roman;Times;serif" w:hAnsi="Times New Roman;Times;serif"/>
          <w:i/>
          <w:sz w:val="20"/>
        </w:rPr>
        <w:t>10b5</w:t>
      </w:r>
      <w:r>
        <w:rPr>
          <w:rFonts w:ascii="Times New Roman;Times;serif" w:hAnsi="Times New Roman;Times;serif"/>
          <w:sz w:val="20"/>
        </w:rPr>
        <w:t>-</w:t>
      </w:r>
      <w:r>
        <w:rPr>
          <w:rFonts w:ascii="Times New Roman;Times;serif" w:hAnsi="Times New Roman;Times;serif"/>
          <w:i/>
          <w:sz w:val="20"/>
        </w:rPr>
        <w:t>1</w:t>
      </w:r>
      <w:r>
        <w:rPr>
          <w:rFonts w:ascii="Times New Roman;Times;serif" w:hAnsi="Times New Roman;Times;serif"/>
          <w:sz w:val="20"/>
        </w:rPr>
        <w:t> trading arrangement” or “non-Rule </w:t>
      </w:r>
      <w:r>
        <w:rPr>
          <w:rFonts w:ascii="Times New Roman;Times;serif" w:hAnsi="Times New Roman;Times;serif"/>
          <w:i/>
          <w:sz w:val="20"/>
        </w:rPr>
        <w:t>10b5</w:t>
      </w:r>
      <w:r>
        <w:rPr>
          <w:rFonts w:ascii="Times New Roman;Times;serif" w:hAnsi="Times New Roman;Times;serif"/>
          <w:sz w:val="20"/>
        </w:rPr>
        <w:t>-</w:t>
      </w:r>
      <w:r>
        <w:rPr>
          <w:rFonts w:ascii="Times New Roman;Times;serif" w:hAnsi="Times New Roman;Times;serif"/>
          <w:i/>
          <w:sz w:val="20"/>
        </w:rPr>
        <w:t>1</w:t>
      </w:r>
      <w:r>
        <w:rPr>
          <w:rFonts w:ascii="Times New Roman;Times;serif" w:hAnsi="Times New Roman;Times;serif"/>
          <w:sz w:val="20"/>
        </w:rPr>
        <w:t> trading arrangement,” as each term is defined in Item </w:t>
      </w:r>
      <w:r>
        <w:rPr>
          <w:rFonts w:ascii="Times New Roman;Times;serif" w:hAnsi="Times New Roman;Times;serif"/>
          <w:i/>
          <w:sz w:val="20"/>
        </w:rPr>
        <w:t>408</w:t>
      </w:r>
      <w:r>
        <w:rPr>
          <w:rFonts w:ascii="Times New Roman;Times;serif" w:hAnsi="Times New Roman;Times;serif"/>
          <w:sz w:val="20"/>
        </w:rPr>
        <w:t>(a)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70" w:name="Item6Exhibits_354793"/>
      <w:bookmarkStart w:id="1771" w:name="_ca7e9eee_5d7e_4f33_9104_cd3dd2493032"/>
      <w:bookmarkEnd w:id="1770"/>
      <w:bookmarkEnd w:id="1771"/>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exhibits are filed or furnished as an exhibit to this Quarterly Report on Form 10-Q.</w:t>
      </w:r>
    </w:p>
    <w:tbl>
      <w:tblPr>
        <w:tblW w:w="10205" w:type="dxa"/>
        <w:jc w:val="left"/>
        <w:tblInd w:w="0" w:type="dxa"/>
        <w:tblLayout w:type="fixed"/>
        <w:tblCellMar>
          <w:top w:w="0" w:type="dxa"/>
          <w:left w:w="0" w:type="dxa"/>
          <w:bottom w:w="0" w:type="dxa"/>
          <w:right w:w="0" w:type="dxa"/>
        </w:tblCellMar>
      </w:tblPr>
      <w:tblGrid>
        <w:gridCol w:w="881"/>
        <w:gridCol w:w="326"/>
        <w:gridCol w:w="8998"/>
      </w:tblGrid>
      <w:tr>
        <w:trPr/>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559435" cy="175260"/>
                      <wp:effectExtent l="0" t="0" r="0" b="0"/>
                      <wp:wrapNone/>
                      <wp:docPr id="626" name="Frame62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5713730" cy="175260"/>
                      <wp:effectExtent l="0" t="0" r="0" b="0"/>
                      <wp:wrapNone/>
                      <wp:docPr id="627" name="Frame627"/>
                      <a:graphic xmlns:a="http://schemas.openxmlformats.org/drawingml/2006/main">
                        <a:graphicData uri="http://schemas.microsoft.com/office/word/2010/wordprocessingShape">
                          <wps:wsp>
                            <wps:cNvSpPr txBox="1"/>
                            <wps:spPr>
                              <a:xfrm>
                                <a:off x="0" y="0"/>
                                <a:ext cx="571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899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Merger Agreement, dated as of November 10, 2021, by and among VTAQ, Ventoux Merger Sub I, Ventoux Merger Sub II and Legacy Presto (incorporated by reference to Exhibit 2.1 to the Current Report on Form 8-K filed on November 10, 2021).</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Merger Agreement, dated as of April 1, 2022, by and among VTAQ, Ventoux Merger Sub I, Ventoux Merger Sub II and Presto (incorporated by reference to Exhibit 2.1 to the Current Report on Form 8-K filed on April 4, 2022).</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No. 2 to Merger Agreement, dated as of July 25, 2022, by and among VTAQ, Ventoux Merger Sub I, Ventoux Merger Sub II and Presto (incorporated by reference to Exhibit 2.1 to the Current Report on Form 8-K filed on July 26, 2022).</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Amended &amp; Restated Certificate of Incorporation (incorporated by reference to Exhibit 3.1 to the Current Report on Form 8-K filed on September 27, 2022).</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of Presto Automation Inc. (incorporated by reference to Exhibit 3.2 to the Current Report on Form 8-K filed on September 27, 2022).</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Securities Purchase Agreement, dated as of October 10, 2023, between Presto Automation Inc. and Presto CA LLC (incorporated by reference to Exhibit 10.1 to the Current Report on Form 8-K filed on October 11,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Third Amendment to Credit Agreement, dated as of October 10, 2023, by and among Presto Automation LLC, Presto Automation Inc., the lenders party thereto and Metropolitan Partners Group Administration, LLC (incorporated by reference to Exhibit 10.2 to the Current Report on Form 8-K filed on October 11, 2023).</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Third Amended and Restated Fee Letter, dated October 10, 2023 by and Presto Automation LLC, Presto Automation Inc. and Metropolitan Partners Group Administration LLC (incorporated by reference to Exhibit 10.3 to the Current Report on Form 8-K filed on October 11,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Warrant to Purchase Common Stock (Conversion Warrant) by and between Presto Automation Inc. and Metropolitan Levered Partners Fund VII, LP (incorporated by reference to Exhibit 10.4 to the Current Report on Form 8-K filed on October 11, 2023).</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Warrant to Purchase Common Stock (Conversion Warrant) by and between Presto Automation Inc. and Metropolitan Partners Fund VII, LP (incorporated by reference to Exhibit 10.5 to the Current Report on Form 8-K filed on October 11,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Warrant to Purchase Common Stock (Conversion Warrant) by and between Presto Automation Inc. and Metropolitan Offshore Partners Fund VII, LP (incorporated by reference to Exhibit 10.6 to the Current Report on Form 8-K filed on October 11, 2023).</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Warrant to Purchase Common Stock (Conversion Warrant) by and between Presto Automation Inc. and CEOF Holdings, LP (incorporated by reference to Exhibit 10.7 to the Current Report on Form 8-K filed on October 11,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Warrant to Purchase Common Stock, dated October 10, 2023, by and between Presto Automation Inc. and Metropolitan Levered Partners Fund VII, LP (incorporated by reference to Exhibit 10.8 to the Current Report on Form 8-K filed on October 11, 2023).</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Warrant to Purchase Common Stock, dated October 10, 2023, by and between Presto Automation Inc. and Metropolitan Partners Fund VII, LP (incorporated by reference to Exhibit 10.9 to the Current Report on Form 8-K filed on October 11,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Warrant to Purchase Common Stock, dated October 10, 2023, by and between Presto Automation Inc. and Metropolitan Offshore Partners Fund VII, LP (incorporated by reference to Exhibit 10.10 to the Current Report on Form 8-K filed on October 11, 2023).</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Warrant to Purchase Common Stock, dated October 10, 2023, by and between Presto Automation Inc. and CEOF Holdings, LP (incorporated by reference to Exhibit 10.11 to the Current Report on Form 8-K filed on October 11,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Engagement Letter, dated as of October 6, 2023, between Presto Automation Inc. and Teneo Capital LLC (incorporated by reference to Exhibit 10.12 to the Current Report on Form 8-K filed on October 11, 2023).</w:t>
              </w:r>
            </w:hyperlink>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Common Stock Purchase Agreement (incorporated by reference to Exhibit 10.1 to the Current Report on Form 8-K filed on November 21, 2023).</w:t>
              </w:r>
            </w:hyperlink>
          </w:p>
        </w:tc>
      </w:tr>
      <w:tr>
        <w:trPr/>
        <w:tc>
          <w:tcPr>
            <w:tcW w:w="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32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Placement Agency Agreement, dated as of November 17, 2023, among the Company and the Placement Agents (incorporated by reference to Exhibit 10.2 to the Current Report on Form 8-K filed on November 21,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3"/>
        <w:gridCol w:w="109"/>
        <w:gridCol w:w="9393"/>
      </w:tblGrid>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Amendment No. 1 to Governance Agreement, dated as of November 16, 2023, among the Company and the other parties thereto (incorporated by reference to Exhibit 10.3 to the Current Report on Form 8-K filed on November 21, 2023).</w:t>
              </w:r>
            </w:hyperlink>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Amended &amp; Restated Governance Agreement, dated as of November 16, 2023, among the Company and the other parties thereto (incorporated by reference to Exhibit 10.4 to the Current Report on Form 8-K filed on November 21, 2023).</w:t>
              </w:r>
            </w:hyperlink>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Stockholders Agreement, dated as of November 16, 2023, among the Company and the other parties thereto (incorporated by reference to Exhibit 10.5 to the Current Report on Form 8-K filed on November 21, 2023).</w:t>
              </w:r>
            </w:hyperlink>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Amended &amp; Restated Warrant to Purchase Common Stock by and between Presto Automation Inc. and Metropolitan Levered Partners Fund VII, LP</w:t>
              </w:r>
            </w:hyperlink>
            <w:hyperlink r:id="rId25">
              <w:r>
                <w:rPr>
                  <w:rStyle w:val="InternetLink"/>
                  <w:rFonts w:ascii="Times New Roman;Times;serif" w:hAnsi="Times New Roman;Times;serif"/>
                  <w:caps w:val="false"/>
                  <w:smallCaps w:val="false"/>
                  <w:sz w:val="20"/>
                </w:rPr>
                <w:t xml:space="preserve"> </w:t>
              </w:r>
            </w:hyperlink>
            <w:hyperlink r:id="rId26">
              <w:r>
                <w:rPr>
                  <w:rStyle w:val="InternetLink"/>
                  <w:rFonts w:ascii="Times New Roman;Times;serif" w:hAnsi="Times New Roman;Times;serif"/>
                  <w:b w:val="false"/>
                  <w:i w:val="false"/>
                  <w:caps w:val="false"/>
                  <w:smallCaps w:val="false"/>
                  <w:sz w:val="20"/>
                </w:rPr>
                <w:t>(incorporated by reference to Exhibit 10.6 to the Current Report on Form 8-K filed on November 21, 2023).</w:t>
              </w:r>
            </w:hyperlink>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Amended &amp; Restated Warrant to Purchase Common Stock by and between Presto Automation Inc. and Metropolitan Partners Fund VII, LP</w:t>
              </w:r>
            </w:hyperlink>
            <w:hyperlink r:id="rId28">
              <w:r>
                <w:rPr>
                  <w:rStyle w:val="InternetLink"/>
                  <w:rFonts w:ascii="Times New Roman;Times;serif" w:hAnsi="Times New Roman;Times;serif"/>
                  <w:caps w:val="false"/>
                  <w:smallCaps w:val="false"/>
                  <w:sz w:val="20"/>
                </w:rPr>
                <w:t xml:space="preserve"> </w:t>
              </w:r>
            </w:hyperlink>
            <w:hyperlink r:id="rId29">
              <w:r>
                <w:rPr>
                  <w:rStyle w:val="InternetLink"/>
                  <w:rFonts w:ascii="Times New Roman;Times;serif" w:hAnsi="Times New Roman;Times;serif"/>
                  <w:b w:val="false"/>
                  <w:i w:val="false"/>
                  <w:caps w:val="false"/>
                  <w:smallCaps w:val="false"/>
                  <w:sz w:val="20"/>
                </w:rPr>
                <w:t>(incorporated by reference to Exhibit 10.7 to the Current Report on Form 8-K filed on November 21, 2023).</w:t>
              </w:r>
            </w:hyperlink>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Amended &amp; Restated Warrant to Purchase Common Stock by and between Presto Automation Inc. and Metropolitan Offshore Partners Fund VII, LP</w:t>
              </w:r>
            </w:hyperlink>
            <w:hyperlink r:id="rId31">
              <w:r>
                <w:rPr>
                  <w:rStyle w:val="InternetLink"/>
                  <w:rFonts w:ascii="Times New Roman;Times;serif" w:hAnsi="Times New Roman;Times;serif"/>
                  <w:caps w:val="false"/>
                  <w:smallCaps w:val="false"/>
                  <w:sz w:val="20"/>
                </w:rPr>
                <w:t xml:space="preserve"> </w:t>
              </w:r>
            </w:hyperlink>
            <w:hyperlink r:id="rId32">
              <w:r>
                <w:rPr>
                  <w:rStyle w:val="InternetLink"/>
                  <w:rFonts w:ascii="Times New Roman;Times;serif" w:hAnsi="Times New Roman;Times;serif"/>
                  <w:b w:val="false"/>
                  <w:i w:val="false"/>
                  <w:caps w:val="false"/>
                  <w:smallCaps w:val="false"/>
                  <w:sz w:val="20"/>
                </w:rPr>
                <w:t>(incorporated by reference to Exhibit 10.8 to the Current Report on Form 8-K filed on November 21, 2023).</w:t>
              </w:r>
            </w:hyperlink>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Amended &amp; Restated Warrant to Purchase Common Stock by and between Presto Automation Inc. and CEOF Holdings, LP</w:t>
              </w:r>
            </w:hyperlink>
            <w:hyperlink r:id="rId34">
              <w:r>
                <w:rPr>
                  <w:rStyle w:val="InternetLink"/>
                  <w:rFonts w:ascii="Times New Roman;Times;serif" w:hAnsi="Times New Roman;Times;serif"/>
                  <w:caps w:val="false"/>
                  <w:smallCaps w:val="false"/>
                  <w:sz w:val="20"/>
                </w:rPr>
                <w:t xml:space="preserve"> </w:t>
              </w:r>
            </w:hyperlink>
            <w:hyperlink r:id="rId35">
              <w:r>
                <w:rPr>
                  <w:rStyle w:val="InternetLink"/>
                  <w:rFonts w:ascii="Times New Roman;Times;serif" w:hAnsi="Times New Roman;Times;serif"/>
                  <w:b w:val="false"/>
                  <w:i w:val="false"/>
                  <w:caps w:val="false"/>
                  <w:smallCaps w:val="false"/>
                  <w:sz w:val="20"/>
                </w:rPr>
                <w:t>(incorporated by reference to Exhibit 10.9 to the Current Report on Form 8-K filed on November 21, 2023).</w:t>
              </w:r>
            </w:hyperlink>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Amended and Restated Presto Automation Inc. 2022 Incentive Award Plan (incorporated by reference to Exhibit 10.1 to the Current Report on Form 8 K filed on December 12, 2023).</w:t>
              </w:r>
            </w:hyperlink>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w:anchor="prst-20231231xex10d23.htm">
              <w:r>
                <w:rPr>
                  <w:rStyle w:val="InternetLink"/>
                  <w:rFonts w:ascii="Times New Roman;Times;serif" w:hAnsi="Times New Roman;Times;serif"/>
                  <w:b w:val="false"/>
                  <w:i w:val="false"/>
                  <w:caps w:val="false"/>
                  <w:smallCaps w:val="false"/>
                  <w:sz w:val="20"/>
                </w:rPr>
                <w:t>Engagement Letter, dated February 20, 2024, between Presto Automation Inc. and Teneo Capital LLC.</w:t>
              </w:r>
            </w:hyperlink>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pPr>
            <w:hyperlink w:anchor="prst-20231231xex31d1.htm">
              <w:r>
                <w:rPr>
                  <w:rStyle w:val="InternetLink"/>
                  <w:rFonts w:ascii="Times New Roman;Times;serif" w:hAnsi="Times New Roman;Times;serif"/>
                  <w:b w:val="false"/>
                  <w:i w:val="false"/>
                  <w:caps w:val="false"/>
                  <w:smallCaps w:val="false"/>
                  <w:sz w:val="20"/>
                </w:rPr>
                <w:t>Certification of Chief Executive Officer (Principal Executive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w:anchor="prst-20231231xex31d2.htm">
              <w:r>
                <w:rPr>
                  <w:rStyle w:val="InternetLink"/>
                  <w:rFonts w:ascii="Times New Roman;Times;serif" w:hAnsi="Times New Roman;Times;serif"/>
                  <w:b w:val="false"/>
                  <w:i w:val="false"/>
                  <w:caps w:val="false"/>
                  <w:smallCaps w:val="false"/>
                  <w:sz w:val="20"/>
                </w:rPr>
                <w:t>Certification of Chief Financial Officer (Principal Financial and Accounting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pPr>
            <w:hyperlink w:anchor="prst-20231231xex32d1.htm">
              <w:r>
                <w:rPr>
                  <w:rStyle w:val="InternetLink"/>
                  <w:rFonts w:ascii="Times New Roman;Times;serif" w:hAnsi="Times New Roman;Times;serif"/>
                  <w:b w:val="false"/>
                  <w:i w:val="false"/>
                  <w:caps w:val="false"/>
                  <w:smallCaps w:val="false"/>
                  <w:sz w:val="20"/>
                </w:rPr>
                <w:t>Certification of Chief Executive Officer (Principal Executive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pPr>
            <w:hyperlink w:anchor="prst-20231231xex32d2.htm">
              <w:r>
                <w:rPr>
                  <w:rStyle w:val="InternetLink"/>
                  <w:rFonts w:ascii="Times New Roman;Times;serif" w:hAnsi="Times New Roman;Times;serif"/>
                  <w:b w:val="false"/>
                  <w:i w:val="false"/>
                  <w:caps w:val="false"/>
                  <w:smallCaps w:val="false"/>
                  <w:sz w:val="20"/>
                </w:rPr>
                <w:t>Certification of Chief Financial Officer (Principal Financial and Accounting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9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pPr>
            <w:r>
              <w:rPr/>
              <w:t>†</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601(a)(5). The Company agrees to furnish a copy of all omitted exhibits and schedules to the SEC upon its request.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Denotes management contract of compensatory plan or arrangement.</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72" w:name="SIGNATURE_351920"/>
      <w:bookmarkStart w:id="1773" w:name="_954e87aa_d86a_42e0_aa39_c6ee1d88de99"/>
      <w:bookmarkEnd w:id="1772"/>
      <w:bookmarkEnd w:id="1773"/>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523" w:type="dxa"/>
        <w:jc w:val="left"/>
        <w:tblInd w:w="0" w:type="dxa"/>
        <w:tblLayout w:type="fixed"/>
        <w:tblCellMar>
          <w:top w:w="0" w:type="dxa"/>
          <w:left w:w="0" w:type="dxa"/>
          <w:bottom w:w="0" w:type="dxa"/>
          <w:right w:w="0" w:type="dxa"/>
        </w:tblCellMar>
      </w:tblPr>
      <w:tblGrid>
        <w:gridCol w:w="2191"/>
        <w:gridCol w:w="631"/>
        <w:gridCol w:w="270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91285" cy="175260"/>
                      <wp:effectExtent l="0" t="0" r="0" b="0"/>
                      <wp:wrapNone/>
                      <wp:docPr id="628" name="Frame628"/>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00685" cy="175260"/>
                      <wp:effectExtent l="0" t="0" r="0" b="0"/>
                      <wp:wrapNone/>
                      <wp:docPr id="629" name="Frame6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715135" cy="175260"/>
                      <wp:effectExtent l="0" t="0" r="0" b="0"/>
                      <wp:wrapNone/>
                      <wp:docPr id="630" name="Frame63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20, 2024</w:t>
            </w:r>
          </w:p>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PRESTO AUTOMATION INC.</w:t>
            </w:r>
          </w:p>
        </w:tc>
      </w:tr>
      <w:tr>
        <w:trPr/>
        <w:tc>
          <w:tcPr>
            <w:tcW w:w="2191" w:type="dxa"/>
            <w:tcBorders/>
            <w:vAlign w:val="center"/>
          </w:tcPr>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Guillaume Lefevre</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Guillaume Lefevre</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1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0"/>
        <w:ind w:left="0" w:right="0" w:hanging="0"/>
        <w:jc w:val="left"/>
        <w:rPr/>
      </w:pPr>
      <w:bookmarkStart w:id="1774" w:name="prst-20231231xex10d23.htm"/>
      <w:bookmarkStart w:id="1775" w:name="ksprst20231231xex10d23"/>
      <w:bookmarkEnd w:id="1774"/>
      <w:bookmarkEnd w:id="1775"/>
      <w:r>
        <w:rPr/>
        <w:drawing>
          <wp:inline distT="0" distB="0" distL="0" distR="0">
            <wp:extent cx="1370965" cy="280035"/>
            <wp:effectExtent l="0" t="0" r="0" b="0"/>
            <wp:docPr id="6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1" descr=""/>
                    <pic:cNvPicPr>
                      <a:picLocks noChangeAspect="1" noChangeArrowheads="1"/>
                    </pic:cNvPicPr>
                  </pic:nvPicPr>
                  <pic:blipFill>
                    <a:blip r:embed="rId37"/>
                    <a:stretch>
                      <a:fillRect/>
                    </a:stretch>
                  </pic:blipFill>
                  <pic:spPr bwMode="auto">
                    <a:xfrm>
                      <a:off x="0" y="0"/>
                      <a:ext cx="1370965" cy="280035"/>
                    </a:xfrm>
                    <a:prstGeom prst="rect">
                      <a:avLst/>
                    </a:prstGeom>
                  </pic:spPr>
                </pic:pic>
              </a:graphicData>
            </a:graphic>
          </wp:inline>
        </w:drawing>
      </w:r>
      <w:r>
        <w:br w:type="page"/>
      </w:r>
    </w:p>
    <w:p>
      <w:pPr>
        <w:pStyle w:val="TextBody"/>
        <w:bidi w:val="0"/>
        <w:spacing w:before="0" w:after="112"/>
        <w:ind w:left="0" w:right="0" w:hanging="0"/>
        <w:jc w:val="right"/>
        <w:rPr>
          <w:rFonts w:ascii="Arial;Helvetica;sans-serif" w:hAnsi="Arial;Helvetica;sans-serif"/>
          <w:b/>
          <w:sz w:val="18"/>
        </w:rPr>
      </w:pPr>
      <w:r>
        <w:rPr>
          <w:rFonts w:ascii="Arial;Helvetica;sans-serif" w:hAnsi="Arial;Helvetica;sans-serif"/>
          <w:b/>
          <w:sz w:val="18"/>
        </w:rPr>
        <w:t>Exhibit 10.23</w:t>
      </w:r>
    </w:p>
    <w:p>
      <w:pPr>
        <w:pStyle w:val="TextBody"/>
        <w:bidi w:val="0"/>
        <w:spacing w:before="0" w:after="0"/>
        <w:ind w:left="0" w:right="0" w:hanging="0"/>
        <w:jc w:val="left"/>
        <w:rPr/>
      </w:pPr>
      <w:r>
        <w:rPr/>
        <w:t>​</w:t>
      </w:r>
    </w:p>
    <w:p>
      <w:pPr>
        <w:pStyle w:val="TextBody"/>
        <w:bidi w:val="0"/>
        <w:spacing w:before="0" w:after="0"/>
        <w:ind w:left="125" w:right="0" w:hanging="0"/>
        <w:jc w:val="left"/>
        <w:rPr>
          <w:rFonts w:ascii="Arial;Helvetica;sans-serif" w:hAnsi="Arial;Helvetica;sans-serif"/>
          <w:sz w:val="18"/>
        </w:rPr>
      </w:pPr>
      <w:r>
        <w:rPr>
          <w:rFonts w:ascii="Arial;Helvetica;sans-serif" w:hAnsi="Arial;Helvetica;sans-serif"/>
          <w:sz w:val="18"/>
        </w:rPr>
        <w:t>280 Park Avenue, 4th floor</w:t>
      </w:r>
    </w:p>
    <w:p>
      <w:pPr>
        <w:pStyle w:val="TextBody"/>
        <w:bidi w:val="0"/>
        <w:spacing w:before="0" w:after="0"/>
        <w:ind w:left="125" w:right="0" w:hanging="0"/>
        <w:jc w:val="left"/>
        <w:rPr>
          <w:rFonts w:ascii="Arial;Helvetica;sans-serif" w:hAnsi="Arial;Helvetica;sans-serif"/>
          <w:sz w:val="18"/>
        </w:rPr>
      </w:pPr>
      <w:r>
        <w:rPr>
          <w:rFonts w:ascii="Arial;Helvetica;sans-serif" w:hAnsi="Arial;Helvetica;sans-serif"/>
          <w:sz w:val="18"/>
        </w:rPr>
        <w:t>New York City, NY 10017</w:t>
      </w:r>
    </w:p>
    <w:p>
      <w:pPr>
        <w:pStyle w:val="TextBody"/>
        <w:bidi w:val="0"/>
        <w:spacing w:before="0" w:after="0"/>
        <w:ind w:left="125" w:right="0" w:hanging="0"/>
        <w:jc w:val="left"/>
        <w:rPr>
          <w:rFonts w:ascii="Arial;Helvetica;sans-serif" w:hAnsi="Arial;Helvetica;sans-serif"/>
          <w:sz w:val="18"/>
        </w:rPr>
      </w:pPr>
      <w:r>
        <w:rPr>
          <w:rFonts w:ascii="Arial;Helvetica;sans-serif" w:hAnsi="Arial;Helvetica;sans-serif"/>
          <w:sz w:val="18"/>
        </w:rPr>
        <w:t>Office: +1 (212) 886 1600</w:t>
      </w:r>
    </w:p>
    <w:p>
      <w:pPr>
        <w:pStyle w:val="TextBody"/>
        <w:bidi w:val="0"/>
        <w:spacing w:before="0" w:after="0"/>
        <w:ind w:left="125" w:right="0" w:hanging="0"/>
        <w:jc w:val="left"/>
        <w:rPr>
          <w:rFonts w:ascii="Arial;Helvetica;sans-serif" w:hAnsi="Arial;Helvetica;sans-serif"/>
          <w:sz w:val="18"/>
        </w:rPr>
      </w:pPr>
      <w:r>
        <w:rPr>
          <w:rFonts w:ascii="Arial;Helvetica;sans-serif" w:hAnsi="Arial;Helvetica;sans-serif"/>
          <w:sz w:val="18"/>
        </w:rPr>
        <w:t>teneo.com</w:t>
      </w:r>
    </w:p>
    <w:p>
      <w:pPr>
        <w:pStyle w:val="TextBody"/>
        <w:bidi w:val="0"/>
        <w:spacing w:before="0" w:after="0"/>
        <w:ind w:left="125" w:right="0" w:hanging="0"/>
        <w:jc w:val="left"/>
        <w:rPr/>
      </w:pPr>
      <w:r>
        <w:rPr/>
        <w:t>​</w:t>
      </w:r>
    </w:p>
    <w:p>
      <w:pPr>
        <w:pStyle w:val="TextBody"/>
        <w:bidi w:val="0"/>
        <w:spacing w:before="0" w:after="0"/>
        <w:ind w:left="125" w:right="0" w:hanging="0"/>
        <w:jc w:val="left"/>
        <w:rPr/>
      </w:pPr>
      <w:r>
        <w:rPr/>
        <w:t>​</w:t>
      </w:r>
    </w:p>
    <w:p>
      <w:pPr>
        <w:pStyle w:val="TextBody"/>
        <w:bidi w:val="0"/>
        <w:spacing w:before="0" w:after="0"/>
        <w:ind w:left="125" w:right="0" w:hanging="0"/>
        <w:jc w:val="left"/>
        <w:rPr/>
      </w:pPr>
      <w:r>
        <w:rPr/>
        <w:t>​</w:t>
      </w:r>
    </w:p>
    <w:p>
      <w:pPr>
        <w:pStyle w:val="TextBody"/>
        <w:bidi w:val="0"/>
        <w:spacing w:before="0" w:after="70"/>
        <w:ind w:left="120" w:right="0" w:hanging="0"/>
        <w:jc w:val="left"/>
        <w:rPr>
          <w:rFonts w:ascii="Arial;Helvetica;sans-serif" w:hAnsi="Arial;Helvetica;sans-serif"/>
          <w:b/>
          <w:sz w:val="20"/>
        </w:rPr>
      </w:pPr>
      <w:r>
        <w:rPr>
          <w:rFonts w:ascii="Arial;Helvetica;sans-serif" w:hAnsi="Arial;Helvetica;sans-serif"/>
          <w:b/>
          <w:sz w:val="20"/>
        </w:rPr>
        <w:t>PRESTO AUTOMATION INC.</w:t>
      </w:r>
    </w:p>
    <w:p>
      <w:pPr>
        <w:pStyle w:val="TextBody"/>
        <w:bidi w:val="0"/>
        <w:spacing w:before="0" w:after="0"/>
        <w:ind w:left="120" w:right="0" w:hanging="0"/>
        <w:jc w:val="left"/>
        <w:rPr>
          <w:rFonts w:ascii="Arial;Helvetica;sans-serif" w:hAnsi="Arial;Helvetica;sans-serif"/>
          <w:sz w:val="20"/>
        </w:rPr>
      </w:pPr>
      <w:r>
        <w:rPr>
          <w:rFonts w:ascii="Arial;Helvetica;sans-serif" w:hAnsi="Arial;Helvetica;sans-serif"/>
          <w:sz w:val="20"/>
        </w:rPr>
        <w:t>Krishna Gupta &amp; Board of Directors</w:t>
      </w:r>
    </w:p>
    <w:p>
      <w:pPr>
        <w:pStyle w:val="TextBody"/>
        <w:bidi w:val="0"/>
        <w:spacing w:before="0" w:after="0"/>
        <w:ind w:left="120" w:right="0" w:hanging="0"/>
        <w:jc w:val="left"/>
        <w:rPr>
          <w:rFonts w:ascii="Arial;Helvetica;sans-serif" w:hAnsi="Arial;Helvetica;sans-serif"/>
          <w:sz w:val="20"/>
        </w:rPr>
      </w:pPr>
      <w:r>
        <w:rPr>
          <w:rFonts w:ascii="Arial;Helvetica;sans-serif" w:hAnsi="Arial;Helvetica;sans-serif"/>
          <w:sz w:val="20"/>
        </w:rPr>
        <w:t>985 Industrial Road</w:t>
      </w:r>
    </w:p>
    <w:p>
      <w:pPr>
        <w:pStyle w:val="TextBody"/>
        <w:bidi w:val="0"/>
        <w:spacing w:before="0" w:after="0"/>
        <w:ind w:left="120" w:right="0" w:hanging="0"/>
        <w:jc w:val="left"/>
        <w:rPr>
          <w:rFonts w:ascii="Arial;Helvetica;sans-serif" w:hAnsi="Arial;Helvetica;sans-serif"/>
          <w:sz w:val="20"/>
        </w:rPr>
      </w:pPr>
      <w:r>
        <w:rPr>
          <w:rFonts w:ascii="Arial;Helvetica;sans-serif" w:hAnsi="Arial;Helvetica;sans-serif"/>
          <w:sz w:val="20"/>
        </w:rPr>
        <w:t>San Carlos, CA 94070</w:t>
      </w:r>
    </w:p>
    <w:p>
      <w:pPr>
        <w:pStyle w:val="TextBody"/>
        <w:bidi w:val="0"/>
        <w:spacing w:before="0" w:after="0"/>
        <w:ind w:left="120" w:right="0" w:hanging="0"/>
        <w:jc w:val="left"/>
        <w:rPr>
          <w:rFonts w:ascii="Arial;Helvetica;sans-serif" w:hAnsi="Arial;Helvetica;sans-serif"/>
          <w:sz w:val="20"/>
        </w:rPr>
      </w:pPr>
      <w:r>
        <w:rPr>
          <w:rFonts w:ascii="Arial;Helvetica;sans-serif" w:hAnsi="Arial;Helvetica;sans-serif"/>
          <w:color w:val="276AA4"/>
          <w:sz w:val="20"/>
          <w:u w:val="single"/>
        </w:rPr>
        <w:t>kkg@remusgroup.com</w:t>
      </w:r>
      <w:r>
        <w:rPr>
          <w:rFonts w:ascii="Arial;Helvetica;sans-serif" w:hAnsi="Arial;Helvetica;sans-serif"/>
          <w:sz w:val="20"/>
        </w:rPr>
        <w:t xml:space="preserve"> et al</w:t>
      </w:r>
    </w:p>
    <w:p>
      <w:pPr>
        <w:pStyle w:val="TextBody"/>
        <w:bidi w:val="0"/>
        <w:spacing w:before="0" w:after="0"/>
        <w:ind w:left="120" w:right="0" w:hanging="0"/>
        <w:jc w:val="left"/>
        <w:rPr/>
      </w:pPr>
      <w:r>
        <w:rPr/>
        <w:t>​</w:t>
      </w:r>
    </w:p>
    <w:p>
      <w:pPr>
        <w:pStyle w:val="TextBody"/>
        <w:bidi w:val="0"/>
        <w:spacing w:before="0" w:after="0"/>
        <w:ind w:left="120" w:right="0" w:hanging="0"/>
        <w:jc w:val="left"/>
        <w:rPr/>
      </w:pPr>
      <w:r>
        <w:rPr/>
        <w:t>​</w:t>
      </w:r>
    </w:p>
    <w:p>
      <w:pPr>
        <w:pStyle w:val="TextBody"/>
        <w:bidi w:val="0"/>
        <w:spacing w:before="0" w:after="32"/>
        <w:ind w:left="120" w:right="0" w:hanging="0"/>
        <w:jc w:val="left"/>
        <w:rPr>
          <w:rFonts w:ascii="Arial;Helvetica;sans-serif" w:hAnsi="Arial;Helvetica;sans-serif"/>
          <w:sz w:val="20"/>
        </w:rPr>
      </w:pPr>
      <w:r>
        <w:rPr>
          <w:rFonts w:ascii="Arial;Helvetica;sans-serif" w:hAnsi="Arial;Helvetica;sans-serif"/>
          <w:sz w:val="20"/>
        </w:rPr>
        <w:t>VIA EMAIL TO PRESTO BOARD OF DIRECTORS</w:t>
      </w:r>
    </w:p>
    <w:p>
      <w:pPr>
        <w:pStyle w:val="TextBody"/>
        <w:bidi w:val="0"/>
        <w:spacing w:before="0" w:after="0"/>
        <w:ind w:left="0" w:right="0" w:hanging="0"/>
        <w:jc w:val="left"/>
        <w:rPr/>
      </w:pPr>
      <w:r>
        <w:rPr/>
        <w:t>​</w:t>
      </w:r>
    </w:p>
    <w:p>
      <w:pPr>
        <w:pStyle w:val="TextBody"/>
        <w:bidi w:val="0"/>
        <w:spacing w:before="0" w:after="92"/>
        <w:ind w:left="120" w:right="0" w:hanging="0"/>
        <w:jc w:val="left"/>
        <w:rPr>
          <w:rFonts w:ascii="Arial;Helvetica;sans-serif" w:hAnsi="Arial;Helvetica;sans-serif"/>
          <w:sz w:val="20"/>
        </w:rPr>
      </w:pPr>
      <w:r>
        <w:rPr>
          <w:rFonts w:ascii="Arial;Helvetica;sans-serif" w:hAnsi="Arial;Helvetica;sans-serif"/>
          <w:sz w:val="20"/>
        </w:rPr>
        <w:t>February 19, 2024</w:t>
      </w:r>
    </w:p>
    <w:p>
      <w:pPr>
        <w:pStyle w:val="TextBody"/>
        <w:bidi w:val="0"/>
        <w:spacing w:before="0" w:after="1"/>
        <w:ind w:left="0" w:right="0" w:hanging="0"/>
        <w:jc w:val="left"/>
        <w:rPr/>
      </w:pPr>
      <w:r>
        <w:rPr/>
        <w:t>​</w:t>
      </w:r>
    </w:p>
    <w:p>
      <w:pPr>
        <w:pStyle w:val="TextBody"/>
        <w:bidi w:val="0"/>
        <w:spacing w:before="0" w:after="0"/>
        <w:ind w:left="120" w:right="0" w:hanging="0"/>
        <w:jc w:val="left"/>
        <w:rPr>
          <w:rFonts w:ascii="Arial;Helvetica;sans-serif" w:hAnsi="Arial;Helvetica;sans-serif"/>
          <w:b/>
          <w:sz w:val="20"/>
        </w:rPr>
      </w:pPr>
      <w:r>
        <w:rPr>
          <w:rFonts w:ascii="Arial;Helvetica;sans-serif" w:hAnsi="Arial;Helvetica;sans-serif"/>
          <w:b/>
          <w:sz w:val="20"/>
        </w:rPr>
        <w:t>RE: INTERIM CHIEF EXECUTIVE OFFICER SERVICES RELATING</w:t>
        <w:br/>
        <w:t>TO PRESTO AUTOMATION INC.</w:t>
      </w:r>
    </w:p>
    <w:p>
      <w:pPr>
        <w:pStyle w:val="TextBody"/>
        <w:bidi w:val="0"/>
        <w:spacing w:before="0" w:after="0"/>
        <w:ind w:left="120" w:right="0" w:hanging="0"/>
        <w:jc w:val="left"/>
        <w:rPr/>
      </w:pPr>
      <w:r>
        <w:rPr/>
        <w:t>​</w:t>
      </w:r>
    </w:p>
    <w:p>
      <w:pPr>
        <w:pStyle w:val="TextBody"/>
        <w:bidi w:val="0"/>
        <w:spacing w:before="0" w:after="0"/>
        <w:ind w:left="120" w:right="0" w:hanging="0"/>
        <w:jc w:val="left"/>
        <w:rPr/>
      </w:pPr>
      <w:r>
        <w:rPr/>
        <w:t>​</w:t>
      </w:r>
    </w:p>
    <w:p>
      <w:pPr>
        <w:pStyle w:val="TextBody"/>
        <w:bidi w:val="0"/>
        <w:spacing w:before="0" w:after="32"/>
        <w:ind w:left="120" w:right="0" w:hanging="0"/>
        <w:jc w:val="left"/>
        <w:rPr>
          <w:rFonts w:ascii="Arial;Helvetica;sans-serif" w:hAnsi="Arial;Helvetica;sans-serif"/>
          <w:sz w:val="20"/>
        </w:rPr>
      </w:pPr>
      <w:r>
        <w:rPr>
          <w:rFonts w:ascii="Arial;Helvetica;sans-serif" w:hAnsi="Arial;Helvetica;sans-serif"/>
          <w:sz w:val="20"/>
        </w:rPr>
        <w:t>Dear Sirs/Mesdames:</w:t>
      </w:r>
    </w:p>
    <w:p>
      <w:pPr>
        <w:pStyle w:val="TextBody"/>
        <w:bidi w:val="0"/>
        <w:spacing w:before="0" w:after="0"/>
        <w:ind w:left="0" w:right="0" w:hanging="0"/>
        <w:jc w:val="left"/>
        <w:rPr/>
      </w:pPr>
      <w:r>
        <w:rPr/>
        <w:t>​</w:t>
      </w:r>
    </w:p>
    <w:p>
      <w:pPr>
        <w:pStyle w:val="TextBody"/>
        <w:bidi w:val="0"/>
        <w:spacing w:before="0" w:after="9"/>
        <w:ind w:left="120" w:right="0" w:hanging="0"/>
        <w:jc w:val="both"/>
        <w:rPr>
          <w:rFonts w:ascii="Arial;Helvetica;sans-serif" w:hAnsi="Arial;Helvetica;sans-serif"/>
          <w:sz w:val="20"/>
        </w:rPr>
      </w:pPr>
      <w:r>
        <w:rPr>
          <w:rFonts w:ascii="Arial;Helvetica;sans-serif" w:hAnsi="Arial;Helvetica;sans-serif"/>
          <w:sz w:val="20"/>
        </w:rPr>
        <w:t>Teneo Capital LLC, a Delaware limited liability company (“</w:t>
      </w:r>
      <w:r>
        <w:rPr>
          <w:rFonts w:ascii="Arial;Helvetica;sans-serif" w:hAnsi="Arial;Helvetica;sans-serif"/>
          <w:b/>
          <w:sz w:val="20"/>
        </w:rPr>
        <w:t>Teneo</w:t>
      </w:r>
      <w:r>
        <w:rPr>
          <w:rFonts w:ascii="Arial;Helvetica;sans-serif" w:hAnsi="Arial;Helvetica;sans-serif"/>
          <w:sz w:val="20"/>
        </w:rPr>
        <w:t>” or “</w:t>
      </w:r>
      <w:r>
        <w:rPr>
          <w:rFonts w:ascii="Arial;Helvetica;sans-serif" w:hAnsi="Arial;Helvetica;sans-serif"/>
          <w:b/>
          <w:sz w:val="20"/>
        </w:rPr>
        <w:t>we</w:t>
      </w:r>
      <w:r>
        <w:rPr>
          <w:rFonts w:ascii="Arial;Helvetica;sans-serif" w:hAnsi="Arial;Helvetica;sans-serif"/>
          <w:sz w:val="20"/>
        </w:rPr>
        <w:t>”), is pleased to provide Chief Executive Officer services to PRESTO AUTOMATION INC. (collectively, the “</w:t>
      </w:r>
      <w:r>
        <w:rPr>
          <w:rFonts w:ascii="Arial;Helvetica;sans-serif" w:hAnsi="Arial;Helvetica;sans-serif"/>
          <w:b/>
          <w:sz w:val="20"/>
        </w:rPr>
        <w:t>Client</w:t>
      </w:r>
      <w:r>
        <w:rPr>
          <w:rFonts w:ascii="Arial;Helvetica;sans-serif" w:hAnsi="Arial;Helvetica;sans-serif"/>
          <w:sz w:val="20"/>
        </w:rPr>
        <w:t>,” the “</w:t>
      </w:r>
      <w:r>
        <w:rPr>
          <w:rFonts w:ascii="Arial;Helvetica;sans-serif" w:hAnsi="Arial;Helvetica;sans-serif"/>
          <w:b/>
          <w:sz w:val="20"/>
        </w:rPr>
        <w:t>Company</w:t>
      </w:r>
      <w:r>
        <w:rPr>
          <w:rFonts w:ascii="Arial;Helvetica;sans-serif" w:hAnsi="Arial;Helvetica;sans-serif"/>
          <w:sz w:val="20"/>
        </w:rPr>
        <w:t>,” or “</w:t>
      </w:r>
      <w:r>
        <w:rPr>
          <w:rFonts w:ascii="Arial;Helvetica;sans-serif" w:hAnsi="Arial;Helvetica;sans-serif"/>
          <w:b/>
          <w:sz w:val="20"/>
        </w:rPr>
        <w:t>you</w:t>
      </w:r>
      <w:r>
        <w:rPr>
          <w:rFonts w:ascii="Arial;Helvetica;sans-serif" w:hAnsi="Arial;Helvetica;sans-serif"/>
          <w:sz w:val="20"/>
        </w:rPr>
        <w:t>”). This letter (this “</w:t>
      </w:r>
      <w:r>
        <w:rPr>
          <w:rFonts w:ascii="Arial;Helvetica;sans-serif" w:hAnsi="Arial;Helvetica;sans-serif"/>
          <w:b/>
          <w:sz w:val="20"/>
        </w:rPr>
        <w:t>Agreement</w:t>
      </w:r>
      <w:r>
        <w:rPr>
          <w:rFonts w:ascii="Arial;Helvetica;sans-serif" w:hAnsi="Arial;Helvetica;sans-serif"/>
          <w:sz w:val="20"/>
        </w:rPr>
        <w:t>”) sets forth the terms of our engagement (the “</w:t>
      </w:r>
      <w:r>
        <w:rPr>
          <w:rFonts w:ascii="Arial;Helvetica;sans-serif" w:hAnsi="Arial;Helvetica;sans-serif"/>
          <w:b/>
          <w:sz w:val="20"/>
        </w:rPr>
        <w:t>Engagement</w:t>
      </w:r>
      <w:r>
        <w:rPr>
          <w:rFonts w:ascii="Arial;Helvetica;sans-serif" w:hAnsi="Arial;Helvetica;sans-serif"/>
          <w:sz w:val="20"/>
        </w:rPr>
        <w:t>”), pursuant to which Teneo is being retained by the Company to provide the services of Mr. Guillaume (Gee) Lefevre (the “</w:t>
      </w:r>
      <w:r>
        <w:rPr>
          <w:rFonts w:ascii="Arial;Helvetica;sans-serif" w:hAnsi="Arial;Helvetica;sans-serif"/>
          <w:b/>
          <w:sz w:val="20"/>
        </w:rPr>
        <w:t>INTERIM CEO</w:t>
      </w:r>
      <w:r>
        <w:rPr>
          <w:rFonts w:ascii="Arial;Helvetica;sans-serif" w:hAnsi="Arial;Helvetica;sans-serif"/>
          <w:sz w:val="20"/>
        </w:rPr>
        <w:t>”), or such other Teneo personnel to assist the INTERIM CEO in performing his duties.</w:t>
      </w:r>
    </w:p>
    <w:p>
      <w:pPr>
        <w:pStyle w:val="TextBody"/>
        <w:bidi w:val="0"/>
        <w:spacing w:before="0" w:after="0"/>
        <w:ind w:left="0" w:right="0" w:hanging="0"/>
        <w:jc w:val="left"/>
        <w:rPr/>
      </w:pPr>
      <w:r>
        <w:rPr/>
        <w:t>​</w:t>
      </w:r>
    </w:p>
    <w:tbl>
      <w:tblPr>
        <w:tblW w:w="2523" w:type="dxa"/>
        <w:jc w:val="left"/>
        <w:tblInd w:w="0" w:type="dxa"/>
        <w:tblLayout w:type="fixed"/>
        <w:tblCellMar>
          <w:top w:w="0" w:type="dxa"/>
          <w:left w:w="0" w:type="dxa"/>
          <w:bottom w:w="0" w:type="dxa"/>
          <w:right w:w="0" w:type="dxa"/>
        </w:tblCellMar>
      </w:tblPr>
      <w:tblGrid>
        <w:gridCol w:w="23"/>
        <w:gridCol w:w="18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32"/>
              <w:jc w:val="left"/>
              <w:rPr>
                <w:rFonts w:ascii="Arial;Helvetica;sans-serif" w:hAnsi="Arial;Helvetica;sans-serif"/>
                <w:b/>
                <w:sz w:val="20"/>
              </w:rPr>
            </w:pPr>
            <w:r>
              <w:rPr>
                <w:rFonts w:ascii="Arial;Helvetica;sans-serif" w:hAnsi="Arial;Helvetica;sans-serif"/>
                <w:b/>
                <w:sz w:val="20"/>
              </w:rPr>
              <w:t>1.</w:t>
            </w:r>
          </w:p>
        </w:tc>
        <w:tc>
          <w:tcPr>
            <w:tcW w:w="2315" w:type="dxa"/>
            <w:tcBorders/>
            <w:vAlign w:val="center"/>
          </w:tcPr>
          <w:p>
            <w:pPr>
              <w:pStyle w:val="TableContents"/>
              <w:bidi w:val="0"/>
              <w:spacing w:before="0" w:after="32"/>
              <w:jc w:val="left"/>
              <w:rPr>
                <w:rFonts w:ascii="Arial;Helvetica;sans-serif" w:hAnsi="Arial;Helvetica;sans-serif"/>
                <w:b/>
                <w:sz w:val="20"/>
              </w:rPr>
            </w:pPr>
            <w:r>
              <w:rPr>
                <w:rFonts w:ascii="Arial;Helvetica;sans-serif" w:hAnsi="Arial;Helvetica;sans-serif"/>
                <w:b/>
                <w:sz w:val="20"/>
              </w:rPr>
              <w:t>Term of the Engagement</w:t>
            </w:r>
          </w:p>
        </w:tc>
      </w:tr>
    </w:tbl>
    <w:p>
      <w:pPr>
        <w:pStyle w:val="TextBody"/>
        <w:bidi w:val="0"/>
        <w:spacing w:before="0" w:after="0"/>
        <w:ind w:left="0" w:right="0" w:hanging="0"/>
        <w:jc w:val="left"/>
        <w:rPr/>
      </w:pPr>
      <w:r>
        <w:rPr/>
        <w:t>​</w:t>
      </w:r>
    </w:p>
    <w:p>
      <w:pPr>
        <w:pStyle w:val="TextBody"/>
        <w:bidi w:val="0"/>
        <w:spacing w:before="0" w:after="10"/>
        <w:ind w:left="480" w:right="0" w:hanging="0"/>
        <w:jc w:val="both"/>
        <w:rPr>
          <w:rFonts w:ascii="Arial;Helvetica;sans-serif" w:hAnsi="Arial;Helvetica;sans-serif"/>
          <w:sz w:val="20"/>
        </w:rPr>
      </w:pPr>
      <w:r>
        <w:rPr>
          <w:rFonts w:ascii="Arial;Helvetica;sans-serif" w:hAnsi="Arial;Helvetica;sans-serif"/>
          <w:sz w:val="20"/>
        </w:rPr>
        <w:t>The Engagement shall commence as of the date of this Agreement (the “</w:t>
      </w:r>
      <w:r>
        <w:rPr>
          <w:rFonts w:ascii="Arial;Helvetica;sans-serif" w:hAnsi="Arial;Helvetica;sans-serif"/>
          <w:b/>
          <w:sz w:val="20"/>
        </w:rPr>
        <w:t>Effective Date</w:t>
      </w:r>
      <w:r>
        <w:rPr>
          <w:rFonts w:ascii="Arial;Helvetica;sans-serif" w:hAnsi="Arial;Helvetica;sans-serif"/>
          <w:sz w:val="20"/>
        </w:rPr>
        <w:t>”) and shall continue until (a) terminated by Teneo or the Company on 5 (five) days’ notice, or (b) until a month following the last substantive work provided hereunder (the “</w:t>
      </w:r>
      <w:r>
        <w:rPr>
          <w:rFonts w:ascii="Arial;Helvetica;sans-serif" w:hAnsi="Arial;Helvetica;sans-serif"/>
          <w:b/>
          <w:sz w:val="20"/>
        </w:rPr>
        <w:t>Engagement Period</w:t>
      </w:r>
      <w:r>
        <w:rPr>
          <w:rFonts w:ascii="Arial;Helvetica;sans-serif" w:hAnsi="Arial;Helvetica;sans-serif"/>
          <w:sz w:val="20"/>
        </w:rPr>
        <w:t>”).</w:t>
      </w:r>
    </w:p>
    <w:p>
      <w:pPr>
        <w:pStyle w:val="TextBody"/>
        <w:bidi w:val="0"/>
        <w:spacing w:before="0" w:after="0"/>
        <w:ind w:left="0" w:right="0" w:hanging="0"/>
        <w:jc w:val="left"/>
        <w:rPr/>
      </w:pPr>
      <w:r>
        <w:rPr/>
        <w:t>​</w:t>
      </w:r>
    </w:p>
    <w:tbl>
      <w:tblPr>
        <w:tblW w:w="1908" w:type="dxa"/>
        <w:jc w:val="left"/>
        <w:tblInd w:w="0" w:type="dxa"/>
        <w:tblLayout w:type="fixed"/>
        <w:tblCellMar>
          <w:top w:w="0" w:type="dxa"/>
          <w:left w:w="0" w:type="dxa"/>
          <w:bottom w:w="0" w:type="dxa"/>
          <w:right w:w="0" w:type="dxa"/>
        </w:tblCellMar>
      </w:tblPr>
      <w:tblGrid>
        <w:gridCol w:w="23"/>
        <w:gridCol w:w="185"/>
        <w:gridCol w:w="170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5"/>
              <w:jc w:val="left"/>
              <w:rPr>
                <w:rFonts w:ascii="Arial;Helvetica;sans-serif" w:hAnsi="Arial;Helvetica;sans-serif"/>
                <w:b/>
                <w:sz w:val="20"/>
              </w:rPr>
            </w:pPr>
            <w:r>
              <w:rPr>
                <w:rFonts w:ascii="Arial;Helvetica;sans-serif" w:hAnsi="Arial;Helvetica;sans-serif"/>
                <w:b/>
                <w:sz w:val="20"/>
              </w:rPr>
              <w:t>2.</w:t>
            </w:r>
          </w:p>
        </w:tc>
        <w:tc>
          <w:tcPr>
            <w:tcW w:w="1700" w:type="dxa"/>
            <w:tcBorders/>
            <w:vAlign w:val="center"/>
          </w:tcPr>
          <w:p>
            <w:pPr>
              <w:pStyle w:val="TableContents"/>
              <w:bidi w:val="0"/>
              <w:spacing w:before="0" w:after="25"/>
              <w:jc w:val="left"/>
              <w:rPr>
                <w:rFonts w:ascii="Arial;Helvetica;sans-serif" w:hAnsi="Arial;Helvetica;sans-serif"/>
                <w:b/>
                <w:sz w:val="20"/>
              </w:rPr>
            </w:pPr>
            <w:r>
              <w:rPr>
                <w:rFonts w:ascii="Arial;Helvetica;sans-serif" w:hAnsi="Arial;Helvetica;sans-serif"/>
                <w:b/>
                <w:sz w:val="20"/>
              </w:rPr>
              <w:t>Scope of Services</w:t>
            </w:r>
          </w:p>
        </w:tc>
      </w:tr>
    </w:tbl>
    <w:p>
      <w:pPr>
        <w:pStyle w:val="TextBody"/>
        <w:bidi w:val="0"/>
        <w:spacing w:before="0" w:after="7"/>
        <w:ind w:left="480" w:right="0" w:hanging="0"/>
        <w:jc w:val="both"/>
        <w:rPr>
          <w:rFonts w:ascii="Arial;Helvetica;sans-serif" w:hAnsi="Arial;Helvetica;sans-serif"/>
          <w:sz w:val="20"/>
        </w:rPr>
      </w:pPr>
      <w:r>
        <w:rPr>
          <w:rFonts w:ascii="Arial;Helvetica;sans-serif" w:hAnsi="Arial;Helvetica;sans-serif"/>
          <w:sz w:val="20"/>
        </w:rPr>
        <w:t xml:space="preserve">The precise duties of the INTERIM CEO will be agreed upon between you and the INTERIM CEO although an initial scope of work is set forth below. However, under your management and direction, the INTERIM CEO’s duties will include working alongside the Board of the Company (“the </w:t>
      </w:r>
      <w:r>
        <w:rPr>
          <w:rFonts w:ascii="Arial;Helvetica;sans-serif" w:hAnsi="Arial;Helvetica;sans-serif"/>
          <w:b/>
          <w:sz w:val="20"/>
        </w:rPr>
        <w:t>Board</w:t>
      </w:r>
      <w:r>
        <w:rPr>
          <w:rFonts w:ascii="Arial;Helvetica;sans-serif" w:hAnsi="Arial;Helvetica;sans-serif"/>
          <w:sz w:val="20"/>
        </w:rPr>
        <w:t>”), in an advisory capacity, in assisting the Board and management team to navigate the current business situation.</w:t>
      </w:r>
    </w:p>
    <w:p>
      <w:pPr>
        <w:pStyle w:val="TextBody"/>
        <w:bidi w:val="0"/>
        <w:spacing w:before="0" w:after="1"/>
        <w:ind w:left="0" w:right="0" w:hanging="0"/>
        <w:jc w:val="left"/>
        <w:rPr/>
      </w:pPr>
      <w:r>
        <w:rPr/>
        <w:t>​</w:t>
      </w:r>
    </w:p>
    <w:p>
      <w:pPr>
        <w:pStyle w:val="TextBody"/>
        <w:bidi w:val="0"/>
        <w:spacing w:before="0" w:after="49"/>
        <w:ind w:left="480" w:right="0" w:hanging="0"/>
        <w:jc w:val="both"/>
        <w:rPr>
          <w:rFonts w:ascii="Arial;Helvetica;sans-serif" w:hAnsi="Arial;Helvetica;sans-serif"/>
          <w:sz w:val="20"/>
        </w:rPr>
      </w:pPr>
      <w:r>
        <w:rPr>
          <w:rFonts w:ascii="Arial;Helvetica;sans-serif" w:hAnsi="Arial;Helvetica;sans-serif"/>
          <w:sz w:val="20"/>
        </w:rPr>
        <w:t>Teneo shall provide the following services (the “</w:t>
      </w:r>
      <w:r>
        <w:rPr>
          <w:rFonts w:ascii="Arial;Helvetica;sans-serif" w:hAnsi="Arial;Helvetica;sans-serif"/>
          <w:b/>
          <w:sz w:val="20"/>
        </w:rPr>
        <w:t>Services</w:t>
      </w:r>
      <w:r>
        <w:rPr>
          <w:rFonts w:ascii="Arial;Helvetica;sans-serif" w:hAnsi="Arial;Helvetica;sans-serif"/>
          <w:sz w:val="20"/>
        </w:rPr>
        <w:t>”) as may be appropriate in this matter: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8"/>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108"/>
              <w:jc w:val="left"/>
              <w:rPr>
                <w:rFonts w:ascii="Arial;Helvetica;sans-serif" w:hAnsi="Arial;Helvetica;sans-serif"/>
                <w:sz w:val="20"/>
              </w:rPr>
            </w:pPr>
            <w:r>
              <w:rPr>
                <w:rFonts w:ascii="Arial;Helvetica;sans-serif" w:hAnsi="Arial;Helvetica;sans-serif"/>
                <w:sz w:val="20"/>
              </w:rPr>
              <w:t>Review and analyze the Company’s business, operations, assets, financial condition, business plan, strategy, and operating forecasts;</w:t>
            </w:r>
          </w:p>
        </w:tc>
      </w:tr>
    </w:tbl>
    <w:p>
      <w:pPr>
        <w:pStyle w:val="TextBody"/>
        <w:bidi w:val="0"/>
        <w:spacing w:before="0" w:after="0"/>
        <w:ind w:left="0" w:right="0" w:hanging="0"/>
        <w:jc w:val="left"/>
        <w:rPr/>
      </w:pPr>
      <w:r>
        <w:rPr/>
        <w:t>​</w:t>
      </w:r>
    </w:p>
    <w:p>
      <w:pPr>
        <w:pStyle w:val="TextBody"/>
        <w:bidi w:val="0"/>
        <w:spacing w:before="0" w:after="85"/>
        <w:ind w:left="120" w:right="0" w:hanging="0"/>
        <w:jc w:val="left"/>
        <w:rPr>
          <w:rFonts w:ascii="Arial;Helvetica;sans-serif" w:hAnsi="Arial;Helvetica;sans-serif"/>
          <w:b/>
          <w:sz w:val="12"/>
        </w:rPr>
      </w:pPr>
      <w:r>
        <w:rPr>
          <w:rFonts w:ascii="Arial;Helvetica;sans-serif" w:hAnsi="Arial;Helvetica;sans-serif"/>
          <w:b/>
          <w:sz w:val="12"/>
        </w:rPr>
        <w:t>PRIVATE &amp; CONFIDENTIAL</w:t>
      </w:r>
    </w:p>
    <w:p>
      <w:pPr>
        <w:pStyle w:val="TextBody"/>
        <w:bidi w:val="0"/>
        <w:spacing w:before="0" w:after="0"/>
        <w:ind w:left="120" w:right="0" w:hanging="0"/>
        <w:jc w:val="left"/>
        <w:rPr>
          <w:rFonts w:ascii="Arial;Helvetica;sans-serif" w:hAnsi="Arial;Helvetica;sans-serif"/>
          <w:b/>
          <w:sz w:val="10"/>
        </w:rPr>
      </w:pPr>
      <w:r>
        <w:rPr>
          <w:rFonts w:ascii="Arial;Helvetica;sans-serif" w:hAnsi="Arial;Helvetica;sans-serif"/>
          <w:b/>
          <w:sz w:val="10"/>
        </w:rPr>
        <w:t>Teneo Capital LLC</w:t>
      </w:r>
    </w:p>
    <w:p>
      <w:pPr>
        <w:pStyle w:val="TextBody"/>
        <w:bidi w:val="0"/>
        <w:spacing w:before="0" w:after="0"/>
        <w:ind w:left="12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2" descr=""/>
                    <pic:cNvPicPr>
                      <a:picLocks noChangeAspect="1" noChangeArrowheads="1"/>
                    </pic:cNvPicPr>
                  </pic:nvPicPr>
                  <pic:blipFill>
                    <a:blip r:embed="rId38"/>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8"/>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8"/>
              <w:jc w:val="left"/>
              <w:rPr>
                <w:rFonts w:ascii="Arial;Helvetica;sans-serif" w:hAnsi="Arial;Helvetica;sans-serif"/>
                <w:sz w:val="20"/>
              </w:rPr>
            </w:pPr>
            <w:r>
              <w:rPr>
                <w:rFonts w:ascii="Arial;Helvetica;sans-serif" w:hAnsi="Arial;Helvetica;sans-serif"/>
                <w:sz w:val="20"/>
              </w:rPr>
              <w:t>Support the Board in raising additional capital for the ongoing operation and growth of the Company through capital market processes and other means;</w:t>
            </w:r>
          </w:p>
        </w:tc>
      </w:tr>
    </w:tbl>
    <w:tbl>
      <w:tblPr>
        <w:tblW w:w="7503" w:type="dxa"/>
        <w:jc w:val="left"/>
        <w:tblInd w:w="0" w:type="dxa"/>
        <w:tblLayout w:type="fixed"/>
        <w:tblCellMar>
          <w:top w:w="0" w:type="dxa"/>
          <w:left w:w="0" w:type="dxa"/>
          <w:bottom w:w="0" w:type="dxa"/>
          <w:right w:w="0" w:type="dxa"/>
        </w:tblCellMar>
      </w:tblPr>
      <w:tblGrid>
        <w:gridCol w:w="23"/>
        <w:gridCol w:w="95"/>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1"/>
              <w:jc w:val="left"/>
              <w:rPr>
                <w:rFonts w:ascii="Symbol" w:hAnsi="Symbol"/>
                <w:sz w:val="20"/>
              </w:rPr>
            </w:pPr>
            <w:r>
              <w:rPr>
                <w:rFonts w:ascii="Symbol" w:hAnsi="Symbol"/>
                <w:sz w:val="20"/>
              </w:rPr>
              <w:t>·</w:t>
            </w:r>
          </w:p>
        </w:tc>
        <w:tc>
          <w:tcPr>
            <w:tcW w:w="7385" w:type="dxa"/>
            <w:tcBorders/>
            <w:vAlign w:val="center"/>
          </w:tcPr>
          <w:p>
            <w:pPr>
              <w:pStyle w:val="TableContents"/>
              <w:bidi w:val="0"/>
              <w:spacing w:before="0" w:after="21"/>
              <w:jc w:val="left"/>
              <w:rPr>
                <w:rFonts w:ascii="Arial;Helvetica;sans-serif" w:hAnsi="Arial;Helvetica;sans-serif"/>
                <w:sz w:val="20"/>
              </w:rPr>
            </w:pPr>
            <w:r>
              <w:rPr>
                <w:rFonts w:ascii="Arial;Helvetica;sans-serif" w:hAnsi="Arial;Helvetica;sans-serif"/>
                <w:sz w:val="20"/>
              </w:rPr>
              <w:t>Ensure the continued development and deployment of the Company’s Voice product;</w:t>
            </w:r>
          </w:p>
        </w:tc>
      </w:tr>
    </w:tbl>
    <w:tbl>
      <w:tblPr>
        <w:tblW w:w="10083" w:type="dxa"/>
        <w:jc w:val="left"/>
        <w:tblInd w:w="0" w:type="dxa"/>
        <w:tblLayout w:type="fixed"/>
        <w:tblCellMar>
          <w:top w:w="0" w:type="dxa"/>
          <w:left w:w="0" w:type="dxa"/>
          <w:bottom w:w="0" w:type="dxa"/>
          <w:right w:w="0" w:type="dxa"/>
        </w:tblCellMar>
      </w:tblPr>
      <w:tblGrid>
        <w:gridCol w:w="23"/>
        <w:gridCol w:w="95"/>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5"/>
              <w:jc w:val="left"/>
              <w:rPr>
                <w:rFonts w:ascii="Symbol" w:hAnsi="Symbol"/>
                <w:sz w:val="20"/>
              </w:rPr>
            </w:pPr>
            <w:r>
              <w:rPr>
                <w:rFonts w:ascii="Symbol" w:hAnsi="Symbol"/>
                <w:sz w:val="20"/>
              </w:rPr>
              <w:t>·</w:t>
            </w:r>
          </w:p>
        </w:tc>
        <w:tc>
          <w:tcPr>
            <w:tcW w:w="9965" w:type="dxa"/>
            <w:tcBorders/>
            <w:vAlign w:val="center"/>
          </w:tcPr>
          <w:p>
            <w:pPr>
              <w:pStyle w:val="TableContents"/>
              <w:bidi w:val="0"/>
              <w:spacing w:before="0" w:after="5"/>
              <w:jc w:val="left"/>
              <w:rPr>
                <w:rFonts w:ascii="Arial;Helvetica;sans-serif" w:hAnsi="Arial;Helvetica;sans-serif"/>
                <w:sz w:val="20"/>
              </w:rPr>
            </w:pPr>
            <w:r>
              <w:rPr>
                <w:rFonts w:ascii="Arial;Helvetica;sans-serif" w:hAnsi="Arial;Helvetica;sans-serif"/>
                <w:sz w:val="20"/>
              </w:rPr>
              <w:t>Execute any agreed cost reduction activities, including potential workforce reductions and vendor re-assessments;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8"/>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8"/>
              <w:jc w:val="left"/>
              <w:rPr>
                <w:rFonts w:ascii="Arial;Helvetica;sans-serif" w:hAnsi="Arial;Helvetica;sans-serif"/>
                <w:sz w:val="20"/>
              </w:rPr>
            </w:pPr>
            <w:r>
              <w:rPr>
                <w:rFonts w:ascii="Arial;Helvetica;sans-serif" w:hAnsi="Arial;Helvetica;sans-serif"/>
                <w:sz w:val="20"/>
              </w:rPr>
              <w:t>Assist in negotiations with, and responding to inquiries from, various stakeholders, including creditors and other parties, as necessary;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3"/>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3"/>
              <w:jc w:val="left"/>
              <w:rPr>
                <w:rFonts w:ascii="Arial;Helvetica;sans-serif" w:hAnsi="Arial;Helvetica;sans-serif"/>
                <w:sz w:val="20"/>
              </w:rPr>
            </w:pPr>
            <w:r>
              <w:rPr>
                <w:rFonts w:ascii="Arial;Helvetica;sans-serif" w:hAnsi="Arial;Helvetica;sans-serif"/>
                <w:sz w:val="20"/>
              </w:rPr>
              <w:t>Assist the Company in developing, evaluating, structuring, and negotiating the terms and conditions of a restructuring, plan of reorganization, or sale transaction, including a liquidation analysis and estimation of creditor recoveries; and</w:t>
            </w:r>
          </w:p>
        </w:tc>
      </w:tr>
    </w:tbl>
    <w:tbl>
      <w:tblPr>
        <w:tblW w:w="3633" w:type="dxa"/>
        <w:jc w:val="left"/>
        <w:tblInd w:w="0" w:type="dxa"/>
        <w:tblLayout w:type="fixed"/>
        <w:tblCellMar>
          <w:top w:w="0" w:type="dxa"/>
          <w:left w:w="0" w:type="dxa"/>
          <w:bottom w:w="0" w:type="dxa"/>
          <w:right w:w="0" w:type="dxa"/>
        </w:tblCellMar>
      </w:tblPr>
      <w:tblGrid>
        <w:gridCol w:w="23"/>
        <w:gridCol w:w="95"/>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30"/>
              <w:jc w:val="left"/>
              <w:rPr>
                <w:rFonts w:ascii="Symbol" w:hAnsi="Symbol"/>
                <w:sz w:val="20"/>
              </w:rPr>
            </w:pPr>
            <w:r>
              <w:rPr>
                <w:rFonts w:ascii="Symbol" w:hAnsi="Symbol"/>
                <w:sz w:val="20"/>
              </w:rPr>
              <w:t>·</w:t>
            </w:r>
          </w:p>
        </w:tc>
        <w:tc>
          <w:tcPr>
            <w:tcW w:w="3515" w:type="dxa"/>
            <w:tcBorders/>
            <w:vAlign w:val="center"/>
          </w:tcPr>
          <w:p>
            <w:pPr>
              <w:pStyle w:val="TableContents"/>
              <w:bidi w:val="0"/>
              <w:spacing w:before="0" w:after="30"/>
              <w:jc w:val="left"/>
              <w:rPr>
                <w:rFonts w:ascii="Arial;Helvetica;sans-serif" w:hAnsi="Arial;Helvetica;sans-serif"/>
                <w:sz w:val="20"/>
              </w:rPr>
            </w:pPr>
            <w:r>
              <w:rPr>
                <w:rFonts w:ascii="Arial;Helvetica;sans-serif" w:hAnsi="Arial;Helvetica;sans-serif"/>
                <w:sz w:val="20"/>
              </w:rPr>
              <w:t>Any other duties assigned by the Board.</w:t>
            </w:r>
          </w:p>
        </w:tc>
      </w:tr>
    </w:tbl>
    <w:p>
      <w:pPr>
        <w:pStyle w:val="TextBody"/>
        <w:bidi w:val="0"/>
        <w:spacing w:before="0" w:after="0"/>
        <w:ind w:left="0" w:right="0" w:hanging="0"/>
        <w:jc w:val="left"/>
        <w:rPr/>
      </w:pPr>
      <w:r>
        <w:rPr/>
        <w:t>​</w:t>
      </w:r>
    </w:p>
    <w:p>
      <w:pPr>
        <w:pStyle w:val="TextBody"/>
        <w:bidi w:val="0"/>
        <w:spacing w:before="0" w:after="35"/>
        <w:ind w:left="120" w:right="0" w:hanging="0"/>
        <w:jc w:val="left"/>
        <w:rPr>
          <w:rFonts w:ascii="Arial;Helvetica;sans-serif" w:hAnsi="Arial;Helvetica;sans-serif"/>
          <w:sz w:val="20"/>
        </w:rPr>
      </w:pPr>
      <w:r>
        <w:rPr>
          <w:rFonts w:ascii="Arial;Helvetica;sans-serif" w:hAnsi="Arial;Helvetica;sans-serif"/>
          <w:sz w:val="20"/>
        </w:rPr>
        <w:t>The INTERIM CEO, specifically, shall provide the following services:</w:t>
      </w:r>
    </w:p>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4"/>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4"/>
              <w:jc w:val="left"/>
              <w:rPr>
                <w:rFonts w:ascii="Arial;Helvetica;sans-serif" w:hAnsi="Arial;Helvetica;sans-serif"/>
                <w:sz w:val="20"/>
              </w:rPr>
            </w:pPr>
            <w:r>
              <w:rPr>
                <w:rFonts w:ascii="Arial;Helvetica;sans-serif" w:hAnsi="Arial;Helvetica;sans-serif"/>
                <w:sz w:val="20"/>
              </w:rPr>
              <w:t>Oversee and direct the operation of the Company, including being designated as an authorized signatory except any document and agreement imposing obligations on the Company exceeding $25,000 requires prior written approval from the Board;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3"/>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13"/>
              <w:jc w:val="left"/>
              <w:rPr>
                <w:rFonts w:ascii="Arial;Helvetica;sans-serif" w:hAnsi="Arial;Helvetica;sans-serif"/>
                <w:sz w:val="20"/>
              </w:rPr>
            </w:pPr>
            <w:r>
              <w:rPr>
                <w:rFonts w:ascii="Arial;Helvetica;sans-serif" w:hAnsi="Arial;Helvetica;sans-serif"/>
                <w:sz w:val="20"/>
              </w:rPr>
              <w:t>Manage the working group of professionals who are assisting the Company in the reorganization process to improve coordination of their effort and work product to be consistent with the Company’s overall goals.</w:t>
            </w:r>
          </w:p>
        </w:tc>
      </w:tr>
    </w:tbl>
    <w:p>
      <w:pPr>
        <w:pStyle w:val="TextBody"/>
        <w:bidi w:val="0"/>
        <w:spacing w:before="0" w:after="0"/>
        <w:ind w:left="0" w:right="0" w:hanging="0"/>
        <w:jc w:val="left"/>
        <w:rPr/>
      </w:pPr>
      <w:r>
        <w:rPr/>
        <w:t>​</w:t>
      </w:r>
    </w:p>
    <w:p>
      <w:pPr>
        <w:pStyle w:val="TextBody"/>
        <w:bidi w:val="0"/>
        <w:spacing w:before="0" w:after="9"/>
        <w:ind w:left="120" w:right="0" w:hanging="0"/>
        <w:jc w:val="left"/>
        <w:rPr>
          <w:rFonts w:ascii="Arial;Helvetica;sans-serif" w:hAnsi="Arial;Helvetica;sans-serif"/>
          <w:sz w:val="20"/>
        </w:rPr>
      </w:pPr>
      <w:r>
        <w:rPr>
          <w:rFonts w:ascii="Arial;Helvetica;sans-serif" w:hAnsi="Arial;Helvetica;sans-serif"/>
          <w:sz w:val="20"/>
        </w:rPr>
        <w:t>The INTERIM CEO shall report directly to the Board and consult with and obtain input from the Company’s senior management team.</w:t>
      </w:r>
    </w:p>
    <w:p>
      <w:pPr>
        <w:pStyle w:val="TextBody"/>
        <w:bidi w:val="0"/>
        <w:spacing w:before="0" w:after="0"/>
        <w:ind w:left="0" w:right="0" w:hanging="0"/>
        <w:jc w:val="left"/>
        <w:rPr/>
      </w:pPr>
      <w:r>
        <w:rPr/>
        <w:t>​</w:t>
      </w:r>
    </w:p>
    <w:tbl>
      <w:tblPr>
        <w:tblW w:w="1555" w:type="dxa"/>
        <w:jc w:val="left"/>
        <w:tblInd w:w="0" w:type="dxa"/>
        <w:tblLayout w:type="fixed"/>
        <w:tblCellMar>
          <w:top w:w="0" w:type="dxa"/>
          <w:left w:w="0" w:type="dxa"/>
          <w:bottom w:w="0" w:type="dxa"/>
          <w:right w:w="0" w:type="dxa"/>
        </w:tblCellMar>
      </w:tblPr>
      <w:tblGrid>
        <w:gridCol w:w="185"/>
        <w:gridCol w:w="1370"/>
      </w:tblGrid>
      <w:tr>
        <w:trPr/>
        <w:tc>
          <w:tcPr>
            <w:tcW w:w="185" w:type="dxa"/>
            <w:tcBorders/>
            <w:vAlign w:val="center"/>
          </w:tcPr>
          <w:p>
            <w:pPr>
              <w:pStyle w:val="TableContents"/>
              <w:bidi w:val="0"/>
              <w:spacing w:before="0" w:after="8"/>
              <w:jc w:val="left"/>
              <w:rPr>
                <w:rFonts w:ascii="Arial;Helvetica;sans-serif" w:hAnsi="Arial;Helvetica;sans-serif"/>
                <w:b/>
                <w:sz w:val="20"/>
              </w:rPr>
            </w:pPr>
            <w:r>
              <w:rPr>
                <w:rFonts w:ascii="Arial;Helvetica;sans-serif" w:hAnsi="Arial;Helvetica;sans-serif"/>
                <w:b/>
                <w:sz w:val="20"/>
              </w:rPr>
              <w:t>3.</w:t>
            </w:r>
          </w:p>
        </w:tc>
        <w:tc>
          <w:tcPr>
            <w:tcW w:w="1370" w:type="dxa"/>
            <w:tcBorders/>
            <w:vAlign w:val="center"/>
          </w:tcPr>
          <w:p>
            <w:pPr>
              <w:pStyle w:val="TableContents"/>
              <w:bidi w:val="0"/>
              <w:spacing w:before="0" w:after="8"/>
              <w:jc w:val="left"/>
              <w:rPr>
                <w:rFonts w:ascii="Arial;Helvetica;sans-serif" w:hAnsi="Arial;Helvetica;sans-serif"/>
                <w:b/>
                <w:sz w:val="20"/>
              </w:rPr>
            </w:pPr>
            <w:r>
              <w:rPr>
                <w:rFonts w:ascii="Arial;Helvetica;sans-serif" w:hAnsi="Arial;Helvetica;sans-serif"/>
                <w:b/>
                <w:sz w:val="20"/>
              </w:rPr>
              <w:t>Compensation</w:t>
            </w:r>
          </w:p>
        </w:tc>
      </w:tr>
    </w:tbl>
    <w:p>
      <w:pPr>
        <w:pStyle w:val="TextBody"/>
        <w:bidi w:val="0"/>
        <w:spacing w:before="0" w:after="0"/>
        <w:ind w:left="0" w:right="0" w:hanging="0"/>
        <w:jc w:val="left"/>
        <w:rPr/>
      </w:pPr>
      <w:r>
        <w:rPr/>
        <w:t>​</w:t>
      </w:r>
    </w:p>
    <w:tbl>
      <w:tblPr>
        <w:tblW w:w="2103" w:type="dxa"/>
        <w:jc w:val="left"/>
        <w:tblInd w:w="0" w:type="dxa"/>
        <w:tblLayout w:type="fixed"/>
        <w:tblCellMar>
          <w:top w:w="0" w:type="dxa"/>
          <w:left w:w="0" w:type="dxa"/>
          <w:bottom w:w="0" w:type="dxa"/>
          <w:right w:w="0" w:type="dxa"/>
        </w:tblCellMar>
      </w:tblPr>
      <w:tblGrid>
        <w:gridCol w:w="23"/>
        <w:gridCol w:w="35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5"/>
              <w:jc w:val="both"/>
              <w:rPr>
                <w:rFonts w:ascii="Arial;Helvetica;sans-serif" w:hAnsi="Arial;Helvetica;sans-serif"/>
                <w:b/>
                <w:sz w:val="20"/>
              </w:rPr>
            </w:pPr>
            <w:r>
              <w:rPr>
                <w:rFonts w:ascii="Arial;Helvetica;sans-serif" w:hAnsi="Arial;Helvetica;sans-serif"/>
                <w:b/>
                <w:sz w:val="20"/>
              </w:rPr>
              <w:t>3.1.</w:t>
            </w:r>
          </w:p>
        </w:tc>
        <w:tc>
          <w:tcPr>
            <w:tcW w:w="1730" w:type="dxa"/>
            <w:tcBorders/>
            <w:vAlign w:val="center"/>
          </w:tcPr>
          <w:p>
            <w:pPr>
              <w:pStyle w:val="TableContents"/>
              <w:bidi w:val="0"/>
              <w:spacing w:before="0" w:after="25"/>
              <w:jc w:val="both"/>
              <w:rPr>
                <w:rFonts w:ascii="Arial;Helvetica;sans-serif" w:hAnsi="Arial;Helvetica;sans-serif"/>
                <w:b/>
                <w:sz w:val="20"/>
              </w:rPr>
            </w:pPr>
            <w:r>
              <w:rPr>
                <w:rFonts w:ascii="Arial;Helvetica;sans-serif" w:hAnsi="Arial;Helvetica;sans-serif"/>
                <w:b/>
                <w:sz w:val="20"/>
              </w:rPr>
              <w:t>Monthly Fixed Fee</w:t>
            </w:r>
          </w:p>
        </w:tc>
      </w:tr>
    </w:tbl>
    <w:p>
      <w:pPr>
        <w:pStyle w:val="TextBody"/>
        <w:bidi w:val="0"/>
        <w:spacing w:before="0" w:after="6"/>
        <w:ind w:left="480" w:right="0" w:hanging="0"/>
        <w:jc w:val="both"/>
        <w:rPr>
          <w:rFonts w:ascii="Arial;Helvetica;sans-serif" w:hAnsi="Arial;Helvetica;sans-serif"/>
          <w:sz w:val="20"/>
        </w:rPr>
      </w:pPr>
      <w:r>
        <w:rPr>
          <w:rFonts w:ascii="Arial;Helvetica;sans-serif" w:hAnsi="Arial;Helvetica;sans-serif"/>
          <w:sz w:val="20"/>
        </w:rPr>
        <w:t>In connection with providing the Services hereunder, Teneo shall be entitled to a monthly fixed fee (“</w:t>
      </w:r>
      <w:r>
        <w:rPr>
          <w:rFonts w:ascii="Arial;Helvetica;sans-serif" w:hAnsi="Arial;Helvetica;sans-serif"/>
          <w:b/>
          <w:sz w:val="20"/>
        </w:rPr>
        <w:t>Monthly Fixed Fee</w:t>
      </w:r>
      <w:r>
        <w:rPr>
          <w:rFonts w:ascii="Arial;Helvetica;sans-serif" w:hAnsi="Arial;Helvetica;sans-serif"/>
          <w:sz w:val="20"/>
        </w:rPr>
        <w:t>”) of $85,000 per month. The Monthly Fixed Fee shall be due and payable prior to the beginning of any calendar month that the Monthly Fixed Fee is to cover and shall be deemed earned in its entirety when due.</w:t>
      </w:r>
    </w:p>
    <w:p>
      <w:pPr>
        <w:pStyle w:val="TextBody"/>
        <w:bidi w:val="0"/>
        <w:spacing w:before="0" w:after="0"/>
        <w:ind w:left="0" w:right="0" w:hanging="0"/>
        <w:jc w:val="left"/>
        <w:rPr/>
      </w:pPr>
      <w:r>
        <w:rPr/>
        <w:t>​</w:t>
      </w:r>
    </w:p>
    <w:tbl>
      <w:tblPr>
        <w:tblW w:w="2643" w:type="dxa"/>
        <w:jc w:val="left"/>
        <w:tblInd w:w="0" w:type="dxa"/>
        <w:tblLayout w:type="fixed"/>
        <w:tblCellMar>
          <w:top w:w="0" w:type="dxa"/>
          <w:left w:w="0" w:type="dxa"/>
          <w:bottom w:w="0" w:type="dxa"/>
          <w:right w:w="0" w:type="dxa"/>
        </w:tblCellMar>
      </w:tblPr>
      <w:tblGrid>
        <w:gridCol w:w="23"/>
        <w:gridCol w:w="35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5"/>
              <w:jc w:val="left"/>
              <w:rPr>
                <w:rFonts w:ascii="Arial;Helvetica;sans-serif" w:hAnsi="Arial;Helvetica;sans-serif"/>
                <w:b/>
                <w:sz w:val="20"/>
              </w:rPr>
            </w:pPr>
            <w:r>
              <w:rPr>
                <w:rFonts w:ascii="Arial;Helvetica;sans-serif" w:hAnsi="Arial;Helvetica;sans-serif"/>
                <w:b/>
                <w:sz w:val="20"/>
              </w:rPr>
              <w:t>3.2.</w:t>
            </w:r>
          </w:p>
        </w:tc>
        <w:tc>
          <w:tcPr>
            <w:tcW w:w="2270" w:type="dxa"/>
            <w:tcBorders/>
            <w:vAlign w:val="center"/>
          </w:tcPr>
          <w:p>
            <w:pPr>
              <w:pStyle w:val="TableContents"/>
              <w:bidi w:val="0"/>
              <w:spacing w:before="0" w:after="25"/>
              <w:jc w:val="left"/>
              <w:rPr>
                <w:rFonts w:ascii="Arial;Helvetica;sans-serif" w:hAnsi="Arial;Helvetica;sans-serif"/>
                <w:b/>
                <w:sz w:val="20"/>
              </w:rPr>
            </w:pPr>
            <w:r>
              <w:rPr>
                <w:rFonts w:ascii="Arial;Helvetica;sans-serif" w:hAnsi="Arial;Helvetica;sans-serif"/>
                <w:b/>
                <w:sz w:val="20"/>
              </w:rPr>
              <w:t>Incentive Compensation</w:t>
            </w:r>
          </w:p>
        </w:tc>
      </w:tr>
    </w:tbl>
    <w:p>
      <w:pPr>
        <w:pStyle w:val="TextBody"/>
        <w:bidi w:val="0"/>
        <w:spacing w:before="0" w:after="6"/>
        <w:ind w:left="480" w:right="0" w:hanging="0"/>
        <w:jc w:val="both"/>
        <w:rPr>
          <w:rFonts w:ascii="Arial;Helvetica;sans-serif" w:hAnsi="Arial;Helvetica;sans-serif"/>
          <w:sz w:val="20"/>
        </w:rPr>
      </w:pPr>
      <w:r>
        <w:rPr>
          <w:rFonts w:ascii="Arial;Helvetica;sans-serif" w:hAnsi="Arial;Helvetica;sans-serif"/>
          <w:sz w:val="20"/>
        </w:rPr>
        <w:t>If, by June 30, 2024, the Company has not filed under one of the chapters of title 11 of the United States Code (the Bankruptcy Code), Teneo shall be due an additional incentive compensation (the “</w:t>
      </w:r>
      <w:r>
        <w:rPr>
          <w:rFonts w:ascii="Arial;Helvetica;sans-serif" w:hAnsi="Arial;Helvetica;sans-serif"/>
          <w:b/>
          <w:sz w:val="20"/>
        </w:rPr>
        <w:t>Contingent Performance Payment</w:t>
      </w:r>
      <w:r>
        <w:rPr>
          <w:rFonts w:ascii="Arial;Helvetica;sans-serif" w:hAnsi="Arial;Helvetica;sans-serif"/>
          <w:sz w:val="20"/>
        </w:rPr>
        <w:t>”). The Contingent Performance Payment will be equal to $80,000 per month (pro-rata for any partial month).</w:t>
      </w:r>
    </w:p>
    <w:p>
      <w:pPr>
        <w:pStyle w:val="TextBody"/>
        <w:bidi w:val="0"/>
        <w:spacing w:before="0" w:after="0"/>
        <w:ind w:left="0" w:right="0" w:hanging="0"/>
        <w:jc w:val="left"/>
        <w:rPr/>
      </w:pPr>
      <w:r>
        <w:rPr/>
        <w:t>​</w:t>
      </w:r>
    </w:p>
    <w:tbl>
      <w:tblPr>
        <w:tblW w:w="1293" w:type="dxa"/>
        <w:jc w:val="left"/>
        <w:tblInd w:w="0" w:type="dxa"/>
        <w:tblLayout w:type="fixed"/>
        <w:tblCellMar>
          <w:top w:w="0" w:type="dxa"/>
          <w:left w:w="0" w:type="dxa"/>
          <w:bottom w:w="0" w:type="dxa"/>
          <w:right w:w="0" w:type="dxa"/>
        </w:tblCellMar>
      </w:tblPr>
      <w:tblGrid>
        <w:gridCol w:w="23"/>
        <w:gridCol w:w="350"/>
        <w:gridCol w:w="92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5"/>
              <w:jc w:val="left"/>
              <w:rPr>
                <w:rFonts w:ascii="Arial;Helvetica;sans-serif" w:hAnsi="Arial;Helvetica;sans-serif"/>
                <w:b/>
                <w:sz w:val="20"/>
              </w:rPr>
            </w:pPr>
            <w:r>
              <w:rPr>
                <w:rFonts w:ascii="Arial;Helvetica;sans-serif" w:hAnsi="Arial;Helvetica;sans-serif"/>
                <w:b/>
                <w:sz w:val="20"/>
              </w:rPr>
              <w:t>3.3.</w:t>
            </w:r>
          </w:p>
        </w:tc>
        <w:tc>
          <w:tcPr>
            <w:tcW w:w="920" w:type="dxa"/>
            <w:tcBorders/>
            <w:vAlign w:val="center"/>
          </w:tcPr>
          <w:p>
            <w:pPr>
              <w:pStyle w:val="TableContents"/>
              <w:bidi w:val="0"/>
              <w:spacing w:before="0" w:after="25"/>
              <w:jc w:val="left"/>
              <w:rPr>
                <w:rFonts w:ascii="Arial;Helvetica;sans-serif" w:hAnsi="Arial;Helvetica;sans-serif"/>
                <w:b/>
                <w:sz w:val="20"/>
              </w:rPr>
            </w:pPr>
            <w:r>
              <w:rPr>
                <w:rFonts w:ascii="Arial;Helvetica;sans-serif" w:hAnsi="Arial;Helvetica;sans-serif"/>
                <w:b/>
                <w:sz w:val="20"/>
              </w:rPr>
              <w:t>Expenses</w:t>
            </w:r>
          </w:p>
        </w:tc>
      </w:tr>
    </w:tbl>
    <w:p>
      <w:pPr>
        <w:pStyle w:val="TextBody"/>
        <w:bidi w:val="0"/>
        <w:spacing w:before="0" w:after="8"/>
        <w:ind w:left="480" w:right="0" w:hanging="0"/>
        <w:jc w:val="both"/>
        <w:rPr>
          <w:rFonts w:ascii="Arial;Helvetica;sans-serif" w:hAnsi="Arial;Helvetica;sans-serif"/>
          <w:sz w:val="20"/>
        </w:rPr>
      </w:pPr>
      <w:r>
        <w:rPr>
          <w:rFonts w:ascii="Arial;Helvetica;sans-serif" w:hAnsi="Arial;Helvetica;sans-serif"/>
          <w:sz w:val="20"/>
        </w:rPr>
        <w:t>At all times during the Engagement Period, Teneo shall be entitled to full reimbursement for its reasonable out-of-pocket expenses. Out-of-pocket expenses shall include all documented travel expenses, meals, computer and database research charges, messenger services, and reasonable fees and expenses. Expenses shall not exceed 15% of the Monthly Fixed Fee, on a monthly basis, and Teneo shall charge Expenses in accordance with this provision.</w:t>
      </w:r>
    </w:p>
    <w:p>
      <w:pPr>
        <w:pStyle w:val="TextBody"/>
        <w:bidi w:val="0"/>
        <w:spacing w:before="0" w:after="0"/>
        <w:ind w:left="0" w:right="0" w:hanging="0"/>
        <w:jc w:val="left"/>
        <w:rPr/>
      </w:pPr>
      <w:r>
        <w:rPr/>
        <w:t>​</w:t>
      </w:r>
    </w:p>
    <w:tbl>
      <w:tblPr>
        <w:tblW w:w="2598" w:type="dxa"/>
        <w:jc w:val="left"/>
        <w:tblInd w:w="0" w:type="dxa"/>
        <w:tblLayout w:type="fixed"/>
        <w:tblCellMar>
          <w:top w:w="0" w:type="dxa"/>
          <w:left w:w="0" w:type="dxa"/>
          <w:bottom w:w="0" w:type="dxa"/>
          <w:right w:w="0" w:type="dxa"/>
        </w:tblCellMar>
      </w:tblPr>
      <w:tblGrid>
        <w:gridCol w:w="23"/>
        <w:gridCol w:w="35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3.4.</w:t>
            </w:r>
          </w:p>
        </w:tc>
        <w:tc>
          <w:tcPr>
            <w:tcW w:w="2225"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Submission of Invoices</w:t>
            </w:r>
          </w:p>
        </w:tc>
      </w:tr>
    </w:tbl>
    <w:p>
      <w:pPr>
        <w:pStyle w:val="TextBody"/>
        <w:pBdr/>
        <w:bidi w:val="0"/>
        <w:spacing w:before="0" w:after="0"/>
        <w:ind w:left="480" w:right="0" w:hanging="429"/>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3" descr=""/>
                    <pic:cNvPicPr>
                      <a:picLocks noChangeAspect="1" noChangeArrowheads="1"/>
                    </pic:cNvPicPr>
                  </pic:nvPicPr>
                  <pic:blipFill>
                    <a:blip r:embed="rId39"/>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9"/>
        <w:ind w:left="480" w:right="0" w:hanging="0"/>
        <w:jc w:val="both"/>
        <w:rPr>
          <w:rFonts w:ascii="Arial;Helvetica;sans-serif" w:hAnsi="Arial;Helvetica;sans-serif"/>
          <w:sz w:val="20"/>
        </w:rPr>
      </w:pPr>
      <w:r>
        <w:rPr>
          <w:rFonts w:ascii="Arial;Helvetica;sans-serif" w:hAnsi="Arial;Helvetica;sans-serif"/>
          <w:sz w:val="20"/>
        </w:rPr>
        <w:t>Teneo shall submit invoices for Compensation on a monthly basis. Except as otherwise set forth herein, payment shall be due within ten (3) business days of invoicing for fees and expenses incurred.</w:t>
      </w:r>
    </w:p>
    <w:p>
      <w:pPr>
        <w:pStyle w:val="TextBody"/>
        <w:bidi w:val="0"/>
        <w:spacing w:before="0" w:after="0"/>
        <w:ind w:left="0" w:right="0" w:hanging="0"/>
        <w:jc w:val="left"/>
        <w:rPr/>
      </w:pPr>
      <w:r>
        <w:rPr/>
        <w:t>​</w:t>
      </w:r>
    </w:p>
    <w:p>
      <w:pPr>
        <w:pStyle w:val="TextBody"/>
        <w:bidi w:val="0"/>
        <w:spacing w:before="0" w:after="11"/>
        <w:ind w:left="480" w:right="0" w:hanging="0"/>
        <w:jc w:val="both"/>
        <w:rPr>
          <w:rFonts w:ascii="Arial;Helvetica;sans-serif" w:hAnsi="Arial;Helvetica;sans-serif"/>
          <w:sz w:val="20"/>
        </w:rPr>
      </w:pPr>
      <w:r>
        <w:rPr>
          <w:rFonts w:ascii="Arial;Helvetica;sans-serif" w:hAnsi="Arial;Helvetica;sans-serif"/>
          <w:sz w:val="20"/>
        </w:rPr>
        <w:t>If Teneo does not timely receive any payment due under this Agreement, it may, at its election, immediately suspend services or terminate this Agreement and have no further obligations hereunder except those that survive termination. Teneo’s failure to exercise such remedy (or any other remedy) at any time does not constitute a waiver of its right to do so at any future time. In the event of termination based upon failure to pay or other breach of contract by the Company, Teneo shall remain entitled to receive any unpaid earned compensation and reimbursement for incurred fees.</w:t>
      </w:r>
    </w:p>
    <w:p>
      <w:pPr>
        <w:pStyle w:val="TextBody"/>
        <w:bidi w:val="0"/>
        <w:spacing w:before="0" w:after="0"/>
        <w:ind w:left="0" w:right="0" w:hanging="0"/>
        <w:jc w:val="left"/>
        <w:rPr/>
      </w:pPr>
      <w:r>
        <w:rPr/>
        <w:t>​</w:t>
      </w:r>
    </w:p>
    <w:tbl>
      <w:tblPr>
        <w:tblW w:w="2868" w:type="dxa"/>
        <w:jc w:val="left"/>
        <w:tblInd w:w="0" w:type="dxa"/>
        <w:tblLayout w:type="fixed"/>
        <w:tblCellMar>
          <w:top w:w="0" w:type="dxa"/>
          <w:left w:w="0" w:type="dxa"/>
          <w:bottom w:w="0" w:type="dxa"/>
          <w:right w:w="0" w:type="dxa"/>
        </w:tblCellMar>
      </w:tblPr>
      <w:tblGrid>
        <w:gridCol w:w="23"/>
        <w:gridCol w:w="185"/>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3"/>
              <w:jc w:val="left"/>
              <w:rPr>
                <w:rFonts w:ascii="Arial;Helvetica;sans-serif" w:hAnsi="Arial;Helvetica;sans-serif"/>
                <w:b/>
                <w:sz w:val="20"/>
              </w:rPr>
            </w:pPr>
            <w:r>
              <w:rPr>
                <w:rFonts w:ascii="Arial;Helvetica;sans-serif" w:hAnsi="Arial;Helvetica;sans-serif"/>
                <w:b/>
                <w:sz w:val="20"/>
              </w:rPr>
              <w:t>4.</w:t>
            </w:r>
          </w:p>
        </w:tc>
        <w:tc>
          <w:tcPr>
            <w:tcW w:w="2660" w:type="dxa"/>
            <w:tcBorders/>
            <w:vAlign w:val="center"/>
          </w:tcPr>
          <w:p>
            <w:pPr>
              <w:pStyle w:val="TableContents"/>
              <w:bidi w:val="0"/>
              <w:spacing w:before="0" w:after="13"/>
              <w:jc w:val="left"/>
              <w:rPr>
                <w:rFonts w:ascii="Arial;Helvetica;sans-serif" w:hAnsi="Arial;Helvetica;sans-serif"/>
                <w:b/>
                <w:sz w:val="20"/>
              </w:rPr>
            </w:pPr>
            <w:r>
              <w:rPr>
                <w:rFonts w:ascii="Arial;Helvetica;sans-serif" w:hAnsi="Arial;Helvetica;sans-serif"/>
                <w:b/>
                <w:sz w:val="20"/>
              </w:rPr>
              <w:t>Standard Terms of Business</w:t>
            </w:r>
          </w:p>
        </w:tc>
      </w:tr>
    </w:tbl>
    <w:p>
      <w:pPr>
        <w:pStyle w:val="TextBody"/>
        <w:bidi w:val="0"/>
        <w:spacing w:before="0" w:after="0"/>
        <w:ind w:left="0" w:right="0" w:hanging="0"/>
        <w:jc w:val="left"/>
        <w:rPr/>
      </w:pPr>
      <w:r>
        <w:rPr/>
        <w:t>​</w:t>
      </w:r>
    </w:p>
    <w:p>
      <w:pPr>
        <w:pStyle w:val="TextBody"/>
        <w:bidi w:val="0"/>
        <w:spacing w:before="0" w:after="7"/>
        <w:ind w:left="480" w:right="0" w:hanging="0"/>
        <w:jc w:val="both"/>
        <w:rPr>
          <w:rFonts w:ascii="Arial;Helvetica;sans-serif" w:hAnsi="Arial;Helvetica;sans-serif"/>
          <w:sz w:val="20"/>
        </w:rPr>
      </w:pPr>
      <w:r>
        <w:rPr>
          <w:rFonts w:ascii="Arial;Helvetica;sans-serif" w:hAnsi="Arial;Helvetica;sans-serif"/>
          <w:sz w:val="20"/>
        </w:rPr>
        <w:t>Subject to any order of the Bankruptcy Court or any contrary terms of the Bankruptcy Code or the Federal Rules of Bankruptcy Procedure, the standard terms of business (the “</w:t>
      </w:r>
      <w:r>
        <w:rPr>
          <w:rFonts w:ascii="Arial;Helvetica;sans-serif" w:hAnsi="Arial;Helvetica;sans-serif"/>
          <w:b/>
          <w:sz w:val="20"/>
        </w:rPr>
        <w:t>Terms of Business</w:t>
      </w:r>
      <w:r>
        <w:rPr>
          <w:rFonts w:ascii="Arial;Helvetica;sans-serif" w:hAnsi="Arial;Helvetica;sans-serif"/>
          <w:sz w:val="20"/>
        </w:rPr>
        <w:t>”) attached to this Agreement are incorporated herein. Where the terms and conditions of this Agreement and the Terms of Business differ, this Agreement shall control.</w:t>
      </w:r>
    </w:p>
    <w:p>
      <w:pPr>
        <w:pStyle w:val="TextBody"/>
        <w:bidi w:val="0"/>
        <w:spacing w:before="0" w:after="0"/>
        <w:ind w:left="0" w:right="0" w:hanging="0"/>
        <w:jc w:val="left"/>
        <w:rPr/>
      </w:pPr>
      <w:r>
        <w:rPr/>
        <w:t>​</w:t>
      </w:r>
    </w:p>
    <w:tbl>
      <w:tblPr>
        <w:tblW w:w="3363" w:type="dxa"/>
        <w:jc w:val="left"/>
        <w:tblInd w:w="0" w:type="dxa"/>
        <w:tblLayout w:type="fixed"/>
        <w:tblCellMar>
          <w:top w:w="0" w:type="dxa"/>
          <w:left w:w="0" w:type="dxa"/>
          <w:bottom w:w="0" w:type="dxa"/>
          <w:right w:w="0" w:type="dxa"/>
        </w:tblCellMar>
      </w:tblPr>
      <w:tblGrid>
        <w:gridCol w:w="23"/>
        <w:gridCol w:w="185"/>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0"/>
              <w:jc w:val="left"/>
              <w:rPr>
                <w:rFonts w:ascii="Arial;Helvetica;sans-serif" w:hAnsi="Arial;Helvetica;sans-serif"/>
                <w:b/>
                <w:sz w:val="20"/>
              </w:rPr>
            </w:pPr>
            <w:r>
              <w:rPr>
                <w:rFonts w:ascii="Arial;Helvetica;sans-serif" w:hAnsi="Arial;Helvetica;sans-serif"/>
                <w:b/>
                <w:sz w:val="20"/>
              </w:rPr>
              <w:t>5.</w:t>
            </w:r>
          </w:p>
        </w:tc>
        <w:tc>
          <w:tcPr>
            <w:tcW w:w="3155" w:type="dxa"/>
            <w:tcBorders/>
            <w:vAlign w:val="center"/>
          </w:tcPr>
          <w:p>
            <w:pPr>
              <w:pStyle w:val="TableContents"/>
              <w:bidi w:val="0"/>
              <w:spacing w:before="0" w:after="10"/>
              <w:jc w:val="left"/>
              <w:rPr>
                <w:rFonts w:ascii="Arial;Helvetica;sans-serif" w:hAnsi="Arial;Helvetica;sans-serif"/>
                <w:b/>
                <w:sz w:val="20"/>
              </w:rPr>
            </w:pPr>
            <w:r>
              <w:rPr>
                <w:rFonts w:ascii="Arial;Helvetica;sans-serif" w:hAnsi="Arial;Helvetica;sans-serif"/>
                <w:b/>
                <w:sz w:val="20"/>
              </w:rPr>
              <w:t>Replacement of the INTERIM CEO</w:t>
            </w:r>
          </w:p>
        </w:tc>
      </w:tr>
    </w:tbl>
    <w:p>
      <w:pPr>
        <w:pStyle w:val="TextBody"/>
        <w:bidi w:val="0"/>
        <w:spacing w:before="0" w:after="0"/>
        <w:ind w:left="0" w:right="0" w:hanging="0"/>
        <w:jc w:val="left"/>
        <w:rPr/>
      </w:pPr>
      <w:r>
        <w:rPr/>
        <w:t>​</w:t>
      </w:r>
    </w:p>
    <w:p>
      <w:pPr>
        <w:pStyle w:val="TextBody"/>
        <w:bidi w:val="0"/>
        <w:spacing w:before="0" w:after="12"/>
        <w:ind w:left="480" w:right="0" w:hanging="0"/>
        <w:jc w:val="both"/>
        <w:rPr>
          <w:rFonts w:ascii="Arial;Helvetica;sans-serif" w:hAnsi="Arial;Helvetica;sans-serif"/>
          <w:sz w:val="20"/>
        </w:rPr>
      </w:pPr>
      <w:r>
        <w:rPr>
          <w:rFonts w:ascii="Arial;Helvetica;sans-serif" w:hAnsi="Arial;Helvetica;sans-serif"/>
          <w:sz w:val="20"/>
        </w:rPr>
        <w:t>In the event Mr. Gee Lefevre no longer serves as the INTERIM CEO for any reason, including death, disability, termination, or resignation (“</w:t>
      </w:r>
      <w:r>
        <w:rPr>
          <w:rFonts w:ascii="Arial;Helvetica;sans-serif" w:hAnsi="Arial;Helvetica;sans-serif"/>
          <w:b/>
          <w:sz w:val="20"/>
        </w:rPr>
        <w:t>INTERIM CEO Termination</w:t>
      </w:r>
      <w:r>
        <w:rPr>
          <w:rFonts w:ascii="Arial;Helvetica;sans-serif" w:hAnsi="Arial;Helvetica;sans-serif"/>
          <w:sz w:val="20"/>
        </w:rPr>
        <w:t>”), Teneo shall be entitled to payment of any earned but unpaid fees and reimbursement of any incurred expenses until the date of the INTERIM CEO Termination.</w:t>
      </w:r>
    </w:p>
    <w:p>
      <w:pPr>
        <w:pStyle w:val="TextBody"/>
        <w:bidi w:val="0"/>
        <w:spacing w:before="0" w:after="0"/>
        <w:ind w:left="0" w:right="0" w:hanging="0"/>
        <w:jc w:val="left"/>
        <w:rPr/>
      </w:pPr>
      <w:r>
        <w:rPr/>
        <w:t>​</w:t>
      </w:r>
    </w:p>
    <w:tbl>
      <w:tblPr>
        <w:tblW w:w="1878" w:type="dxa"/>
        <w:jc w:val="left"/>
        <w:tblInd w:w="0" w:type="dxa"/>
        <w:tblLayout w:type="fixed"/>
        <w:tblCellMar>
          <w:top w:w="0" w:type="dxa"/>
          <w:left w:w="0" w:type="dxa"/>
          <w:bottom w:w="0" w:type="dxa"/>
          <w:right w:w="0" w:type="dxa"/>
        </w:tblCellMar>
      </w:tblPr>
      <w:tblGrid>
        <w:gridCol w:w="23"/>
        <w:gridCol w:w="185"/>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0"/>
              <w:jc w:val="left"/>
              <w:rPr>
                <w:rFonts w:ascii="Arial;Helvetica;sans-serif" w:hAnsi="Arial;Helvetica;sans-serif"/>
                <w:b/>
                <w:sz w:val="20"/>
              </w:rPr>
            </w:pPr>
            <w:r>
              <w:rPr>
                <w:rFonts w:ascii="Arial;Helvetica;sans-serif" w:hAnsi="Arial;Helvetica;sans-serif"/>
                <w:b/>
                <w:sz w:val="20"/>
              </w:rPr>
              <w:t>6.</w:t>
            </w:r>
          </w:p>
        </w:tc>
        <w:tc>
          <w:tcPr>
            <w:tcW w:w="1670" w:type="dxa"/>
            <w:tcBorders/>
            <w:vAlign w:val="center"/>
          </w:tcPr>
          <w:p>
            <w:pPr>
              <w:pStyle w:val="TableContents"/>
              <w:bidi w:val="0"/>
              <w:spacing w:before="0" w:after="10"/>
              <w:jc w:val="left"/>
              <w:rPr>
                <w:rFonts w:ascii="Arial;Helvetica;sans-serif" w:hAnsi="Arial;Helvetica;sans-serif"/>
                <w:b/>
                <w:sz w:val="20"/>
              </w:rPr>
            </w:pPr>
            <w:r>
              <w:rPr>
                <w:rFonts w:ascii="Arial;Helvetica;sans-serif" w:hAnsi="Arial;Helvetica;sans-serif"/>
                <w:b/>
                <w:sz w:val="20"/>
              </w:rPr>
              <w:t>Bankruptcy Filing</w:t>
            </w:r>
          </w:p>
        </w:tc>
      </w:tr>
    </w:tbl>
    <w:p>
      <w:pPr>
        <w:pStyle w:val="TextBody"/>
        <w:bidi w:val="0"/>
        <w:spacing w:before="0" w:after="0"/>
        <w:ind w:left="0" w:right="0" w:hanging="0"/>
        <w:jc w:val="left"/>
        <w:rPr/>
      </w:pPr>
      <w:r>
        <w:rPr/>
        <w:t>​</w:t>
      </w:r>
    </w:p>
    <w:p>
      <w:pPr>
        <w:pStyle w:val="TextBody"/>
        <w:bidi w:val="0"/>
        <w:spacing w:before="0" w:after="10"/>
        <w:ind w:left="480" w:right="0" w:hanging="0"/>
        <w:jc w:val="both"/>
        <w:rPr>
          <w:rFonts w:ascii="Arial;Helvetica;sans-serif" w:hAnsi="Arial;Helvetica;sans-serif"/>
          <w:sz w:val="20"/>
        </w:rPr>
      </w:pPr>
      <w:r>
        <w:rPr>
          <w:rFonts w:ascii="Arial;Helvetica;sans-serif" w:hAnsi="Arial;Helvetica;sans-serif"/>
          <w:sz w:val="20"/>
        </w:rPr>
        <w:t>In the event that the Company is or becomes a debtor under title 11 of the United States Code (the “</w:t>
      </w:r>
      <w:r>
        <w:rPr>
          <w:rFonts w:ascii="Arial;Helvetica;sans-serif" w:hAnsi="Arial;Helvetica;sans-serif"/>
          <w:b/>
          <w:sz w:val="20"/>
        </w:rPr>
        <w:t>Bankruptcy Code</w:t>
      </w:r>
      <w:r>
        <w:rPr>
          <w:rFonts w:ascii="Arial;Helvetica;sans-serif" w:hAnsi="Arial;Helvetica;sans-serif"/>
          <w:sz w:val="20"/>
        </w:rPr>
        <w:t>”), the Company shall use its reasonable best efforts to promptly apply to the bankruptcy court having jurisdiction over the relevant case(s) (the “</w:t>
      </w:r>
      <w:r>
        <w:rPr>
          <w:rFonts w:ascii="Arial;Helvetica;sans-serif" w:hAnsi="Arial;Helvetica;sans-serif"/>
          <w:b/>
          <w:sz w:val="20"/>
        </w:rPr>
        <w:t>Bankruptcy Court</w:t>
      </w:r>
      <w:r>
        <w:rPr>
          <w:rFonts w:ascii="Arial;Helvetica;sans-serif" w:hAnsi="Arial;Helvetica;sans-serif"/>
          <w:sz w:val="20"/>
        </w:rPr>
        <w:t>”) for the approval, pursuant to sections 363(b) and 105(a) of the Bankruptcy Code, of this Agreement. The Company shall supply Teneo with a draft of such application and any proposed order authorizing Teneo’s retention sufficiently in advance of the filing of such application and proposed order to enable Teneo to review and comment, and the application and proposed order shall be in a form acceptable to Teneo. Teneo shall have no obligation to provide any services under this Agreement in the event that the Company becomes a debtor under the Bankruptcy Code unless Teneo’s retention under the terms of this Agreement is approved by a final order of the Bankruptcy Court and which order is reasonably acceptable to Teneo. If allowed under applicable law, prior to the Company commencing a case under the Bankruptcy Code, the Company shall pay all due and owing Compensation to Teneo.</w:t>
      </w:r>
    </w:p>
    <w:p>
      <w:pPr>
        <w:pStyle w:val="TextBody"/>
        <w:bidi w:val="0"/>
        <w:spacing w:before="0" w:after="0"/>
        <w:ind w:left="0" w:right="0" w:hanging="0"/>
        <w:jc w:val="left"/>
        <w:rPr/>
      </w:pPr>
      <w:r>
        <w:rPr/>
        <w:t>​</w:t>
      </w:r>
    </w:p>
    <w:p>
      <w:pPr>
        <w:pStyle w:val="TextBody"/>
        <w:bidi w:val="0"/>
        <w:spacing w:before="0" w:after="0"/>
        <w:ind w:left="480" w:right="0" w:hanging="0"/>
        <w:jc w:val="both"/>
        <w:rPr>
          <w:rFonts w:ascii="Arial;Helvetica;sans-serif" w:hAnsi="Arial;Helvetica;sans-serif"/>
          <w:sz w:val="20"/>
        </w:rPr>
      </w:pPr>
      <w:r>
        <w:rPr>
          <w:rFonts w:ascii="Arial;Helvetica;sans-serif" w:hAnsi="Arial;Helvetica;sans-serif"/>
          <w:sz w:val="20"/>
        </w:rPr>
        <w:t>The Company shall use its best efforts to provide for the payment in full, in cash, of all Compensation in any plan submitted to the Bankruptcy Court for confirmation. Teneo recognizes, however, the Company’s ability to make such payments may be subject to approval and entry of an order by the Bankruptcy Court. If a restructuring is consummated pursuant to a bankruptcy plan, all Compensation payable to Teneo shall be deemed earned and payable in full upon the effective date of the plan.</w:t>
      </w:r>
    </w:p>
    <w:p>
      <w:pPr>
        <w:pStyle w:val="TextBody"/>
        <w:bidi w:val="0"/>
        <w:spacing w:before="0" w:after="0"/>
        <w:ind w:left="48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4" descr=""/>
                    <pic:cNvPicPr>
                      <a:picLocks noChangeAspect="1" noChangeArrowheads="1"/>
                    </pic:cNvPicPr>
                  </pic:nvPicPr>
                  <pic:blipFill>
                    <a:blip r:embed="rId40"/>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tbl>
      <w:tblPr>
        <w:tblW w:w="1143" w:type="dxa"/>
        <w:jc w:val="left"/>
        <w:tblInd w:w="0" w:type="dxa"/>
        <w:tblLayout w:type="fixed"/>
        <w:tblCellMar>
          <w:top w:w="0" w:type="dxa"/>
          <w:left w:w="0" w:type="dxa"/>
          <w:bottom w:w="0" w:type="dxa"/>
          <w:right w:w="0" w:type="dxa"/>
        </w:tblCellMar>
      </w:tblPr>
      <w:tblGrid>
        <w:gridCol w:w="23"/>
        <w:gridCol w:w="185"/>
        <w:gridCol w:w="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0"/>
              <w:jc w:val="left"/>
              <w:rPr>
                <w:rFonts w:ascii="Arial;Helvetica;sans-serif" w:hAnsi="Arial;Helvetica;sans-serif"/>
                <w:b/>
                <w:sz w:val="20"/>
              </w:rPr>
            </w:pPr>
            <w:r>
              <w:rPr>
                <w:rFonts w:ascii="Arial;Helvetica;sans-serif" w:hAnsi="Arial;Helvetica;sans-serif"/>
                <w:b/>
                <w:sz w:val="20"/>
              </w:rPr>
              <w:t>7.</w:t>
            </w:r>
          </w:p>
        </w:tc>
        <w:tc>
          <w:tcPr>
            <w:tcW w:w="935" w:type="dxa"/>
            <w:tcBorders/>
            <w:vAlign w:val="center"/>
          </w:tcPr>
          <w:p>
            <w:pPr>
              <w:pStyle w:val="TableContents"/>
              <w:bidi w:val="0"/>
              <w:spacing w:before="0" w:after="10"/>
              <w:jc w:val="left"/>
              <w:rPr>
                <w:rFonts w:ascii="Arial;Helvetica;sans-serif" w:hAnsi="Arial;Helvetica;sans-serif"/>
                <w:b/>
                <w:sz w:val="20"/>
              </w:rPr>
            </w:pPr>
            <w:r>
              <w:rPr>
                <w:rFonts w:ascii="Arial;Helvetica;sans-serif" w:hAnsi="Arial;Helvetica;sans-serif"/>
                <w:b/>
                <w:sz w:val="20"/>
              </w:rPr>
              <w:t>Insurance</w:t>
            </w:r>
          </w:p>
        </w:tc>
      </w:tr>
    </w:tbl>
    <w:p>
      <w:pPr>
        <w:pStyle w:val="TextBody"/>
        <w:bidi w:val="0"/>
        <w:spacing w:before="0" w:after="0"/>
        <w:ind w:left="0" w:right="0" w:hanging="0"/>
        <w:jc w:val="left"/>
        <w:rPr/>
      </w:pPr>
      <w:r>
        <w:rPr/>
        <w:t>​</w:t>
      </w:r>
    </w:p>
    <w:p>
      <w:pPr>
        <w:pStyle w:val="TextBody"/>
        <w:bidi w:val="0"/>
        <w:spacing w:before="0" w:after="1"/>
        <w:ind w:left="480" w:right="0" w:hanging="0"/>
        <w:jc w:val="both"/>
        <w:rPr>
          <w:rFonts w:ascii="Arial;Helvetica;sans-serif" w:hAnsi="Arial;Helvetica;sans-serif"/>
          <w:sz w:val="20"/>
        </w:rPr>
      </w:pPr>
      <w:r>
        <w:rPr>
          <w:rFonts w:ascii="Arial;Helvetica;sans-serif" w:hAnsi="Arial;Helvetica;sans-serif"/>
          <w:sz w:val="20"/>
        </w:rPr>
        <w:t>The Company shall specifically include and cover the INTERIM CEO under the Company’s policy for directors’ and officers’ (“</w:t>
      </w:r>
      <w:r>
        <w:rPr>
          <w:rFonts w:ascii="Arial;Helvetica;sans-serif" w:hAnsi="Arial;Helvetica;sans-serif"/>
          <w:b/>
          <w:sz w:val="20"/>
        </w:rPr>
        <w:t>D&amp;O</w:t>
      </w:r>
      <w:r>
        <w:rPr>
          <w:rFonts w:ascii="Arial;Helvetica;sans-serif" w:hAnsi="Arial;Helvetica;sans-serif"/>
          <w:sz w:val="20"/>
        </w:rPr>
        <w:t>”) insurance. The Company represents and warrants that it has up to $20 million in customary D&amp;O insurance, which is currently in effect and accurately described in the binding documents provided to Teneo. Additionally, the Company shall procure and maintain, during the entirety of the Engagement Period, a dedicated directors’ and officers’ insurance policy providing extended run-off coverage for a period of six (6) years following expiration of the Engagement Period, for the Company’s obligation to indemnify the INTERIM CEO (the “</w:t>
      </w:r>
      <w:r>
        <w:rPr>
          <w:rFonts w:ascii="Arial;Helvetica;sans-serif" w:hAnsi="Arial;Helvetica;sans-serif"/>
          <w:b/>
          <w:sz w:val="20"/>
        </w:rPr>
        <w:t>Run-Off Insurance</w:t>
      </w:r>
      <w:r>
        <w:rPr>
          <w:rFonts w:ascii="Arial;Helvetica;sans-serif" w:hAnsi="Arial;Helvetica;sans-serif"/>
          <w:sz w:val="20"/>
        </w:rPr>
        <w:t>”). The Run-Off Insurance shall be for an aggregate coverage amount of $10 million. The Company shall take all commercially reasonable steps to maintain such D&amp;O coverages, or substantially similar insurances, without lapse or material diminution in available coverage during the entirety of the Engagement Period. In the event of such lapse or material diminution, Teneo may (a) terminate the Engagement immediately and without liability for such termination, or</w:t>
      </w:r>
    </w:p>
    <w:p>
      <w:pPr>
        <w:pStyle w:val="TextBody"/>
        <w:bidi w:val="0"/>
        <w:spacing w:before="0" w:after="9"/>
        <w:ind w:left="480" w:right="0" w:hanging="0"/>
        <w:jc w:val="both"/>
        <w:rPr>
          <w:rFonts w:ascii="Arial;Helvetica;sans-serif" w:hAnsi="Arial;Helvetica;sans-serif"/>
          <w:sz w:val="20"/>
        </w:rPr>
      </w:pPr>
      <w:r>
        <w:rPr>
          <w:rFonts w:ascii="Arial;Helvetica;sans-serif" w:hAnsi="Arial;Helvetica;sans-serif"/>
          <w:sz w:val="20"/>
        </w:rPr>
        <w:t>(b) purchase a separate D&amp;O policy, acceptable to Teneo, in its reasonable discretion, that will cover the INTERIM CEO and the cost of which shall be paid by the Company directly or invoiced as an out-of-pocket expense, at Teneo’s election. If Teneo cannot reasonably obtain such D&amp;O insurance, then Teneo reserves the right to terminate this Agreement without any liability for such termination. The obligations of the parties as set forth herein shall survive the termination of the Engagement.</w:t>
      </w:r>
    </w:p>
    <w:p>
      <w:pPr>
        <w:pStyle w:val="TextBody"/>
        <w:bidi w:val="0"/>
        <w:spacing w:before="0" w:after="0"/>
        <w:ind w:left="0" w:right="0" w:hanging="0"/>
        <w:jc w:val="left"/>
        <w:rPr/>
      </w:pPr>
      <w:r>
        <w:rPr/>
        <w:t>​</w:t>
      </w:r>
    </w:p>
    <w:tbl>
      <w:tblPr>
        <w:tblW w:w="3903" w:type="dxa"/>
        <w:jc w:val="left"/>
        <w:tblInd w:w="0" w:type="dxa"/>
        <w:tblLayout w:type="fixed"/>
        <w:tblCellMar>
          <w:top w:w="0" w:type="dxa"/>
          <w:left w:w="0" w:type="dxa"/>
          <w:bottom w:w="0" w:type="dxa"/>
          <w:right w:w="0" w:type="dxa"/>
        </w:tblCellMar>
      </w:tblPr>
      <w:tblGrid>
        <w:gridCol w:w="23"/>
        <w:gridCol w:w="185"/>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1"/>
              <w:jc w:val="left"/>
              <w:rPr>
                <w:rFonts w:ascii="Arial;Helvetica;sans-serif" w:hAnsi="Arial;Helvetica;sans-serif"/>
                <w:b/>
                <w:sz w:val="20"/>
              </w:rPr>
            </w:pPr>
            <w:r>
              <w:rPr>
                <w:rFonts w:ascii="Arial;Helvetica;sans-serif" w:hAnsi="Arial;Helvetica;sans-serif"/>
                <w:b/>
                <w:sz w:val="20"/>
              </w:rPr>
              <w:t>8.</w:t>
            </w:r>
          </w:p>
        </w:tc>
        <w:tc>
          <w:tcPr>
            <w:tcW w:w="3695" w:type="dxa"/>
            <w:tcBorders/>
            <w:vAlign w:val="center"/>
          </w:tcPr>
          <w:p>
            <w:pPr>
              <w:pStyle w:val="TableContents"/>
              <w:bidi w:val="0"/>
              <w:spacing w:before="0" w:after="11"/>
              <w:jc w:val="left"/>
              <w:rPr>
                <w:rFonts w:ascii="Arial;Helvetica;sans-serif" w:hAnsi="Arial;Helvetica;sans-serif"/>
                <w:b/>
                <w:sz w:val="20"/>
              </w:rPr>
            </w:pPr>
            <w:r>
              <w:rPr>
                <w:rFonts w:ascii="Arial;Helvetica;sans-serif" w:hAnsi="Arial;Helvetica;sans-serif"/>
                <w:b/>
                <w:sz w:val="20"/>
              </w:rPr>
              <w:t>Counterparts and Electronic Signatures</w:t>
            </w:r>
          </w:p>
        </w:tc>
      </w:tr>
    </w:tbl>
    <w:p>
      <w:pPr>
        <w:pStyle w:val="TextBody"/>
        <w:bidi w:val="0"/>
        <w:spacing w:before="0" w:after="0"/>
        <w:ind w:left="0" w:right="0" w:hanging="0"/>
        <w:jc w:val="left"/>
        <w:rPr/>
      </w:pPr>
      <w:r>
        <w:rPr/>
        <w:t>​</w:t>
      </w:r>
    </w:p>
    <w:p>
      <w:pPr>
        <w:pStyle w:val="TextBody"/>
        <w:bidi w:val="0"/>
        <w:spacing w:before="0" w:after="9"/>
        <w:ind w:left="478" w:right="0" w:hanging="0"/>
        <w:jc w:val="both"/>
        <w:rPr>
          <w:rFonts w:ascii="Arial;Helvetica;sans-serif" w:hAnsi="Arial;Helvetica;sans-serif"/>
          <w:sz w:val="20"/>
        </w:rPr>
      </w:pPr>
      <w:r>
        <w:rPr>
          <w:rFonts w:ascii="Arial;Helvetica;sans-serif" w:hAnsi="Arial;Helvetica;sans-serif"/>
          <w:sz w:val="20"/>
        </w:rPr>
        <w:t>This Agreement may be executed in multiple counterparts, each of which shall be deemed an original agreement and all of which shall constitute one and the same instrument. The counterparts of this Agreement may be executed and delivered by facsimile or other electronic signature (including portable document format) by any of the parties, and the receiving party(ies) may rely on the receipt of such document so executed and delivered by facsimile or electronically as if the original had been received.</w:t>
      </w:r>
    </w:p>
    <w:p>
      <w:pPr>
        <w:pStyle w:val="TextBody"/>
        <w:bidi w:val="0"/>
        <w:spacing w:before="0" w:after="0"/>
        <w:ind w:left="0" w:right="0" w:hanging="0"/>
        <w:jc w:val="left"/>
        <w:rPr/>
      </w:pPr>
      <w:r>
        <w:rPr/>
        <w:t>​</w:t>
      </w:r>
    </w:p>
    <w:tbl>
      <w:tblPr>
        <w:tblW w:w="918" w:type="dxa"/>
        <w:jc w:val="left"/>
        <w:tblInd w:w="0" w:type="dxa"/>
        <w:tblLayout w:type="fixed"/>
        <w:tblCellMar>
          <w:top w:w="0" w:type="dxa"/>
          <w:left w:w="0" w:type="dxa"/>
          <w:bottom w:w="0" w:type="dxa"/>
          <w:right w:w="0" w:type="dxa"/>
        </w:tblCellMar>
      </w:tblPr>
      <w:tblGrid>
        <w:gridCol w:w="23"/>
        <w:gridCol w:w="185"/>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2"/>
              <w:jc w:val="left"/>
              <w:rPr>
                <w:rFonts w:ascii="Arial;Helvetica;sans-serif" w:hAnsi="Arial;Helvetica;sans-serif"/>
                <w:b/>
                <w:sz w:val="20"/>
              </w:rPr>
            </w:pPr>
            <w:r>
              <w:rPr>
                <w:rFonts w:ascii="Arial;Helvetica;sans-serif" w:hAnsi="Arial;Helvetica;sans-serif"/>
                <w:b/>
                <w:sz w:val="20"/>
              </w:rPr>
              <w:t>9.</w:t>
            </w:r>
          </w:p>
        </w:tc>
        <w:tc>
          <w:tcPr>
            <w:tcW w:w="710" w:type="dxa"/>
            <w:tcBorders/>
            <w:vAlign w:val="center"/>
          </w:tcPr>
          <w:p>
            <w:pPr>
              <w:pStyle w:val="TableContents"/>
              <w:bidi w:val="0"/>
              <w:spacing w:before="0" w:after="22"/>
              <w:jc w:val="left"/>
              <w:rPr>
                <w:rFonts w:ascii="Arial;Helvetica;sans-serif" w:hAnsi="Arial;Helvetica;sans-serif"/>
                <w:b/>
                <w:sz w:val="20"/>
              </w:rPr>
            </w:pPr>
            <w:r>
              <w:rPr>
                <w:rFonts w:ascii="Arial;Helvetica;sans-serif" w:hAnsi="Arial;Helvetica;sans-serif"/>
                <w:b/>
                <w:sz w:val="20"/>
              </w:rPr>
              <w:t>Notices</w:t>
            </w:r>
          </w:p>
        </w:tc>
      </w:tr>
    </w:tbl>
    <w:p>
      <w:pPr>
        <w:pStyle w:val="TextBody"/>
        <w:bidi w:val="0"/>
        <w:spacing w:before="0" w:after="10"/>
        <w:ind w:left="480" w:right="0" w:hanging="0"/>
        <w:jc w:val="both"/>
        <w:rPr>
          <w:rFonts w:ascii="Arial;Helvetica;sans-serif" w:hAnsi="Arial;Helvetica;sans-serif"/>
          <w:sz w:val="20"/>
        </w:rPr>
      </w:pPr>
      <w:r>
        <w:rPr>
          <w:rFonts w:ascii="Arial;Helvetica;sans-serif" w:hAnsi="Arial;Helvetica;sans-serif"/>
          <w:sz w:val="20"/>
        </w:rPr>
        <w:t>All notices required or permitted to be given under this Agreement shall be in writing and shall be deemed to have been given and received (a) when personally delivered or delivered by same-day courier; (b) on the third business day after mailing by registered or certified mail; (c) upon delivery when sent by prepaid overnight express delivery service (</w:t>
      </w:r>
      <w:r>
        <w:rPr>
          <w:rFonts w:ascii="Arial;Helvetica;sans-serif" w:hAnsi="Arial;Helvetica;sans-serif"/>
          <w:i/>
          <w:sz w:val="20"/>
        </w:rPr>
        <w:t>e.g.</w:t>
      </w:r>
      <w:r>
        <w:rPr>
          <w:rFonts w:ascii="Arial;Helvetica;sans-serif" w:hAnsi="Arial;Helvetica;sans-serif"/>
          <w:sz w:val="20"/>
        </w:rPr>
        <w:t>, FedEx, UPS); or (d) when sent via email or facsimile and upon the receipt by the sending party of written confirmation by the receiving party; provided, however, that an automated facsimile or email confirmation of delivery or read receipt shall not constitute such confirmation; and, in any case addressed to the addresses set forth below, which may be updated by the parties to this Engagement in writing from time to time.</w:t>
      </w:r>
    </w:p>
    <w:p>
      <w:pPr>
        <w:pStyle w:val="TextBody"/>
        <w:bidi w:val="0"/>
        <w:spacing w:before="0" w:after="0"/>
        <w:ind w:left="0" w:right="0" w:hanging="0"/>
        <w:jc w:val="left"/>
        <w:rPr/>
      </w:pPr>
      <w:r>
        <w:rPr/>
        <w:t>​</w:t>
      </w:r>
    </w:p>
    <w:p>
      <w:pPr>
        <w:pStyle w:val="TextBody"/>
        <w:bidi w:val="0"/>
        <w:spacing w:before="0" w:after="0"/>
        <w:ind w:left="478" w:right="0" w:hanging="0"/>
        <w:jc w:val="left"/>
        <w:rPr>
          <w:rFonts w:ascii="Arial;Helvetica;sans-serif" w:hAnsi="Arial;Helvetica;sans-serif"/>
          <w:sz w:val="20"/>
        </w:rPr>
      </w:pPr>
      <w:r>
        <w:rPr>
          <w:rFonts w:ascii="Arial;Helvetica;sans-serif" w:hAnsi="Arial;Helvetica;sans-serif"/>
          <w:sz w:val="20"/>
        </w:rPr>
        <w:t>Mr. Guillaume (Gee) Lefevre</w:t>
      </w:r>
    </w:p>
    <w:p>
      <w:pPr>
        <w:pStyle w:val="TextBody"/>
        <w:bidi w:val="0"/>
        <w:spacing w:before="0" w:after="0"/>
        <w:ind w:left="478" w:right="0" w:hanging="0"/>
        <w:jc w:val="left"/>
        <w:rPr>
          <w:rFonts w:ascii="Arial;Helvetica;sans-serif" w:hAnsi="Arial;Helvetica;sans-serif"/>
          <w:sz w:val="20"/>
        </w:rPr>
      </w:pPr>
      <w:r>
        <w:rPr>
          <w:rFonts w:ascii="Arial;Helvetica;sans-serif" w:hAnsi="Arial;Helvetica;sans-serif"/>
          <w:sz w:val="20"/>
        </w:rPr>
        <w:t>Teneo Capital LLC</w:t>
      </w:r>
    </w:p>
    <w:p>
      <w:pPr>
        <w:pStyle w:val="TextBody"/>
        <w:bidi w:val="0"/>
        <w:spacing w:before="0" w:after="0"/>
        <w:ind w:left="478" w:right="0" w:hanging="0"/>
        <w:jc w:val="left"/>
        <w:rPr>
          <w:rFonts w:ascii="Arial;Helvetica;sans-serif" w:hAnsi="Arial;Helvetica;sans-serif"/>
          <w:sz w:val="20"/>
        </w:rPr>
      </w:pPr>
      <w:r>
        <w:rPr>
          <w:rFonts w:ascii="Arial;Helvetica;sans-serif" w:hAnsi="Arial;Helvetica;sans-serif"/>
          <w:sz w:val="20"/>
        </w:rPr>
        <w:t>280 Park Avenue, 4th Floor</w:t>
      </w:r>
    </w:p>
    <w:p>
      <w:pPr>
        <w:pStyle w:val="TextBody"/>
        <w:bidi w:val="0"/>
        <w:spacing w:before="0" w:after="0"/>
        <w:ind w:left="478" w:right="0" w:hanging="0"/>
        <w:jc w:val="left"/>
        <w:rPr>
          <w:rFonts w:ascii="Arial;Helvetica;sans-serif" w:hAnsi="Arial;Helvetica;sans-serif"/>
          <w:sz w:val="20"/>
        </w:rPr>
      </w:pPr>
      <w:r>
        <w:rPr>
          <w:rFonts w:ascii="Arial;Helvetica;sans-serif" w:hAnsi="Arial;Helvetica;sans-serif"/>
          <w:sz w:val="20"/>
        </w:rPr>
        <w:t>New York, NY 10017</w:t>
      </w:r>
    </w:p>
    <w:p>
      <w:pPr>
        <w:pStyle w:val="TextBody"/>
        <w:bidi w:val="0"/>
        <w:spacing w:before="0" w:after="0"/>
        <w:ind w:left="478" w:right="0" w:hanging="0"/>
        <w:jc w:val="left"/>
        <w:rPr>
          <w:rFonts w:ascii="Arial;Helvetica;sans-serif" w:hAnsi="Arial;Helvetica;sans-serif"/>
          <w:sz w:val="20"/>
        </w:rPr>
      </w:pPr>
      <w:r>
        <w:rPr>
          <w:rFonts w:ascii="Arial;Helvetica;sans-serif" w:hAnsi="Arial;Helvetica;sans-serif"/>
          <w:sz w:val="20"/>
        </w:rPr>
        <w:t>Gee.lefevre@teneo.com</w:t>
      </w:r>
    </w:p>
    <w:p>
      <w:pPr>
        <w:pStyle w:val="TextBody"/>
        <w:bidi w:val="0"/>
        <w:spacing w:before="0" w:after="0"/>
        <w:ind w:left="478"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5" descr=""/>
                    <pic:cNvPicPr>
                      <a:picLocks noChangeAspect="1" noChangeArrowheads="1"/>
                    </pic:cNvPicPr>
                  </pic:nvPicPr>
                  <pic:blipFill>
                    <a:blip r:embed="rId41"/>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tbl>
      <w:tblPr>
        <w:tblW w:w="2223" w:type="dxa"/>
        <w:jc w:val="left"/>
        <w:tblInd w:w="0" w:type="dxa"/>
        <w:tblLayout w:type="fixed"/>
        <w:tblCellMar>
          <w:top w:w="0" w:type="dxa"/>
          <w:left w:w="0" w:type="dxa"/>
          <w:bottom w:w="0" w:type="dxa"/>
          <w:right w:w="0" w:type="dxa"/>
        </w:tblCellMar>
      </w:tblPr>
      <w:tblGrid>
        <w:gridCol w:w="23"/>
        <w:gridCol w:w="29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
              <w:jc w:val="left"/>
              <w:rPr>
                <w:rFonts w:ascii="Arial;Helvetica;sans-serif" w:hAnsi="Arial;Helvetica;sans-serif"/>
                <w:b/>
                <w:sz w:val="20"/>
              </w:rPr>
            </w:pPr>
            <w:r>
              <w:rPr>
                <w:rFonts w:ascii="Arial;Helvetica;sans-serif" w:hAnsi="Arial;Helvetica;sans-serif"/>
                <w:b/>
                <w:sz w:val="20"/>
              </w:rPr>
              <w:t>10.</w:t>
            </w:r>
          </w:p>
        </w:tc>
        <w:tc>
          <w:tcPr>
            <w:tcW w:w="1910" w:type="dxa"/>
            <w:tcBorders/>
            <w:vAlign w:val="center"/>
          </w:tcPr>
          <w:p>
            <w:pPr>
              <w:pStyle w:val="TableContents"/>
              <w:bidi w:val="0"/>
              <w:spacing w:before="0" w:after="28"/>
              <w:jc w:val="left"/>
              <w:rPr>
                <w:rFonts w:ascii="Arial;Helvetica;sans-serif" w:hAnsi="Arial;Helvetica;sans-serif"/>
                <w:b/>
                <w:sz w:val="20"/>
              </w:rPr>
            </w:pPr>
            <w:r>
              <w:rPr>
                <w:rFonts w:ascii="Arial;Helvetica;sans-serif" w:hAnsi="Arial;Helvetica;sans-serif"/>
                <w:b/>
                <w:sz w:val="20"/>
              </w:rPr>
              <w:t>Agreement to Terms</w:t>
            </w:r>
          </w:p>
        </w:tc>
      </w:tr>
    </w:tbl>
    <w:p>
      <w:pPr>
        <w:pStyle w:val="TextBody"/>
        <w:bidi w:val="0"/>
        <w:spacing w:before="0" w:after="9"/>
        <w:ind w:left="478" w:right="0" w:hanging="0"/>
        <w:jc w:val="left"/>
        <w:rPr>
          <w:rFonts w:ascii="Arial;Helvetica;sans-serif" w:hAnsi="Arial;Helvetica;sans-serif"/>
          <w:sz w:val="20"/>
        </w:rPr>
      </w:pPr>
      <w:r>
        <w:rPr>
          <w:rFonts w:ascii="Arial;Helvetica;sans-serif" w:hAnsi="Arial;Helvetica;sans-serif"/>
          <w:sz w:val="20"/>
        </w:rPr>
        <w:t>Please confirm your written acceptance of this Agreement by signing and returning the attached copy.</w:t>
      </w:r>
    </w:p>
    <w:p>
      <w:pPr>
        <w:pStyle w:val="TextBody"/>
        <w:bidi w:val="0"/>
        <w:spacing w:before="0" w:after="1"/>
        <w:ind w:left="0" w:right="0" w:hanging="0"/>
        <w:jc w:val="left"/>
        <w:rPr/>
      </w:pPr>
      <w:r>
        <w:rPr/>
        <w:t>​</w:t>
      </w:r>
    </w:p>
    <w:p>
      <w:pPr>
        <w:pStyle w:val="TextBody"/>
        <w:bidi w:val="0"/>
        <w:spacing w:before="0" w:after="27"/>
        <w:ind w:left="120" w:right="0" w:hanging="0"/>
        <w:jc w:val="left"/>
        <w:rPr>
          <w:rFonts w:ascii="Arial;Helvetica;sans-serif" w:hAnsi="Arial;Helvetica;sans-serif"/>
          <w:sz w:val="20"/>
        </w:rPr>
      </w:pPr>
      <w:r>
        <w:rPr>
          <w:rFonts w:ascii="Arial;Helvetica;sans-serif" w:hAnsi="Arial;Helvetica;sans-serif"/>
          <w:sz w:val="20"/>
        </w:rPr>
        <w:t>Yours faithfully</w:t>
      </w:r>
    </w:p>
    <w:p>
      <w:pPr>
        <w:pStyle w:val="TextBody"/>
        <w:bidi w:val="0"/>
        <w:spacing w:before="0" w:after="0"/>
        <w:ind w:left="0" w:right="0" w:hanging="0"/>
        <w:jc w:val="left"/>
        <w:rPr/>
      </w:pPr>
      <w:r>
        <w:rPr/>
        <w:t>​</w:t>
      </w:r>
    </w:p>
    <w:p>
      <w:pPr>
        <w:pStyle w:val="TextBody"/>
        <w:bidi w:val="0"/>
        <w:spacing w:before="0" w:after="2"/>
        <w:ind w:left="120" w:right="0" w:hanging="0"/>
        <w:jc w:val="left"/>
        <w:rPr>
          <w:rFonts w:ascii="Arial;Helvetica;sans-serif" w:hAnsi="Arial;Helvetica;sans-serif"/>
          <w:b/>
          <w:sz w:val="20"/>
        </w:rPr>
      </w:pPr>
      <w:r>
        <w:rPr>
          <w:rFonts w:ascii="Arial;Helvetica;sans-serif" w:hAnsi="Arial;Helvetica;sans-serif"/>
          <w:b/>
          <w:sz w:val="20"/>
        </w:rPr>
        <w:t xml:space="preserve">Guillaume (Gee) Lefevre </w:t>
      </w:r>
    </w:p>
    <w:p>
      <w:pPr>
        <w:pStyle w:val="TextBody"/>
        <w:bidi w:val="0"/>
        <w:spacing w:before="0" w:after="2"/>
        <w:ind w:left="120" w:right="0" w:hanging="0"/>
        <w:jc w:val="left"/>
        <w:rPr/>
      </w:pPr>
      <w:r>
        <w:rPr/>
        <w:t>​</w:t>
      </w:r>
    </w:p>
    <w:p>
      <w:pPr>
        <w:pStyle w:val="TextBody"/>
        <w:bidi w:val="0"/>
        <w:spacing w:before="0" w:after="2"/>
        <w:ind w:left="120" w:right="0" w:hanging="0"/>
        <w:jc w:val="left"/>
        <w:rPr>
          <w:rFonts w:ascii="Arial;Helvetica;sans-serif" w:hAnsi="Arial;Helvetica;sans-serif"/>
          <w:sz w:val="20"/>
        </w:rPr>
      </w:pPr>
      <w:r>
        <w:rPr>
          <w:rFonts w:ascii="Arial;Helvetica;sans-serif" w:hAnsi="Arial;Helvetica;sans-serif"/>
          <w:b/>
          <w:sz w:val="20"/>
        </w:rPr>
        <w:t>Senior Managing Director</w:t>
        <w:br/>
      </w:r>
      <w:r>
        <w:rPr>
          <w:rFonts w:ascii="Arial;Helvetica;sans-serif" w:hAnsi="Arial;Helvetica;sans-serif"/>
          <w:sz w:val="20"/>
        </w:rPr>
        <w:t>​</w:t>
      </w:r>
    </w:p>
    <w:p>
      <w:pPr>
        <w:pStyle w:val="TextBody"/>
        <w:bidi w:val="0"/>
        <w:spacing w:before="0" w:after="77"/>
        <w:ind w:left="115" w:right="0" w:hanging="0"/>
        <w:jc w:val="left"/>
        <w:rPr>
          <w:rFonts w:ascii="Arial;Helvetica;sans-serif" w:hAnsi="Arial;Helvetica;sans-serif"/>
          <w:sz w:val="18"/>
        </w:rPr>
      </w:pPr>
      <w:r>
        <w:rPr>
          <w:rFonts w:ascii="Arial;Helvetica;sans-serif" w:hAnsi="Arial;Helvetica;sans-serif"/>
          <w:sz w:val="18"/>
        </w:rPr>
        <w:t>/s/ Guillaume Lefevre</w:t>
      </w:r>
    </w:p>
    <w:p>
      <w:pPr>
        <w:pStyle w:val="TextBody"/>
        <w:bidi w:val="0"/>
        <w:spacing w:before="0" w:after="85"/>
        <w:ind w:left="120" w:right="0" w:hanging="0"/>
        <w:jc w:val="left"/>
        <w:rPr>
          <w:rFonts w:ascii="Arial;Helvetica;sans-serif" w:hAnsi="Arial;Helvetica;sans-serif"/>
          <w:sz w:val="12"/>
        </w:rPr>
      </w:pPr>
      <w:r>
        <w:rPr>
          <w:rFonts w:ascii="Arial;Helvetica;sans-serif" w:hAnsi="Arial;Helvetica;sans-serif"/>
          <w:sz w:val="20"/>
        </w:rPr>
        <w:t>20</w:t>
      </w:r>
      <w:r>
        <w:rPr>
          <w:rFonts w:ascii="Arial;Helvetica;sans-serif" w:hAnsi="Arial;Helvetica;sans-serif"/>
          <w:sz w:val="13"/>
        </w:rPr>
        <w:t xml:space="preserve">th </w:t>
      </w:r>
      <w:r>
        <w:rPr>
          <w:rFonts w:ascii="Arial;Helvetica;sans-serif" w:hAnsi="Arial;Helvetica;sans-serif"/>
          <w:sz w:val="20"/>
        </w:rPr>
        <w:t>February 2024</w:t>
      </w:r>
    </w:p>
    <w:p>
      <w:pPr>
        <w:pStyle w:val="TextBody"/>
        <w:bidi w:val="0"/>
        <w:spacing w:before="0" w:after="0"/>
        <w:ind w:left="0" w:right="0" w:hanging="0"/>
        <w:jc w:val="left"/>
        <w:rPr/>
      </w:pPr>
      <w:r>
        <w:rPr/>
        <w:t>​</w:t>
      </w:r>
    </w:p>
    <w:p>
      <w:pPr>
        <w:pStyle w:val="TextBody"/>
        <w:bidi w:val="0"/>
        <w:spacing w:before="0" w:after="49"/>
        <w:ind w:left="120" w:right="0" w:hanging="0"/>
        <w:jc w:val="left"/>
        <w:rPr>
          <w:rFonts w:ascii="Arial;Helvetica;sans-serif" w:hAnsi="Arial;Helvetica;sans-serif"/>
          <w:sz w:val="20"/>
        </w:rPr>
      </w:pPr>
      <w:r>
        <w:rPr>
          <w:rFonts w:ascii="Arial;Helvetica;sans-serif" w:hAnsi="Arial;Helvetica;sans-serif"/>
          <w:sz w:val="20"/>
        </w:rPr>
        <w:t>I accept the terms of this Agreement on behalf of PRESTO AUTOMATION INC.</w:t>
      </w:r>
    </w:p>
    <w:p>
      <w:pPr>
        <w:pStyle w:val="TextBody"/>
        <w:bidi w:val="0"/>
        <w:spacing w:before="0" w:after="0"/>
        <w:ind w:left="0" w:right="0" w:hanging="0"/>
        <w:jc w:val="left"/>
        <w:rPr/>
      </w:pPr>
      <w:r>
        <w:rPr/>
        <w:t>​</w:t>
      </w:r>
    </w:p>
    <w:tbl>
      <w:tblPr>
        <w:tblW w:w="3886" w:type="dxa"/>
        <w:jc w:val="left"/>
        <w:tblInd w:w="0" w:type="dxa"/>
        <w:tblLayout w:type="fixed"/>
        <w:tblCellMar>
          <w:top w:w="0" w:type="dxa"/>
          <w:left w:w="0" w:type="dxa"/>
          <w:bottom w:w="0" w:type="dxa"/>
          <w:right w:w="0" w:type="dxa"/>
        </w:tblCellMar>
      </w:tblPr>
      <w:tblGrid>
        <w:gridCol w:w="721"/>
        <w:gridCol w:w="2871"/>
        <w:gridCol w:w="294"/>
      </w:tblGrid>
      <w:tr>
        <w:trPr/>
        <w:tc>
          <w:tcPr>
            <w:tcW w:w="721" w:type="dxa"/>
            <w:tcBorders/>
            <w:vAlign w:val="center"/>
          </w:tcPr>
          <w:p>
            <w:pPr>
              <w:pStyle w:val="TableContents"/>
              <w:bidi w:val="0"/>
              <w:spacing w:before="0" w:after="0"/>
              <w:ind w:left="0" w:right="0" w:hanging="0"/>
              <w:jc w:val="left"/>
              <w:rPr/>
            </w:pPr>
            <w:r>
              <w:rPr/>
              <w:t>​</w:t>
            </w:r>
          </w:p>
        </w:tc>
        <w:tc>
          <w:tcPr>
            <w:tcW w:w="3165" w:type="dxa"/>
            <w:gridSpan w:val="2"/>
            <w:tcBorders/>
            <w:vAlign w:val="center"/>
          </w:tcPr>
          <w:p>
            <w:pPr>
              <w:pStyle w:val="TableContents"/>
              <w:bidi w:val="0"/>
              <w:spacing w:before="0" w:after="0"/>
              <w:ind w:left="0" w:right="0" w:hanging="0"/>
              <w:jc w:val="left"/>
              <w:rPr/>
            </w:pPr>
            <w:r>
              <w:rPr/>
              <w:t>​</w:t>
            </w:r>
          </w:p>
        </w:tc>
      </w:tr>
      <w:tr>
        <w:trPr/>
        <w:tc>
          <w:tcPr>
            <w:tcW w:w="721" w:type="dxa"/>
            <w:tcBorders>
              <w:top w:val="single" w:sz="2" w:space="0" w:color="BEBEBE"/>
              <w:left w:val="single" w:sz="2" w:space="0" w:color="BEBEBE"/>
              <w:bottom w:val="single" w:sz="2" w:space="0" w:color="BEBEBE"/>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Signed</w:t>
            </w:r>
          </w:p>
        </w:tc>
        <w:tc>
          <w:tcPr>
            <w:tcW w:w="2871" w:type="dxa"/>
            <w:tcBorders>
              <w:top w:val="single" w:sz="2" w:space="0" w:color="BEBEBE"/>
              <w:left w:val="single" w:sz="2" w:space="0" w:color="BEBEBE"/>
              <w:bottom w:val="single" w:sz="2" w:space="0" w:color="000000"/>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 Krishna Gupta</w:t>
            </w:r>
          </w:p>
        </w:tc>
        <w:tc>
          <w:tcPr>
            <w:tcW w:w="294" w:type="dxa"/>
            <w:tcBorders>
              <w:top w:val="single" w:sz="2" w:space="0" w:color="BEBEBE"/>
              <w:left w:val="single" w:sz="2" w:space="0" w:color="BEBEBE"/>
              <w:bottom w:val="single" w:sz="2" w:space="0" w:color="BEBEBE"/>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r>
      <w:tr>
        <w:trPr/>
        <w:tc>
          <w:tcPr>
            <w:tcW w:w="721" w:type="dxa"/>
            <w:tcBorders>
              <w:top w:val="single" w:sz="2" w:space="0" w:color="BEBEBE"/>
              <w:left w:val="single" w:sz="2" w:space="0" w:color="BEBEBE"/>
              <w:bottom w:val="single" w:sz="2" w:space="0" w:color="BEBEBE"/>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165" w:type="dxa"/>
            <w:gridSpan w:val="2"/>
            <w:tcBorders>
              <w:top w:val="single" w:sz="2" w:space="0" w:color="BEBEBE"/>
              <w:left w:val="single" w:sz="2" w:space="0" w:color="BEBEBE"/>
              <w:bottom w:val="single" w:sz="2" w:space="0" w:color="BEBEBE"/>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Krishna Gupta</w:t>
            </w:r>
          </w:p>
        </w:tc>
      </w:tr>
      <w:tr>
        <w:trPr/>
        <w:tc>
          <w:tcPr>
            <w:tcW w:w="721" w:type="dxa"/>
            <w:tcBorders>
              <w:top w:val="single" w:sz="2" w:space="0" w:color="BEBEBE"/>
              <w:left w:val="single" w:sz="2" w:space="0" w:color="BEBEBE"/>
              <w:bottom w:val="single" w:sz="2" w:space="0" w:color="BEBEBE"/>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w:t>
            </w:r>
          </w:p>
        </w:tc>
        <w:tc>
          <w:tcPr>
            <w:tcW w:w="3165" w:type="dxa"/>
            <w:gridSpan w:val="2"/>
            <w:tcBorders>
              <w:top w:val="single" w:sz="2" w:space="0" w:color="BEBEBE"/>
              <w:left w:val="single" w:sz="2" w:space="0" w:color="BEBEBE"/>
              <w:bottom w:val="single" w:sz="2" w:space="0" w:color="BEBEBE"/>
              <w:right w:val="single" w:sz="2" w:space="0" w:color="BEBEBE"/>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 February 2024 | 11:02:48 AM PST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6" descr=""/>
                    <pic:cNvPicPr>
                      <a:picLocks noChangeAspect="1" noChangeArrowheads="1"/>
                    </pic:cNvPicPr>
                  </pic:nvPicPr>
                  <pic:blipFill>
                    <a:blip r:embed="rId42"/>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Teneo Capital LLC Terms of Business</w:t>
      </w:r>
    </w:p>
    <w:p>
      <w:pPr>
        <w:pStyle w:val="TextBody"/>
        <w:bidi w:val="0"/>
        <w:spacing w:before="0" w:after="0"/>
        <w:ind w:left="0" w:right="0" w:hanging="0"/>
        <w:jc w:val="center"/>
        <w:rPr/>
      </w:pPr>
      <w:r>
        <w:rPr/>
        <w:t>​</w:t>
      </w:r>
    </w:p>
    <w:p>
      <w:pPr>
        <w:pStyle w:val="TextBody"/>
        <w:bidi w:val="0"/>
        <w:spacing w:before="0" w:after="120"/>
        <w:ind w:left="120" w:right="0" w:hanging="0"/>
        <w:jc w:val="left"/>
        <w:rPr>
          <w:rFonts w:ascii="Arial;Helvetica;sans-serif" w:hAnsi="Arial;Helvetica;sans-serif"/>
          <w:b/>
          <w:sz w:val="20"/>
        </w:rPr>
      </w:pPr>
      <w:r>
        <w:rPr>
          <w:rFonts w:ascii="Arial;Helvetica;sans-serif" w:hAnsi="Arial;Helvetica;sans-serif"/>
          <w:b/>
          <w:sz w:val="20"/>
        </w:rPr>
        <w:t>Definitions</w:t>
      </w:r>
    </w:p>
    <w:p>
      <w:pPr>
        <w:pStyle w:val="TextBody"/>
        <w:bidi w:val="0"/>
        <w:spacing w:before="0" w:after="120"/>
        <w:ind w:left="120" w:right="0" w:hanging="0"/>
        <w:jc w:val="left"/>
        <w:rPr/>
      </w:pPr>
      <w:r>
        <w:rPr/>
        <w:t>“</w:t>
      </w:r>
      <w:r>
        <w:rPr>
          <w:rFonts w:ascii="Arial;Helvetica;sans-serif" w:hAnsi="Arial;Helvetica;sans-serif"/>
          <w:b/>
          <w:sz w:val="20"/>
        </w:rPr>
        <w:t>Affiliate</w:t>
      </w:r>
      <w:r>
        <w:rPr>
          <w:rFonts w:ascii="Arial;Helvetica;sans-serif" w:hAnsi="Arial;Helvetica;sans-serif"/>
          <w:sz w:val="20"/>
        </w:rPr>
        <w:t>” means any entity controlled by, controlling, or under common control with, the relevant party. “</w:t>
      </w:r>
      <w:r>
        <w:rPr>
          <w:rFonts w:ascii="Arial;Helvetica;sans-serif" w:hAnsi="Arial;Helvetica;sans-serif"/>
          <w:b/>
          <w:sz w:val="20"/>
        </w:rPr>
        <w:t>Agreement</w:t>
      </w:r>
      <w:r>
        <w:rPr>
          <w:rFonts w:ascii="Arial;Helvetica;sans-serif" w:hAnsi="Arial;Helvetica;sans-serif"/>
          <w:sz w:val="20"/>
        </w:rPr>
        <w:t>” means the EL, including these ToB.</w:t>
      </w:r>
    </w:p>
    <w:p>
      <w:pPr>
        <w:pStyle w:val="TextBody"/>
        <w:bidi w:val="0"/>
        <w:spacing w:before="0" w:after="120"/>
        <w:ind w:left="120" w:right="0" w:hanging="0"/>
        <w:jc w:val="both"/>
        <w:rPr/>
      </w:pPr>
      <w:r>
        <w:rPr/>
        <w:t>“</w:t>
      </w:r>
      <w:r>
        <w:rPr>
          <w:rFonts w:ascii="Arial;Helvetica;sans-serif" w:hAnsi="Arial;Helvetica;sans-serif"/>
          <w:b/>
          <w:sz w:val="20"/>
        </w:rPr>
        <w:t>Bankruptcy Code</w:t>
      </w:r>
      <w:r>
        <w:rPr>
          <w:rFonts w:ascii="Arial;Helvetica;sans-serif" w:hAnsi="Arial;Helvetica;sans-serif"/>
          <w:sz w:val="20"/>
        </w:rPr>
        <w:t>” means title 11 of the United States Code, as amended from time to time, and any successor statute and all rules and regulations promulgated thereunder.</w:t>
      </w:r>
    </w:p>
    <w:p>
      <w:pPr>
        <w:pStyle w:val="TextBody"/>
        <w:bidi w:val="0"/>
        <w:spacing w:before="0" w:after="120"/>
        <w:ind w:left="120" w:right="0" w:hanging="0"/>
        <w:jc w:val="both"/>
        <w:rPr/>
      </w:pPr>
      <w:r>
        <w:rPr/>
        <w:t>“</w:t>
      </w:r>
      <w:r>
        <w:rPr>
          <w:rFonts w:ascii="Arial;Helvetica;sans-serif" w:hAnsi="Arial;Helvetica;sans-serif"/>
          <w:b/>
          <w:sz w:val="20"/>
        </w:rPr>
        <w:t>Bankruptcy Court</w:t>
      </w:r>
      <w:r>
        <w:rPr>
          <w:rFonts w:ascii="Arial;Helvetica;sans-serif" w:hAnsi="Arial;Helvetica;sans-serif"/>
          <w:sz w:val="20"/>
        </w:rPr>
        <w:t>” means the United States Bankruptcy Court having jurisdiction over the Chapter 11 Case(s).</w:t>
      </w:r>
    </w:p>
    <w:p>
      <w:pPr>
        <w:pStyle w:val="TextBody"/>
        <w:bidi w:val="0"/>
        <w:spacing w:before="0" w:after="120"/>
        <w:ind w:left="120" w:right="0" w:hanging="0"/>
        <w:jc w:val="both"/>
        <w:rPr/>
      </w:pPr>
      <w:r>
        <w:rPr/>
        <w:t>“</w:t>
      </w:r>
      <w:r>
        <w:rPr>
          <w:rFonts w:ascii="Arial;Helvetica;sans-serif" w:hAnsi="Arial;Helvetica;sans-serif"/>
          <w:b/>
          <w:sz w:val="20"/>
        </w:rPr>
        <w:t>Chapter 11 Case(s)</w:t>
      </w:r>
      <w:r>
        <w:rPr>
          <w:rFonts w:ascii="Arial;Helvetica;sans-serif" w:hAnsi="Arial;Helvetica;sans-serif"/>
          <w:sz w:val="20"/>
        </w:rPr>
        <w:t>” means either (a) the case(s), if any, commenced under chapter 11 of the Bankruptcy Code by you; or (b) the case(s) in which you, as the creditor or other party-in-interest, have retained or will retain Teneo.</w:t>
      </w:r>
    </w:p>
    <w:p>
      <w:pPr>
        <w:pStyle w:val="TextBody"/>
        <w:bidi w:val="0"/>
        <w:spacing w:before="0" w:after="120"/>
        <w:ind w:left="120" w:right="0" w:hanging="0"/>
        <w:jc w:val="both"/>
        <w:rPr/>
      </w:pPr>
      <w:r>
        <w:rPr/>
        <w:t>“</w:t>
      </w:r>
      <w:r>
        <w:rPr>
          <w:rFonts w:ascii="Arial;Helvetica;sans-serif" w:hAnsi="Arial;Helvetica;sans-serif"/>
          <w:b/>
          <w:sz w:val="20"/>
        </w:rPr>
        <w:t>Claims</w:t>
      </w:r>
      <w:r>
        <w:rPr>
          <w:rFonts w:ascii="Arial;Helvetica;sans-serif" w:hAnsi="Arial;Helvetica;sans-serif"/>
          <w:sz w:val="20"/>
        </w:rPr>
        <w:t>” means all liabilities, losses, damages, expenses, fines, penalties, costs, claims, causes of actions, investigations, inquiries, subpoenas, or other proceedings (including reasonably incurred legal costs; vendor costs for recovering, searching, hosting, and producing electronically stored data in defending any such claim; and any amounts paid by us for responding to any investigation, subpoena, discovery demands, or other proceeding) related to or arising in any manner out of any activities performed or services furnished pursuant to this Agreement.</w:t>
      </w:r>
    </w:p>
    <w:p>
      <w:pPr>
        <w:pStyle w:val="TextBody"/>
        <w:bidi w:val="0"/>
        <w:spacing w:before="0" w:after="120"/>
        <w:ind w:left="120" w:right="0" w:hanging="0"/>
        <w:jc w:val="both"/>
        <w:rPr/>
      </w:pPr>
      <w:r>
        <w:rPr/>
        <w:t>“</w:t>
      </w:r>
      <w:r>
        <w:rPr>
          <w:rFonts w:ascii="Arial;Helvetica;sans-serif" w:hAnsi="Arial;Helvetica;sans-serif"/>
          <w:b/>
          <w:sz w:val="20"/>
        </w:rPr>
        <w:t>Client</w:t>
      </w:r>
      <w:r>
        <w:rPr>
          <w:rFonts w:ascii="Arial;Helvetica;sans-serif" w:hAnsi="Arial;Helvetica;sans-serif"/>
          <w:sz w:val="20"/>
        </w:rPr>
        <w:t>,” “</w:t>
      </w:r>
      <w:r>
        <w:rPr>
          <w:rFonts w:ascii="Arial;Helvetica;sans-serif" w:hAnsi="Arial;Helvetica;sans-serif"/>
          <w:b/>
          <w:sz w:val="20"/>
        </w:rPr>
        <w:t>you</w:t>
      </w:r>
      <w:r>
        <w:rPr>
          <w:rFonts w:ascii="Arial;Helvetica;sans-serif" w:hAnsi="Arial;Helvetica;sans-serif"/>
          <w:sz w:val="20"/>
        </w:rPr>
        <w:t>,” or “</w:t>
      </w:r>
      <w:r>
        <w:rPr>
          <w:rFonts w:ascii="Arial;Helvetica;sans-serif" w:hAnsi="Arial;Helvetica;sans-serif"/>
          <w:b/>
          <w:sz w:val="20"/>
        </w:rPr>
        <w:t>your</w:t>
      </w:r>
      <w:r>
        <w:rPr>
          <w:rFonts w:ascii="Arial;Helvetica;sans-serif" w:hAnsi="Arial;Helvetica;sans-serif"/>
          <w:sz w:val="20"/>
        </w:rPr>
        <w:t>” means, or refers to, the recipient(s) of the Services signing the EL.</w:t>
      </w:r>
    </w:p>
    <w:p>
      <w:pPr>
        <w:pStyle w:val="TextBody"/>
        <w:bidi w:val="0"/>
        <w:spacing w:before="0" w:after="120"/>
        <w:ind w:left="120" w:right="0" w:hanging="0"/>
        <w:jc w:val="both"/>
        <w:rPr/>
      </w:pPr>
      <w:r>
        <w:rPr/>
        <w:t>“</w:t>
      </w:r>
      <w:r>
        <w:rPr>
          <w:rFonts w:ascii="Arial;Helvetica;sans-serif" w:hAnsi="Arial;Helvetica;sans-serif"/>
          <w:b/>
          <w:sz w:val="20"/>
        </w:rPr>
        <w:t>Client Materials</w:t>
      </w:r>
      <w:r>
        <w:rPr>
          <w:rFonts w:ascii="Arial;Helvetica;sans-serif" w:hAnsi="Arial;Helvetica;sans-serif"/>
          <w:sz w:val="20"/>
        </w:rPr>
        <w:t>” means all information relating to your business and the operation, strategies, products, and finances of your company that you provide us during the term of the EL for the provision of the Services.</w:t>
      </w:r>
    </w:p>
    <w:p>
      <w:pPr>
        <w:pStyle w:val="TextBody"/>
        <w:bidi w:val="0"/>
        <w:spacing w:before="0" w:after="120"/>
        <w:ind w:left="120" w:right="0" w:hanging="0"/>
        <w:jc w:val="both"/>
        <w:rPr/>
      </w:pPr>
      <w:r>
        <w:rPr/>
        <w:t>“</w:t>
      </w:r>
      <w:r>
        <w:rPr>
          <w:rFonts w:ascii="Arial;Helvetica;sans-serif" w:hAnsi="Arial;Helvetica;sans-serif"/>
          <w:b/>
          <w:sz w:val="20"/>
        </w:rPr>
        <w:t>Compensation</w:t>
      </w:r>
      <w:r>
        <w:rPr>
          <w:rFonts w:ascii="Arial;Helvetica;sans-serif" w:hAnsi="Arial;Helvetica;sans-serif"/>
          <w:sz w:val="20"/>
        </w:rPr>
        <w:t>” means our fees and expenses plus applicable taxes in respect to the Services.</w:t>
      </w:r>
    </w:p>
    <w:p>
      <w:pPr>
        <w:pStyle w:val="TextBody"/>
        <w:bidi w:val="0"/>
        <w:spacing w:before="0" w:after="120"/>
        <w:ind w:left="120" w:right="0" w:hanging="0"/>
        <w:jc w:val="both"/>
        <w:rPr/>
      </w:pPr>
      <w:r>
        <w:rPr/>
        <w:t>“</w:t>
      </w:r>
      <w:r>
        <w:rPr>
          <w:rFonts w:ascii="Arial;Helvetica;sans-serif" w:hAnsi="Arial;Helvetica;sans-serif"/>
          <w:b/>
          <w:sz w:val="20"/>
        </w:rPr>
        <w:t>Damages</w:t>
      </w:r>
      <w:r>
        <w:rPr>
          <w:rFonts w:ascii="Arial;Helvetica;sans-serif" w:hAnsi="Arial;Helvetica;sans-serif"/>
          <w:sz w:val="20"/>
        </w:rPr>
        <w:t>” means all losses, damages, liabilities, costs, and expenses arising from, or in any way in connection with, this Agreement.</w:t>
      </w:r>
    </w:p>
    <w:p>
      <w:pPr>
        <w:pStyle w:val="TextBody"/>
        <w:bidi w:val="0"/>
        <w:spacing w:before="0" w:after="120"/>
        <w:ind w:left="120" w:right="0" w:hanging="0"/>
        <w:jc w:val="both"/>
        <w:rPr/>
      </w:pPr>
      <w:r>
        <w:rPr/>
        <w:t>“</w:t>
      </w:r>
      <w:r>
        <w:rPr>
          <w:rFonts w:ascii="Arial;Helvetica;sans-serif" w:hAnsi="Arial;Helvetica;sans-serif"/>
          <w:b/>
          <w:sz w:val="20"/>
        </w:rPr>
        <w:t>Deliverable(s)</w:t>
      </w:r>
      <w:r>
        <w:rPr>
          <w:rFonts w:ascii="Arial;Helvetica;sans-serif" w:hAnsi="Arial;Helvetica;sans-serif"/>
          <w:sz w:val="20"/>
        </w:rPr>
        <w:t>” means all written advice or other tangible product of the Services that is provided by Teneo to you and/or any items as specified in the EL as a “Deliverable.”</w:t>
      </w:r>
    </w:p>
    <w:p>
      <w:pPr>
        <w:pStyle w:val="TextBody"/>
        <w:bidi w:val="0"/>
        <w:spacing w:before="0" w:after="120"/>
        <w:ind w:left="120" w:right="0" w:hanging="0"/>
        <w:jc w:val="both"/>
        <w:rPr/>
      </w:pPr>
      <w:r>
        <w:rPr/>
        <w:t>“</w:t>
      </w:r>
      <w:r>
        <w:rPr>
          <w:rFonts w:ascii="Arial;Helvetica;sans-serif" w:hAnsi="Arial;Helvetica;sans-serif"/>
          <w:b/>
          <w:sz w:val="20"/>
        </w:rPr>
        <w:t>Developed Material(s)</w:t>
      </w:r>
      <w:r>
        <w:rPr>
          <w:rFonts w:ascii="Arial;Helvetica;sans-serif" w:hAnsi="Arial;Helvetica;sans-serif"/>
          <w:sz w:val="20"/>
        </w:rPr>
        <w:t>” means the output of our Services prepared jointly by a combination of our personnel working jointly with your own personnel and where you remain solely responsible for all of the decisions, assessments, conclusions, and judgments underlying them and is not Teneo branded, as specified in the EL as a “Developed Material.”</w:t>
      </w:r>
    </w:p>
    <w:p>
      <w:pPr>
        <w:pStyle w:val="TextBody"/>
        <w:bidi w:val="0"/>
        <w:spacing w:before="0" w:after="120"/>
        <w:ind w:left="120" w:right="0" w:hanging="0"/>
        <w:jc w:val="both"/>
        <w:rPr/>
      </w:pPr>
      <w:r>
        <w:rPr/>
        <w:t>“</w:t>
      </w:r>
      <w:r>
        <w:rPr>
          <w:rFonts w:ascii="Arial;Helvetica;sans-serif" w:hAnsi="Arial;Helvetica;sans-serif"/>
          <w:b/>
          <w:sz w:val="20"/>
        </w:rPr>
        <w:t>Effective Date</w:t>
      </w:r>
      <w:r>
        <w:rPr>
          <w:rFonts w:ascii="Arial;Helvetica;sans-serif" w:hAnsi="Arial;Helvetica;sans-serif"/>
          <w:sz w:val="20"/>
        </w:rPr>
        <w:t>” means the date stated in the EL as the date on which this Agreement commences.</w:t>
      </w:r>
    </w:p>
    <w:p>
      <w:pPr>
        <w:pStyle w:val="TextBody"/>
        <w:bidi w:val="0"/>
        <w:spacing w:before="0" w:after="120"/>
        <w:ind w:left="120" w:right="0" w:hanging="0"/>
        <w:jc w:val="both"/>
        <w:rPr/>
      </w:pPr>
      <w:r>
        <w:rPr/>
        <w:t>“</w:t>
      </w:r>
      <w:r>
        <w:rPr>
          <w:rFonts w:ascii="Arial;Helvetica;sans-serif" w:hAnsi="Arial;Helvetica;sans-serif"/>
          <w:b/>
          <w:sz w:val="20"/>
        </w:rPr>
        <w:t>EL</w:t>
      </w:r>
      <w:r>
        <w:rPr>
          <w:rFonts w:ascii="Arial;Helvetica;sans-serif" w:hAnsi="Arial;Helvetica;sans-serif"/>
          <w:sz w:val="20"/>
        </w:rPr>
        <w:t>” means the engagement letter (and, as applicable, its appendices, schedules. or exhibits) accompanying these ToB.</w:t>
      </w:r>
    </w:p>
    <w:p>
      <w:pPr>
        <w:pStyle w:val="TextBody"/>
        <w:bidi w:val="0"/>
        <w:spacing w:before="0" w:after="0"/>
        <w:ind w:left="120" w:right="0" w:hanging="0"/>
        <w:jc w:val="both"/>
        <w:rPr/>
      </w:pPr>
      <w:r>
        <w:rPr/>
        <w:t>“</w:t>
      </w:r>
      <w:r>
        <w:rPr>
          <w:rFonts w:ascii="Arial;Helvetica;sans-serif" w:hAnsi="Arial;Helvetica;sans-serif"/>
          <w:b/>
          <w:sz w:val="20"/>
        </w:rPr>
        <w:t>Intellectual Property Rights</w:t>
      </w:r>
      <w:r>
        <w:rPr>
          <w:rFonts w:ascii="Arial;Helvetica;sans-serif" w:hAnsi="Arial;Helvetica;sans-serif"/>
          <w:sz w:val="20"/>
        </w:rPr>
        <w:t>” means all past, present, and future legal and/or equitable interests and rights in all intellectual property and other proprietary rights of any kind whether registered or unregistered and existing now or in the future, including trademarks, service marks, inventions, patents, copyrights, trade secrets, and all goodwill associated with any of the foregoing and rights in, or relating to, applications, registrations, renewals, extensions, combinations, divisions, and reissues of any of the foregoing and any right or form of protection of equivalent or similar nature or effect to any of them that may subsist anywhere in the world.</w:t>
      </w:r>
    </w:p>
    <w:p>
      <w:pPr>
        <w:pStyle w:val="TextBody"/>
        <w:bidi w:val="0"/>
        <w:spacing w:before="0" w:after="0"/>
        <w:ind w:left="12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7" descr=""/>
                    <pic:cNvPicPr>
                      <a:picLocks noChangeAspect="1" noChangeArrowheads="1"/>
                    </pic:cNvPicPr>
                  </pic:nvPicPr>
                  <pic:blipFill>
                    <a:blip r:embed="rId43"/>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21"/>
        <w:ind w:left="120" w:right="0" w:hanging="0"/>
        <w:jc w:val="both"/>
        <w:rPr/>
      </w:pPr>
      <w:r>
        <w:rPr/>
        <w:t>“</w:t>
      </w:r>
      <w:r>
        <w:rPr>
          <w:rFonts w:ascii="Arial;Helvetica;sans-serif" w:hAnsi="Arial;Helvetica;sans-serif"/>
          <w:b/>
          <w:sz w:val="20"/>
        </w:rPr>
        <w:t>Pre-Existing Works</w:t>
      </w:r>
      <w:r>
        <w:rPr>
          <w:rFonts w:ascii="Arial;Helvetica;sans-serif" w:hAnsi="Arial;Helvetica;sans-serif"/>
          <w:sz w:val="20"/>
        </w:rPr>
        <w:t>” means all Intellectual Property Rights in any materials (including any software) that is created by, owned by, or licensed to us prior to the Effective Date, whether recorded in a documentary form or stored on any storage device, or subsequently amended during or following the termination of the EL and any subsequent modifications to the same.</w:t>
      </w:r>
    </w:p>
    <w:p>
      <w:pPr>
        <w:pStyle w:val="TextBody"/>
        <w:bidi w:val="0"/>
        <w:spacing w:before="0" w:after="116"/>
        <w:ind w:left="120" w:right="0" w:hanging="0"/>
        <w:jc w:val="both"/>
        <w:rPr/>
      </w:pPr>
      <w:r>
        <w:rPr/>
        <w:t>“</w:t>
      </w:r>
      <w:r>
        <w:rPr>
          <w:rFonts w:ascii="Arial;Helvetica;sans-serif" w:hAnsi="Arial;Helvetica;sans-serif"/>
          <w:b/>
          <w:sz w:val="20"/>
        </w:rPr>
        <w:t>Services</w:t>
      </w:r>
      <w:r>
        <w:rPr>
          <w:rFonts w:ascii="Arial;Helvetica;sans-serif" w:hAnsi="Arial;Helvetica;sans-serif"/>
          <w:sz w:val="20"/>
        </w:rPr>
        <w:t>” means the services described in the EL as the “Services,” including the provision of Deliverables.</w:t>
      </w:r>
    </w:p>
    <w:p>
      <w:pPr>
        <w:pStyle w:val="TextBody"/>
        <w:bidi w:val="0"/>
        <w:spacing w:before="0" w:after="120"/>
        <w:ind w:left="120" w:right="0" w:hanging="0"/>
        <w:jc w:val="both"/>
        <w:rPr/>
      </w:pPr>
      <w:r>
        <w:rPr/>
        <w:t>“</w:t>
      </w:r>
      <w:r>
        <w:rPr>
          <w:rFonts w:ascii="Arial;Helvetica;sans-serif" w:hAnsi="Arial;Helvetica;sans-serif"/>
          <w:b/>
          <w:sz w:val="20"/>
        </w:rPr>
        <w:t>Subcontractors</w:t>
      </w:r>
      <w:r>
        <w:rPr>
          <w:rFonts w:ascii="Arial;Helvetica;sans-serif" w:hAnsi="Arial;Helvetica;sans-serif"/>
          <w:sz w:val="20"/>
        </w:rPr>
        <w:t>” means third parties appointed by Teneo to support the provision of the Services. “</w:t>
      </w:r>
      <w:r>
        <w:rPr>
          <w:rFonts w:ascii="Arial;Helvetica;sans-serif" w:hAnsi="Arial;Helvetica;sans-serif"/>
          <w:b/>
          <w:sz w:val="20"/>
        </w:rPr>
        <w:t>Teneo</w:t>
      </w:r>
      <w:r>
        <w:rPr>
          <w:rFonts w:ascii="Arial;Helvetica;sans-serif" w:hAnsi="Arial;Helvetica;sans-serif"/>
          <w:sz w:val="20"/>
        </w:rPr>
        <w:t>,” “</w:t>
      </w:r>
      <w:r>
        <w:rPr>
          <w:rFonts w:ascii="Arial;Helvetica;sans-serif" w:hAnsi="Arial;Helvetica;sans-serif"/>
          <w:b/>
          <w:sz w:val="20"/>
        </w:rPr>
        <w:t>we</w:t>
      </w:r>
      <w:r>
        <w:rPr>
          <w:rFonts w:ascii="Arial;Helvetica;sans-serif" w:hAnsi="Arial;Helvetica;sans-serif"/>
          <w:sz w:val="20"/>
        </w:rPr>
        <w:t>,” “</w:t>
      </w:r>
      <w:r>
        <w:rPr>
          <w:rFonts w:ascii="Arial;Helvetica;sans-serif" w:hAnsi="Arial;Helvetica;sans-serif"/>
          <w:b/>
          <w:sz w:val="20"/>
        </w:rPr>
        <w:t>us</w:t>
      </w:r>
      <w:r>
        <w:rPr>
          <w:rFonts w:ascii="Arial;Helvetica;sans-serif" w:hAnsi="Arial;Helvetica;sans-serif"/>
          <w:sz w:val="20"/>
        </w:rPr>
        <w:t>,” or “</w:t>
      </w:r>
      <w:r>
        <w:rPr>
          <w:rFonts w:ascii="Arial;Helvetica;sans-serif" w:hAnsi="Arial;Helvetica;sans-serif"/>
          <w:b/>
          <w:sz w:val="20"/>
        </w:rPr>
        <w:t>our</w:t>
      </w:r>
      <w:r>
        <w:rPr>
          <w:rFonts w:ascii="Arial;Helvetica;sans-serif" w:hAnsi="Arial;Helvetica;sans-serif"/>
          <w:sz w:val="20"/>
        </w:rPr>
        <w:t>” means, or refers to, the Teneo Party signing the EL.</w:t>
      </w:r>
    </w:p>
    <w:p>
      <w:pPr>
        <w:pStyle w:val="TextBody"/>
        <w:bidi w:val="0"/>
        <w:spacing w:before="0" w:after="120"/>
        <w:ind w:left="120" w:right="0" w:hanging="0"/>
        <w:jc w:val="both"/>
        <w:rPr/>
      </w:pPr>
      <w:r>
        <w:rPr/>
        <w:t>“</w:t>
      </w:r>
      <w:r>
        <w:rPr>
          <w:rFonts w:ascii="Arial;Helvetica;sans-serif" w:hAnsi="Arial;Helvetica;sans-serif"/>
          <w:b/>
          <w:sz w:val="20"/>
        </w:rPr>
        <w:t>Teneo Party(ies)</w:t>
      </w:r>
      <w:r>
        <w:rPr>
          <w:rFonts w:ascii="Arial;Helvetica;sans-serif" w:hAnsi="Arial;Helvetica;sans-serif"/>
          <w:sz w:val="20"/>
        </w:rPr>
        <w:t>” means Teneo, any member of the Teneo Holdings LLC network of firms and their holding companies, subsidiaries, Affiliates, and Subcontractors and, in each case, their respective partners, principals, officers, directors, and personnel.</w:t>
      </w:r>
    </w:p>
    <w:p>
      <w:pPr>
        <w:pStyle w:val="TextBody"/>
        <w:bidi w:val="0"/>
        <w:spacing w:before="0" w:after="119"/>
        <w:ind w:left="120" w:right="0" w:hanging="0"/>
        <w:jc w:val="both"/>
        <w:rPr/>
      </w:pPr>
      <w:r>
        <w:rPr/>
        <w:t>“</w:t>
      </w:r>
      <w:r>
        <w:rPr>
          <w:rFonts w:ascii="Arial;Helvetica;sans-serif" w:hAnsi="Arial;Helvetica;sans-serif"/>
          <w:b/>
          <w:sz w:val="20"/>
        </w:rPr>
        <w:t>Teneo Technologies</w:t>
      </w:r>
      <w:r>
        <w:rPr>
          <w:rFonts w:ascii="Arial;Helvetica;sans-serif" w:hAnsi="Arial;Helvetica;sans-serif"/>
          <w:sz w:val="20"/>
        </w:rPr>
        <w:t>” means all content, publications, thought pieces, materials, software, system interfaces, templates, methodologies, tools, processes, and technologies, including cloud-based technologies and algorithms owned by, licensed to, or developed by any Teneo Party and used by Teneo and its Subcontractors in performing the Services or its other obligations that are not an output of the Services and are licensed to you under separate license terms.</w:t>
      </w:r>
    </w:p>
    <w:p>
      <w:pPr>
        <w:pStyle w:val="TextBody"/>
        <w:bidi w:val="0"/>
        <w:spacing w:before="0" w:after="120"/>
        <w:ind w:left="120" w:right="0" w:hanging="0"/>
        <w:jc w:val="both"/>
        <w:rPr/>
      </w:pPr>
      <w:r>
        <w:rPr/>
        <w:t>“</w:t>
      </w:r>
      <w:r>
        <w:rPr>
          <w:rFonts w:ascii="Arial;Helvetica;sans-serif" w:hAnsi="Arial;Helvetica;sans-serif"/>
          <w:b/>
          <w:sz w:val="20"/>
        </w:rPr>
        <w:t>ToB</w:t>
      </w:r>
      <w:r>
        <w:rPr>
          <w:rFonts w:ascii="Arial;Helvetica;sans-serif" w:hAnsi="Arial;Helvetica;sans-serif"/>
          <w:sz w:val="20"/>
        </w:rPr>
        <w:t>” means these terms of business.</w:t>
      </w:r>
    </w:p>
    <w:p>
      <w:pPr>
        <w:pStyle w:val="TextBody"/>
        <w:bidi w:val="0"/>
        <w:spacing w:before="0" w:after="120"/>
        <w:ind w:left="120" w:right="0" w:hanging="0"/>
        <w:jc w:val="left"/>
        <w:rPr>
          <w:rFonts w:ascii="Arial;Helvetica;sans-serif" w:hAnsi="Arial;Helvetica;sans-serif"/>
          <w:b/>
          <w:sz w:val="20"/>
        </w:rPr>
      </w:pPr>
      <w:r>
        <w:rPr>
          <w:rFonts w:ascii="Arial;Helvetica;sans-serif" w:hAnsi="Arial;Helvetica;sans-serif"/>
          <w:b/>
          <w:sz w:val="20"/>
        </w:rPr>
        <w:t>Interpretation</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a)</w:t>
            </w:r>
          </w:p>
        </w:tc>
        <w:tc>
          <w:tcPr>
            <w:tcW w:w="10016"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Article, section, and clause headings contained in this Agreement are for convenience of reference only and shall not affect the interpretations of this Agreement.</w:t>
            </w:r>
          </w:p>
        </w:tc>
      </w:tr>
    </w:tbl>
    <w:tbl>
      <w:tblPr>
        <w:tblW w:w="9393" w:type="dxa"/>
        <w:jc w:val="left"/>
        <w:tblInd w:w="0" w:type="dxa"/>
        <w:tblLayout w:type="fixed"/>
        <w:tblCellMar>
          <w:top w:w="0" w:type="dxa"/>
          <w:left w:w="0" w:type="dxa"/>
          <w:bottom w:w="0" w:type="dxa"/>
          <w:right w:w="0" w:type="dxa"/>
        </w:tblCellMar>
      </w:tblPr>
      <w:tblGrid>
        <w:gridCol w:w="23"/>
        <w:gridCol w:w="185"/>
        <w:gridCol w:w="918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b)</w:t>
            </w:r>
          </w:p>
        </w:tc>
        <w:tc>
          <w:tcPr>
            <w:tcW w:w="918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Words in the singular, where the context so permits, shall be deemed to include the plural and vice versa.</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Unless expressly stated otherwise, all reference to a specific statute or statutory provision includes that statute as in force from time to time; any modification, amendment, or re- enactment of that statute; and any statute that may be enacted in substitution of that statute.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d)</w:t>
            </w:r>
          </w:p>
        </w:tc>
        <w:tc>
          <w:tcPr>
            <w:tcW w:w="10027"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Any words following the terms “including,” “include,” or any similar expression shall be construed as illustrative and shall not limit the sense of the word, description, definition, phrase, or term preceding those terms.</w:t>
            </w:r>
          </w:p>
        </w:tc>
      </w:tr>
    </w:tbl>
    <w:p>
      <w:pPr>
        <w:pStyle w:val="TextBody"/>
        <w:bidi w:val="0"/>
        <w:spacing w:before="0" w:after="120"/>
        <w:ind w:left="0" w:right="0" w:hanging="0"/>
        <w:jc w:val="left"/>
        <w:rPr/>
      </w:pPr>
      <w:r>
        <w:rPr/>
        <w:t>​</w:t>
      </w:r>
    </w:p>
    <w:tbl>
      <w:tblPr>
        <w:tblW w:w="1173" w:type="dxa"/>
        <w:jc w:val="left"/>
        <w:tblInd w:w="0" w:type="dxa"/>
        <w:tblLayout w:type="fixed"/>
        <w:tblCellMar>
          <w:top w:w="0" w:type="dxa"/>
          <w:left w:w="0" w:type="dxa"/>
          <w:bottom w:w="0" w:type="dxa"/>
          <w:right w:w="0" w:type="dxa"/>
        </w:tblCellMar>
      </w:tblPr>
      <w:tblGrid>
        <w:gridCol w:w="23"/>
        <w:gridCol w:w="125"/>
        <w:gridCol w:w="102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1</w:t>
            </w:r>
          </w:p>
        </w:tc>
        <w:tc>
          <w:tcPr>
            <w:tcW w:w="10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Agreement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1.1</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This Agreement shall become effective on the earlier of the Effective Date and the date on which the EL has been signed.</w:t>
            </w:r>
          </w:p>
        </w:tc>
      </w:tr>
    </w:tbl>
    <w:tbl>
      <w:tblPr>
        <w:tblW w:w="9738" w:type="dxa"/>
        <w:jc w:val="left"/>
        <w:tblInd w:w="0" w:type="dxa"/>
        <w:tblLayout w:type="fixed"/>
        <w:tblCellMar>
          <w:top w:w="0" w:type="dxa"/>
          <w:left w:w="0" w:type="dxa"/>
          <w:bottom w:w="0" w:type="dxa"/>
          <w:right w:w="0" w:type="dxa"/>
        </w:tblCellMar>
      </w:tblPr>
      <w:tblGrid>
        <w:gridCol w:w="23"/>
        <w:gridCol w:w="29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1.2</w:t>
            </w:r>
          </w:p>
        </w:tc>
        <w:tc>
          <w:tcPr>
            <w:tcW w:w="942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In the event of any conflict between these ToB and the EL, the EL shall prevail unless it is stated otherwise.</w:t>
            </w:r>
          </w:p>
        </w:tc>
      </w:tr>
    </w:tbl>
    <w:p>
      <w:pPr>
        <w:pStyle w:val="TextBody"/>
        <w:bidi w:val="0"/>
        <w:spacing w:before="0" w:after="120"/>
        <w:ind w:left="0" w:right="0" w:hanging="0"/>
        <w:jc w:val="left"/>
        <w:rPr/>
      </w:pPr>
      <w:r>
        <w:rPr/>
        <w:t>​</w:t>
      </w:r>
    </w:p>
    <w:tbl>
      <w:tblPr>
        <w:tblW w:w="2178" w:type="dxa"/>
        <w:jc w:val="left"/>
        <w:tblInd w:w="0" w:type="dxa"/>
        <w:tblLayout w:type="fixed"/>
        <w:tblCellMar>
          <w:top w:w="0" w:type="dxa"/>
          <w:left w:w="0" w:type="dxa"/>
          <w:bottom w:w="0" w:type="dxa"/>
          <w:right w:w="0" w:type="dxa"/>
        </w:tblCellMar>
      </w:tblPr>
      <w:tblGrid>
        <w:gridCol w:w="23"/>
        <w:gridCol w:w="125"/>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2</w:t>
            </w:r>
          </w:p>
        </w:tc>
        <w:tc>
          <w:tcPr>
            <w:tcW w:w="2030"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Your Responsibilities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2.1</w:t>
            </w:r>
          </w:p>
        </w:tc>
        <w:tc>
          <w:tcPr>
            <w:tcW w:w="989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You agree to provide all information and materials in your possession that are reasonably required to enable us to provide the Services (including if it has previously been provided to the Teneo Parties under a different arrangement or is publicly available information). You agree that all information disclosed or to be disclosed to us is or will be true, accurate, and not misleading. You shall promptly inform us upon the discovery of any information that subsequently becomes untrue or inaccurate. To ensure that we are able to carry out the Services, you shall keep us informed of any of the Client’s strategy and developments that are relevant to the provision of</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8" descr=""/>
                    <pic:cNvPicPr>
                      <a:picLocks noChangeAspect="1" noChangeArrowheads="1"/>
                    </pic:cNvPicPr>
                  </pic:nvPicPr>
                  <pic:blipFill>
                    <a:blip r:embed="rId44"/>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21"/>
        <w:ind w:left="686" w:right="0" w:hanging="0"/>
        <w:jc w:val="both"/>
        <w:rPr>
          <w:rFonts w:ascii="Arial;Helvetica;sans-serif" w:hAnsi="Arial;Helvetica;sans-serif"/>
          <w:sz w:val="20"/>
        </w:rPr>
      </w:pPr>
      <w:r>
        <w:rPr>
          <w:rFonts w:ascii="Arial;Helvetica;sans-serif" w:hAnsi="Arial;Helvetica;sans-serif"/>
          <w:sz w:val="20"/>
        </w:rPr>
        <w:t>the Services. Should you not disclose any such relevant information or developments, you accept that this might, without any fault or responsibility on our part, prevent us from providing the Services. The same shall apply should you decide to publish any document affecting a transaction or the performance of Services without prior notification to us. You confirm that you have and will maintain all necessary consents and authorizations which enable us to provide the Services to you and that you comply with all relevant laws and regulations where required.</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1"/>
              <w:jc w:val="both"/>
              <w:rPr>
                <w:rFonts w:ascii="Arial;Helvetica;sans-serif" w:hAnsi="Arial;Helvetica;sans-serif"/>
                <w:sz w:val="20"/>
              </w:rPr>
            </w:pPr>
            <w:r>
              <w:rPr>
                <w:rFonts w:ascii="Arial;Helvetica;sans-serif" w:hAnsi="Arial;Helvetica;sans-serif"/>
                <w:sz w:val="20"/>
              </w:rPr>
              <w:t>2.2</w:t>
            </w:r>
          </w:p>
        </w:tc>
        <w:tc>
          <w:tcPr>
            <w:tcW w:w="9892" w:type="dxa"/>
            <w:tcBorders/>
            <w:vAlign w:val="center"/>
          </w:tcPr>
          <w:p>
            <w:pPr>
              <w:pStyle w:val="TableContents"/>
              <w:bidi w:val="0"/>
              <w:spacing w:before="0" w:after="121"/>
              <w:jc w:val="both"/>
              <w:rPr>
                <w:rFonts w:ascii="Arial;Helvetica;sans-serif" w:hAnsi="Arial;Helvetica;sans-serif"/>
                <w:sz w:val="20"/>
              </w:rPr>
            </w:pPr>
            <w:r>
              <w:rPr>
                <w:rFonts w:ascii="Arial;Helvetica;sans-serif" w:hAnsi="Arial;Helvetica;sans-serif"/>
                <w:sz w:val="20"/>
              </w:rPr>
              <w:t>You shall ensure that your employees are available to provide such assistance as we reasonably require and that we are given such access to senior management, as well as any members of your staff specified in the EL who are necessary to enable us to provide the Services. You will be responsible for ensuring that your employees have the appropriate skills and experience to provide us with such assistance.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7"/>
              <w:jc w:val="both"/>
              <w:rPr>
                <w:rFonts w:ascii="Arial;Helvetica;sans-serif" w:hAnsi="Arial;Helvetica;sans-serif"/>
                <w:sz w:val="20"/>
              </w:rPr>
            </w:pPr>
            <w:r>
              <w:rPr>
                <w:rFonts w:ascii="Arial;Helvetica;sans-serif" w:hAnsi="Arial;Helvetica;sans-serif"/>
                <w:sz w:val="20"/>
              </w:rPr>
              <w:t>2.3</w:t>
            </w:r>
          </w:p>
        </w:tc>
        <w:tc>
          <w:tcPr>
            <w:tcW w:w="9892" w:type="dxa"/>
            <w:tcBorders/>
            <w:vAlign w:val="center"/>
          </w:tcPr>
          <w:p>
            <w:pPr>
              <w:pStyle w:val="TableContents"/>
              <w:bidi w:val="0"/>
              <w:spacing w:before="0" w:after="7"/>
              <w:jc w:val="both"/>
              <w:rPr>
                <w:rFonts w:ascii="Arial;Helvetica;sans-serif" w:hAnsi="Arial;Helvetica;sans-serif"/>
                <w:sz w:val="20"/>
              </w:rPr>
            </w:pPr>
            <w:r>
              <w:rPr>
                <w:rFonts w:ascii="Arial;Helvetica;sans-serif" w:hAnsi="Arial;Helvetica;sans-serif"/>
                <w:sz w:val="20"/>
              </w:rPr>
              <w:t>You shall manage all aspects of your business and make management decisions relating to your business. Where you are using third parties to provide information or support to a project, including where you are employing other suppliers whose work may affect our ability to provide the Services, you will ensure that you have appropriate agreements in place with those third parties to enable us to provide the Services under the terms of this Agreement and ensuring that such third parties work collaboratively with us. Unless otherwise agreed in writing, we will not be responsible for the management of those third parties and the quality of their input and work.</w:t>
            </w:r>
          </w:p>
        </w:tc>
      </w:tr>
    </w:tbl>
    <w:p>
      <w:pPr>
        <w:pStyle w:val="TextBody"/>
        <w:bidi w:val="0"/>
        <w:spacing w:before="0" w:after="1"/>
        <w:ind w:left="0" w:right="0" w:hanging="0"/>
        <w:jc w:val="left"/>
        <w:rPr/>
      </w:pPr>
      <w:r>
        <w:rPr/>
        <w:t>​</w:t>
      </w:r>
    </w:p>
    <w:tbl>
      <w:tblPr>
        <w:tblW w:w="1518" w:type="dxa"/>
        <w:jc w:val="left"/>
        <w:tblInd w:w="0" w:type="dxa"/>
        <w:tblLayout w:type="fixed"/>
        <w:tblCellMar>
          <w:top w:w="0" w:type="dxa"/>
          <w:left w:w="0" w:type="dxa"/>
          <w:bottom w:w="0" w:type="dxa"/>
          <w:right w:w="0" w:type="dxa"/>
        </w:tblCellMar>
      </w:tblPr>
      <w:tblGrid>
        <w:gridCol w:w="23"/>
        <w:gridCol w:w="125"/>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3</w:t>
            </w:r>
          </w:p>
        </w:tc>
        <w:tc>
          <w:tcPr>
            <w:tcW w:w="1370"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Confidentiality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3.1</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Where any party hereto has, or comes into possession of, information about the other(s) that is by its nature confidential, or is designated as such by the disclosing party (whether in writing or orally) (“</w:t>
            </w:r>
            <w:r>
              <w:rPr>
                <w:rFonts w:ascii="Arial;Helvetica;sans-serif" w:hAnsi="Arial;Helvetica;sans-serif"/>
                <w:b/>
                <w:sz w:val="20"/>
              </w:rPr>
              <w:t>Confidential Information</w:t>
            </w:r>
            <w:r>
              <w:rPr>
                <w:rFonts w:ascii="Arial;Helvetica;sans-serif" w:hAnsi="Arial;Helvetica;sans-serif"/>
                <w:sz w:val="20"/>
              </w:rPr>
              <w:t>”), including this Agreement, we each undertake for the term of this engagement and a three-year period thereafter to (i) keep it confidential; (ii) use it only in connection with providing and receiving the Services, and (iii) not to disclose it to any other person without the disclosing party’s prior written consent. These undertakings will not apply to any Confidential Information that the receiving party can demonstrate (a) was previously known to it without any obligation of confidentiality; (b) has been independently developed by it without access to or use of the disclosing party’s Confidential Information; (c) was acquired by it from a third party which was not, to the receiving party’s knowledge, under an obligation to the disclosing party not to disclose such information; (d) was or has become publicly available through no fault of the receiving party; or (e) is subsequently disclosed by the disclosing party to a third party without restriction.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3.2</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We and you each will be entitled to disclose Confidential Information to our legal advisors and insurers and to comply with any applicable legal, statutory, professional, or regulatory requirement. We may share your Confidential Information with (i) any Teneo Party we use to provide the Services; and (ii) any of our suppliers involved in providing infrastructure and other support services as part of our business, in each case on a confidential basis only.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3.3</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Nothing in this Agreement will prevent or restrict any Teneo Party from using or sharing, for any purpose, any knowledge, experience, and skills used in, gained, or arising from performing the Services, subject to the obligations of confidentiality set forth herein.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3.4</w:t>
            </w:r>
          </w:p>
        </w:tc>
        <w:tc>
          <w:tcPr>
            <w:tcW w:w="989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This Section 3.4 is subject to Teneo (i) complying with applicable professional standards regarding conflicts of interest, and (ii) maintaining the confidentiality of your Confidential Information in accordance with Section 3.1. You acknowledge that other clients or third parties who (a) are interested in, or are participating in, a project in relation to the same or similar subject matter as the Services; or (b) may have interests that compete and/or conflict with your interests,</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9" descr=""/>
                    <pic:cNvPicPr>
                      <a:picLocks noChangeAspect="1" noChangeArrowheads="1"/>
                    </pic:cNvPicPr>
                  </pic:nvPicPr>
                  <pic:blipFill>
                    <a:blip r:embed="rId45"/>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0"/>
        <w:ind w:left="686" w:right="0" w:hanging="0"/>
        <w:jc w:val="both"/>
        <w:rPr>
          <w:rFonts w:ascii="Arial;Helvetica;sans-serif" w:hAnsi="Arial;Helvetica;sans-serif"/>
          <w:sz w:val="20"/>
        </w:rPr>
      </w:pPr>
      <w:r>
        <w:rPr>
          <w:rFonts w:ascii="Arial;Helvetica;sans-serif" w:hAnsi="Arial;Helvetica;sans-serif"/>
          <w:sz w:val="20"/>
        </w:rPr>
        <w:t>may have received, or may receive, other services related to that project from Teneo and/or another Teneo Party (where necessary, through separate engagement teams). We will not disclose to you nor use for your benefit any confidential information that such other teams from Teneo or another Teneo Party have obtained while providing services to other clients or third parties in relation to such project. You agree not to bring any claim against Teneo or another Teneo Party arising out of, or connected with, our or their provision of services to other clients or third parties or the non-disclosure to you of their confidential information as permitted by this Section 3.4.</w:t>
      </w:r>
    </w:p>
    <w:p>
      <w:pPr>
        <w:pStyle w:val="TextBody"/>
        <w:bidi w:val="0"/>
        <w:spacing w:before="0" w:after="0"/>
        <w:ind w:left="0" w:right="0" w:hanging="0"/>
        <w:jc w:val="left"/>
        <w:rPr/>
      </w:pPr>
      <w:r>
        <w:rPr/>
        <w:t>​</w:t>
      </w:r>
    </w:p>
    <w:tbl>
      <w:tblPr>
        <w:tblW w:w="2118" w:type="dxa"/>
        <w:jc w:val="left"/>
        <w:tblInd w:w="0" w:type="dxa"/>
        <w:tblLayout w:type="fixed"/>
        <w:tblCellMar>
          <w:top w:w="0" w:type="dxa"/>
          <w:left w:w="0" w:type="dxa"/>
          <w:bottom w:w="0" w:type="dxa"/>
          <w:right w:w="0" w:type="dxa"/>
        </w:tblCellMar>
      </w:tblPr>
      <w:tblGrid>
        <w:gridCol w:w="23"/>
        <w:gridCol w:w="125"/>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32"/>
              <w:jc w:val="left"/>
              <w:rPr>
                <w:rFonts w:ascii="Arial;Helvetica;sans-serif" w:hAnsi="Arial;Helvetica;sans-serif"/>
                <w:b/>
                <w:sz w:val="20"/>
              </w:rPr>
            </w:pPr>
            <w:r>
              <w:rPr>
                <w:rFonts w:ascii="Arial;Helvetica;sans-serif" w:hAnsi="Arial;Helvetica;sans-serif"/>
                <w:b/>
                <w:sz w:val="20"/>
              </w:rPr>
              <w:t>4</w:t>
            </w:r>
          </w:p>
        </w:tc>
        <w:tc>
          <w:tcPr>
            <w:tcW w:w="1970" w:type="dxa"/>
            <w:tcBorders/>
            <w:vAlign w:val="center"/>
          </w:tcPr>
          <w:p>
            <w:pPr>
              <w:pStyle w:val="TableContents"/>
              <w:bidi w:val="0"/>
              <w:spacing w:before="0" w:after="32"/>
              <w:jc w:val="left"/>
              <w:rPr>
                <w:rFonts w:ascii="Arial;Helvetica;sans-serif" w:hAnsi="Arial;Helvetica;sans-serif"/>
                <w:b/>
                <w:sz w:val="20"/>
              </w:rPr>
            </w:pPr>
            <w:r>
              <w:rPr>
                <w:rFonts w:ascii="Arial;Helvetica;sans-serif" w:hAnsi="Arial;Helvetica;sans-serif"/>
                <w:b/>
                <w:sz w:val="20"/>
              </w:rPr>
              <w:t>Intentionally Omitted</w:t>
            </w:r>
          </w:p>
        </w:tc>
      </w:tr>
    </w:tbl>
    <w:p>
      <w:pPr>
        <w:pStyle w:val="TextBody"/>
        <w:bidi w:val="0"/>
        <w:spacing w:before="0" w:after="0"/>
        <w:ind w:left="0" w:right="0" w:hanging="0"/>
        <w:jc w:val="left"/>
        <w:rPr/>
      </w:pPr>
      <w:r>
        <w:rPr/>
        <w:t>​</w:t>
      </w:r>
    </w:p>
    <w:tbl>
      <w:tblPr>
        <w:tblW w:w="918" w:type="dxa"/>
        <w:jc w:val="left"/>
        <w:tblInd w:w="0" w:type="dxa"/>
        <w:tblLayout w:type="fixed"/>
        <w:tblCellMar>
          <w:top w:w="0" w:type="dxa"/>
          <w:left w:w="0" w:type="dxa"/>
          <w:bottom w:w="0" w:type="dxa"/>
          <w:right w:w="0" w:type="dxa"/>
        </w:tblCellMar>
      </w:tblPr>
      <w:tblGrid>
        <w:gridCol w:w="23"/>
        <w:gridCol w:w="125"/>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5</w:t>
            </w:r>
          </w:p>
        </w:tc>
        <w:tc>
          <w:tcPr>
            <w:tcW w:w="770"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Liability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5.1</w:t>
            </w:r>
          </w:p>
        </w:tc>
        <w:tc>
          <w:tcPr>
            <w:tcW w:w="989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Teneo warrants that it will perform the Services with reasonable skill and care. Except as specifically provided in this Agreement, no Teneo Party shall have any liability, regardless of the form of action, whether in contract or tort, or whether direct or indirect, except to the extent that any such liability for Claims is found in a non-appealable final judgment by a court of competent jurisdiction to have resulted primarily and directly from such Teneo Party’s gross negligence or willful misconduct. In no event will any Teneo Party have any liability to you for special, consequential, incidental, or exemplary damages or loss (nor any lost profits, savings, or business opportunity).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5.2</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Nothing in this Agreement shall exclude or limit our liability for (i) fraud or fraudulent misrepresentation; (ii) gross negligence or willful misconduct; or (iii) any other liability that may not be excluded or limited by law.</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sz w:val="20"/>
              </w:rPr>
              <w:t>5.3</w:t>
            </w:r>
          </w:p>
        </w:tc>
        <w:tc>
          <w:tcPr>
            <w:tcW w:w="9892"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sz w:val="20"/>
              </w:rPr>
              <w:t>Where Teneo has agreed in this Agreement that there is more than one beneficiary of the Services, the limitation on our total liability in this Agreement will apply to all such beneficiaries in the aggregate and shall be apportioned amongst them. You will procure that no such beneficiary will dispute or challenge the validity, operation, or enforceability of this section on the grounds that no such apportionment has been so agreed or on the grounds that the agreed share of the limitation amount so apportioned to any beneficiary is unreasonably low.</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1"/>
              <w:jc w:val="both"/>
              <w:rPr>
                <w:rFonts w:ascii="Arial;Helvetica;sans-serif" w:hAnsi="Arial;Helvetica;sans-serif"/>
                <w:sz w:val="20"/>
              </w:rPr>
            </w:pPr>
            <w:r>
              <w:rPr>
                <w:rFonts w:ascii="Arial;Helvetica;sans-serif" w:hAnsi="Arial;Helvetica;sans-serif"/>
                <w:sz w:val="20"/>
              </w:rPr>
              <w:t>5.4</w:t>
            </w:r>
          </w:p>
        </w:tc>
        <w:tc>
          <w:tcPr>
            <w:tcW w:w="9892" w:type="dxa"/>
            <w:tcBorders/>
            <w:vAlign w:val="center"/>
          </w:tcPr>
          <w:p>
            <w:pPr>
              <w:pStyle w:val="TableContents"/>
              <w:bidi w:val="0"/>
              <w:spacing w:before="0" w:after="121"/>
              <w:jc w:val="both"/>
              <w:rPr>
                <w:rFonts w:ascii="Arial;Helvetica;sans-serif" w:hAnsi="Arial;Helvetica;sans-serif"/>
                <w:sz w:val="20"/>
              </w:rPr>
            </w:pPr>
            <w:r>
              <w:rPr>
                <w:rFonts w:ascii="Arial;Helvetica;sans-serif" w:hAnsi="Arial;Helvetica;sans-serif"/>
                <w:sz w:val="20"/>
              </w:rPr>
              <w:t>Any liability which we may have to you for Damages shall (so far as is permitted by law) be limited to such an amount as is determined to be just and equitable, taking into account the extent of responsibility for such Damages of us, you, and any person other than us who is jointly or severally liable to you for all or part of the same Damages, provided always that our liability to you shall not exceed in aggregate the amount set out in this Agreement. Any limitation, exclusion, or restriction on the liability of any such other person, whether arising under statute or contract or resulting from death, bankruptcy or insolvency, or any settlement of such liability agreed with you, shall not be taken account of for the purposes of determining the extent of our liability to you.</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sz w:val="20"/>
              </w:rPr>
              <w:t>5.5</w:t>
            </w:r>
          </w:p>
        </w:tc>
        <w:tc>
          <w:tcPr>
            <w:tcW w:w="9892"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sz w:val="20"/>
              </w:rPr>
              <w:t>Except for the warranties, representations, conditions, and obligations expressly set out in this Agreement, Teneo disclaims all warranties, representations, conditions, and obligations, either express or implied, including warranties of satisfactory quality and fitness for a particular purpose. You agree that, in entering into this Agreement, you did not rely on any representations (whether written or oral) of any kind or of any person other than those expressly set out in this Agreement and we shall have no liability otherwise than pursuant to the express terms of this Agreement.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5.6</w:t>
            </w:r>
          </w:p>
        </w:tc>
        <w:tc>
          <w:tcPr>
            <w:tcW w:w="989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Any ancillary comments from us which arise during delivery of the Services are provided solely for the purpose of the Services to you and, without our prior written consent, may not be used for any other purpose, or disclosed to any person other than your other advisors (who may not rely</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4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10" descr=""/>
                    <pic:cNvPicPr>
                      <a:picLocks noChangeAspect="1" noChangeArrowheads="1"/>
                    </pic:cNvPicPr>
                  </pic:nvPicPr>
                  <pic:blipFill>
                    <a:blip r:embed="rId46"/>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8"/>
        <w:ind w:left="686" w:right="0" w:hanging="0"/>
        <w:jc w:val="both"/>
        <w:rPr>
          <w:rFonts w:ascii="Arial;Helvetica;sans-serif" w:hAnsi="Arial;Helvetica;sans-serif"/>
          <w:sz w:val="20"/>
        </w:rPr>
      </w:pPr>
      <w:r>
        <w:rPr>
          <w:rFonts w:ascii="Arial;Helvetica;sans-serif" w:hAnsi="Arial;Helvetica;sans-serif"/>
          <w:sz w:val="20"/>
        </w:rPr>
        <w:t>on such advice). You will not refer to us, or any comments which we provide during the delivery of the Services, in any public document or communication without our prior written consent, which will only be given on the basis that we will not be responsible for any such public document or communication.</w:t>
      </w:r>
    </w:p>
    <w:p>
      <w:pPr>
        <w:pStyle w:val="TextBody"/>
        <w:bidi w:val="0"/>
        <w:spacing w:before="0" w:after="0"/>
        <w:ind w:left="0" w:right="0" w:hanging="0"/>
        <w:jc w:val="left"/>
        <w:rPr/>
      </w:pPr>
      <w:r>
        <w:rPr/>
        <w:t>​</w:t>
      </w:r>
    </w:p>
    <w:tbl>
      <w:tblPr>
        <w:tblW w:w="1623" w:type="dxa"/>
        <w:jc w:val="left"/>
        <w:tblInd w:w="0" w:type="dxa"/>
        <w:tblLayout w:type="fixed"/>
        <w:tblCellMar>
          <w:top w:w="0" w:type="dxa"/>
          <w:left w:w="0" w:type="dxa"/>
          <w:bottom w:w="0" w:type="dxa"/>
          <w:right w:w="0" w:type="dxa"/>
        </w:tblCellMar>
      </w:tblPr>
      <w:tblGrid>
        <w:gridCol w:w="23"/>
        <w:gridCol w:w="125"/>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6</w:t>
            </w:r>
          </w:p>
        </w:tc>
        <w:tc>
          <w:tcPr>
            <w:tcW w:w="147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Indemnification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6.1</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You and Metropolitan Partners Group (“</w:t>
            </w:r>
            <w:r>
              <w:rPr>
                <w:rFonts w:ascii="Arial;Helvetica;sans-serif" w:hAnsi="Arial;Helvetica;sans-serif"/>
                <w:b/>
                <w:i/>
                <w:sz w:val="20"/>
              </w:rPr>
              <w:t>Lender</w:t>
            </w:r>
            <w:r>
              <w:rPr>
                <w:rFonts w:ascii="Arial;Helvetica;sans-serif" w:hAnsi="Arial;Helvetica;sans-serif"/>
                <w:sz w:val="20"/>
              </w:rPr>
              <w:t>”) shall indemnify, defend and hold harmless the Teneo Parties from and against all Claims to which any of the Teneo Parties may become subject related to or arising in any manner out of any activities performed or services furnished pursuant to this Agreement, any matter contemplated thereby, or a Teneo Party’s role in connection therewith, including prior to the date hereof (the “</w:t>
            </w:r>
            <w:r>
              <w:rPr>
                <w:rFonts w:ascii="Arial;Helvetica;sans-serif" w:hAnsi="Arial;Helvetica;sans-serif"/>
                <w:b/>
                <w:sz w:val="20"/>
              </w:rPr>
              <w:t>Indemnified Activities</w:t>
            </w:r>
            <w:r>
              <w:rPr>
                <w:rFonts w:ascii="Arial;Helvetica;sans-serif" w:hAnsi="Arial;Helvetica;sans-serif"/>
                <w:sz w:val="20"/>
              </w:rPr>
              <w:t>”), except to the extent a court of competent jurisdiction shall have determined by final non-appealable judgment that such Liabilities resulted directly from the gross negligence or willful misconduct of Teneo in performing the services that are the subject of this Agreement.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6.2</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You and Lender shall promptly reimburse the Teneo Parties for all costs and expenses (including fees, costs, and expenses of legal counsel), as incurred, in connection with (i) the investigation of; preparation for; response to; serving as a witness in respect of; or defending, pursuing, settling, or otherwise becoming involved in any pending or threatened investigative, administrative, judicial, regulatory, or other claim, action, or proceeding or any arbitration or investigation in any jurisdiction related to or arising in any manner out of any Indemnified Activities, whether in connection with pending or threatened litigation to which any Teneo Party is, or is threatened to be, a party (collectively, “</w:t>
            </w:r>
            <w:r>
              <w:rPr>
                <w:rFonts w:ascii="Arial;Helvetica;sans-serif" w:hAnsi="Arial;Helvetica;sans-serif"/>
                <w:b/>
                <w:sz w:val="20"/>
              </w:rPr>
              <w:t>Proceedings</w:t>
            </w:r>
            <w:r>
              <w:rPr>
                <w:rFonts w:ascii="Arial;Helvetica;sans-serif" w:hAnsi="Arial;Helvetica;sans-serif"/>
                <w:sz w:val="20"/>
              </w:rPr>
              <w:t>”); and (ii) enforcing a Teneo Party’s rights under this Agreement.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6.3</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We shall notify you and Lender after we become aware that a Proceeding has been commenced by way of service with a summons or other legal process giving information as to the nature and basis of the claim against a Teneo Party in respect of which indemnity may be sought hereunder. In any event, our failure to notify you or Lender shall not relieve you or Lender from any lability that you or Lender may have on account of this indemnity or otherwise except to the extent you or Lender could not otherwise have been aware of such Proceeding and you or Lender have been materially prejudiced with respect to the Proceeding by such failure.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6.4</w:t>
            </w:r>
          </w:p>
        </w:tc>
        <w:tc>
          <w:tcPr>
            <w:tcW w:w="989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Neither you nor Lender shall (a) settle, compromise, consent to the entry of a judgment in, or otherwise seek to terminate any pending or threatened Proceeding in respect of which indemnity may be sought hereunder, whether any Teneo Party is an actual or potential party to such Proceeding; or (b) participate in, or facilitate, any such settlement, compromise, consent, or termination, including on behalf of your board of directors (or a committee thereof), in each case without Teneo’s prior written consent unless such settlement, compromise, consent, or termination includes an unconditional release of each Teneo Party from all actual or potential Claims relating to the Indemnified Activities (such release to be set forth in an instrument signed by all parties to such settlement, compromise, consent, or termination) and does not include a statement as to or an admission of fault, culpability, or a failure to act, by or on behalf of any Teneo Party.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6.5</w:t>
            </w:r>
          </w:p>
        </w:tc>
        <w:tc>
          <w:tcPr>
            <w:tcW w:w="989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You and Lender shall be jointly and severally liable for any indemnification obligations arising under this Section 6. It is understood and agreed that the Lender shall not be considered a party to this Agreement for any other purpose, and its rights and obligations under this Agreement shall be limited to this Section 6. Each of the parties hereto acknowledges that this Section 6 will survive any expiration or early termination of this Agreement.</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4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11" descr=""/>
                    <pic:cNvPicPr>
                      <a:picLocks noChangeAspect="1" noChangeArrowheads="1"/>
                    </pic:cNvPicPr>
                  </pic:nvPicPr>
                  <pic:blipFill>
                    <a:blip r:embed="rId47"/>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tbl>
      <w:tblPr>
        <w:tblW w:w="978" w:type="dxa"/>
        <w:jc w:val="left"/>
        <w:tblInd w:w="0" w:type="dxa"/>
        <w:tblLayout w:type="fixed"/>
        <w:tblCellMar>
          <w:top w:w="0" w:type="dxa"/>
          <w:left w:w="0" w:type="dxa"/>
          <w:bottom w:w="0" w:type="dxa"/>
          <w:right w:w="0" w:type="dxa"/>
        </w:tblCellMar>
      </w:tblPr>
      <w:tblGrid>
        <w:gridCol w:w="23"/>
        <w:gridCol w:w="12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7</w:t>
            </w:r>
          </w:p>
        </w:tc>
        <w:tc>
          <w:tcPr>
            <w:tcW w:w="830"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Payment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8"/>
              <w:jc w:val="both"/>
              <w:rPr>
                <w:rFonts w:ascii="Arial;Helvetica;sans-serif" w:hAnsi="Arial;Helvetica;sans-serif"/>
                <w:sz w:val="20"/>
              </w:rPr>
            </w:pPr>
            <w:r>
              <w:rPr>
                <w:rFonts w:ascii="Arial;Helvetica;sans-serif" w:hAnsi="Arial;Helvetica;sans-serif"/>
                <w:sz w:val="20"/>
              </w:rPr>
              <w:t>7.1</w:t>
            </w:r>
          </w:p>
        </w:tc>
        <w:tc>
          <w:tcPr>
            <w:tcW w:w="9892" w:type="dxa"/>
            <w:tcBorders/>
            <w:vAlign w:val="center"/>
          </w:tcPr>
          <w:p>
            <w:pPr>
              <w:pStyle w:val="TableContents"/>
              <w:bidi w:val="0"/>
              <w:spacing w:before="0" w:after="8"/>
              <w:jc w:val="both"/>
              <w:rPr>
                <w:rFonts w:ascii="Arial;Helvetica;sans-serif" w:hAnsi="Arial;Helvetica;sans-serif"/>
                <w:sz w:val="20"/>
              </w:rPr>
            </w:pPr>
            <w:r>
              <w:rPr>
                <w:rFonts w:ascii="Arial;Helvetica;sans-serif" w:hAnsi="Arial;Helvetica;sans-serif"/>
                <w:sz w:val="20"/>
              </w:rPr>
              <w:t>Unless otherwise specified in the EL, we shall submit invoices for Compensation on a monthly basis and issue a final invoice to you on completion of the Services. You shall pay all invoices within thirty (30) days of the date of the applicable invoice (“</w:t>
            </w:r>
            <w:r>
              <w:rPr>
                <w:rFonts w:ascii="Arial;Helvetica;sans-serif" w:hAnsi="Arial;Helvetica;sans-serif"/>
                <w:b/>
                <w:sz w:val="20"/>
              </w:rPr>
              <w:t>Due Date</w:t>
            </w:r>
            <w:r>
              <w:rPr>
                <w:rFonts w:ascii="Arial;Helvetica;sans-serif" w:hAnsi="Arial;Helvetica;sans-serif"/>
                <w:sz w:val="20"/>
              </w:rPr>
              <w:t>”). Teneo shall have the right to suspend or terminate the provision of Services or any part thereof if payment is not received by the Due Date. If you dispute an invoice, you shall notify us within seven (7) days of its receipt and pay the undisputed portion of that invoice by the Due Date. You shall reimburse us for all reasonable expenses incurred in performing the Services (including all reasonable travel, meal, lodging, and mileage expenses) which will be invoiced as part of the Compensation. Termination of this Agreement, for any reason, shall not affect Teneo’s right to receive Compensation incurred up to, and as of, the date of termination of this Agreement.</w:t>
            </w:r>
          </w:p>
        </w:tc>
      </w:tr>
    </w:tbl>
    <w:p>
      <w:pPr>
        <w:pStyle w:val="TextBody"/>
        <w:bidi w:val="0"/>
        <w:spacing w:before="0" w:after="0"/>
        <w:ind w:left="0" w:right="0" w:hanging="0"/>
        <w:jc w:val="left"/>
        <w:rPr/>
      </w:pPr>
      <w:r>
        <w:rPr/>
        <w:t>​</w:t>
      </w:r>
    </w:p>
    <w:tbl>
      <w:tblPr>
        <w:tblW w:w="1593" w:type="dxa"/>
        <w:jc w:val="left"/>
        <w:tblInd w:w="0" w:type="dxa"/>
        <w:tblLayout w:type="fixed"/>
        <w:tblCellMar>
          <w:top w:w="0" w:type="dxa"/>
          <w:left w:w="0" w:type="dxa"/>
          <w:bottom w:w="0" w:type="dxa"/>
          <w:right w:w="0" w:type="dxa"/>
        </w:tblCellMar>
      </w:tblPr>
      <w:tblGrid>
        <w:gridCol w:w="23"/>
        <w:gridCol w:w="125"/>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8</w:t>
            </w:r>
          </w:p>
        </w:tc>
        <w:tc>
          <w:tcPr>
            <w:tcW w:w="144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Data Protection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7"/>
              <w:jc w:val="both"/>
              <w:rPr>
                <w:rFonts w:ascii="Arial;Helvetica;sans-serif" w:hAnsi="Arial;Helvetica;sans-serif"/>
                <w:sz w:val="20"/>
              </w:rPr>
            </w:pPr>
            <w:r>
              <w:rPr>
                <w:rFonts w:ascii="Arial;Helvetica;sans-serif" w:hAnsi="Arial;Helvetica;sans-serif"/>
                <w:sz w:val="20"/>
              </w:rPr>
              <w:t>8.1</w:t>
            </w:r>
          </w:p>
        </w:tc>
        <w:tc>
          <w:tcPr>
            <w:tcW w:w="9892" w:type="dxa"/>
            <w:tcBorders/>
            <w:vAlign w:val="center"/>
          </w:tcPr>
          <w:p>
            <w:pPr>
              <w:pStyle w:val="TableContents"/>
              <w:bidi w:val="0"/>
              <w:spacing w:before="0" w:after="7"/>
              <w:jc w:val="both"/>
              <w:rPr>
                <w:rFonts w:ascii="Arial;Helvetica;sans-serif" w:hAnsi="Arial;Helvetica;sans-serif"/>
                <w:sz w:val="20"/>
              </w:rPr>
            </w:pPr>
            <w:r>
              <w:rPr>
                <w:rFonts w:ascii="Arial;Helvetica;sans-serif" w:hAnsi="Arial;Helvetica;sans-serif"/>
                <w:sz w:val="20"/>
              </w:rPr>
              <w:t>In connection with the delivery of, and invoicing for, the Services, Teneo may collect and utilize certain personal data of, or concerning, representatives of the Client. For information concerning the handling of personal data by Teneo, see Teneo’s Privacy Policy at www.teneo.com.</w:t>
            </w:r>
          </w:p>
        </w:tc>
      </w:tr>
    </w:tbl>
    <w:p>
      <w:pPr>
        <w:pStyle w:val="TextBody"/>
        <w:bidi w:val="0"/>
        <w:spacing w:before="0" w:after="0"/>
        <w:ind w:left="0" w:right="0" w:hanging="0"/>
        <w:jc w:val="left"/>
        <w:rPr/>
      </w:pPr>
      <w:r>
        <w:rPr/>
        <w:t>​</w:t>
      </w:r>
    </w:p>
    <w:tbl>
      <w:tblPr>
        <w:tblW w:w="933" w:type="dxa"/>
        <w:jc w:val="left"/>
        <w:tblInd w:w="0" w:type="dxa"/>
        <w:tblLayout w:type="fixed"/>
        <w:tblCellMar>
          <w:top w:w="0" w:type="dxa"/>
          <w:left w:w="0" w:type="dxa"/>
          <w:bottom w:w="0" w:type="dxa"/>
          <w:right w:w="0" w:type="dxa"/>
        </w:tblCellMar>
      </w:tblPr>
      <w:tblGrid>
        <w:gridCol w:w="23"/>
        <w:gridCol w:w="125"/>
        <w:gridCol w:w="7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9</w:t>
            </w:r>
          </w:p>
        </w:tc>
        <w:tc>
          <w:tcPr>
            <w:tcW w:w="78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Survival</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7"/>
              <w:jc w:val="both"/>
              <w:rPr>
                <w:rFonts w:ascii="Arial;Helvetica;sans-serif" w:hAnsi="Arial;Helvetica;sans-serif"/>
                <w:sz w:val="20"/>
              </w:rPr>
            </w:pPr>
            <w:r>
              <w:rPr>
                <w:rFonts w:ascii="Arial;Helvetica;sans-serif" w:hAnsi="Arial;Helvetica;sans-serif"/>
                <w:sz w:val="20"/>
              </w:rPr>
              <w:t>9.1</w:t>
            </w:r>
          </w:p>
        </w:tc>
        <w:tc>
          <w:tcPr>
            <w:tcW w:w="9892" w:type="dxa"/>
            <w:tcBorders/>
            <w:vAlign w:val="center"/>
          </w:tcPr>
          <w:p>
            <w:pPr>
              <w:pStyle w:val="TableContents"/>
              <w:bidi w:val="0"/>
              <w:spacing w:before="0" w:after="7"/>
              <w:jc w:val="both"/>
              <w:rPr>
                <w:rFonts w:ascii="Arial;Helvetica;sans-serif" w:hAnsi="Arial;Helvetica;sans-serif"/>
                <w:sz w:val="20"/>
              </w:rPr>
            </w:pPr>
            <w:r>
              <w:rPr>
                <w:rFonts w:ascii="Arial;Helvetica;sans-serif" w:hAnsi="Arial;Helvetica;sans-serif"/>
                <w:sz w:val="20"/>
              </w:rPr>
              <w:t>The provisions of this Agreement, which expressly or by implication are intended to survive its termination, will survive and continue to bind both of us, including Sections 3 (Confidentiality), 5 (Liability), 6 (Indemnification), 7 (Payment), and 10 (Miscellaneous).</w:t>
            </w:r>
          </w:p>
        </w:tc>
      </w:tr>
    </w:tbl>
    <w:p>
      <w:pPr>
        <w:pStyle w:val="TextBody"/>
        <w:bidi w:val="0"/>
        <w:spacing w:before="0" w:after="0"/>
        <w:ind w:left="0" w:right="0" w:hanging="0"/>
        <w:jc w:val="left"/>
        <w:rPr/>
      </w:pPr>
      <w:r>
        <w:rPr/>
        <w:t>​</w:t>
      </w:r>
    </w:p>
    <w:tbl>
      <w:tblPr>
        <w:tblW w:w="1608" w:type="dxa"/>
        <w:jc w:val="left"/>
        <w:tblInd w:w="0" w:type="dxa"/>
        <w:tblLayout w:type="fixed"/>
        <w:tblCellMar>
          <w:top w:w="0" w:type="dxa"/>
          <w:left w:w="0" w:type="dxa"/>
          <w:bottom w:w="0" w:type="dxa"/>
          <w:right w:w="0" w:type="dxa"/>
        </w:tblCellMar>
      </w:tblPr>
      <w:tblGrid>
        <w:gridCol w:w="23"/>
        <w:gridCol w:w="230"/>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10</w:t>
            </w:r>
          </w:p>
        </w:tc>
        <w:tc>
          <w:tcPr>
            <w:tcW w:w="1355" w:type="dxa"/>
            <w:tcBorders/>
            <w:vAlign w:val="center"/>
          </w:tcPr>
          <w:p>
            <w:pPr>
              <w:pStyle w:val="TableContents"/>
              <w:bidi w:val="0"/>
              <w:spacing w:before="0" w:after="120"/>
              <w:jc w:val="left"/>
              <w:rPr>
                <w:rFonts w:ascii="Arial;Helvetica;sans-serif" w:hAnsi="Arial;Helvetica;sans-serif"/>
                <w:b/>
                <w:sz w:val="20"/>
              </w:rPr>
            </w:pPr>
            <w:r>
              <w:rPr>
                <w:rFonts w:ascii="Arial;Helvetica;sans-serif" w:hAnsi="Arial;Helvetica;sans-serif"/>
                <w:b/>
                <w:sz w:val="20"/>
              </w:rPr>
              <w:t>Miscellaneous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10.1</w:t>
            </w:r>
          </w:p>
        </w:tc>
        <w:tc>
          <w:tcPr>
            <w:tcW w:w="9787"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b/>
                <w:sz w:val="20"/>
              </w:rPr>
              <w:t xml:space="preserve">Dispute Resolution. </w:t>
            </w:r>
            <w:r>
              <w:rPr>
                <w:rFonts w:ascii="Arial;Helvetica;sans-serif" w:hAnsi="Arial;Helvetica;sans-serif"/>
                <w:sz w:val="20"/>
              </w:rPr>
              <w:t>Except to the extent that any dispute between you and Teneo must be brought before a Bankruptcy Court pursuant to the Bankruptcy Code, such dispute, whether relating to this Agreement or the relationship among the parties and whether involving alleged claims in contract, tort, or otherwise, will be submitted to final, binding arbitration, in accordance with the Federal Arbitration Act, in Dover County, Delaware before JAMS or if JAMS is unable to arbitrate, before the American Arbitration Association or if the American Arbitration Association is also unable to arbitrate, another nationally recognized arbitration tribunal mutually agreed to by the parties to the dispute. The arbitration shall be conducted before a single arbitrator, unless the parties otherwise agree in writing, in accordance with the then-existing most streamlined available rules of the selected arbitral forum. The arbitrator may award the prevailing party, as determined by the arbitrator, the prevailing party’s reasonable expenses, including attorneys’ fees and expenses and arbitration costs and the fees and costs of the arbitrator and the tribunal. In no event shall the arbitrator award punitive damages. No party hereto may bring any action or proceeding arising under or otherwise concerning the EL or the related relationship between the parties more than one year after the termination of the EL, except that Teneo may bring an action or proceeding for non-payment up until one year after the date the last payment is due to it.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10.2</w:t>
            </w:r>
          </w:p>
        </w:tc>
        <w:tc>
          <w:tcPr>
            <w:tcW w:w="9787"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b/>
                <w:sz w:val="20"/>
              </w:rPr>
              <w:t xml:space="preserve">Jury Trial Waiver. </w:t>
            </w:r>
            <w:r>
              <w:rPr>
                <w:rFonts w:ascii="Arial;Helvetica;sans-serif" w:hAnsi="Arial;Helvetica;sans-serif"/>
                <w:sz w:val="20"/>
              </w:rPr>
              <w:t>The parties hereto have agreed to the dispute resolution provision set forth herein and, therefore, it is the parties’ intention that disputes will not be heard in a court of law. Nothing herein, however, is intended or should be construed to preclude any party from seeking in a court of competent jurisdiction emergency or preliminary injunctive relief or relief in aid of or to compel arbitration. If any dispute relating to this Agreement should become subject to a proceeding before any court, THE PARTIES EXPRESSLY, IRREVOCABLY, AND UNCONDITIONALLY AGREE TO WAIVE ANY RIGHT TO TRIAL BY JURY IN ANY ACTION, PROCEEDING, OR COUNTERCLAIM ARISING OUT OF OR RELATING TO THIS</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12" descr=""/>
                    <pic:cNvPicPr>
                      <a:picLocks noChangeAspect="1" noChangeArrowheads="1"/>
                    </pic:cNvPicPr>
                  </pic:nvPicPr>
                  <pic:blipFill>
                    <a:blip r:embed="rId48"/>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17"/>
        <w:ind w:left="686" w:right="0" w:hanging="0"/>
        <w:jc w:val="both"/>
        <w:rPr>
          <w:rFonts w:ascii="Arial;Helvetica;sans-serif" w:hAnsi="Arial;Helvetica;sans-serif"/>
          <w:sz w:val="20"/>
        </w:rPr>
      </w:pPr>
      <w:r>
        <w:rPr>
          <w:rFonts w:ascii="Arial;Helvetica;sans-serif" w:hAnsi="Arial;Helvetica;sans-serif"/>
          <w:sz w:val="20"/>
        </w:rPr>
        <w:t>AGREEMENT OR THE SERVICES PROVIDED HEREUNDER. The parties’ agreement in this regard is an integral part of the consideration received by Teneo, and Teneo would not consent to perform services or enter into the Agreement without such agreement.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115"/>
              <w:jc w:val="both"/>
              <w:rPr>
                <w:rFonts w:ascii="Arial;Helvetica;sans-serif" w:hAnsi="Arial;Helvetica;sans-serif"/>
                <w:sz w:val="20"/>
              </w:rPr>
            </w:pPr>
            <w:r>
              <w:rPr>
                <w:rFonts w:ascii="Arial;Helvetica;sans-serif" w:hAnsi="Arial;Helvetica;sans-serif"/>
                <w:sz w:val="20"/>
              </w:rPr>
              <w:t>10.3</w:t>
            </w:r>
          </w:p>
        </w:tc>
        <w:tc>
          <w:tcPr>
            <w:tcW w:w="9787" w:type="dxa"/>
            <w:tcBorders/>
            <w:vAlign w:val="center"/>
          </w:tcPr>
          <w:p>
            <w:pPr>
              <w:pStyle w:val="TableContents"/>
              <w:bidi w:val="0"/>
              <w:spacing w:before="0" w:after="115"/>
              <w:jc w:val="both"/>
              <w:rPr>
                <w:rFonts w:ascii="Arial;Helvetica;sans-serif" w:hAnsi="Arial;Helvetica;sans-serif"/>
                <w:sz w:val="20"/>
              </w:rPr>
            </w:pPr>
            <w:r>
              <w:rPr>
                <w:rFonts w:ascii="Arial;Helvetica;sans-serif" w:hAnsi="Arial;Helvetica;sans-serif"/>
                <w:b/>
                <w:sz w:val="20"/>
              </w:rPr>
              <w:t xml:space="preserve">Force Majeure. </w:t>
            </w:r>
            <w:r>
              <w:rPr>
                <w:rFonts w:ascii="Arial;Helvetica;sans-serif" w:hAnsi="Arial;Helvetica;sans-serif"/>
                <w:sz w:val="20"/>
              </w:rPr>
              <w:t>Other than a party’s obligation to provide Compensation set out in the EL, neither party will be liable for any delays or failures in performance or breach of contract due to events, causes, or circumstances beyond the reasonable control of either party.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10.4</w:t>
            </w:r>
          </w:p>
        </w:tc>
        <w:tc>
          <w:tcPr>
            <w:tcW w:w="9787"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b/>
                <w:sz w:val="20"/>
              </w:rPr>
              <w:t xml:space="preserve">Notices. </w:t>
            </w:r>
            <w:r>
              <w:rPr>
                <w:rFonts w:ascii="Arial;Helvetica;sans-serif" w:hAnsi="Arial;Helvetica;sans-serif"/>
                <w:sz w:val="20"/>
              </w:rPr>
              <w:t>All notices required or permitted to be given under this Agreement shall be in writing and shall be deemed to have been given and received (a) when personally delivered or delivered by same-day courier; (b) on the third business day after mailing by registered or certified mail;</w:t>
            </w:r>
          </w:p>
        </w:tc>
      </w:tr>
    </w:tbl>
    <w:p>
      <w:pPr>
        <w:pStyle w:val="TextBody"/>
        <w:bidi w:val="0"/>
        <w:spacing w:before="0" w:after="112"/>
        <w:ind w:left="686" w:right="0" w:hanging="0"/>
        <w:jc w:val="both"/>
        <w:rPr>
          <w:rFonts w:ascii="Arial;Helvetica;sans-serif" w:hAnsi="Arial;Helvetica;sans-serif"/>
          <w:sz w:val="20"/>
        </w:rPr>
      </w:pPr>
      <w:r>
        <w:rPr>
          <w:rFonts w:ascii="Arial;Helvetica;sans-serif" w:hAnsi="Arial;Helvetica;sans-serif"/>
          <w:sz w:val="20"/>
        </w:rPr>
        <w:t>(c) upon delivery when sent by prepaid overnight express delivery service (</w:t>
      </w:r>
      <w:r>
        <w:rPr>
          <w:rFonts w:ascii="Arial;Helvetica;sans-serif" w:hAnsi="Arial;Helvetica;sans-serif"/>
          <w:i/>
          <w:sz w:val="20"/>
        </w:rPr>
        <w:t>e.g.</w:t>
      </w:r>
      <w:r>
        <w:rPr>
          <w:rFonts w:ascii="Arial;Helvetica;sans-serif" w:hAnsi="Arial;Helvetica;sans-serif"/>
          <w:sz w:val="20"/>
        </w:rPr>
        <w:t>, FedEx and UPS); or (d) when sent via email or facsimile and upon the receipt by the sending party of written confirmation by the receiving party; provided, however, that an automated facsimile or email confirmation of delivery or read receipt shall not constitute such confirmation; and, in any case, addressed to the appropriate party at the address set forth in the EL, or to any other address as the parties may have set during the period of this Agreement.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10.5</w:t>
            </w:r>
          </w:p>
        </w:tc>
        <w:tc>
          <w:tcPr>
            <w:tcW w:w="9787"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b/>
                <w:sz w:val="20"/>
              </w:rPr>
              <w:t xml:space="preserve">Subcontracting. </w:t>
            </w:r>
            <w:r>
              <w:rPr>
                <w:rFonts w:ascii="Arial;Helvetica;sans-serif" w:hAnsi="Arial;Helvetica;sans-serif"/>
                <w:sz w:val="20"/>
              </w:rPr>
              <w:t>We may subcontract the provision of the Services, or any part, to any person including any Teneo Party, but this will not affect Teneo’s responsibility for the Services. You agree not to bring any claim (whether in contract, tort, breach of statutory duty, or otherwise) against any Teneo Party except Teneo in respect of loss or damage suffered by you arising out of, or in connection with, this Agreement or the Services. The Teneo Parties are intended third- party beneficiaries of this section and may enforce such terms for their protection.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1"/>
              <w:jc w:val="both"/>
              <w:rPr>
                <w:rFonts w:ascii="Arial;Helvetica;sans-serif" w:hAnsi="Arial;Helvetica;sans-serif"/>
                <w:sz w:val="20"/>
              </w:rPr>
            </w:pPr>
            <w:r>
              <w:rPr>
                <w:rFonts w:ascii="Arial;Helvetica;sans-serif" w:hAnsi="Arial;Helvetica;sans-serif"/>
                <w:sz w:val="20"/>
              </w:rPr>
              <w:t>10.6</w:t>
            </w:r>
          </w:p>
        </w:tc>
        <w:tc>
          <w:tcPr>
            <w:tcW w:w="9787" w:type="dxa"/>
            <w:tcBorders/>
            <w:vAlign w:val="center"/>
          </w:tcPr>
          <w:p>
            <w:pPr>
              <w:pStyle w:val="TableContents"/>
              <w:bidi w:val="0"/>
              <w:spacing w:before="0" w:after="1"/>
              <w:jc w:val="both"/>
              <w:rPr>
                <w:rFonts w:ascii="Arial;Helvetica;sans-serif" w:hAnsi="Arial;Helvetica;sans-serif"/>
                <w:sz w:val="20"/>
              </w:rPr>
            </w:pPr>
            <w:r>
              <w:rPr>
                <w:rFonts w:ascii="Arial;Helvetica;sans-serif" w:hAnsi="Arial;Helvetica;sans-serif"/>
                <w:b/>
                <w:sz w:val="20"/>
              </w:rPr>
              <w:t xml:space="preserve">Nominated Subcontractor. </w:t>
            </w:r>
            <w:r>
              <w:rPr>
                <w:rFonts w:ascii="Arial;Helvetica;sans-serif" w:hAnsi="Arial;Helvetica;sans-serif"/>
                <w:sz w:val="20"/>
              </w:rPr>
              <w:t>Where you require us to contract the services of a specific subcontractor selected by you, you will accept responsibility and liability for the work to be performed by such subcontractor. Our agreement to program and integrate the work to be performed by such subcontractor for the purposes of this Agreement is provided on the following basis: (i) we will not be responsible or liable to you or to any other person for the work performed by such subcontractor or for any acts, omissions, defaults, and neglects of such subcontractor;</w:t>
            </w:r>
          </w:p>
        </w:tc>
      </w:tr>
    </w:tbl>
    <w:p>
      <w:pPr>
        <w:pStyle w:val="TextBody"/>
        <w:bidi w:val="0"/>
        <w:spacing w:before="0" w:after="119"/>
        <w:ind w:left="686" w:right="0" w:hanging="0"/>
        <w:jc w:val="both"/>
        <w:rPr>
          <w:rFonts w:ascii="Arial;Helvetica;sans-serif" w:hAnsi="Arial;Helvetica;sans-serif"/>
          <w:sz w:val="20"/>
        </w:rPr>
      </w:pPr>
      <w:r>
        <w:rPr>
          <w:rFonts w:ascii="Arial;Helvetica;sans-serif" w:hAnsi="Arial;Helvetica;sans-serif"/>
          <w:sz w:val="20"/>
        </w:rPr>
        <w:t>(ii) we shall not review any of the work provided by your nominated subcontractor unless we specifically agree to it in writing; (iii) it is your responsibility to inform yourself of the work performed by, and the advice given by, your other advisors; and (iv) you will be responsible and liable for, and will indemnify us against and from, any liability that we may incur to any person and against all Claims made against, suffered, or incurred by us, directly or indirectly, as a result of or in connection with the work performed by any such subcontractor.</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sz w:val="20"/>
              </w:rPr>
              <w:t>10.7</w:t>
            </w:r>
          </w:p>
        </w:tc>
        <w:tc>
          <w:tcPr>
            <w:tcW w:w="9787"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b/>
                <w:sz w:val="20"/>
              </w:rPr>
              <w:t xml:space="preserve">Non-Solicitation. </w:t>
            </w:r>
            <w:r>
              <w:rPr>
                <w:rFonts w:ascii="Arial;Helvetica;sans-serif" w:hAnsi="Arial;Helvetica;sans-serif"/>
                <w:sz w:val="20"/>
              </w:rPr>
              <w:t>You shall not, except with our prior written consent, either during the term of the EL or within twelve (12) months following termination of this Agreement, directly or indirectly, solicit or entice away (or attempt to solicit or entice away) from our employment any person employed or engaged by us or otherwise connected directly or indirectly with this Agreement in the delivery of the Services other than by means of any general advertisements for employees, so long as such general advertisements are not directed to our employees. If you commit any breach of this section, unless otherwise agreed, you shall, on demand, pay to us a sum sufficient to fully compensate us for any injury suffered by us by reason of your breach of this section, in no event less than a sum equal to one year’s basic salary or the annual fee that was payable by us to that employee, worker, or independent contractor plus the recruitment costs incurred by us in replacing such person.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10.8</w:t>
            </w:r>
          </w:p>
        </w:tc>
        <w:tc>
          <w:tcPr>
            <w:tcW w:w="9787"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b/>
                <w:sz w:val="20"/>
              </w:rPr>
              <w:t xml:space="preserve">Assignment. </w:t>
            </w:r>
            <w:r>
              <w:rPr>
                <w:rFonts w:ascii="Arial;Helvetica;sans-serif" w:hAnsi="Arial;Helvetica;sans-serif"/>
                <w:sz w:val="20"/>
              </w:rPr>
              <w:t>You shall not transfer, assign, novate, charge, or otherwise seek to deal in any way with any of your rights or obligations under this Agreement without our prior written consent.</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13" descr=""/>
                    <pic:cNvPicPr>
                      <a:picLocks noChangeAspect="1" noChangeArrowheads="1"/>
                    </pic:cNvPicPr>
                  </pic:nvPicPr>
                  <pic:blipFill>
                    <a:blip r:embed="rId49"/>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20"/>
        <w:ind w:left="686" w:right="0" w:hanging="0"/>
        <w:jc w:val="both"/>
        <w:rPr>
          <w:rFonts w:ascii="Arial;Helvetica;sans-serif" w:hAnsi="Arial;Helvetica;sans-serif"/>
          <w:sz w:val="20"/>
        </w:rPr>
      </w:pPr>
      <w:r>
        <w:rPr>
          <w:rFonts w:ascii="Arial;Helvetica;sans-serif" w:hAnsi="Arial;Helvetica;sans-serif"/>
          <w:sz w:val="20"/>
        </w:rPr>
        <w:t>We shall not transfer, assign, novate, charge, or otherwise seek to deal in any of our rights or obligations under this Agreement without your prior written consent; we may assign our rights and obligations under this Agreement to one or more of our Affiliates upon written notice to you, provided that such assignment shall not materially alter the Services provided.</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10.9</w:t>
            </w:r>
          </w:p>
        </w:tc>
        <w:tc>
          <w:tcPr>
            <w:tcW w:w="9787"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b/>
                <w:sz w:val="20"/>
              </w:rPr>
              <w:t xml:space="preserve">No Third-Party Beneficiaries. </w:t>
            </w:r>
            <w:r>
              <w:rPr>
                <w:rFonts w:ascii="Arial;Helvetica;sans-serif" w:hAnsi="Arial;Helvetica;sans-serif"/>
                <w:sz w:val="20"/>
              </w:rPr>
              <w:t>Teneo has been retained only by you. Unless otherwise expressly agreed in a writing signed by all parties hereto, no one other than you is authorized to rely upon the engagement of Teneo or any statements, advice, opinions, or conduct by Teneo. Except as set forth expressly herein, the parties understand and agree that there are no third- party beneficiaries of this Agreement, including partners, lenders, investors, trustees, beneficiaries, insureds, or Affiliates of the reorganized debtor, creditor committee, or any other entity. Accordingly, none of the aforementioned entities in this section shall have any right to pursue or enforce any right or remedy hereunder; to assert a Claim against Teneo; or to assert reliance in any manner on Teneo, this Agreement, or work performed hereunder.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10.10</w:t>
            </w:r>
          </w:p>
        </w:tc>
        <w:tc>
          <w:tcPr>
            <w:tcW w:w="968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b/>
                <w:sz w:val="20"/>
              </w:rPr>
              <w:t xml:space="preserve">Waiver. </w:t>
            </w:r>
            <w:r>
              <w:rPr>
                <w:rFonts w:ascii="Arial;Helvetica;sans-serif" w:hAnsi="Arial;Helvetica;sans-serif"/>
                <w:sz w:val="20"/>
              </w:rPr>
              <w:t>No failure or delay by any party to exercise any right or remedy provided under this Agreement or by law shall constitute a waiver of that or any other right or remedy, nor shall it prevent or restrict the further exercise of that or any other right or remedy, unless agreed in writing to be a waiver. No single or partial exercise of such right or remedy shall prevent or restrict the further exercise of that or any other right or remedy unless agreed in writing to be a waiver.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sz w:val="20"/>
              </w:rPr>
              <w:t>10.11</w:t>
            </w:r>
          </w:p>
        </w:tc>
        <w:tc>
          <w:tcPr>
            <w:tcW w:w="9682" w:type="dxa"/>
            <w:tcBorders/>
            <w:vAlign w:val="center"/>
          </w:tcPr>
          <w:p>
            <w:pPr>
              <w:pStyle w:val="TableContents"/>
              <w:bidi w:val="0"/>
              <w:spacing w:before="0" w:after="120"/>
              <w:jc w:val="both"/>
              <w:rPr>
                <w:rFonts w:ascii="Arial;Helvetica;sans-serif" w:hAnsi="Arial;Helvetica;sans-serif"/>
                <w:sz w:val="20"/>
              </w:rPr>
            </w:pPr>
            <w:r>
              <w:rPr>
                <w:rFonts w:ascii="Arial;Helvetica;sans-serif" w:hAnsi="Arial;Helvetica;sans-serif"/>
                <w:b/>
                <w:sz w:val="20"/>
              </w:rPr>
              <w:t xml:space="preserve">Amendment. </w:t>
            </w:r>
            <w:r>
              <w:rPr>
                <w:rFonts w:ascii="Arial;Helvetica;sans-serif" w:hAnsi="Arial;Helvetica;sans-serif"/>
                <w:sz w:val="20"/>
              </w:rPr>
              <w:t>No changes to this Agreement shall be effective unless agreed in writing and signed by both parties. This Agreement can be varied or terminated without any third party’s consent.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sz w:val="20"/>
              </w:rPr>
              <w:t>10.12</w:t>
            </w:r>
          </w:p>
        </w:tc>
        <w:tc>
          <w:tcPr>
            <w:tcW w:w="9682" w:type="dxa"/>
            <w:tcBorders/>
            <w:vAlign w:val="center"/>
          </w:tcPr>
          <w:p>
            <w:pPr>
              <w:pStyle w:val="TableContents"/>
              <w:bidi w:val="0"/>
              <w:spacing w:before="0" w:after="119"/>
              <w:jc w:val="both"/>
              <w:rPr>
                <w:rFonts w:ascii="Arial;Helvetica;sans-serif" w:hAnsi="Arial;Helvetica;sans-serif"/>
                <w:sz w:val="20"/>
              </w:rPr>
            </w:pPr>
            <w:r>
              <w:rPr>
                <w:rFonts w:ascii="Arial;Helvetica;sans-serif" w:hAnsi="Arial;Helvetica;sans-serif"/>
                <w:b/>
                <w:sz w:val="20"/>
              </w:rPr>
              <w:t xml:space="preserve">Entire Agreement. </w:t>
            </w:r>
            <w:r>
              <w:rPr>
                <w:rFonts w:ascii="Arial;Helvetica;sans-serif" w:hAnsi="Arial;Helvetica;sans-serif"/>
                <w:sz w:val="20"/>
              </w:rPr>
              <w:t>This Agreement (i) supersedes and relieves the parties from any liability which might otherwise arise in respect of any previous agreement, understanding, statement, or representation between the parties in relation to the matters dealt with in this Agreement and represents the entire Agreement between the parties on these matters; and (ii) is in full substitution and replacement for any standard terms issued by you which might otherwise be applicable. The parties and each of them acknowledge and agree that this Agreement has not been entered into in reliance on any pre-contractual statement and representations provided always that this section shall not exclude or limit any liability or any right which any party may have in respect of pre-contractual statement or representations made or given fraudulently or dishonestly or in circumstances where there has been willful concealment.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13"/>
              <w:jc w:val="both"/>
              <w:rPr>
                <w:rFonts w:ascii="Arial;Helvetica;sans-serif" w:hAnsi="Arial;Helvetica;sans-serif"/>
                <w:sz w:val="20"/>
              </w:rPr>
            </w:pPr>
            <w:r>
              <w:rPr>
                <w:rFonts w:ascii="Arial;Helvetica;sans-serif" w:hAnsi="Arial;Helvetica;sans-serif"/>
                <w:sz w:val="20"/>
              </w:rPr>
              <w:t>10.13</w:t>
            </w:r>
          </w:p>
        </w:tc>
        <w:tc>
          <w:tcPr>
            <w:tcW w:w="9682" w:type="dxa"/>
            <w:tcBorders/>
            <w:vAlign w:val="center"/>
          </w:tcPr>
          <w:p>
            <w:pPr>
              <w:pStyle w:val="TableContents"/>
              <w:bidi w:val="0"/>
              <w:spacing w:before="0" w:after="113"/>
              <w:jc w:val="both"/>
              <w:rPr>
                <w:rFonts w:ascii="Arial;Helvetica;sans-serif" w:hAnsi="Arial;Helvetica;sans-serif"/>
                <w:sz w:val="20"/>
              </w:rPr>
            </w:pPr>
            <w:r>
              <w:rPr>
                <w:rFonts w:ascii="Arial;Helvetica;sans-serif" w:hAnsi="Arial;Helvetica;sans-serif"/>
                <w:b/>
                <w:sz w:val="20"/>
              </w:rPr>
              <w:t xml:space="preserve">Authority to Sign. </w:t>
            </w:r>
            <w:r>
              <w:rPr>
                <w:rFonts w:ascii="Arial;Helvetica;sans-serif" w:hAnsi="Arial;Helvetica;sans-serif"/>
                <w:sz w:val="20"/>
              </w:rPr>
              <w:t>By signing this Agreement, you expressly represent and warrant that you have full and complete authority to accept these ToB, to bind the Client to every term of this Agreement, and to authorize us to provide you the Services under this Agreement.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1"/>
              <w:jc w:val="both"/>
              <w:rPr>
                <w:rFonts w:ascii="Arial;Helvetica;sans-serif" w:hAnsi="Arial;Helvetica;sans-serif"/>
                <w:sz w:val="20"/>
              </w:rPr>
            </w:pPr>
            <w:r>
              <w:rPr>
                <w:rFonts w:ascii="Arial;Helvetica;sans-serif" w:hAnsi="Arial;Helvetica;sans-serif"/>
                <w:sz w:val="20"/>
              </w:rPr>
              <w:t>10.14</w:t>
            </w:r>
          </w:p>
        </w:tc>
        <w:tc>
          <w:tcPr>
            <w:tcW w:w="9682" w:type="dxa"/>
            <w:tcBorders/>
            <w:vAlign w:val="center"/>
          </w:tcPr>
          <w:p>
            <w:pPr>
              <w:pStyle w:val="TableContents"/>
              <w:bidi w:val="0"/>
              <w:spacing w:before="0" w:after="121"/>
              <w:jc w:val="both"/>
              <w:rPr>
                <w:rFonts w:ascii="Arial;Helvetica;sans-serif" w:hAnsi="Arial;Helvetica;sans-serif"/>
                <w:sz w:val="20"/>
              </w:rPr>
            </w:pPr>
            <w:r>
              <w:rPr>
                <w:rFonts w:ascii="Arial;Helvetica;sans-serif" w:hAnsi="Arial;Helvetica;sans-serif"/>
                <w:b/>
                <w:sz w:val="20"/>
              </w:rPr>
              <w:t xml:space="preserve">Severance. </w:t>
            </w:r>
            <w:r>
              <w:rPr>
                <w:rFonts w:ascii="Arial;Helvetica;sans-serif" w:hAnsi="Arial;Helvetica;sans-serif"/>
                <w:sz w:val="20"/>
              </w:rPr>
              <w:t>If any provision of this Agreement, or part of any provision, is found by any court or other authority of competent jurisdiction to be invalid, illegal, or unenforceable, such provision or part-provision shall, to the extent required, be deemed modified to the minimum extent necessary to make it valid, legal, and enforceable. If such modification is not possible, the relevant provision or part-provision shall be deemed deleted. Any modification to, or deletion of, a provision or part- provision under this section shall not affect the validity and enforceability of the rest of this Agreement.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10.15</w:t>
            </w:r>
          </w:p>
        </w:tc>
        <w:tc>
          <w:tcPr>
            <w:tcW w:w="968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b/>
                <w:sz w:val="20"/>
              </w:rPr>
              <w:t xml:space="preserve">Governing Law. </w:t>
            </w:r>
            <w:r>
              <w:rPr>
                <w:rFonts w:ascii="Arial;Helvetica;sans-serif" w:hAnsi="Arial;Helvetica;sans-serif"/>
                <w:sz w:val="20"/>
              </w:rPr>
              <w:t>This Agreement shall be governed by, and construed in accordance with, the laws of the State of Delaware without regard to the provisions, policies, or principles thereof relating to choice or conflicts of law. To the extent applicable, each of the parties hereto agrees to submit any claim or dispute arising out of or related to this Agreement to the Bankruptcy Court. If the Bankruptcy Court declines to assert jurisdiction over such proceedings, then such</w:t>
            </w:r>
          </w:p>
        </w:tc>
      </w:tr>
    </w:tbl>
    <w:p>
      <w:pPr>
        <w:pStyle w:val="TextBody"/>
        <w:pBdr/>
        <w:bidi w:val="0"/>
        <w:spacing w:before="0" w:after="0"/>
        <w:ind w:left="119" w:right="0" w:hanging="56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70965" cy="280035"/>
            <wp:effectExtent l="0" t="0" r="0" b="0"/>
            <wp:docPr id="6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14" descr=""/>
                    <pic:cNvPicPr>
                      <a:picLocks noChangeAspect="1" noChangeArrowheads="1"/>
                    </pic:cNvPicPr>
                  </pic:nvPicPr>
                  <pic:blipFill>
                    <a:blip r:embed="rId50"/>
                    <a:stretch>
                      <a:fillRect/>
                    </a:stretch>
                  </pic:blipFill>
                  <pic:spPr bwMode="auto">
                    <a:xfrm>
                      <a:off x="0" y="0"/>
                      <a:ext cx="1370965" cy="2800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686" w:right="0" w:hanging="0"/>
        <w:jc w:val="both"/>
        <w:rPr>
          <w:rFonts w:ascii="Arial;Helvetica;sans-serif" w:hAnsi="Arial;Helvetica;sans-serif"/>
          <w:sz w:val="20"/>
        </w:rPr>
      </w:pPr>
      <w:r>
        <w:rPr>
          <w:rFonts w:ascii="Arial;Helvetica;sans-serif" w:hAnsi="Arial;Helvetica;sans-serif"/>
          <w:sz w:val="20"/>
        </w:rPr>
        <w:t>proceedings shall be heard and determined in any state or federal court of competent jurisdiction sitting in Delaware, to whose jurisdiction each of the parties hereto hereby irrevocably submits. To the extent applicable, nothing in this section shall pertain to, or affect, the authority of the Bankruptcy Court to consider and rule upon Teneo’s applications for interim or final compensation pursuant to this Agreement.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3407" w:right="0" w:firstLine="358"/>
        <w:jc w:val="right"/>
        <w:rPr>
          <w:rFonts w:ascii="Times New Roman;Times;serif" w:hAnsi="Times New Roman;Times;serif"/>
          <w:b/>
          <w:sz w:val="20"/>
        </w:rPr>
      </w:pPr>
      <w:bookmarkStart w:id="1776" w:name="prst-20231231xex31d1.htm"/>
      <w:bookmarkStart w:id="1777" w:name="ksprst20231231xex31d1"/>
      <w:bookmarkEnd w:id="1776"/>
      <w:bookmarkEnd w:id="1777"/>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Exchange Act Rule 13a-14(a)/15d-14(a)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Amended</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Guillaume Lefevre, certify that:</w:t>
      </w:r>
    </w:p>
    <w:tbl>
      <w:tblPr>
        <w:tblW w:w="9978" w:type="dxa"/>
        <w:jc w:val="left"/>
        <w:tblInd w:w="0" w:type="dxa"/>
        <w:tblLayout w:type="fixed"/>
        <w:tblCellMar>
          <w:top w:w="0" w:type="dxa"/>
          <w:left w:w="0" w:type="dxa"/>
          <w:bottom w:w="0" w:type="dxa"/>
          <w:right w:w="0" w:type="dxa"/>
        </w:tblCellMar>
      </w:tblPr>
      <w:tblGrid>
        <w:gridCol w:w="23"/>
        <w:gridCol w:w="17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quarter ended December 31, 2023 of Presto Automation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w:t>
            </w:r>
            <w:r>
              <w:rPr>
                <w:caps w:val="false"/>
                <w:smallCaps w:val="false"/>
              </w:rPr>
              <w:t xml:space="preserve"> </w:t>
            </w:r>
            <w:r>
              <w:rPr>
                <w:rFonts w:ascii="Times New Roman;Times;serif" w:hAnsi="Times New Roman;Times;serif"/>
                <w:b w:val="false"/>
                <w:i w:val="false"/>
                <w:caps w:val="false"/>
                <w:smallCaps w:val="false"/>
                <w:sz w:val="20"/>
              </w:rPr>
              <w:t>that has materially affected, or is reasonably likely to materially affect, the registrant’s internal control over financial reporting; and</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787" w:type="dxa"/>
        <w:jc w:val="center"/>
        <w:tblInd w:w="0" w:type="dxa"/>
        <w:tblLayout w:type="fixed"/>
        <w:tblCellMar>
          <w:top w:w="0" w:type="dxa"/>
          <w:left w:w="0" w:type="dxa"/>
          <w:bottom w:w="0" w:type="dxa"/>
          <w:right w:w="0" w:type="dxa"/>
        </w:tblCellMar>
      </w:tblPr>
      <w:tblGrid>
        <w:gridCol w:w="2086"/>
        <w:gridCol w:w="270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24610" cy="175260"/>
                      <wp:effectExtent l="0" t="0" r="0" b="0"/>
                      <wp:wrapNone/>
                      <wp:docPr id="645" name="Frame63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715135" cy="175260"/>
                      <wp:effectExtent l="0" t="0" r="0" b="0"/>
                      <wp:wrapNone/>
                      <wp:docPr id="646" name="Frame632"/>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20, 2024</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/s/Guillaume Lefevre</w:t>
            </w:r>
          </w:p>
        </w:tc>
      </w:tr>
      <w:tr>
        <w:trPr/>
        <w:tc>
          <w:tcPr>
            <w:tcW w:w="2086" w:type="dxa"/>
            <w:tcBorders/>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Guillaume Lefevre</w:t>
            </w:r>
          </w:p>
        </w:tc>
      </w:tr>
      <w:tr>
        <w:trPr/>
        <w:tc>
          <w:tcPr>
            <w:tcW w:w="208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w:t>
            </w:r>
          </w:p>
        </w:tc>
      </w:tr>
      <w:tr>
        <w:trPr/>
        <w:tc>
          <w:tcPr>
            <w:tcW w:w="208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3407" w:right="0" w:firstLine="375"/>
        <w:jc w:val="right"/>
        <w:rPr>
          <w:rFonts w:ascii="Times New Roman;Times;serif" w:hAnsi="Times New Roman;Times;serif"/>
          <w:b/>
          <w:sz w:val="20"/>
        </w:rPr>
      </w:pPr>
      <w:bookmarkStart w:id="1778" w:name="prst-20231231xex31d2.htm"/>
      <w:bookmarkStart w:id="1779" w:name="ksprst20231231xex31d2"/>
      <w:bookmarkEnd w:id="1778"/>
      <w:bookmarkEnd w:id="1779"/>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Exchange Act Rule 13a-14(a)/15d-14(a)</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Amended</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Stanley Mbugua, certify that:</w:t>
      </w:r>
    </w:p>
    <w:tbl>
      <w:tblPr>
        <w:tblW w:w="9933" w:type="dxa"/>
        <w:jc w:val="left"/>
        <w:tblInd w:w="0" w:type="dxa"/>
        <w:tblLayout w:type="fixed"/>
        <w:tblCellMar>
          <w:top w:w="0" w:type="dxa"/>
          <w:left w:w="0" w:type="dxa"/>
          <w:bottom w:w="0" w:type="dxa"/>
          <w:right w:w="0" w:type="dxa"/>
        </w:tblCellMar>
      </w:tblPr>
      <w:tblGrid>
        <w:gridCol w:w="23"/>
        <w:gridCol w:w="170"/>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December 31, 2023 of Presto Automation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727" w:type="dxa"/>
        <w:jc w:val="center"/>
        <w:tblInd w:w="0" w:type="dxa"/>
        <w:tblLayout w:type="fixed"/>
        <w:tblCellMar>
          <w:top w:w="0" w:type="dxa"/>
          <w:left w:w="0" w:type="dxa"/>
          <w:bottom w:w="0" w:type="dxa"/>
          <w:right w:w="0" w:type="dxa"/>
        </w:tblCellMar>
      </w:tblPr>
      <w:tblGrid>
        <w:gridCol w:w="2086"/>
        <w:gridCol w:w="264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24610" cy="175260"/>
                      <wp:effectExtent l="0" t="0" r="0" b="0"/>
                      <wp:wrapNone/>
                      <wp:docPr id="647" name="Frame633"/>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677035" cy="175260"/>
                      <wp:effectExtent l="0" t="0" r="0" b="0"/>
                      <wp:wrapNone/>
                      <wp:docPr id="648" name="Frame63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20, 2024</w:t>
            </w:r>
          </w:p>
        </w:tc>
        <w:tc>
          <w:tcPr>
            <w:tcW w:w="26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26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26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80" w:name="prst-20231231xex32d1.htm"/>
      <w:bookmarkStart w:id="1781" w:name="ksprst20231231xex32d1"/>
      <w:bookmarkEnd w:id="1780"/>
      <w:bookmarkEnd w:id="1781"/>
      <w:r>
        <w:rPr>
          <w:rFonts w:ascii="Times New Roman;Times;serif" w:hAnsi="Times New Roman;Times;serif"/>
          <w:b/>
          <w:sz w:val="20"/>
        </w:rPr>
        <w:t>Exhibit 32.1</w:t>
      </w:r>
      <w:r>
        <w:br w:type="page"/>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 18 U.S.C. Section 1350</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Guillaume Lefevre, Interim Chief Executive Officer of Presto Automation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3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Quarterly Report on Form 10-Q for the quarter ended December 31, 2023 (the “Report”) of the Company fully complies with the requirements of Section 13(a) or 15(d) of the Securities Exchange Act of 1934 (15 U.S.C. 78m(a) or 78o(d));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113" w:type="dxa"/>
        <w:jc w:val="left"/>
        <w:tblInd w:w="0" w:type="dxa"/>
        <w:tblLayout w:type="fixed"/>
        <w:tblCellMar>
          <w:top w:w="0" w:type="dxa"/>
          <w:left w:w="0" w:type="dxa"/>
          <w:bottom w:w="0" w:type="dxa"/>
          <w:right w:w="0" w:type="dxa"/>
        </w:tblCellMar>
      </w:tblPr>
      <w:tblGrid>
        <w:gridCol w:w="2086"/>
        <w:gridCol w:w="326"/>
        <w:gridCol w:w="2701"/>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20, 2024</w:t>
            </w:r>
          </w:p>
        </w:tc>
        <w:tc>
          <w:tcPr>
            <w:tcW w:w="326" w:type="dxa"/>
            <w:tcBorders/>
            <w:vAlign w:val="center"/>
          </w:tcPr>
          <w:p>
            <w:pPr>
              <w:pStyle w:val="TableContents"/>
              <w:bidi w:val="0"/>
              <w:spacing w:before="0" w:after="0"/>
              <w:ind w:left="0" w:right="0" w:hanging="0"/>
              <w:jc w:val="left"/>
              <w:rPr/>
            </w:pPr>
            <w:r>
              <w:rPr/>
              <w:t>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Guillaume D. Lefevre</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Guillaume D. Lefevre</w:t>
            </w:r>
          </w:p>
        </w:tc>
      </w:tr>
      <w:tr>
        <w:trPr/>
        <w:tc>
          <w:tcPr>
            <w:tcW w:w="2086" w:type="dxa"/>
            <w:tcBorders/>
            <w:vAlign w:val="center"/>
          </w:tcPr>
          <w:p>
            <w:pPr>
              <w:pStyle w:val="TableContents"/>
              <w:bidi w:val="0"/>
              <w:spacing w:before="0" w:after="0"/>
              <w:ind w:left="0" w:right="0" w:hanging="0"/>
              <w:jc w:val="left"/>
              <w:rPr>
                <w:color w:val="010302"/>
              </w:rPr>
            </w:pPr>
            <w:r>
              <w:rPr>
                <w:color w:val="010302"/>
              </w:rPr>
              <w:t>​</w:t>
            </w:r>
          </w:p>
        </w:tc>
        <w:tc>
          <w:tcPr>
            <w:tcW w:w="326" w:type="dxa"/>
            <w:tcBorders/>
            <w:vAlign w:val="center"/>
          </w:tcPr>
          <w:p>
            <w:pPr>
              <w:pStyle w:val="TableContents"/>
              <w:bidi w:val="0"/>
              <w:spacing w:before="0" w:after="0"/>
              <w:ind w:left="0" w:right="0" w:hanging="0"/>
              <w:jc w:val="left"/>
              <w:rPr>
                <w:color w:val="010302"/>
              </w:rPr>
            </w:pPr>
            <w:r>
              <w:rPr>
                <w:color w:val="010302"/>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color w:val="010302"/>
              </w:rPr>
            </w:pPr>
            <w:r>
              <w:rPr>
                <w:color w:val="010302"/>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782" w:name="prst-20231231xex32d2.htm"/>
      <w:bookmarkStart w:id="1783" w:name="ksprst20231231xex32d2"/>
      <w:bookmarkEnd w:id="1782"/>
      <w:bookmarkEnd w:id="178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Financial Officer Pursuant to 18 U.S.C. Section 1350 </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Stanley Mbugua, Interim Chief Financial Officer of Presto Automation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3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Quarterly Report on Form 10-Q for the quarter ended December 31, 2023 (the “Report”) of the Company fully complies with the requirements of Section 13(a) or 15(d) of the Securities Exchange Act of 1934 (15 U.S.C. 78m(a) or 78o(d));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836" w:type="dxa"/>
        <w:jc w:val="center"/>
        <w:tblInd w:w="0" w:type="dxa"/>
        <w:tblLayout w:type="fixed"/>
        <w:tblCellMar>
          <w:top w:w="0" w:type="dxa"/>
          <w:left w:w="0" w:type="dxa"/>
          <w:bottom w:w="0" w:type="dxa"/>
          <w:right w:w="0" w:type="dxa"/>
        </w:tblCellMar>
      </w:tblPr>
      <w:tblGrid>
        <w:gridCol w:w="2086"/>
        <w:gridCol w:w="109"/>
        <w:gridCol w:w="2641"/>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20, 2024</w:t>
            </w:r>
          </w:p>
        </w:tc>
        <w:tc>
          <w:tcPr>
            <w:tcW w:w="109"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charset w:val="01"/>
    <w:family w:val="auto"/>
    <w:pitch w:val="default"/>
  </w:font>
  <w:font w:name="Segoe UI">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145/000121390021058217/ea150262ex2-1_ventouxccm.htm" TargetMode="External"/><Relationship Id="rId3" Type="http://schemas.openxmlformats.org/officeDocument/2006/relationships/hyperlink" Target="https://www.sec.gov/Archives/edgar/data/1822145/000121390022017828/ea157923ex2-1_ventoux.htm" TargetMode="External"/><Relationship Id="rId4" Type="http://schemas.openxmlformats.org/officeDocument/2006/relationships/hyperlink" Target="https://www.sec.gov/Archives/edgar/data/1822145/000121390022041523/ea163294ex2-1_ventoux.htm" TargetMode="External"/><Relationship Id="rId5" Type="http://schemas.openxmlformats.org/officeDocument/2006/relationships/hyperlink" Target="https://www.sec.gov/Archives/edgar/data/1822145/000121390022059478/ea166244ex3-1_prestoauto.htm" TargetMode="External"/><Relationship Id="rId6" Type="http://schemas.openxmlformats.org/officeDocument/2006/relationships/hyperlink" Target="https://www.sec.gov/Archives/edgar/data/1822145/000121390022059478/ea166244ex3-2_prestoauto.htm" TargetMode="External"/><Relationship Id="rId7" Type="http://schemas.openxmlformats.org/officeDocument/2006/relationships/hyperlink" Target="https://www.sec.gov/Archives/edgar/data/0001822145/000101376223002979/ea186564ex10-1_prestoauto.htm" TargetMode="External"/><Relationship Id="rId8" Type="http://schemas.openxmlformats.org/officeDocument/2006/relationships/hyperlink" Target="https://www.sec.gov/Archives/edgar/data/0001822145/000101376223002979/ea186564ex10-2_prestoauto.htm" TargetMode="External"/><Relationship Id="rId9" Type="http://schemas.openxmlformats.org/officeDocument/2006/relationships/hyperlink" Target="https://www.sec.gov/Archives/edgar/data/0001822145/000101376223002979/ea186564ex10-3_prestoauto.htm" TargetMode="External"/><Relationship Id="rId10" Type="http://schemas.openxmlformats.org/officeDocument/2006/relationships/hyperlink" Target="https://www.sec.gov/Archives/edgar/data/0001822145/000101376223002979/ea186564ex10-4_prestoauto.htm" TargetMode="External"/><Relationship Id="rId11" Type="http://schemas.openxmlformats.org/officeDocument/2006/relationships/hyperlink" Target="https://www.sec.gov/Archives/edgar/data/0001822145/000101376223002979/ea186564ex10-5_prestoauto.htm" TargetMode="External"/><Relationship Id="rId12" Type="http://schemas.openxmlformats.org/officeDocument/2006/relationships/hyperlink" Target="https://www.sec.gov/Archives/edgar/data/0001822145/000101376223002979/ea186564ex10-6_prestoauto.htm" TargetMode="External"/><Relationship Id="rId13" Type="http://schemas.openxmlformats.org/officeDocument/2006/relationships/hyperlink" Target="https://www.sec.gov/Archives/edgar/data/0001822145/000101376223002979/ea186564ex10-7_prestoauto.htm" TargetMode="External"/><Relationship Id="rId14" Type="http://schemas.openxmlformats.org/officeDocument/2006/relationships/hyperlink" Target="https://www.sec.gov/Archives/edgar/data/0001822145/000101376223002979/ea186564ex10-8_prestoauto.htm" TargetMode="External"/><Relationship Id="rId15" Type="http://schemas.openxmlformats.org/officeDocument/2006/relationships/hyperlink" Target="https://www.sec.gov/Archives/edgar/data/0001822145/000101376223002979/ea186564ex10-9_prestoauto.htm" TargetMode="External"/><Relationship Id="rId16" Type="http://schemas.openxmlformats.org/officeDocument/2006/relationships/hyperlink" Target="https://www.sec.gov/Archives/edgar/data/0001822145/000101376223002979/ea186564ex10-10_prestoauto.htm" TargetMode="External"/><Relationship Id="rId17" Type="http://schemas.openxmlformats.org/officeDocument/2006/relationships/hyperlink" Target="https://www.sec.gov/Archives/edgar/data/0001822145/000101376223002979/ea186564ex10-11_prestoauto.htm" TargetMode="External"/><Relationship Id="rId18" Type="http://schemas.openxmlformats.org/officeDocument/2006/relationships/hyperlink" Target="https://www.sec.gov/Archives/edgar/data/0001822145/000101376223002979/ea186564ex10-12_prestoauto.htm" TargetMode="External"/><Relationship Id="rId19" Type="http://schemas.openxmlformats.org/officeDocument/2006/relationships/hyperlink" Target="https://www.sec.gov/Archives/edgar/data/1822145/000121390023089293/ea188717ex10-1_presto.htm" TargetMode="External"/><Relationship Id="rId20" Type="http://schemas.openxmlformats.org/officeDocument/2006/relationships/hyperlink" Target="https://www.sec.gov/Archives/edgar/data/1822145/000121390023089293/ea188717ex10-2_presto.htm" TargetMode="External"/><Relationship Id="rId21" Type="http://schemas.openxmlformats.org/officeDocument/2006/relationships/hyperlink" Target="https://www.sec.gov/Archives/edgar/data/1822145/000121390023089293/ea188717ex10-3_presto.htm" TargetMode="External"/><Relationship Id="rId22" Type="http://schemas.openxmlformats.org/officeDocument/2006/relationships/hyperlink" Target="https://www.sec.gov/Archives/edgar/data/1822145/000121390023089293/ea188717ex10-4_presto.htm" TargetMode="External"/><Relationship Id="rId23" Type="http://schemas.openxmlformats.org/officeDocument/2006/relationships/hyperlink" Target="https://www.sec.gov/Archives/edgar/data/1822145/000121390023089293/ea188717ex10-5_presto.htm" TargetMode="External"/><Relationship Id="rId24" Type="http://schemas.openxmlformats.org/officeDocument/2006/relationships/hyperlink" Target="https://www.sec.gov/Archives/edgar/data/0001822145/000121390023089293/ea188717ex10-6_presto.htm" TargetMode="External"/><Relationship Id="rId25" Type="http://schemas.openxmlformats.org/officeDocument/2006/relationships/hyperlink" Target="https://www.sec.gov/Archives/edgar/data/0001822145/000121390023089293/ea188717ex10-6_presto.htm" TargetMode="External"/><Relationship Id="rId26" Type="http://schemas.openxmlformats.org/officeDocument/2006/relationships/hyperlink" Target="https://www.sec.gov/Archives/edgar/data/0001822145/000121390023089293/ea188717ex10-6_presto.htm" TargetMode="External"/><Relationship Id="rId27" Type="http://schemas.openxmlformats.org/officeDocument/2006/relationships/hyperlink" Target="https://www.sec.gov/Archives/edgar/data/0001822145/000121390023089293/ea188717ex10-7_presto.htm" TargetMode="External"/><Relationship Id="rId28" Type="http://schemas.openxmlformats.org/officeDocument/2006/relationships/hyperlink" Target="https://www.sec.gov/Archives/edgar/data/0001822145/000121390023089293/ea188717ex10-7_presto.htm" TargetMode="External"/><Relationship Id="rId29" Type="http://schemas.openxmlformats.org/officeDocument/2006/relationships/hyperlink" Target="https://www.sec.gov/Archives/edgar/data/0001822145/000121390023089293/ea188717ex10-7_presto.htm" TargetMode="External"/><Relationship Id="rId30" Type="http://schemas.openxmlformats.org/officeDocument/2006/relationships/hyperlink" Target="https://www.sec.gov/Archives/edgar/data/0001822145/000121390023089293/ea188717ex10-8_presto.htm" TargetMode="External"/><Relationship Id="rId31" Type="http://schemas.openxmlformats.org/officeDocument/2006/relationships/hyperlink" Target="https://www.sec.gov/Archives/edgar/data/0001822145/000121390023089293/ea188717ex10-8_presto.htm" TargetMode="External"/><Relationship Id="rId32" Type="http://schemas.openxmlformats.org/officeDocument/2006/relationships/hyperlink" Target="https://www.sec.gov/Archives/edgar/data/0001822145/000121390023089293/ea188717ex10-8_presto.htm" TargetMode="External"/><Relationship Id="rId33" Type="http://schemas.openxmlformats.org/officeDocument/2006/relationships/hyperlink" Target="https://www.sec.gov/Archives/edgar/data/0001822145/000121390023089293/ea188717ex10-9_presto.htm" TargetMode="External"/><Relationship Id="rId34" Type="http://schemas.openxmlformats.org/officeDocument/2006/relationships/hyperlink" Target="https://www.sec.gov/Archives/edgar/data/0001822145/000121390023089293/ea188717ex10-9_presto.htm" TargetMode="External"/><Relationship Id="rId35" Type="http://schemas.openxmlformats.org/officeDocument/2006/relationships/hyperlink" Target="https://www.sec.gov/Archives/edgar/data/0001822145/000121390023089293/ea188717ex10-9_presto.htm" TargetMode="External"/><Relationship Id="rId36" Type="http://schemas.openxmlformats.org/officeDocument/2006/relationships/hyperlink" Target="https://www.sec.gov/Archives/edgar/data/1822145/000155837023019744/prst-20231206xex10d1.htm" TargetMode="External"/><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56740</Words>
  <Characters>304357</Characters>
  <CharactersWithSpaces>362786</CharactersWithSpaces>
  <Paragraphs>8828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