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333-275112</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163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$5,000,000 of Common Stock</w:t>
      </w:r>
    </w:p>
    <w:p>
      <w:pPr>
        <w:spacing w:after="0" w:line="229"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entered into a Common Stock Purchase Agreement with Triton Funds LP (“Triton”) on May 28, 2024 (the “CSPA”). Pursuant to the CSPA, we have the right, but not the obligation, to sell to Triton up to $5,000,000 of our shares of common stock, par value $0.0001 per share, offered by this prospectus supplement and the accompanying prospectus at our request any time during the commitment period commencing on May 28, 2024 and terminating on the earlier of (i) December 31, 2024 or (ii) the date on which Triton shall have purchased shares of our common stock pursuant to the CSPA equal to the investment amount of $5,000,000 (the “Commitment Period”).</w:t>
      </w:r>
    </w:p>
    <w:p>
      <w:pPr>
        <w:spacing w:after="0" w:line="183"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sale we request under the CSPA (a “Purchase Notice”)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for that tranche of shares. The price in (i) and (ii) is referred to as the “Minimum Price” and the price in (i), (ii) and (iii) is referred to as the “Purchase Price”.</w:t>
      </w:r>
    </w:p>
    <w:p>
      <w:pPr>
        <w:spacing w:after="0" w:line="189"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Triton has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will be purchased at (x) the Purchase Price, if relief provided by Nasdaq Rule 5635(f)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CSPA, and (ii) us having timely delivered a second Purchase Notice for 9.9% of our outstanding shares to Triton within one business day after the closing related to such first Purchase Notice unless Triton has failed to comply with its obligation, in which case we are not obligated to deliver such second Purchase Notice.</w:t>
      </w:r>
    </w:p>
    <w:p>
      <w:pPr>
        <w:spacing w:after="0" w:line="188" w:lineRule="exact"/>
        <w:rPr>
          <w:sz w:val="24"/>
          <w:szCs w:val="24"/>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S-14.</w:t>
      </w:r>
    </w:p>
    <w:p>
      <w:pPr>
        <w:spacing w:after="0" w:line="180"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“PRST”. On May 24, 2024, the closing price of our common stock, as reported on the Nasdaq, was $0.15 per share.</w:t>
      </w:r>
    </w:p>
    <w:p>
      <w:pPr>
        <w:spacing w:after="0" w:line="158" w:lineRule="exact"/>
        <w:rPr>
          <w:sz w:val="24"/>
          <w:szCs w:val="24"/>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carefully the discussion of material risks of investing in our common stock under the heading “Risk Factors” beginning on page S-6 of this prospectus supplement and in the documents incorporated by reference into this prospectus supplement.</w:t>
      </w:r>
    </w:p>
    <w:p>
      <w:pPr>
        <w:spacing w:after="0" w:line="171"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 Please see “Risk Factors” beginning on page S-6 of this prospectus supplement for addition information on these risks.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May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120" w:type="dxa"/>
            <w:vAlign w:val="bottom"/>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56"/>
        </w:trPr>
        <w:tc>
          <w:tcPr>
            <w:tcW w:w="10120" w:type="dxa"/>
            <w:vAlign w:val="bottom"/>
            <w:gridSpan w:val="2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8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CORPORATE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4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TAX CONSIDERATIONS FOR NON-U.S. HOLDERS OF OUR COMMON STOCK</w:t>
            </w:r>
          </w:p>
        </w:tc>
        <w:tc>
          <w:tcPr>
            <w:tcW w:w="17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5"/>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12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88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12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120" w:type="dxa"/>
            <w:vAlign w:val="bottom"/>
            <w:shd w:val="clear" w:color="auto" w:fill="CCEEFF"/>
          </w:tcPr>
          <w:p>
            <w:pPr>
              <w:ind w:left="5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175"/>
        </w:trPr>
        <w:tc>
          <w:tcPr>
            <w:tcW w:w="63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78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860" w:type="dxa"/>
            <w:vAlign w:val="bottom"/>
            <w:tcBorders>
              <w:bottom w:val="single" w:sz="8" w:color="CCEEFF"/>
            </w:tcBorders>
            <w:gridSpan w:val="2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02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2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24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640" w:type="dxa"/>
            <w:vAlign w:val="bottom"/>
            <w:tcBorders>
              <w:top w:val="single" w:sz="8" w:color="CCEEFF"/>
            </w:tcBorders>
            <w:gridSpan w:val="11"/>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5"/>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100" w:type="dxa"/>
            <w:vAlign w:val="bottom"/>
            <w:tcBorders>
              <w:top w:val="single" w:sz="8" w:color="CCEEFF"/>
            </w:tcBorders>
            <w:gridSpan w:val="17"/>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60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5"/>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660" w:type="dxa"/>
            <w:vAlign w:val="bottom"/>
            <w:tcBorders>
              <w:top w:val="single" w:sz="8" w:color="CCEEFF"/>
            </w:tcBorders>
            <w:gridSpan w:val="20"/>
          </w:tcPr>
          <w:p>
            <w:pPr>
              <w:spacing w:after="0"/>
              <w:rPr>
                <w:sz w:val="15"/>
                <w:szCs w:val="15"/>
                <w:color w:val="auto"/>
              </w:rPr>
            </w:pPr>
          </w:p>
        </w:tc>
        <w:tc>
          <w:tcPr>
            <w:tcW w:w="1120" w:type="dxa"/>
            <w:vAlign w:val="bottom"/>
            <w:tcBorders>
              <w:top w:val="single" w:sz="8" w:color="CCEEFF"/>
            </w:tcBorders>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12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and the accompanying prospectus. You should assume that the information contained in this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(File No. 333-275112) that we initially filed with the SEC on October 20, 2023, and was declared effective on October 30, 2023. Under this shelf registration process, we may, from time to time, sell any combination of the securities described in the accompanying prospectus in one or more offerings up to a total dollar amount of $75,000,000.</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provides specific details regarding the issuance of up to $5,000,000 of shares of our common stock pursuant to the CSPA. To the extent there is a conflict between the information contained in this prospectus supplement and accompanying prospectus, you should rely on the information in this prospectus supplement. Generally, when we refer to this prospectus supplement, we are referring to both parts of this document combined together with all documents incorporated by reference. This prospectus supplement, the accompanying prospectus and the documents we incorporate by reference herein and therein include important information about us and our common stock, and other information you should know before investing. You should read this prospectus supplement, the accompanying prospectus and the documents incorporated by reference in this prospectus supplement and the accompanying prospectus before making an investment decision. You should also read and consider the information in the documents referred to in the sections of this prospectus supplement entitled “Where You Can Find More Information” and “Incorporation of Certain Documents by Reference.”</w:t>
      </w:r>
    </w:p>
    <w:p>
      <w:pPr>
        <w:spacing w:after="0" w:line="18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the shares of our common stock and other securities we may offer from time to time under our shelf registration statement, some of which does not apply to the common stock offered by this prospectus supplement.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or contained in or incorporated by reference into the accompanying prospectus to which we have referred you. We have not authorized anyone to provide you with information that is different. If anyone provides you with different or inconsistent information, you should not rely on it. The information contained in, or incorporated by reference into, this prospectus supplement and contained in, or incorporated by reference into, the accompanying prospectus is accurate only as of the respective dates thereof, regardless of the time of delivery of this prospectus supplement and the accompanying prospectus or of any sale of securities.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offering to sell, and are seeking offers to buy, the shares of common stock only in jurisdictions where such offers and sales are permitted. The distribution of this prospectus supplement and the accompanying prospectus and the offering of the shares of common stock in certain states or jurisdictions or to certain persons within such states and jurisdictions may be restricted by law.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state or jurisdiction in which it is unlawful for such person to make such an offer or solicitation.</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“Presto,” “we,” “us” and “our” refer to Presto Automation Inc. and its consolidated subsidiaries, unless otherwise specified.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7162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716216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Presto provides enterprise-grade AI and automation solutions to the restaurant industry. Presto’s solutions are designed to decrease labor costs, improve staff productivity, increase revenue and enhance the guest experience. We offer our industry-leading AI solution, Presto Voice, to quick service restaurants (QSR), and we have some of the most recognized restaurant names in the United States as our customers.</w:t>
      </w:r>
    </w:p>
    <w:p>
      <w:pPr>
        <w:spacing w:after="0" w:line="17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Following our founding in 2008, we initially focused exclusively on Presto Touch, a pay-at-table tablet solution. </w:t>
      </w:r>
      <w:r>
        <w:rPr>
          <w:rFonts w:ascii="Times New Roman" w:cs="Times New Roman" w:eastAsia="Times New Roman" w:hAnsi="Times New Roman"/>
          <w:sz w:val="18"/>
          <w:szCs w:val="18"/>
          <w:color w:val="auto"/>
          <w:highlight w:val="white"/>
        </w:rPr>
        <w:t>As a result of the Presto Voice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opportunities, we have taken decisive action to focus on this solution and, as has been disclosed previously, to wind down our Presto Touch pay-at-table product. Presto will exit this business line with the expiration of our final customer contracts at the end of June 2024. </w:t>
      </w:r>
      <w:r>
        <w:rPr>
          <w:rFonts w:ascii="Times New Roman" w:cs="Times New Roman" w:eastAsia="Times New Roman" w:hAnsi="Times New Roman"/>
          <w:sz w:val="18"/>
          <w:szCs w:val="18"/>
          <w:color w:val="auto"/>
        </w:rPr>
        <w:t>Our Presto Voice product line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addresses the pressing needs of drive-thru restaurant operators by improving order accuracy, reducing labor costs and increasing revenue through menu upselling, while also providing guests with an improved drive-thru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On May 16, 2024, we and Presto Automation LLC (the “Borrower”), our wholly owned subsidiary (the “Loan Parties”), entered into a Cooperation Agreement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to Forbearance Date and Related Terms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 Credit Agreement, if we raise $3,000,000 or more of working capital by June 7, 2024 (the “Capital Raise”), in which event the Agent and the Lenders agree to extend the Forbearance termination date to July 15, 2024 (“Forbearance”). The CSPA and this Offering are intended to enable us to satisfy that requirement.</w:t>
      </w:r>
    </w:p>
    <w:p>
      <w:pPr>
        <w:spacing w:after="0" w:line="180" w:lineRule="exact"/>
        <w:rPr>
          <w:sz w:val="20"/>
          <w:szCs w:val="20"/>
          <w:color w:val="auto"/>
        </w:rPr>
      </w:pPr>
    </w:p>
    <w:p>
      <w:pPr>
        <w:jc w:val="both"/>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with a view to concluding a binding agreement with a third party based on a binding written offer (the “Offer”) from such third 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Lenders in their sole discretion, reflecting that the Offer will provide us with operating capital of not less than $18.0 million, not including the cash purchase price described in subparagraph (A) above. To the extent that the operating capital is less than $18.0 million but greater than $12.0 million, the amount of the convertible note set forth above will be increased by a dollar amount equal the reduction in operating capital below $18.0 million</w:t>
      </w: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5"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53275" cy="6064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6064885"/>
                    </a:xfrm>
                    <a:prstGeom prst="rect">
                      <a:avLst/>
                    </a:prstGeom>
                    <a:noFill/>
                  </pic:spPr>
                </pic:pic>
              </a:graphicData>
            </a:graphic>
          </wp:anchor>
        </w:drawing>
        <w:t>Cooperation in Connection with Sale of the Company</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the event of termination of Forbearance, the Loan Parties have agreed to cooperate and not impede in the exercise of the Agent’s and Lenders’ rights and remedies under the Loan Documents (as defined in the Credit Agreement), including, among other things, the realization of their collateral and a potential sale process under Article 9 of the Uniform Commercial Code. In the event of such outcome, it is likely that the holders of shares of our common stock, including the shares purchased in this Offering, will receive no value and the shares will become worthless.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Alternative Path</w:t>
      </w:r>
    </w:p>
    <w:p>
      <w:pPr>
        <w:spacing w:after="0" w:line="227"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agreed to maintain a committee of independent directors to work with the Lenders on the development and execution of a strategic plan (the “Alternative Path”) to address our obligations under the Credit Agreement in the event that Forbearance ends, including directing our professional advisors to work with the Agent in the development and execution of the Alternative Path, including the identification and solicitation of additional financing sources. We have agreed to provide access to properties, systems and our access to various types of information as the Lenders reasonably request and make reasonably available its directors, officers, employees and advisors.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from Claims</w:t>
      </w:r>
    </w:p>
    <w:p>
      <w:pPr>
        <w:spacing w:after="0" w:line="22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together with our past, present and future successors, assigns, managers, members, officers, directors, agents, employees, professionals and other representatives (in their capacities as such and not in any other capacity), and entities affiliated with Remus Capital Series B II, L.P. and </w:t>
      </w:r>
      <w:r>
        <w:rPr>
          <w:rFonts w:ascii="Times New Roman" w:cs="Times New Roman" w:eastAsia="Times New Roman" w:hAnsi="Times New Roman"/>
          <w:sz w:val="18"/>
          <w:szCs w:val="18"/>
          <w:color w:val="auto"/>
          <w:highlight w:val="white"/>
        </w:rPr>
        <w:t>Presto 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LLC </w:t>
      </w:r>
      <w:r>
        <w:rPr>
          <w:rFonts w:ascii="Times New Roman" w:cs="Times New Roman" w:eastAsia="Times New Roman" w:hAnsi="Times New Roman"/>
          <w:sz w:val="18"/>
          <w:szCs w:val="18"/>
          <w:color w:val="auto"/>
        </w:rPr>
        <w:t>(an affiliate of Cleveland Avenue, LLC) together with their respective past, present and future successors and assigns released the Agent and the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Lenders from any claims related to our forbearance agreement, the Credit Agreement and any Loan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 Regarding Liquidity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May 24, 2024, we had $2.8 million of cash and cash equivalents.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Assuming that we raise $3,000,000 from the transactions contemplated by the CSPA including this Offering, we expect to be able to sustain our operations through July 15, 2024, which is the same date that the Forbearance terminates. After that time, absent a further capital raise, and assuming the Lenders have not previously sold their loan, the Agent and Lenders will no longer be required to forbear from exercising rights and remedies against us under the Credit Agreement as a result of defaults under the Credit Agreement, and the Note will be due and payable. See “—Cooperation Agreement— Cooperation in Connection with Sale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Anti-Dilution Impact of this Offering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$0.14 per share, the Offering will trigger anti-dilution adjustment provisions pursuant to the following instruments:</w:t>
      </w:r>
    </w:p>
    <w:p>
      <w:pPr>
        <w:spacing w:after="0" w:line="162" w:lineRule="exact"/>
        <w:rPr>
          <w:sz w:val="20"/>
          <w:szCs w:val="20"/>
          <w:color w:val="auto"/>
        </w:rPr>
      </w:pPr>
    </w:p>
    <w:p>
      <w:pPr>
        <w:ind w:left="580" w:hanging="253"/>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October 10, 2023, between the Company and Presto CA (the “CA Purchase Agreement”);</w:t>
      </w:r>
    </w:p>
    <w:p>
      <w:pPr>
        <w:spacing w:after="0" w:line="225" w:lineRule="exact"/>
        <w:rPr>
          <w:rFonts w:ascii="Times New Roman" w:cs="Times New Roman" w:eastAsia="Times New Roman" w:hAnsi="Times New Roman"/>
          <w:sz w:val="18"/>
          <w:szCs w:val="18"/>
          <w:color w:val="auto"/>
        </w:rPr>
      </w:pPr>
    </w:p>
    <w:p>
      <w:pPr>
        <w:ind w:firstLine="327"/>
        <w:spacing w:after="0" w:line="282" w:lineRule="auto"/>
        <w:tabs>
          <w:tab w:leader="none" w:pos="58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purchase agreements, dated November 17, 2023, between the Company and several investors (the “November 2023 Purchase Agreements”) solely with respect to those parties that also participated in our offering of common stock set forth under subparagraph (5) below;</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7" w:right="419" w:bottom="1440" w:gutter="0" w:footer="0" w:header="0"/>
        </w:sectPr>
      </w:pPr>
    </w:p>
    <w:bookmarkStart w:id="6" w:name="page7"/>
    <w:bookmarkEnd w:id="6"/>
    <w:p>
      <w:pPr>
        <w:ind w:right="20" w:firstLine="327"/>
        <w:spacing w:after="0" w:line="282" w:lineRule="auto"/>
        <w:tabs>
          <w:tab w:leader="none" w:pos="5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3458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3458845"/>
                    </a:xfrm>
                    <a:prstGeom prst="rect">
                      <a:avLst/>
                    </a:prstGeom>
                    <a:noFill/>
                  </pic:spPr>
                </pic:pic>
              </a:graphicData>
            </a:graphic>
          </wp:anchor>
        </w:drawing>
        <w:t>the warrants to purchase shares of common stock of the Company initially issued to the Lenders on October 16, 2023 (as amended and restated, the “Third Amendment Conversion Warrants”);</w:t>
      </w:r>
    </w:p>
    <w:p>
      <w:pPr>
        <w:spacing w:after="0" w:line="161" w:lineRule="exact"/>
        <w:rPr>
          <w:rFonts w:ascii="Times New Roman" w:cs="Times New Roman" w:eastAsia="Times New Roman" w:hAnsi="Times New Roman"/>
          <w:sz w:val="18"/>
          <w:szCs w:val="18"/>
          <w:color w:val="auto"/>
        </w:rPr>
      </w:pPr>
    </w:p>
    <w:p>
      <w:pPr>
        <w:ind w:right="20" w:firstLine="327"/>
        <w:spacing w:after="0" w:line="282" w:lineRule="auto"/>
        <w:tabs>
          <w:tab w:leader="none" w:pos="5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to purchase shares of common stock of the Company initially issued to the Lenders on January 30, 2024 (as amended and restated, the “Fifth Amendment Conversion Warrants”);</w:t>
      </w:r>
    </w:p>
    <w:p>
      <w:pPr>
        <w:spacing w:after="0" w:line="161" w:lineRule="exact"/>
        <w:rPr>
          <w:rFonts w:ascii="Times New Roman" w:cs="Times New Roman" w:eastAsia="Times New Roman" w:hAnsi="Times New Roman"/>
          <w:sz w:val="18"/>
          <w:szCs w:val="18"/>
          <w:color w:val="auto"/>
        </w:rPr>
      </w:pPr>
    </w:p>
    <w:p>
      <w:pPr>
        <w:ind w:left="580" w:hanging="253"/>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convertible notes issued on January 30, 2024 (the “January 2024 Notes”); and</w:t>
      </w:r>
    </w:p>
    <w:p>
      <w:pPr>
        <w:spacing w:after="0" w:line="225" w:lineRule="exact"/>
        <w:rPr>
          <w:rFonts w:ascii="Times New Roman" w:cs="Times New Roman" w:eastAsia="Times New Roman" w:hAnsi="Times New Roman"/>
          <w:sz w:val="18"/>
          <w:szCs w:val="18"/>
          <w:color w:val="auto"/>
        </w:rPr>
      </w:pPr>
    </w:p>
    <w:p>
      <w:pPr>
        <w:ind w:firstLine="327"/>
        <w:spacing w:after="0" w:line="282" w:lineRule="auto"/>
        <w:tabs>
          <w:tab w:leader="none" w:pos="6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as of May 20, 2024, between the Company and the purchasers thereto (the “May 2024 Purchase Agreement”).</w:t>
      </w:r>
    </w:p>
    <w:p>
      <w:pPr>
        <w:spacing w:after="0" w:line="16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For illustrative purposes, assuming the above amendments, extensions and reinstatements are effective, if we were to undertake an offering in the future at a purchase price of $0.10 per share, we would be required to issue approximately 8.6 million additional shares to Presto CA under the CA Purchase Agreement, 16.8 million additional shares to the November 2023 purchasers under the November 2023 Purchase Agreements, approximately 15.9 million additional shares underlying the Third Amendment Conversion Warrants, approximately 6.0 million additional shares underlying the Fifth Amendment Conversion Warrants, approximately 25.7 million additional shares underlying the principal of the January 2024 Notes and approximately 4.4 million additional shares underlying the May 2024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1039" w:right="4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6767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6767830"/>
                    </a:xfrm>
                    <a:prstGeom prst="rect">
                      <a:avLst/>
                    </a:prstGeom>
                    <a:noFill/>
                  </pic:spPr>
                </pic:pic>
              </a:graphicData>
            </a:graphic>
          </wp:anchor>
        </w:drawing>
        <w:t>THE OFFERING</w:t>
      </w:r>
    </w:p>
    <w:p>
      <w:pPr>
        <w:sectPr>
          <w:pgSz w:w="11900" w:h="16838" w:orient="portrait"/>
          <w:cols w:equalWidth="0" w:num="1">
            <w:col w:w="11000"/>
          </w:cols>
          <w:pgMar w:left="460" w:top="1035" w:right="4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$5.0 million of shares of common stock.</w:t>
      </w:r>
    </w:p>
    <w:p>
      <w:pPr>
        <w:spacing w:after="0" w:line="200"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134,226,924 shares of common stock, which assumes the sale of shares our common stock at a price of $0.15 per share, which was the closing price of our common stock, for the up to $5,000,000 of shares of our common stock we may sell to Triton from time to time. The actual sale price will likely be lower. The actual number of shares of our common stock issued will vary depending on the sales prices under this Offering.</w:t>
      </w:r>
    </w:p>
    <w:p>
      <w:pPr>
        <w:spacing w:after="0" w:line="183" w:lineRule="exact"/>
        <w:rPr>
          <w:sz w:val="20"/>
          <w:szCs w:val="20"/>
          <w:color w:val="auto"/>
        </w:rPr>
      </w:pPr>
    </w:p>
    <w:p>
      <w:pPr>
        <w:sectPr>
          <w:pgSz w:w="11900" w:h="16838" w:orient="portrait"/>
          <w:cols w:equalWidth="0" w:num="2">
            <w:col w:w="3320" w:space="54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Commitment Shares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highlight w:val="white"/>
        </w:rPr>
        <w:t>Each sale we request under the CSPA (a “Purchase Notice”)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for that tranche of shares. The price in (i) and (ii) is referred to as the “Minimum Price” and the price in (i), (ii) and (iii) is referred to as the Purchase Price.</w:t>
      </w:r>
    </w:p>
    <w:p>
      <w:pPr>
        <w:spacing w:after="0" w:line="192"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Backstop Shares</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Triton has committed to purchase a number of additional shares such that the total proceeds to be received by us on or before June 7, 2024 pursuant to the </w:t>
      </w:r>
      <w:r>
        <w:rPr>
          <w:rFonts w:ascii="Times New Roman" w:cs="Times New Roman" w:eastAsia="Times New Roman" w:hAnsi="Times New Roman"/>
          <w:sz w:val="18"/>
          <w:szCs w:val="18"/>
          <w:color w:val="auto"/>
          <w:highlight w:val="white"/>
        </w:rPr>
        <w:t>CSPA will</w:t>
      </w:r>
      <w:r>
        <w:rPr>
          <w:rFonts w:ascii="Times New Roman" w:cs="Times New Roman" w:eastAsia="Times New Roman" w:hAnsi="Times New Roman"/>
          <w:sz w:val="18"/>
          <w:szCs w:val="18"/>
          <w:color w:val="auto"/>
        </w:rPr>
        <w:t xml:space="preserve"> exceed $3,000,000, including those shares that are the subject of the Purchase Notices (such shares, the “Backstop Shares”). </w:t>
      </w:r>
      <w:r>
        <w:rPr>
          <w:rFonts w:ascii="Times New Roman" w:cs="Times New Roman" w:eastAsia="Times New Roman" w:hAnsi="Times New Roman"/>
          <w:sz w:val="18"/>
          <w:szCs w:val="18"/>
          <w:color w:val="auto"/>
          <w:highlight w:val="white"/>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Backstop Shares will be purchased at </w:t>
      </w:r>
      <w:r>
        <w:rPr>
          <w:rFonts w:ascii="Times New Roman" w:cs="Times New Roman" w:eastAsia="Times New Roman" w:hAnsi="Times New Roman"/>
          <w:sz w:val="18"/>
          <w:szCs w:val="18"/>
          <w:color w:val="auto"/>
        </w:rPr>
        <w:t>(x) the Purchase Price, if relief provided by Nasdaq Rule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5635(f)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w:t>
      </w:r>
      <w:r>
        <w:rPr>
          <w:rFonts w:ascii="Times New Roman" w:cs="Times New Roman" w:eastAsia="Times New Roman" w:hAnsi="Times New Roman"/>
          <w:sz w:val="18"/>
          <w:szCs w:val="18"/>
          <w:color w:val="auto"/>
          <w:highlight w:val="white"/>
        </w:rPr>
        <w:t>CSPA,</w:t>
      </w:r>
      <w:r>
        <w:rPr>
          <w:rFonts w:ascii="Times New Roman" w:cs="Times New Roman" w:eastAsia="Times New Roman" w:hAnsi="Times New Roman"/>
          <w:sz w:val="18"/>
          <w:szCs w:val="18"/>
          <w:color w:val="auto"/>
        </w:rPr>
        <w:t xml:space="preserve"> and (ii) us having timely delivered a second Purchase Notice for 9.9% of our outstanding shares to Triton within one business day after the closing related to such first Purchase Notice unless Triton has failed to comply with its obligation in which case we are not obligated to deliver such second Purchase Notice.</w:t>
      </w:r>
    </w:p>
    <w:p>
      <w:pPr>
        <w:spacing w:after="0" w:line="197"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See “Use of Proceeds.”</w:t>
      </w:r>
    </w:p>
    <w:p>
      <w:pPr>
        <w:spacing w:after="0" w:line="162"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trading symbol “PRST.”</w:t>
      </w:r>
    </w:p>
    <w:p>
      <w:pPr>
        <w:spacing w:after="0" w:line="211"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issuance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$0.14 per share, the Offering will trigger anti-dilution adjustment provisions in our existing agreements. See “Summary — Potential Anti-Dilution Impact of this Offering.” See the information below for the number of shares issued or issuable.</w:t>
      </w:r>
    </w:p>
    <w:p>
      <w:pPr>
        <w:spacing w:after="0" w:line="200" w:lineRule="exact"/>
        <w:rPr>
          <w:sz w:val="20"/>
          <w:szCs w:val="20"/>
          <w:color w:val="auto"/>
        </w:rPr>
      </w:pPr>
    </w:p>
    <w:p>
      <w:pPr>
        <w:sectPr>
          <w:pgSz w:w="11900" w:h="16838" w:orient="portrait"/>
          <w:cols w:equalWidth="0" w:num="2">
            <w:col w:w="3140" w:space="720"/>
            <w:col w:w="7140"/>
          </w:cols>
          <w:pgMar w:left="460" w:top="1035" w:right="439" w:bottom="1440" w:gutter="0" w:footer="0" w:header="0"/>
          <w:type w:val="continuous"/>
        </w:sect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18415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3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particular, you should note that we must raise $3.0 million before June 7, 2024 and a further $32.0 million before July 15, 2024 in order to avoid a default under our existing credit agreement and the likely exercise of remedies by our senior secured lender. We cannot give you any assurance that will be successful in raising these funds and, if we fail to do so, you will lose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-932180</wp:posOffset>
            </wp:positionV>
            <wp:extent cx="7153275" cy="6793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679323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3140" w:space="720"/>
            <w:col w:w="7140"/>
          </w:cols>
          <w:pgMar w:left="460" w:top="1066" w:right="439" w:bottom="1440" w:gutter="0" w:footer="0" w:header="0"/>
        </w:sectPr>
      </w:pPr>
    </w:p>
    <w:p>
      <w:pPr>
        <w:jc w:val="both"/>
        <w:ind w:left="3860"/>
        <w:spacing w:after="0" w:line="266" w:lineRule="auto"/>
        <w:rPr>
          <w:sz w:val="20"/>
          <w:szCs w:val="20"/>
          <w:color w:val="auto"/>
        </w:rPr>
      </w:pPr>
      <w:r>
        <w:rPr>
          <w:rFonts w:ascii="Times New Roman" w:cs="Times New Roman" w:eastAsia="Times New Roman" w:hAnsi="Times New Roman"/>
          <w:sz w:val="18"/>
          <w:szCs w:val="18"/>
          <w:color w:val="auto"/>
        </w:rPr>
        <w:t>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p>
      <w:pPr>
        <w:sectPr>
          <w:pgSz w:w="11900" w:h="16838" w:orient="portrait"/>
          <w:cols w:equalWidth="0" w:num="1">
            <w:col w:w="11000"/>
          </w:cols>
          <w:pgMar w:left="460" w:top="1066" w:right="439" w:bottom="1440" w:gutter="0" w:footer="0" w:header="0"/>
          <w:type w:val="continuous"/>
        </w:sectPr>
      </w:pP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relating to the number of shares of our common stock outstanding is based on 100,893,591 shares of common stock outstanding as of May 24, 2024 and does not include:</w:t>
      </w:r>
    </w:p>
    <w:p>
      <w:pPr>
        <w:spacing w:after="0" w:line="162" w:lineRule="exact"/>
        <w:rPr>
          <w:sz w:val="20"/>
          <w:szCs w:val="20"/>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million shares of common stock pending issuance pursuant to the May 2024 Purchase Agreement;</w:t>
      </w:r>
    </w:p>
    <w:p>
      <w:pPr>
        <w:spacing w:after="0" w:line="225" w:lineRule="exact"/>
        <w:rPr>
          <w:rFonts w:ascii="Times New Roman" w:cs="Times New Roman" w:eastAsia="Times New Roman" w:hAnsi="Times New Roman"/>
          <w:sz w:val="18"/>
          <w:szCs w:val="18"/>
          <w:color w:val="auto"/>
        </w:rPr>
      </w:pPr>
    </w:p>
    <w:p>
      <w:pPr>
        <w:ind w:left="660" w:hanging="33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May 20,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35,847,239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639,026</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294,725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71,101</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584,648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8,625,000</w:t>
            </w: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170,993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7,625,000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3,284,075 shares of common stock underlying outstanding restricted stock units (“RSUs”) as of May 20, 2024 and 5,638,810 shares issuable upon the exercise of stock options outstanding as of May 20, 2024 previously granted under the Company’s equity incentive plans;</w:t>
      </w:r>
    </w:p>
    <w:p>
      <w:pPr>
        <w:spacing w:after="0" w:line="161"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60,991,568 shares of common stock underlying warrants with an exercise price of $0.01 per share held by the Agent and the Lenders in connection with anti-dilution protections under the warrants that were triggered by the February 2024 Offering (as defined below), but that may only be issued following receipt of shareholder approval pursuant to Nasdaq Rule 5635(d);</w:t>
      </w:r>
    </w:p>
    <w:p>
      <w:pPr>
        <w:spacing w:after="0" w:line="175" w:lineRule="exact"/>
        <w:rPr>
          <w:rFonts w:ascii="Times New Roman" w:cs="Times New Roman" w:eastAsia="Times New Roman" w:hAnsi="Times New Roman"/>
          <w:sz w:val="18"/>
          <w:szCs w:val="18"/>
          <w:color w:val="auto"/>
        </w:rPr>
      </w:pPr>
    </w:p>
    <w:p>
      <w:pPr>
        <w:jc w:val="both"/>
        <w:ind w:left="660" w:hanging="333"/>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13,928,571 shares of common stock issuable to Presto CA pursuant to anti-dilution protections previously granted to Presto CA, an affiliate of our shareholder, Cleveland Avenue, but that may only be issued following receipt of shareholder approval pursuant to Nasdaq Listing Rule 5635(d);</w:t>
      </w:r>
    </w:p>
    <w:p>
      <w:pPr>
        <w:spacing w:after="0" w:line="175"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 shares of common stock issuable to investors who participated in the Company’s registered direct offering dated November 17, 2023, but that may only be issued following receipt of shareholder approval pursuant to Nasdaq Listing Rule 5635(d); and</w:t>
      </w:r>
    </w:p>
    <w:p>
      <w:pPr>
        <w:spacing w:after="0" w:line="161" w:lineRule="exact"/>
        <w:rPr>
          <w:rFonts w:ascii="Times New Roman" w:cs="Times New Roman" w:eastAsia="Times New Roman" w:hAnsi="Times New Roman"/>
          <w:sz w:val="18"/>
          <w:szCs w:val="18"/>
          <w:color w:val="auto"/>
        </w:rPr>
      </w:pPr>
    </w:p>
    <w:p>
      <w:pPr>
        <w:ind w:left="660" w:hanging="333"/>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28,285,714 shares of common stock issuable to the January 2024 Noteholders pursuant to anti-adjustment provisions in the January 2024 Notes, but that may only be issued following receipt of shareholder approval pursuant to Nasdaq Listing Rule 5635(d).</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no exercise, vesting or termination of options, RSUs or warrants outstanding as of May 20, 2024.</w:t>
      </w: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1066" w:right="4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$3.0 million in funding by June 7, 2024.</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CSPA is intended to enable us to raise $3.0 million by June 7, 2024; however, we cannot offer any assurance that Triton will be successful in executing sufficient sales under the CSPA in order to achieve that goal. We will have limited recourse against Triton if it is unable to do so. In such circumstance, the Forbearance granted to us by our Lenders will terminate on June 14, 2024 and we will be required to cooperate with our Lenders in a potential sale of our business in connection with the realization of their collateral. In the event of such a sale, our holders of our common stock are unlikely to receive any recovery.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significant likelihood that you will lose all of your investment if we are unable to raise an additional $32 million in funding by July 15, 2024 from an investor who is willing to purchase our senior secured loan and invest in our company.</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Cooperation Agreement with our Lenders requires them to enter into good faith discussions regarding the transfer of their debt if we or our significant shareholders present them with a binding cash offer for $20 million to purchase $40 million of their indebtedness. We are also required to demonstrate that we have at least $12 million of operating capital pursuant to such offer. We will face significant challenges finding an investor to invest these funds and, even if our existing lenders negotiate transfer of the loan, we will still have $40 million of debt outstanding under this facility following its transfer.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of shares in this offering may become subject to limitations under Nasdaq Rule 5635 as a result of aggregation with prior offerings of securities in which case we will have no alternative other than to continue selling shares and address Nasdaq’s requirements by seeking shareholder approval after such sales.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Nasdaq Rule 5635 places a limit on the number of shares that a company may issue at below the Minimum Price other than in a public offering. Such limit is 20% of a company’s outstanding voting power or outstanding common stock. Our transaction with Triton is intended to comply with this Nasdaq rule provided sales of shares pursuant to the CSPA are not aggregated with prior capital raising transactions. We have committed to seek shareholder approval for the issuance of the Backstop Shares at the Purchase Price and we intend to seek shareholder approval preemptively of all issuances pursuant to the CSPA. We cannot provide any assurance that Nasdaq will agree that this offering should be viewed separately from prior offerings and we cannot provide any assurance that we will receive shareholder approval. If not, then Nasdaq will take steps to delist our securities and we may be unable to address all of Nasdaq’s requests on a timely basis or at all to prevent that outcome.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and sale of our common stock under the CSPA will result in dilution to our stockholders and any future sales of our common stock may depress our stock price.</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sale of shares of our common stock to Triton will have a dilutive impact on our existing shareholders. Triton may resell some or all of the shares we issue to it pursuant to draw-downs under the CSPA and such sales could cause the market price of our common stock to decline.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will result in the issuance of additional shares if the purchase price per share in this Offering is below $0.14.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have and may in the future experience volatility, and at times 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If our common stock is thinly traded, the trading of a relatively small volume of our common stock may have a greater impact on the trading price of our common stock than would be the case if our float were larger. As a result, the trading prices of our common stock may be more volatile than the common stock of companies with broader public ownership, and an investor be unable to liquidate an investment in our common stock at attractive prices.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in the future. Variations in financial results, announcements of material events, changes in our dividend policy, technological innovations or new products by us or our competitors, our quarterly operating results, changes in general conditions in the economy or government spending on law enforcement and military, other developments affecting us or our competitors or general price and volume fluctuations in the market are among the many factors that could cause the market price of our common stock to fluctuate substantially.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for working capital and general corporate purposes.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We cannot predict the size of future issuances of our shares, or the effect, if any, that future sales and issuances of securities would have on the market price of our shares of common stock. See “Plan of Distribution.”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our common stock is currently listed on Nasdaq, in addition to the risks associated with the CSPA set forth above, we may not be able to continue to meet the exchange’s minimum listing requirements or those of any other national exchange. For example, on February 23, 2024, we received the notice from Nasdaq stating that the Company is not in compliance with the requirement to maintain a MVPHS of $15 million, as set forth in Nasdaq Listing Rule 5450(b)(2)(C) because the MVPHS of the Company was below $15 million for the 35 consecutive business days prior to the date of the Notice. The Notice was in addition to the previously disclosed letters received on February 6, 2024, notifying the Company that it was not in compliance with the requirement to maintain a minimum Market Value of Listed Securities of $50 million, as set forth in Nasdaq Listing Rule 5450(b)(2)(A), and on December 28, 2023, notifying the Company that it was not in compliance with the requirement to maintain a minimum bid price of $1.00 per share, as set forth in Nasdaq Listing Rule 5450(a)(1). The delisting of our common stock from Nasdaq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spacing w:after="0" w:line="1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for the continuation of our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investors that will consider investing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makers in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broker-dealers willing to execute trades in shares of our common stock.</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44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this Offering for working capital purposes and other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230505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900"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CSPA, we have the right, but not the obligation, to sell to Triton up to $5,000,000 of our shares of common stock, par value $0.0001 per share, offered by this prospectus supplement and the accompanying prospectus at our request any time during the Commitment Period.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Each sale we request pursuant to a Purchase Notice under the CSPA may be for a number of shares of our common stock that does not exceed 9.9% of our outstanding shares, which 9.9% amount is currently 9,988,465 shares as of the date of the CSPA (the “Commitment Shares”). Triton has committed to purchase the Commitment Shares at the lowest of (i) the official closing price of our common stock on the Nasdaq Stock Market on the trading day immediately preceding our submission of a Purchase Notice to Triton, (ii) the average official closing price of our common stock on the Nasdaq Stock Market for the five consecutive trading days ending on the business day immediately preceding our submission of a Purchase Notice to Triton, and (iii) 75% of the lowest traded price of the common stock five days prior to the closing date. The price in (i) and (ii) is referred to as the “Minimum Price” and the price in (i), (ii) and (iii) is referred to as the “Purchase Price”.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completing the purchase of 18.9% of our outstanding shares, Triton has committed to purchase a number of additional shares such that the total proceeds to be received by us on or before June 7, 2024 pursuant to the CSPA will exceed $3,000,000, including those shares that are the subject of the Purchase Notices (such shares, the “Backstop Shares”). The Backstop Shares will be purchased at (x) the Purchase Price, if the Financial Viability Relief has been sought and granted to us and such relief permits the receipt of proceeds from the sale of common stock on or before June 7, 2024, or (y) the Minimum Price, if the Financial Viability Relief has not been sought or granted or cannot generate such proceeds on or before June 7, 2024. Triton’s obligation with respect to purchasing the Backstop Shares is conditioned on (i) us having timely delivered a first Purchase Notice for 9.9% of our outstanding shares within one business day of the execution of the CSPA, and (ii) us having timely delivered a second Purchase Notice for 9.9% of our outstanding shares to Triton within one business day after the closing related to such first Purchase Notice.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shares of common stock that we may from time to time issue to Triton under this prospectus supplement may be subsequently sold or distributed from time to time by Triton, as a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Any resale of the shares of our common stock offered by this prospectus supplement could be effected in one or more of the following methods:</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color w:val="auto"/>
        </w:rPr>
        <w:t>Triton may also sell the shares of common stock under Rule 144 under the Securities Act, if available, rather than under this prospectus supplement.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Triton is deemed an “underwriter” within the meaning of Section 2(a)(11) of the Securities Act.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Triton has informed us that it intends to use an unaffiliated broker-dealer to effectuate sales, if any, of the common stock that it may acquire from us pursuant to the CSPA. Such sales will be made at prices and at terms then prevailing or at prices related to the then current market price. Each such unaffiliated broker-dealer will be an underwriter within the meaning of Section 2(a)(11) of the Securities Act. Triton has informed us that each such broker-dealer will receive commissions from Triton that will not exceed customary brokerage commissions.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any distribution of the shares of our common stock offered by this prospectus supplement may receive compensation in the form of commissions, discounts, or concessions from the seller and/or purchasers of the common stock for whom the broker-dealers may act as agent. The compensation paid to a particular broker-dealer may be less than or in excess of customary commissions. Neither we nor Triton can presently estimate the amount of compensation that any agent will receive.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know of no existing arrangements between Triton or any other stockholder, broker, dealer, underwriter or agent relating to the sale or distribution of the shares of common stock offered by this prospectus supplement. At the time a particular offer of shares is made, a prospectus supplement, if required under the Securities Act, will be distributed that will set forth the names of any agents, underwriters or dealers and any compensation from the selling stockholder, and any other required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pay our expenses incident to this offering, which we estimate to be approximately $200,000. We have agreed to indemnify Triton and certain other persons against certain liabilities in connection with the offering of shares of our common stock offered hereby, and if such indemnity is unavailable, to contribute amounts required to be paid in respect of such liabilities.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Triton has covenanted that neither Triton nor any affiliate of Triton acting on its behalf or pursuant to any understanding with it, will execute any short sales of our common stock during the term of the CSPA.</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advised Triton that it is required to comply with Regulation M promulgated under the Securities Exchange Act of 1934, as amended (the “Exchange Act”). With certain exceptions, Regulation M precludes a selling stockholder, any affiliated purchasers, and any broker-dealer or other person who participates in a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CSPA does not purport to be a complete statement of its terms and conditions. A copy of the CSPA is filed as an exhibit to a current report on Form 8-K filed with the SEC under the Exchange Act, and incorporated by reference in this prospectus supplement. See “Incorporation of Certain Documents by Reference” and “Where You Can Find More Information.”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Triton may arrange to sell securities offered by this prospectus supplement and accompanying prospectus in certain jurisdictions outside the United States, either directly or through affiliates, where they are permitted to do so.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Paul Hastings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that contains reports, proxy and information statements, and other information regarding issuers that file electronically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Romeo Power, Inc. You may also access our reports and proxy statements free of charge at our Internet website, </w:t>
      </w:r>
      <w:r>
        <w:rPr>
          <w:rFonts w:ascii="Times New Roman" w:cs="Times New Roman" w:eastAsia="Times New Roman" w:hAnsi="Times New Roman"/>
          <w:sz w:val="18"/>
          <w:szCs w:val="18"/>
          <w:i w:val="1"/>
          <w:iCs w:val="1"/>
          <w:color w:val="auto"/>
        </w:rPr>
        <w:t>http://www.romeopower.com</w:t>
      </w:r>
      <w:r>
        <w:rPr>
          <w:rFonts w:ascii="Times New Roman" w:cs="Times New Roman" w:eastAsia="Times New Roman" w:hAnsi="Times New Roman"/>
          <w:sz w:val="18"/>
          <w:szCs w:val="18"/>
          <w:color w:val="auto"/>
        </w:rPr>
        <w:t>. The information contained in, or that can be accessed through, our website is not part of this prospectus supplement.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This prospectus supplement and the accompanying prospectus do not contain all of the information set forth in the registration statement and exhibits and schedules to the registration statement. For further information with respect to the Company and its securities, reference is made to the registration statement, including the exhibits and schedules to the registration statement. Statements contained in this prospectus supplement and the accompanying prospectus as to the contents of any contract or other document referred to in this prospectus supplement and the accompanying prospectus are not necessarily complete and, where that contract is an exhibit to the registration statement, each statement is qualified in all respects by reference to the exhibit to which the reference relates.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8">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our Quarterly Report on </w:t>
      </w:r>
      <w:hyperlink r:id="rId4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quarter ended December 31, 2023, submitted to the SEC on February 20, 2024 and deemed filed with the SEC on February 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2024 and our Quarterly Report on </w:t>
      </w:r>
      <w:hyperlink r:id="rId4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quarter ended March 31, 2024, submitted to the SEC on May 20, 2024 and deemed filed with the SEC on May 21, 2024;</w:t>
      </w:r>
    </w:p>
    <w:p>
      <w:pPr>
        <w:spacing w:after="0" w:line="179" w:lineRule="exact"/>
        <w:rPr>
          <w:rFonts w:ascii="Times New Roman" w:cs="Times New Roman" w:eastAsia="Times New Roman" w:hAnsi="Times New Roman"/>
          <w:sz w:val="18"/>
          <w:szCs w:val="18"/>
          <w:color w:val="000000"/>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2">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5">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color w:val="auto"/>
          </w:rPr>
          <w:t xml:space="preserve">(excluding Item 7.01 and the exhibits furnished under Item 9.01 therein),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the subsequent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March 18, 2024</w:t>
        </w:r>
      </w:hyperlink>
      <w:hyperlink r:id="rId5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March 21, 2024</w:t>
        </w:r>
      </w:hyperlink>
      <w:hyperlink r:id="rId5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 xml:space="preserve">May 16, 2024 </w:t>
        </w:r>
      </w:hyperlink>
      <w:hyperlink r:id="rId5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May 22, 2024</w:t>
        </w:r>
      </w:hyperlink>
      <w:hyperlink r:id="rId51">
        <w:r>
          <w:rPr>
            <w:rFonts w:ascii="Times New Roman" w:cs="Times New Roman" w:eastAsia="Times New Roman" w:hAnsi="Times New Roman"/>
            <w:sz w:val="18"/>
            <w:szCs w:val="18"/>
            <w:color w:val="000000"/>
          </w:rPr>
          <w:t>; and</w:t>
        </w:r>
      </w:hyperlink>
    </w:p>
    <w:p>
      <w:pPr>
        <w:spacing w:after="0" w:line="183"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June 30, 2023).</w:t>
      </w:r>
    </w:p>
    <w:p>
      <w:pPr>
        <w:spacing w:after="0" w:line="176"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780" w:hanging="448"/>
        <w:spacing w:after="0" w:line="26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54"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780" w:right="20" w:hanging="448"/>
        <w:spacing w:after="0" w:line="28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9"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5" w:lineRule="exact"/>
        <w:rPr>
          <w:rFonts w:ascii="Times New Roman" w:cs="Times New Roman" w:eastAsia="Times New Roman" w:hAnsi="Times New Roman"/>
          <w:sz w:val="18"/>
          <w:szCs w:val="18"/>
          <w:color w:val="auto"/>
        </w:rPr>
      </w:pPr>
    </w:p>
    <w:p>
      <w:pPr>
        <w:jc w:val="both"/>
        <w:ind w:left="780" w:hanging="448"/>
        <w:spacing w:after="0" w:line="25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2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930"/>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65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ind w:left="208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4813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27875" cy="4813300"/>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560" w:firstLine="332"/>
        <w:spacing w:after="0" w:line="498"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660" w:hanging="328"/>
        <w:spacing w:after="0" w:line="25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61" w:lineRule="exact"/>
        <w:rPr>
          <w:rFonts w:ascii="Times New Roman" w:cs="Times New Roman" w:eastAsia="Times New Roman" w:hAnsi="Times New Roman"/>
          <w:sz w:val="18"/>
          <w:szCs w:val="18"/>
          <w:color w:val="auto"/>
        </w:rPr>
      </w:pPr>
    </w:p>
    <w:p>
      <w:pPr>
        <w:jc w:val="both"/>
        <w:ind w:left="780" w:hanging="448"/>
        <w:spacing w:after="0" w:line="26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780" w:right="20" w:hanging="448"/>
        <w:spacing w:after="0" w:line="261"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79"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June 2023 PIPE Shares;</w:t>
      </w:r>
    </w:p>
    <w:p>
      <w:pPr>
        <w:spacing w:after="0" w:line="225" w:lineRule="exact"/>
        <w:rPr>
          <w:rFonts w:ascii="Times New Roman" w:cs="Times New Roman" w:eastAsia="Times New Roman" w:hAnsi="Times New Roman"/>
          <w:sz w:val="18"/>
          <w:szCs w:val="18"/>
          <w:color w:val="auto"/>
        </w:rPr>
      </w:pPr>
    </w:p>
    <w:p>
      <w:pPr>
        <w:ind w:left="780" w:hanging="448"/>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October 2023 PIPE Shares; and</w:t>
      </w:r>
    </w:p>
    <w:p>
      <w:pPr>
        <w:spacing w:after="0" w:line="225" w:lineRule="exact"/>
        <w:rPr>
          <w:rFonts w:ascii="Times New Roman" w:cs="Times New Roman" w:eastAsia="Times New Roman" w:hAnsi="Times New Roman"/>
          <w:sz w:val="18"/>
          <w:szCs w:val="18"/>
          <w:color w:val="auto"/>
        </w:rPr>
      </w:pPr>
    </w:p>
    <w:p>
      <w:pPr>
        <w:ind w:left="780" w:hanging="448"/>
        <w:spacing w:after="0" w:line="28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500" w:hanging="655"/>
        <w:spacing w:after="0" w:line="282"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500" w:hanging="655"/>
        <w:spacing w:after="0" w:line="266" w:lineRule="auto"/>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26"/>
                <w:szCs w:val="26"/>
                <w:color w:val="auto"/>
                <w:vertAlign w:val="superscript"/>
              </w:rPr>
              <w:t>(4)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Arbat Capital Group Ltd</w:t>
            </w:r>
            <w:r>
              <w:rPr>
                <w:rFonts w:ascii="Times New Roman" w:cs="Times New Roman" w:eastAsia="Times New Roman" w:hAnsi="Times New Roman"/>
                <w:sz w:val="26"/>
                <w:szCs w:val="26"/>
                <w:color w:val="auto"/>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(23)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Cleveland Avenue LLC</w:t>
            </w:r>
            <w:r>
              <w:rPr>
                <w:rFonts w:ascii="Times New Roman" w:cs="Times New Roman" w:eastAsia="Times New Roman" w:hAnsi="Times New Roman"/>
                <w:sz w:val="26"/>
                <w:szCs w:val="26"/>
                <w:color w:val="auto"/>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7" w:name="page48"/>
    <w:bookmarkEnd w:id="47"/>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Kepos Alpha Master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Fund L.P.</w:t>
            </w:r>
            <w:r>
              <w:rPr>
                <w:rFonts w:ascii="Times New Roman" w:cs="Times New Roman" w:eastAsia="Times New Roman" w:hAnsi="Times New Roman"/>
                <w:sz w:val="26"/>
                <w:szCs w:val="26"/>
                <w:color w:val="auto"/>
                <w:vertAlign w:val="superscript"/>
              </w:rPr>
              <w:t>(30)(31)</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-7065645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-6440170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8" w:name="page49"/>
    <w:bookmarkEnd w:id="48"/>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jc w:val="both"/>
        <w:ind w:left="660" w:hanging="652"/>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8">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0">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3">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7">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$5,000,000 of Common Stock</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1116965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3"/>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1)"/>
      <w:numFmt w:val="lowerRoman"/>
      <w:start w:val="4"/>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Roman"/>
      <w:start w:val="1"/>
    </w:lvl>
    <w:lvl w:ilvl="1">
      <w:lvlJc w:val="left"/>
      <w:lvlText w:val="%2."/>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3"/>
    </w:lvl>
  </w:abstractNum>
  <w:abstractNum w:abstractNumId="33">
    <w:nsid w:val="5577F8E1"/>
    <w:multiLevelType w:val="hybridMultilevel"/>
    <w:lvl w:ilvl="0">
      <w:lvlJc w:val="left"/>
      <w:lvlText w:val="(%1)"/>
      <w:numFmt w:val="decimal"/>
      <w:start w:val="29"/>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37" Type="http://schemas.openxmlformats.org/officeDocument/2006/relationships/hyperlink" Target="http://www.sec.gov/Archives/edgar/data/1822145/000155837023016336/prst-20230630x10k.htm" TargetMode="External"/><Relationship Id="rId38" Type="http://schemas.openxmlformats.org/officeDocument/2006/relationships/hyperlink" Target="http://www.sec.gov/Archives/edgar/data/1822145/000155837023016408/prst-20230630x10ka.htm" TargetMode="External"/><Relationship Id="rId39" Type="http://schemas.openxmlformats.org/officeDocument/2006/relationships/hyperlink" Target="http://www.sec.gov/Archives/edgar/data/1822145/000155837023019254/prst-20230930x10q.htm" TargetMode="External"/><Relationship Id="rId40" Type="http://schemas.openxmlformats.org/officeDocument/2006/relationships/hyperlink" Target="http://www.sec.gov/Archives/edgar/data/1822145/000155837024001375/prst-20231231x10q.htm" TargetMode="External"/><Relationship Id="rId41" Type="http://schemas.openxmlformats.org/officeDocument/2006/relationships/hyperlink" Target="http://www.sec.gov/Archives/edgar/data/1822145/000155837024008505/prst-20240331x10q.htm" TargetMode="External"/><Relationship Id="rId42" Type="http://schemas.openxmlformats.org/officeDocument/2006/relationships/hyperlink" Target="http://www.sec.gov/Archives/edgar/data/1822145/000110465923086535/tm2322640d1_8k.htm" TargetMode="External"/><Relationship Id="rId43" Type="http://schemas.openxmlformats.org/officeDocument/2006/relationships/hyperlink" Target="http://www.sec.gov/Archives/edgar/data/1822145/000110465923097311/tm2325309d1_8k.htm" TargetMode="External"/><Relationship Id="rId44" Type="http://schemas.openxmlformats.org/officeDocument/2006/relationships/hyperlink" Target="http://www.sec.gov/Archives/edgar/data/1822145/000101376223002979/ea186564-8k_prestoauto.htm" TargetMode="External"/><Relationship Id="rId45" Type="http://schemas.openxmlformats.org/officeDocument/2006/relationships/hyperlink" Target="http://www.sec.gov/Archives/edgar/data/1822145/000101376223005246/ea187043-8k_prestoauto.htm" TargetMode="External"/><Relationship Id="rId46" Type="http://schemas.openxmlformats.org/officeDocument/2006/relationships/hyperlink" Target="http://www.sec.gov/Archives/edgar/data/1822145/000121390023089293/ea188717-8k_presto.htm" TargetMode="External"/><Relationship Id="rId47" Type="http://schemas.openxmlformats.org/officeDocument/2006/relationships/hyperlink" Target="http://www.sec.gov/Archives/edgar/data/1822145/000155837023019477/prst-20231129x8k.htm" TargetMode="External"/><Relationship Id="rId48" Type="http://schemas.openxmlformats.org/officeDocument/2006/relationships/hyperlink" Target="http://www.sec.gov/Archives/edgar/data/1822145/000155837023019744/prst-20231206x8k.htm" TargetMode="External"/><Relationship Id="rId49" Type="http://schemas.openxmlformats.org/officeDocument/2006/relationships/hyperlink" Target="http://www.sec.gov/Archives/edgar/data/1822145/000121390023095635/ea190049-8k_presto.htm" TargetMode="External"/><Relationship Id="rId50" Type="http://schemas.openxmlformats.org/officeDocument/2006/relationships/hyperlink" Target="http://www.sec.gov/Archives/edgar/data/1822145/000121390024009098/ea192676-8k_presto.htm" TargetMode="External"/><Relationship Id="rId51" Type="http://schemas.openxmlformats.org/officeDocument/2006/relationships/hyperlink" Target="http://www.sec.gov/Archives/edgar/data/1822145/000110465924032703/tm248423d1_8k.htm" TargetMode="External"/><Relationship Id="rId52" Type="http://schemas.openxmlformats.org/officeDocument/2006/relationships/hyperlink" Target="http://www.sec.gov/Archives/edgar/data/1822145/000110465924035601/tm249131d1_8k.htm" TargetMode="External"/><Relationship Id="rId53" Type="http://schemas.openxmlformats.org/officeDocument/2006/relationships/hyperlink" Target="http://www.sec.gov/Archives/edgar/data/1822145/000110465924037407/tm249250d1_8k.htm" TargetMode="External"/><Relationship Id="rId54" Type="http://schemas.openxmlformats.org/officeDocument/2006/relationships/hyperlink" Target="http://www.sec.gov/Archives/edgar/data/1822145/000110465924062373/tm2414694d1_8k.htm" TargetMode="External"/><Relationship Id="rId55" Type="http://schemas.openxmlformats.org/officeDocument/2006/relationships/hyperlink" Target="http://www.sec.gov/Archives/edgar/data/1822145/000110465924064342/tm2415136d1_8k.htm" TargetMode="External"/><Relationship Id="rId56" Type="http://schemas.openxmlformats.org/officeDocument/2006/relationships/hyperlink" Target="http://www.sec.gov/Archives/edgar/data/1822145/000121390020044238/ea131985-8a12b_ventouxccm.htm" TargetMode="External"/><Relationship Id="rId57" Type="http://schemas.openxmlformats.org/officeDocument/2006/relationships/hyperlink" Target="http://www.sec.gov/Archives/edgar/data/1822145/000155837023016336/prst-20230630xex4d1.htm" TargetMode="External"/><Relationship Id="rId110" Type="http://schemas.openxmlformats.org/officeDocument/2006/relationships/hyperlink" Target="https://www.sec.gov/Archives/edgar/data/1822145/000110465923086535/tm2322640d1_8k.htm" TargetMode="External"/><Relationship Id="rId111" Type="http://schemas.openxmlformats.org/officeDocument/2006/relationships/hyperlink" Target="https://www.sec.gov/Archives/edgar/data/1822145/000110465923097311/tm2325309d1_8k.htm" TargetMode="External"/><Relationship Id="rId112" Type="http://schemas.openxmlformats.org/officeDocument/2006/relationships/hyperlink" Target="https://www.sec.gov/Archives/edgar/data/1822145/000101376223002979/ea186564-8k_prestoauto.htm" TargetMode="External"/><Relationship Id="rId113"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2024-05-28T06:49:56Z</dcterms:created>
  <dcterms:modified xsi:type="dcterms:W3CDTF">2024-05-28T06:49:56Z</dcterms:modified>
</cp:coreProperties>
</file>