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Ventoux CCM Acquisition Corp.</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pursuant to Rule 425 under the Securities Act of 1933</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E La Carte, Inc. (dba Presto)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001-39830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4852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852035"/>
                    </a:xfrm>
                    <a:prstGeom prst="rect">
                      <a:avLst/>
                    </a:prstGeom>
                    <a:noFill/>
                  </pic:spPr>
                </pic:pic>
              </a:graphicData>
            </a:graphic>
          </wp:anchor>
        </w:drawing>
      </w:r>
    </w:p>
    <w:p>
      <w:pPr>
        <w:sectPr>
          <w:pgSz w:w="11900" w:h="16838" w:orient="portrait"/>
          <w:cols w:equalWidth="0" w:num="1">
            <w:col w:w="10120"/>
          </w:cols>
          <w:pgMar w:left="1440" w:top="229"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586105</wp:posOffset>
            </wp:positionV>
            <wp:extent cx="5349240" cy="7440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49240" cy="7440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43815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connection with the proposed business combination involving Ventoux and Presto, Ventoux intends to file a registration statement, which will include a preliminary proxy statement/prospectus, with the SEC. The proxy statement/prospectus will be sent to stockholders of Ventoux. This press release is not a substitute for the proxy statement/prospectus. INVESTORS AND SECURITY HOLDERS AND OTHER INTERESTED PARTIES ARE URGED TO READ THE PROXY STATEMENT/PROSPECTUS AND ANY OTHER RELEVANT DOCUMENTS THAT HAVE BEEN FILED OR WILL BE FILED WITH THE SEC, AS WELL AS ANY AMENDMENTS OR SUPPLEMENTS TO THESE DOCUMENTS, CAREFULLY AND IN THEIR ENTIRETY WHEN THEY BECOME AVAILABLE BECAUSE THEY WILL CONTAIN IMPORTANT INFORMATION ABOUT PRESTO, VENTOUX, THE PROPOSED BUSINESS COMBINATION AND RELATED MATTERS. The documents filed or that will be filed with the SEC relating to the proposed business combination (when they are available) can be obtained free of charge from the SEC’s website at www.sec.gov. These documents (when they are available) can also be obtained free of charge from Ventoux upon written request at Ventoux CCM Acquisition Corp., 1 East Putnam Avenue, Floor 4, Greenwich, CT 06830.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communication is for informational purposes only and is not intended to and shall not constitute a proxy statement or the solicitation of a proxy, consent or authorization with respect to any securities in respect of the proposed business combination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This communication is not a solicitation of a proxy from any investor or security holder. However, Ventoux, Presto, and certain of their directors and executive officers may be deemed to be participants in the solicitation of proxies in connection with the proposed business combination under the rules of the SEC. Information about Ventoux’s directors and executive officers and their ownership of Ventoux’s securities is set forth in filings with the SEC, including Ventoux’s annual report on Form 10-K filed with the SEC on March 30, 2021 and amended on June 22, 2021. To the extent that holdings of Ventoux’s securities have changed since the amounts included in Ventoux’s most recent annual report, such changes have been or will be reflected on Statements of Change in Ownership on Form 4 filed with the SEC. Additional information regarding the participants will also be included in the proxy statement/prospectus, when it becomes available. When available, these documents can be obtained free of charge from the sources indicated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Presto’s industry and market sizes, future opportunities for Ventoux, Presto and the combined company, Ventoux’s and Presto’s estimated future results and the proposed business combination, including the implied pro forma equity value, the expected transaction and ownership structure and the likelihood and ability of the parties to successfully consummate the proposed business combination.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 w:name="page4"/>
    <w:bookmarkEnd w:id="3"/>
    <w:p>
      <w:pPr>
        <w:ind w:right="80"/>
        <w:spacing w:after="0" w:line="282" w:lineRule="auto"/>
        <w:rPr>
          <w:sz w:val="20"/>
          <w:szCs w:val="20"/>
          <w:color w:val="auto"/>
        </w:rPr>
      </w:pPr>
      <w:r>
        <w:rPr>
          <w:rFonts w:ascii="Arial" w:cs="Arial" w:eastAsia="Arial" w:hAnsi="Arial"/>
          <w:sz w:val="16"/>
          <w:szCs w:val="16"/>
          <w:color w:val="auto"/>
        </w:rPr>
        <w:t>In addition to factors previously disclosed or that will be disclosed in Ventoux’s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the occurrence of any event, change or other circumstances that could give rise to the termination of the merger agreement or could otherwise cause the transactions contemplated therein to fail to close; (2) the outcome of any legal proceedings that may be instituted against Ventoux, Presto, the Company or others following the announcement of the proposed business combination and any definitive agreements with respect thereto; (3) the inability to complete the proposed business combination due to the failure to obtain approval of the stockholders of Ventoux or Presto; (4) the inability of Presto to satisfy other conditions to closing; (5) changes to the proposed structure of the proposed business combination that may be required or appropriate as a result of applicable laws or regulations or as a condition to obtaining regulatory approval of the proposed business combination; (6) the ability to meet stock exchange listing standards in connection with and following the consummation of the proposed business combination; (7) the risk that the proposed business combination disrupts current plans and operations of Presto as a result of the announcement and consummation of the proposed business combination; (8) the ability to recognize the anticipated benefits of the proposed business combination, which may be affected by, among other things, competition, the ability of the Company to grow and manage growth profitably, grow its customer base, maintain relationships with customers and suppliers and retain its management and key employees; (9) the impact of the COVID-19 pandemic on the business of Presto and the Company (including the effects of the ongoing global supply chain shortage); (10) Presto’s limited operating history and history of net losses; (11) Presto’s customer concentration and reliance on a limited number of key technology providers and payment processors facilitating payments to and by Presto’s customers; (12) costs related to proposed business combination; (13) changes in applicable laws or regulations; (14) the possibility that Presto or the Company may be adversely affected by other economic, business, regulatory, and/or competitive factors;</w:t>
      </w:r>
    </w:p>
    <w:p>
      <w:pPr>
        <w:spacing w:after="0" w:line="11" w:lineRule="exact"/>
        <w:rPr>
          <w:sz w:val="20"/>
          <w:szCs w:val="20"/>
          <w:color w:val="auto"/>
        </w:rPr>
      </w:pPr>
    </w:p>
    <w:p>
      <w:pPr>
        <w:jc w:val="both"/>
        <w:ind w:right="60" w:firstLine="8"/>
        <w:spacing w:after="0" w:line="273" w:lineRule="auto"/>
        <w:tabs>
          <w:tab w:leader="none" w:pos="345"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Presto’s estimates of expenses and profitability; (16) the evolution of the markets in which Presto competes; (17) the ability of Presto to implement its strategic initiatives and continue to innovate its existing products; (18) the ability of Presto to adhere to legal requirements with respect to the protection of personal data and privacy laws; (19) cybersecurity risks, data loss and other breaches of Presto’s network security and the disclosure of personal information; and (20) the risk of regulatory lawsuits or proceedings relating to Presto’s products or services.</w:t>
      </w:r>
    </w:p>
    <w:p>
      <w:pPr>
        <w:spacing w:after="0" w:line="1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Ventoux and Presto or the date of such information in the case of information from persons other than Ventoux and Presto, and we disclaim any intention or obligation to update any forward-looking statements as a result of developments occurring after the date of this communication. Forecasts and estimates regarding Presto’s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2021-11-12T06:09:34Z</dcterms:created>
  <dcterms:modified xsi:type="dcterms:W3CDTF">2021-11-12T06:09:34Z</dcterms:modified>
</cp:coreProperties>
</file>