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6011545</wp:posOffset>
            </wp:positionH>
            <wp:positionV relativeFrom="page">
              <wp:posOffset>294640</wp:posOffset>
            </wp:positionV>
            <wp:extent cx="1328420" cy="2134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134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Attn:</w:t>
        <w:tab/>
        <w:t>Lauren Pierce and Jan Woo</w:t>
      </w:r>
    </w:p>
    <w:p>
      <w:pPr>
        <w:sectPr>
          <w:pgSz w:w="11900" w:h="16838" w:orient="portrait"/>
          <w:cols w:equalWidth="0" w:num="1">
            <w:col w:w="11240"/>
          </w:cols>
          <w:pgMar w:left="320" w:top="1440"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October 21,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333-267979</w:t>
      </w:r>
    </w:p>
    <w:p>
      <w:pPr>
        <w:spacing w:after="0" w:line="200" w:lineRule="exact"/>
        <w:rPr>
          <w:sz w:val="24"/>
          <w:szCs w:val="24"/>
          <w:color w:val="auto"/>
        </w:rPr>
      </w:pPr>
    </w:p>
    <w:p>
      <w:pPr>
        <w:sectPr>
          <w:pgSz w:w="11900" w:h="16838" w:orient="portrait"/>
          <w:cols w:equalWidth="0" w:num="2">
            <w:col w:w="280" w:space="380"/>
            <w:col w:w="105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Pierce and Ms. Woo:</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behalf of our client, Presto Automation Inc., a Delaware corporation (the “</w:t>
      </w: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y” or “</w:t>
      </w:r>
      <w:r>
        <w:rPr>
          <w:rFonts w:ascii="Times New Roman" w:cs="Times New Roman" w:eastAsia="Times New Roman" w:hAnsi="Times New Roman"/>
          <w:sz w:val="18"/>
          <w:szCs w:val="18"/>
          <w:u w:val="single" w:color="auto"/>
          <w:color w:val="auto"/>
        </w:rPr>
        <w:t>Presto</w:t>
      </w:r>
      <w:r>
        <w:rPr>
          <w:rFonts w:ascii="Times New Roman" w:cs="Times New Roman" w:eastAsia="Times New Roman" w:hAnsi="Times New Roman"/>
          <w:sz w:val="18"/>
          <w:szCs w:val="18"/>
          <w:color w:val="auto"/>
        </w:rPr>
        <w:t>”), we are writing to submit the Company’s responses to the comments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contained in the Staff’s letter dated November 16, 2022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with respect to the above-referenced Registration Statement on Form S-1, filed on October 21, 2022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filed via EDGAR Amendment No. 1 to the Registration Statement (“</w:t>
      </w:r>
      <w:r>
        <w:rPr>
          <w:rFonts w:ascii="Times New Roman" w:cs="Times New Roman" w:eastAsia="Times New Roman" w:hAnsi="Times New Roman"/>
          <w:sz w:val="18"/>
          <w:szCs w:val="18"/>
          <w:u w:val="single" w:color="auto"/>
          <w:color w:val="auto"/>
        </w:rPr>
        <w:t>Amendment No.1</w:t>
      </w:r>
      <w:r>
        <w:rPr>
          <w:rFonts w:ascii="Times New Roman" w:cs="Times New Roman" w:eastAsia="Times New Roman" w:hAnsi="Times New Roman"/>
          <w:sz w:val="18"/>
          <w:szCs w:val="18"/>
          <w:color w:val="auto"/>
        </w:rPr>
        <w:t>”), which reflects the Company’s responses to the comments received by the Staff and certain updated information. For ease of reference, each comment contained in the Comment Letter is printed below in bold and is followed by the Company’s response. All page references in the responses set forth below refer to page numbers in Amendment No. 1. Capitalized terms used but not defined herein have the meanings set forth in Amendment No. 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S-1 filed October 21, 2022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230" w:lineRule="exact"/>
        <w:rPr>
          <w:sz w:val="24"/>
          <w:szCs w:val="24"/>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each of the shares and warrants being registered for resale, disclose the price that the selling securityholders paid for such shares and warrants.</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Company has revised the disclosure on the cover page of Amendment No. 1</w:t>
      </w:r>
    </w:p>
    <w:p>
      <w:pPr>
        <w:spacing w:after="0" w:line="221"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shares being registered for resale will constitute a considerable percentage of your public float. We also note that most of the shares being registered for resale were purchased by the selling securityholders for prices considerably below the current market price of the common stock. Highlight the significant negative impact sales of shares on this registration statement could have on the public trading price of the common stock</w:t>
      </w:r>
    </w:p>
    <w:p>
      <w:pPr>
        <w:spacing w:after="0" w:line="18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Company has revised the disclosure on the cover page of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page 31</w:t>
      </w:r>
    </w:p>
    <w:p>
      <w:pPr>
        <w:spacing w:after="0" w:line="248" w:lineRule="exact"/>
        <w:rPr>
          <w:sz w:val="20"/>
          <w:szCs w:val="20"/>
          <w:color w:val="auto"/>
        </w:rPr>
      </w:pPr>
    </w:p>
    <w:p>
      <w:pPr>
        <w:jc w:val="both"/>
        <w:ind w:left="660" w:hanging="328"/>
        <w:spacing w:after="0" w:line="268"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you may not be able to timely file reports required by the Exchange Act. We also note that you did not timely file your Form 10-Q for the quarter ended March 30, 2021. Update and revise your risk factor to disclose that you did not timely file the report and that you may not be able to timely file similar reports in the future.</w:t>
      </w:r>
    </w:p>
    <w:p>
      <w:pPr>
        <w:spacing w:after="0" w:line="17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Company has revised the disclosure on pages 33 and 34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page 63</w:t>
      </w:r>
    </w:p>
    <w:p>
      <w:pPr>
        <w:spacing w:after="0" w:line="221" w:lineRule="exact"/>
        <w:rPr>
          <w:sz w:val="20"/>
          <w:szCs w:val="20"/>
          <w:color w:val="auto"/>
        </w:rPr>
      </w:pPr>
    </w:p>
    <w:p>
      <w:pPr>
        <w:ind w:left="660" w:right="160" w:hanging="328"/>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in this section the fact that this offering involves the potential sale of a substantial portion of shares for resale and discuss how such sales could impact the market price of your common stock.</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Company has revised the disclosure on the cover page and page 79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 page 77</w:t>
      </w:r>
    </w:p>
    <w:p>
      <w:pPr>
        <w:spacing w:after="0" w:line="221" w:lineRule="exact"/>
        <w:rPr>
          <w:sz w:val="20"/>
          <w:szCs w:val="20"/>
          <w:color w:val="auto"/>
        </w:rPr>
      </w:pPr>
    </w:p>
    <w:p>
      <w:pPr>
        <w:jc w:val="both"/>
        <w:ind w:left="660" w:hanging="328"/>
        <w:spacing w:after="0" w:line="26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light of the unlikelihood that the company will receive significant proceeds from exercises of the warrants because of the disparity between the exercise price of the warrants and the current trading price of the common stock, expand your discussion of capital resources to address any changes in the company’s liquidity position since the business combination. Please discuss the effect of this offering on the company’s ability to raise additional capital.</w:t>
      </w:r>
    </w:p>
    <w:p>
      <w:pPr>
        <w:spacing w:after="0" w:line="18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Company has revised the disclosure on page 78 of Amendment No.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1" w:lineRule="exact"/>
        <w:rPr>
          <w:sz w:val="20"/>
          <w:szCs w:val="20"/>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your warrants are out-of-the money and that you do not expect to receive cash proceeds from the exercise of warrants until this is no longer true. Please provide similar disclosure in your MD&amp;A section. If applicable, throughout your filing, describe the impact on your liquidity and update the discussion on the ability of your company to fund your operations on a prospective basis with your current cash on hand.</w:t>
      </w:r>
    </w:p>
    <w:p>
      <w:pPr>
        <w:spacing w:after="0" w:line="18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Company has revised the disclosure on the cover page, pages 4, 5 and 78 of Amendment No. 1</w:t>
      </w:r>
    </w:p>
    <w:p>
      <w:pPr>
        <w:spacing w:after="0" w:line="221" w:lineRule="exact"/>
        <w:rPr>
          <w:rFonts w:ascii="Times New Roman" w:cs="Times New Roman" w:eastAsia="Times New Roman" w:hAnsi="Times New Roman"/>
          <w:sz w:val="18"/>
          <w:szCs w:val="18"/>
          <w:b w:val="1"/>
          <w:bCs w:val="1"/>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Revise your prospectus to disclose the price that each selling securityholder paid for the shares and warrants being registered for resale. Highlight any differences in the current trading price, the prices at which the Sponsors and PIPE investors acquired their shares and warrants, and the price at which the public securityholders acquired their shares and warrants. Disclose that, while the Sponsors and PIPE investors may experience a positive rate of return based on the current trading price, the public securityholders may not experience a similar rate of return on the securities they purchased due to differences in the purchase prices and the current trading price. Please also disclose the potential profit the selling securityholders will earn based on the current trading price. Lastly, please include appropriate risk factor disclosure.</w:t>
      </w:r>
    </w:p>
    <w:p>
      <w:pPr>
        <w:spacing w:after="0" w:line="18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Company has revised the disclosure on the cover page and page 6 of Amendment No. 1</w:t>
      </w:r>
    </w:p>
    <w:p>
      <w:pPr>
        <w:spacing w:after="0" w:line="221"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update your disclosures throughout the filing and address areas that present inconsistencies. For example, on page 108, you make statements about what might happen “[i]f VTAQ completes the Business Combination” or “[i]n the event that the Business Combination does not close.” These statements should be updated given that the Business Combination closed on September 21, 2022.</w:t>
      </w:r>
    </w:p>
    <w:p>
      <w:pPr>
        <w:spacing w:after="0" w:line="17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Company has revised the disclosure on page 108 of Amendment No. 1</w:t>
      </w:r>
    </w:p>
    <w:p>
      <w:pPr>
        <w:spacing w:after="0" w:line="225" w:lineRule="exact"/>
        <w:rPr>
          <w:rFonts w:ascii="Times New Roman" w:cs="Times New Roman" w:eastAsia="Times New Roman" w:hAnsi="Times New Roman"/>
          <w:sz w:val="18"/>
          <w:szCs w:val="18"/>
          <w:b w:val="1"/>
          <w:bCs w:val="1"/>
          <w:color w:val="auto"/>
        </w:rPr>
      </w:pPr>
    </w:p>
    <w:p>
      <w:pPr>
        <w:ind w:left="5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do not hesitate to contact Colin Diamond at (212) 819-8754 of White &amp; Case LLP with any questions or comments regarding this letter.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White &amp; Case LLP</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Susan Shinoff, Presto Automation Inc.</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2023-02-13T00:27:50Z</dcterms:created>
  <dcterms:modified xsi:type="dcterms:W3CDTF">2023-02-13T00:27:50Z</dcterms:modified>
</cp:coreProperties>
</file>