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94" w:lineRule="exact"/>
        <w:rPr>
          <w:sz w:val="24"/>
          <w:szCs w:val="24"/>
          <w:color w:val="auto"/>
        </w:rPr>
      </w:pPr>
    </w:p>
    <w:p>
      <w:pPr>
        <w:jc w:val="center"/>
        <w:ind w:left="3980" w:right="1120" w:hanging="2854"/>
        <w:spacing w:after="0" w:line="362" w:lineRule="auto"/>
        <w:tabs>
          <w:tab w:leader="none" w:pos="1326"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b w:val="1"/>
          <w:bCs w:val="1"/>
          <w:u w:val="single" w:color="auto"/>
          <w:color w:val="auto"/>
        </w:rPr>
        <w:t>December 31, 2020</w:t>
      </w:r>
    </w:p>
    <w:p>
      <w:pPr>
        <w:ind w:left="55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9" w:lineRule="exact"/>
        <w:rPr>
          <w:rFonts w:ascii="MS PGothic" w:cs="MS PGothic" w:eastAsia="MS PGothic" w:hAnsi="MS PGothic"/>
          <w:sz w:val="18"/>
          <w:szCs w:val="18"/>
          <w:color w:val="auto"/>
        </w:rPr>
      </w:pPr>
    </w:p>
    <w:p>
      <w:pPr>
        <w:jc w:val="center"/>
        <w:ind w:left="3120" w:right="940" w:hanging="2179"/>
        <w:spacing w:after="0" w:line="360" w:lineRule="auto"/>
        <w:tabs>
          <w:tab w:leader="none" w:pos="11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 to ________________</w:t>
      </w:r>
    </w:p>
    <w:p>
      <w:pPr>
        <w:ind w:left="430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001-39830</w:t>
      </w:r>
    </w:p>
    <w:p>
      <w:pPr>
        <w:spacing w:after="0" w:line="94" w:lineRule="exact"/>
        <w:rPr>
          <w:sz w:val="24"/>
          <w:szCs w:val="24"/>
          <w:color w:val="auto"/>
        </w:rPr>
      </w:pPr>
    </w:p>
    <w:p>
      <w:pPr>
        <w:ind w:left="3680"/>
        <w:spacing w:after="0"/>
        <w:rPr>
          <w:sz w:val="20"/>
          <w:szCs w:val="20"/>
          <w:color w:val="auto"/>
        </w:rPr>
      </w:pPr>
      <w:r>
        <w:rPr>
          <w:rFonts w:ascii="Arial" w:cs="Arial" w:eastAsia="Arial" w:hAnsi="Arial"/>
          <w:sz w:val="22"/>
          <w:szCs w:val="22"/>
          <w:b w:val="1"/>
          <w:bCs w:val="1"/>
          <w:color w:val="auto"/>
        </w:rPr>
        <w:t>VENTOUX CCM ACQUISITION CORP.</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720" w:type="dxa"/>
            <w:vAlign w:val="bottom"/>
            <w:gridSpan w:val="2"/>
          </w:tcPr>
          <w:p>
            <w:pPr>
              <w:jc w:val="right"/>
              <w:ind w:right="2230"/>
              <w:spacing w:after="0"/>
              <w:rPr>
                <w:sz w:val="20"/>
                <w:szCs w:val="20"/>
                <w:color w:val="auto"/>
              </w:rPr>
            </w:pPr>
            <w:r>
              <w:rPr>
                <w:rFonts w:ascii="Arial" w:cs="Arial" w:eastAsia="Arial" w:hAnsi="Arial"/>
                <w:sz w:val="18"/>
                <w:szCs w:val="18"/>
                <w:b w:val="1"/>
                <w:bCs w:val="1"/>
                <w:color w:val="auto"/>
              </w:rPr>
              <w:t>84-2968594</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55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292"/>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0"/>
              </w:rPr>
              <w:t>1 East Putnam Avenue, Floor 4</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41"/>
        </w:trPr>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3"/>
              </w:rPr>
              <w:t>Greenwich, CT</w:t>
            </w:r>
          </w:p>
        </w:tc>
        <w:tc>
          <w:tcPr>
            <w:tcW w:w="5720" w:type="dxa"/>
            <w:vAlign w:val="bottom"/>
            <w:gridSpan w:val="2"/>
          </w:tcPr>
          <w:p>
            <w:pPr>
              <w:jc w:val="right"/>
              <w:ind w:right="2430"/>
              <w:spacing w:after="0"/>
              <w:rPr>
                <w:sz w:val="20"/>
                <w:szCs w:val="20"/>
                <w:color w:val="auto"/>
              </w:rPr>
            </w:pPr>
            <w:r>
              <w:rPr>
                <w:rFonts w:ascii="Arial" w:cs="Arial" w:eastAsia="Arial" w:hAnsi="Arial"/>
                <w:sz w:val="18"/>
                <w:szCs w:val="18"/>
                <w:b w:val="1"/>
                <w:bCs w:val="1"/>
                <w:color w:val="auto"/>
              </w:rPr>
              <w:t>06830</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465-9000</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1"/>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VTAQ</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Warrants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VTAQW</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9"/>
              </w:rPr>
              <w:t>Rights</w:t>
            </w:r>
          </w:p>
        </w:tc>
        <w:tc>
          <w:tcPr>
            <w:tcW w:w="3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VTAQR</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Units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VTAQU</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58"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7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last business day of the registrant’s most recently completed second fiscal quarter, the registrant’s securities were not publicly traded. The registrant’s units began trading on The Nasdaq Stock Market LLC on December 24, 2020, and the registrant’s common stock, warrants and rights began trading on The Nasdaq Stock Market LLC on February 5, 2021.</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shares of common stock as of March 29, 2021 was 21,562,500.</w:t>
      </w:r>
    </w:p>
    <w:p>
      <w:pPr>
        <w:spacing w:after="0" w:line="10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00" w:type="dxa"/>
            <w:vAlign w:val="bottom"/>
            <w:gridSpan w:val="15"/>
          </w:tcPr>
          <w:p>
            <w:pPr>
              <w:jc w:val="center"/>
              <w:ind w:right="2660"/>
              <w:spacing w:after="0"/>
              <w:rPr>
                <w:sz w:val="20"/>
                <w:szCs w:val="20"/>
                <w:color w:val="auto"/>
              </w:rPr>
            </w:pPr>
            <w:r>
              <w:rPr>
                <w:rFonts w:ascii="Arial" w:cs="Arial" w:eastAsia="Arial" w:hAnsi="Arial"/>
                <w:sz w:val="18"/>
                <w:szCs w:val="18"/>
                <w:b w:val="1"/>
                <w:bCs w:val="1"/>
                <w:color w:val="auto"/>
              </w:rPr>
              <w:t>VENTOUX CCM ACQUISITION CORP.</w:t>
            </w:r>
          </w:p>
        </w:tc>
        <w:tc>
          <w:tcPr>
            <w:tcW w:w="114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gridSpan w:val="20"/>
          </w:tcPr>
          <w:p>
            <w:pPr>
              <w:jc w:val="center"/>
              <w:ind w:right="1480"/>
              <w:spacing w:after="0"/>
              <w:rPr>
                <w:sz w:val="20"/>
                <w:szCs w:val="20"/>
                <w:color w:val="auto"/>
              </w:rPr>
            </w:pPr>
            <w:r>
              <w:rPr>
                <w:rFonts w:ascii="Arial" w:cs="Arial" w:eastAsia="Arial" w:hAnsi="Arial"/>
                <w:sz w:val="18"/>
                <w:szCs w:val="18"/>
                <w:b w:val="1"/>
                <w:bCs w:val="1"/>
                <w:color w:val="auto"/>
                <w:w w:val="91"/>
              </w:rPr>
              <w:t>Annual Report on Form 10-K for the Year Ended December 31, 2020</w:t>
            </w:r>
          </w:p>
        </w:tc>
        <w:tc>
          <w:tcPr>
            <w:tcW w:w="114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1A. RISK FACTORS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1B. UNRESOLVED STAFF COMMENTS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3.</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4.</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PART II</w:t>
              </w:r>
            </w:hyperlink>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5"/>
        </w:trPr>
        <w:tc>
          <w:tcPr>
            <w:tcW w:w="180" w:type="dxa"/>
            <w:vAlign w:val="bottom"/>
            <w:shd w:val="clear" w:color="auto" w:fill="CCEEFF"/>
          </w:tcPr>
          <w:p>
            <w:pPr>
              <w:spacing w:after="0"/>
              <w:rPr>
                <w:sz w:val="15"/>
                <w:szCs w:val="15"/>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5.</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STOCKHOLDER MATTERS AND ISSUER</w:t>
              </w:r>
            </w:hyperlink>
          </w:p>
        </w:tc>
        <w:tc>
          <w:tcPr>
            <w:tcW w:w="114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8100" w:type="dxa"/>
            <w:vAlign w:val="bottom"/>
            <w:tcBorders>
              <w:top w:val="single" w:sz="8" w:color="0000EE"/>
            </w:tcBorders>
            <w:gridSpan w:val="22"/>
            <w:shd w:val="clear" w:color="auto" w:fill="CCEEFF"/>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PURCHASES OF EQUITY SECURITIES</w:t>
              </w:r>
            </w:hyperlink>
          </w:p>
        </w:tc>
        <w:tc>
          <w:tcPr>
            <w:tcW w:w="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16</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6.</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5"/>
        </w:trPr>
        <w:tc>
          <w:tcPr>
            <w:tcW w:w="180" w:type="dxa"/>
            <w:vAlign w:val="bottom"/>
            <w:shd w:val="clear" w:color="auto" w:fill="CCEEFF"/>
          </w:tcPr>
          <w:p>
            <w:pPr>
              <w:spacing w:after="0"/>
              <w:rPr>
                <w:sz w:val="15"/>
                <w:szCs w:val="15"/>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ITEM 7.</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w:t>
              </w:r>
            </w:hyperlink>
          </w:p>
        </w:tc>
        <w:tc>
          <w:tcPr>
            <w:tcW w:w="114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760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OPERATIONS</w:t>
              </w:r>
            </w:hyperlink>
          </w:p>
        </w:tc>
        <w:tc>
          <w:tcPr>
            <w:tcW w:w="980" w:type="dxa"/>
            <w:vAlign w:val="bottom"/>
            <w:tcBorders>
              <w:top w:val="single" w:sz="8" w:color="CCEEFF"/>
            </w:tcBorders>
            <w:gridSpan w:val="4"/>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17</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7A. QUANTITATIVE AND QUALITATIVE DISCLOSURES ABOUT MARKET RISK</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8.</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FINANCIAL STATEMENTS AND SUPPLEMENTARY DATA</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5"/>
        </w:trPr>
        <w:tc>
          <w:tcPr>
            <w:tcW w:w="180" w:type="dxa"/>
            <w:vAlign w:val="bottom"/>
            <w:shd w:val="clear" w:color="auto" w:fill="CCEEFF"/>
          </w:tcPr>
          <w:p>
            <w:pPr>
              <w:spacing w:after="0"/>
              <w:rPr>
                <w:sz w:val="15"/>
                <w:szCs w:val="15"/>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9.</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CHANGES IN AND DISAGREEMENTS WITH ACCOUNTANTS ON ACCOUNTING AND FINANCIAL</w:t>
              </w:r>
            </w:hyperlink>
          </w:p>
        </w:tc>
        <w:tc>
          <w:tcPr>
            <w:tcW w:w="114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778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DISCLOSURE</w:t>
              </w:r>
            </w:hyperlink>
          </w:p>
        </w:tc>
        <w:tc>
          <w:tcPr>
            <w:tcW w:w="800" w:type="dxa"/>
            <w:vAlign w:val="bottom"/>
            <w:tcBorders>
              <w:top w:val="single" w:sz="8" w:color="CCEEFF"/>
            </w:tcBorders>
            <w:gridSpan w:val="3"/>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9A. CONTROLS AND PROCEDURES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9B. OTHER INFORMATION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PART III</w:t>
              </w:r>
            </w:hyperlink>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10.</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DIRECTORS, EXECUTIVE OFFICERS AND CORPORATE GOVERNANCE</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11.</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EXECUTIVE COMPENSATION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5"/>
        </w:trPr>
        <w:tc>
          <w:tcPr>
            <w:tcW w:w="180" w:type="dxa"/>
            <w:vAlign w:val="bottom"/>
            <w:shd w:val="clear" w:color="auto" w:fill="CCEEFF"/>
          </w:tcPr>
          <w:p>
            <w:pPr>
              <w:spacing w:after="0"/>
              <w:rPr>
                <w:sz w:val="15"/>
                <w:szCs w:val="15"/>
                <w:color w:val="auto"/>
              </w:rPr>
            </w:pPr>
          </w:p>
        </w:tc>
        <w:tc>
          <w:tcPr>
            <w:tcW w:w="720" w:type="dxa"/>
            <w:vAlign w:val="bottom"/>
            <w:gridSpan w:val="6"/>
            <w:shd w:val="clear" w:color="auto" w:fill="CCEEFF"/>
          </w:tcPr>
          <w:p>
            <w:pPr>
              <w:spacing w:after="0" w:line="17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ITEM 12.</w:t>
              </w:r>
            </w:hyperlink>
          </w:p>
        </w:tc>
        <w:tc>
          <w:tcPr>
            <w:tcW w:w="460" w:type="dxa"/>
            <w:vAlign w:val="bottom"/>
            <w:shd w:val="clear" w:color="auto" w:fill="CCEEFF"/>
          </w:tcPr>
          <w:p>
            <w:pPr>
              <w:spacing w:after="0"/>
              <w:rPr>
                <w:sz w:val="15"/>
                <w:szCs w:val="15"/>
                <w:color w:val="auto"/>
              </w:rPr>
            </w:pPr>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SECURITY OWNERSHIP OF CERTAIN BENEFICIAL OWNERS AND MANAGEMENT AND RELATED</w:t>
              </w:r>
            </w:hyperlink>
          </w:p>
        </w:tc>
        <w:tc>
          <w:tcPr>
            <w:tcW w:w="114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784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STOCKHOLDER MATTERS</w:t>
              </w:r>
            </w:hyperlink>
          </w:p>
        </w:tc>
        <w:tc>
          <w:tcPr>
            <w:tcW w:w="740" w:type="dxa"/>
            <w:vAlign w:val="bottom"/>
            <w:tcBorders>
              <w:top w:val="single" w:sz="8" w:color="CCEEFF"/>
            </w:tcBorders>
            <w:gridSpan w:val="2"/>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25</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13.</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CERTAIN RELATIONSHIPS AND RELATED TRANSACTIONS, AND DIRECTOR INDEPENDENCE</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14.</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PRINCIPAL ACCOUNTANT FEES AND SERVICES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8"/>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PART IV</w:t>
              </w:r>
            </w:hyperlink>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15.</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EXHIBIT AND FINANCIAL STATEMENT SCHEDULES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75"/>
        </w:trPr>
        <w:tc>
          <w:tcPr>
            <w:tcW w:w="180" w:type="dxa"/>
            <w:vAlign w:val="bottom"/>
            <w:shd w:val="clear" w:color="auto" w:fill="CCEEFF"/>
          </w:tcPr>
          <w:p>
            <w:pPr>
              <w:spacing w:after="0"/>
              <w:rPr>
                <w:sz w:val="15"/>
                <w:szCs w:val="15"/>
                <w:color w:val="auto"/>
              </w:rPr>
            </w:pPr>
          </w:p>
        </w:tc>
        <w:tc>
          <w:tcPr>
            <w:tcW w:w="1180" w:type="dxa"/>
            <w:vAlign w:val="bottom"/>
            <w:gridSpan w:val="7"/>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16.</w:t>
              </w:r>
            </w:hyperlink>
          </w:p>
        </w:tc>
        <w:tc>
          <w:tcPr>
            <w:tcW w:w="8740" w:type="dxa"/>
            <w:vAlign w:val="bottom"/>
            <w:gridSpan w:val="24"/>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FORM 10-K SUMMARY</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w:t>
      </w:r>
    </w:p>
    <w:p>
      <w:pPr>
        <w:spacing w:after="0" w:line="178"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particularly in light of disruption that may result from limitations imposed by the COVID-19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 and other benefits;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delisting of our securities from Nasdaq or an inability to have our securities listed on Nasdaq following a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potential change in control if we acquire one or more target businesses for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our filings from time to time with the United States Securities and Exchange Commission (the “SEC”).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010000"/>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Ventoux CCM Acquisition Corp. (the “Company”) is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herein as our “initial business combination.” 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stockholders.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30, 2020, the Company consummated the IPO of 15,000,000 units (the “Units”). Each Unit consists of one share of common stock, $0.0001 par value (“Common Stock”), one right entitling the holder thereof to receive one-twentieth (1/20) of one share of Common Stock upon the consummation of an initial business combination, and one warrant entitling the holder thereof to purchase one-half (1/2) of one share of Common Stock at a price of $11.50 per whole share. The Units were sold at an offering price of $10.00 per Unit, generating gross proceeds of $150,000,000.</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30, 2020, simultaneously with the consummation of the IPO, the Company consummated the private placement with initial stockholders of the Company of 6,000,000 warrants (the “Private Warrants”), at a price of $1.00 per Private Warrant, generating total proceeds of $6,000,000. The Private Warrants are identical to the warrants sold as part of the public Units in the IPO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Such initial purchasers were granted certain demand and piggyback registration rights in connection with the purchase of the Private Warrants.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29, 2020, the underwriters exercised their over-allotment option in full. The closing of the issuance and sale of the additional Units (the “Over-Allotment Option Units”) occurred on January 5, 2021. The total aggregate issuance by the Company of 2,250,000 Units at a price of $10.00 per Unit resulted in total gross proceeds of $22,500,000. On January 5, 2021, simultaneously with the sale of the Over-Allotment Option Units, the Company consummated the private sale of an additional 675,000 Private Warrants, generating gross proceeds of $675,000.</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total of $174,225,000 of the net proceeds from the IPO (including the Over-Allotment Option Units) and the private placements on December 30, 2020 and January 5, 2021 were deposited in a trust account maintained by Continental Stock Transfer &amp; Trust Company, acting as trustee, established for the benefit of the Company’s public stockholders. None of the funds held in trust will be released from the trust account, other than to pay our income or other tax obligations until the earlier of (i) the consummation of the Company’s initial business combination, (ii) the Company’s failure to consummate a business combination within 15 months (or up to 18 months if we have extended the period of time) from the closing of the IPO, and (iii) the redemption of any public shares properly submitted in connection with a stockholder vote to amend the Company’s amended and restated certificate of incorporation</w:t>
      </w:r>
    </w:p>
    <w:p>
      <w:pPr>
        <w:spacing w:after="0" w:line="4" w:lineRule="exact"/>
        <w:rPr>
          <w:sz w:val="20"/>
          <w:szCs w:val="20"/>
          <w:color w:val="auto"/>
        </w:rPr>
      </w:pPr>
    </w:p>
    <w:p>
      <w:pPr>
        <w:jc w:val="both"/>
        <w:ind w:firstLine="8"/>
        <w:spacing w:after="0" w:line="253" w:lineRule="auto"/>
        <w:tabs>
          <w:tab w:leader="none" w:pos="297"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modify the substance or timing of the ability of holders of the Company’s public shares to seek redemption in connection with the Company’s initial business combination or the Company’s obligation to redeem 100% of its public shares if the Company does not complete its initial business combination within 15 months (or up to 18 months if we have extended the period of time) from the closing of the IPO or (B) with respect to any other provision relating to stockholders’ rights or pre-business combination activity.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Co-Sponsors, Management, Board of Directors and Competitive Advantages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 Holdings LLC (“Ventoux Acquisition”) and Chardan International Investments, LLC (“Chardan Investments”). Our management team, led by co-founders Mr. Edward Scheetz and Mr. Matthew MacDonald, has a combined 40 years of hospitality and investment experience. Together with our management team, Chardan Investments and its affiliate, Chardan Capital Markets, LLC (“Chardan” or “Chardan Capital Markets”), our board of directors and our Senior Advisor, Mr. Robert Martin, we are confident that the combined experience makes us well situated to identify, source, negotiate and execute an initial business combination in the hospitality, leisure, travel and dining sectors.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 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Mr. MacDonald is our co-founder, Chief Financial Officer and Secretary, and has over a decade of experience in real estate, hospitality and leisure investments at public companies and private equity-backed ventures. Mr. MacDonald was responsible for corporate M&amp;A transaction activity at Hyatt Hotel Corporation (NYSE: H), where, as part of Hyatt’s global platform, he oversaw M&amp;A investments and underwrote public and private companies within the broader hotel and leisure sectors. Mr. MacDonald joined Hyatt in 2017 through Hyatt’s acquisition of Miraval Group, a KSL Capital portfolio company. In 2018, Mr. MacDonald led the company’s $450 million acquisition of Two Roads Hospitality, which included management contracts for 75 hotel properties across five hotel brands in 23 global markets; the acquisition anchored Hyatt’s Global Lifestyle Division. Additionally, Mr. MacDonald led the development of two of Hyatt’s brands in the wellness space, Miraval and Exhale. With respect to Exhale, Mr. MacDonald led strategic consideration, due diligence and acquisition of the 25-unit spa and class-based fitness company for Hyatt’s Wellness platform, and subsequently led integration of the company, units and 1,000 employees into Hyatt. Mr. MacDonald joined Miraval and KSL in 2016. Prior to 2016, Mr. MacDonald was in the Real Estate Investment Management and Acquisitions group at Starwood Hotels &amp; Resorts (NYSE: HOT).</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Mr.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worked in the Emerging Markets Fixed Income group at Barclays Capital (NYSE: BCS).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 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spacing w:after="0" w:line="275" w:lineRule="auto"/>
        <w:rPr>
          <w:sz w:val="20"/>
          <w:szCs w:val="20"/>
          <w:color w:val="auto"/>
        </w:rPr>
      </w:pPr>
      <w:r>
        <w:rPr>
          <w:rFonts w:ascii="Arial" w:cs="Arial" w:eastAsia="Arial" w:hAnsi="Arial"/>
          <w:sz w:val="17"/>
          <w:szCs w:val="17"/>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Chardan has an extensive track record in the SPAC market as underwriter, sponsor and advisor. Since 2004, Chardan has been lead or co-lead underwriter on 88 SPAC IPOs. Since 2018, Chardan has been merger and acquisition advisor to sixteen SPACs, helping companies close transactions valued at approximately $6.4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sponsored or co-sponsored twelve SPACs, six of which have closed successful business combinations, one of which has announced a business combination, three of which are currently seeking an acquisition, and two of which have publicly filed.</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Mr. Jonas Grossman is a partner, the President and Head of Capital Markets for Chardan. Since 2003, Mr. Grossman has overseen the firm’s investment banking and capital markets activities and initiatives. He has extensive transactional experience, having led or managed more than 400 transactions during his tenure at Chardan. Mr. Grossman has nearly two decades of SPAC expertise. Mr. Grossman has provided underwriting and business combination advisory services to more than 100 SPACs in a variety of industries. He has been a founder, CEO and President of two SPACs, and holds the same positions in two SPACs that have publicly filed, Chardan NexTech Acquisition Corp and Chardan NexTech Acquisition 2 Corp. He has also served as a nonexecutive board member of two additional SPACs. Mr. Grossman was the Chief Executive Officer and President of Chardan Healthcare Acquisition Corp. from March 2018 until its merger in October 2019 with BiomX (NYSE: PHGE). Mr. Grossman is currently a director of BiomX. Mr. Grossman was a director of LifeSci Acquisition Corp. from March 2020 until its merger in December 2020 with Vincera Pharma, Inc. (now Vincerx Pharma, Inc.) (NASDAQ: VINC). He currently serves as Chief Executive Officer, President and a director of Chardan Healthcare Acquisition 2 Corp., which announced its merger with Renovacor in March 2021.</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Mr. Alex Weil is currently co-head of FinTech investment banking at Chardan, and is CFO of Chardan NexTech Acquisition Corp and Chardan NexTech Acquisition 2 Corp. Mr. Weil has spent his career, which spans over two decades, providing strategic advisory services to global companies, senior executives, boards of directors, and investors. Mr. Weil’s background in strategic advisory work was built during his career at both global companies, as a leader in Citi’s corporate strategy and M&amp;A group, UBS Financial Institutions Group’s investment bank, and General Electric’s corporate development group, and at boutique investment banking advisors, such as Lazard Middle Market and William Blair. Mr. Weil has advised on billions of dollars of transactions ranging from corporate divestitures and spin offs, innovative technology company acquisitions to larger, more complex M&amp;A transactions. Mr. Weil has participated or led a variety of transactions, such as: Genworth’s spin-off IPO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CVC’s majority investment in Alix Partners. Mr. Weil’s extensive financial and M&amp;A expertise will help put us in a strong position to structure profitable investments.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the partnership between Ventoux Acquisition and Chardan offers investors a differentiated investment opportunity which brings together a management team with deep and proven industry focus with one of the leading and most successful SPAC advisors that provides deep sector expertise, an expansive network of relationships, and decades of M&amp;A transaction experience.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includes Woodrow (“Woody”) H. Levin, Julie Atkinson, Christian (“Chris”) Ahrens and Bernard Van der Lande.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both"/>
        <w:spacing w:after="0" w:line="272" w:lineRule="auto"/>
        <w:rPr>
          <w:sz w:val="20"/>
          <w:szCs w:val="20"/>
          <w:color w:val="auto"/>
        </w:rPr>
      </w:pPr>
      <w:r>
        <w:rPr>
          <w:rFonts w:ascii="Arial" w:cs="Arial" w:eastAsia="Arial" w:hAnsi="Arial"/>
          <w:sz w:val="17"/>
          <w:szCs w:val="17"/>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Chris Ahrens is an Advisor with Certares, a travel focused investment firm. Prior to joining Certares, he was a Managing Director of One Equity Partners (“OEP”), the private equity investment arm of JPMorgan Chase. He was active in OEP’s travel industry, technology and healthcare investments. Chris currently serves on the Board of Directors of Internova Travel Group, a leading premium corporate, leisure, franchise and consortia travel company operating under a variety of diversified divisions and brands, including Tzell Travel, Protravel International, Travel Leaders Network and Nexion.</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Bernard Van der Lande is Managing Director of Cindat, an international private equity investment platform for whom Mr. Van der Lande oversees US and European operations as well as strategy and fund formation initiatives. Consistently in the vanguard of cross-border and digitized capital formation strategies, Mr. Van der Lande has transacted on or recapitalized a variety of public and private investment vehicles. Bernard Van der Lande was previously Managing Director of Easterly LLC, a private asset management holding company with interests in boutique investment management firms. Previously, he was Managing Director of CBRE Capital Advisors, Inc., CBRE's real estate investment banking business, and Managing Director of Hodges Ward Elliott, another capital markets and investment banking business.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Robert Martin serves as a Senior Advisor to the management team. Mr. Martin is a Vice Chairman in JLL’s New York office, where he leads a ten member brokerage, advisory and consulting team that focuses on tenant representation in the New York Tri-state market. Mr. Martin is an accomplished real estate professional, having 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 Opportunities will be sourced through our established and proprietary networks of senior executives, investors, investment banks, and advisors. With our focus on value creation, we will be driven by a disciplined investment strategy that will conduct comprehensive due diligence, thorough underwriting and thoughtful strategic analysis, to evaluate each investment opportunity.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respect to the foregoing experiences of our management, directors, and Chardan, past performance is not a guarantee (i) that we will be able to identify a suitable candidate for our initial business combination or (ii) of success with respect to any business combination we may consummate. You should not rely on the historical record of our management’s, directors’, or Chardan’s performance as indicative of our future performance.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Industry Opportunity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COVID-19 has created a temporary valuation dislocation, and has adversely impacted the ability of companies and business divisions to access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team, board and advisors have experience in:</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key activities of SPACs including, sponsoring, underwriting and M&amp;A advisory;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is positioned for continued organic growth and may grow through bolt-on acquisitions in these challenging times for the industry sectors;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an operating model that has adapted to meet the changing consumer or business behaviors in a post-COVID 19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can benefit from being a publicly traded company, are prepared to be a publicly traded company and can utilize access to broader capital markets.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in the form of proxy solicitation materials or tender offer documents that we would file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Process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Creation Post Merger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After the initial business combination, our management team intends to apply a rigorous approach to enhancing stockholder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effectuate our initial business combination using cash from the proceeds of the IPO and the private placements of the Private Warrants, our shares, rights,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we have virtually unrestricted flexibility in identifying and selecting one or more prospective target businesses. Accordingly, there is no current basis for investors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We may engage the services of professional firms or other individuals that specialize in business acquisitions,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may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 At this time, we are not a party to any arrangement or understanding with any third party with respect to raising any additional funds through the sale of securities or otherwise.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spacing w:after="0" w:line="279"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co-sponsors,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stockholders from a financial point of 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Subject to the requirement that our initial business combination must be with one or more target businesses or assets having an aggregate fair market value of at least 80% of the value of the trust account (excluding any taxes payable on the income earned on the trust account)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stockholder of the target (or control the target through contractual arrangements in limited circumstances for regulatory compliance purposes as discussed below) or are otherwise not required to register as an investment company under the Investment Company Act of 1940, as amended (the “Investment Company Act), or to the extent permitted by law we may acquire interests in a variable interest entity, in which we may have less than a majority of the voting rights in such entity, but in which we are the primary beneficiary. There is no current basis for investors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made available to us.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Market Value of Target Business or Businesses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target business or businesses or assets with which we effect our initial business combination must have a collective fair market value equal to at least 80% of the value of the trust account (excluding any taxes payable on the income earned on the trust account)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debt or equity securities and have no current intention of doing so.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spacing w:after="0" w:line="269" w:lineRule="auto"/>
        <w:rPr>
          <w:sz w:val="20"/>
          <w:szCs w:val="20"/>
          <w:color w:val="auto"/>
        </w:rPr>
      </w:pPr>
      <w:r>
        <w:rPr>
          <w:rFonts w:ascii="Arial" w:cs="Arial" w:eastAsia="Arial" w:hAnsi="Arial"/>
          <w:sz w:val="17"/>
          <w:szCs w:val="17"/>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 opinion from an independent investment banking firm, or another independent entity that commonly renders valuation opinions on the type of target business we seek to acquire, that the price we are paying is fair to our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87"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to ascertain that additional managers will have the requisite skills, knowledge or experience necessary to enhance the incumbent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aggregate amount then on deposit in the trust account.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spacing w:after="0" w:line="275" w:lineRule="auto"/>
        <w:rPr>
          <w:sz w:val="20"/>
          <w:szCs w:val="20"/>
          <w:color w:val="auto"/>
        </w:rPr>
      </w:pPr>
      <w:r>
        <w:rPr>
          <w:rFonts w:ascii="Arial" w:cs="Arial" w:eastAsia="Arial" w:hAnsi="Arial"/>
          <w:sz w:val="17"/>
          <w:szCs w:val="17"/>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If we determine to engage in a tender offer, such tender offer will be structured so that each stockholder may tender any or all of his, her or its public shares rather than some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chose our net tangible asset threshold of $5,000,001 to ensure that we are not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15 months (or up to 18 months, as applicable) from the closing of the IPO in order to be able to receive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Conversion/Tender Rights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connection with any meeting called to approve an initial business combination, public stockholders may seek to convert their public shares, regardless of whether they vote for or against the proposed business combination, into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aggregate amount then on deposit in the trust account, less any taxes then due but not yet paid. A public stockholder may be required to vote for or against a proposed business combination in order to have his, her or its shares of common stock redeemed for cash. If required to do so, and the stockholder fails to vote for or against a proposed business combination, that stockholder would not be able to have his, her or its shares of common stock redeemed. Notwithstanding the foregoing, our initial stockholders have agreed, pursuant to written letter agreements with us, not to convert any public shares held by them into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her or its shares.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spacing w:after="0" w:line="311" w:lineRule="auto"/>
        <w:rPr>
          <w:sz w:val="20"/>
          <w:szCs w:val="20"/>
          <w:color w:val="auto"/>
        </w:rPr>
      </w:pPr>
      <w:r>
        <w:rPr>
          <w:rFonts w:ascii="Arial" w:cs="Arial" w:eastAsia="Arial" w:hAnsi="Arial"/>
          <w:sz w:val="16"/>
          <w:szCs w:val="16"/>
          <w:color w:val="auto"/>
        </w:rPr>
        <w:t>Alternatively, if we engage in a tender offer, each public stockholder will be provided the opportunity to sell its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initial stockholders, officers and directors will not have conversion rights with respect to any shares of common stock owned by them, directly or indirectly, whether acquired prior to, in or after the IPO.</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her or its shares if the holder wishes to seek to exercise his conversion rights. Under Delaware law,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pro rata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request to convert or tender such shares, once made, may be withdrawn at any time up to the vote on the proposed business combination or expiration of the tender offer. Furthermore, if a holder of a public share delivered its certificate in connection with an election of their conversion or tender and subsequently decides prior to the vote on the business combination or the expiration of the tender offer not to elect to exercise such rights, it may simply request that the transfer agent return the certificate (physically or electronically).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trust account. In such case, we will promptly return any shares delivered by public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do not complete a business combination within 15 months (or up to 18 months, as applicable) from the closing of the IPO,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There will be no redemption rights or liquidating distributions with respect to our rights or warrants, which will expire worthless if we fail to complete our business combination within the time period.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7"/>
          <w:szCs w:val="17"/>
          <w:color w:val="auto"/>
        </w:rPr>
        <w:t>However, if we anticipate that we may not be able to consummate our initial business combination within 15 months, our initial stockholders or their affiliates may, but are not obligated to, extend the period of time to consummate an initial business combination one time by up to an additional three months (for a total of up to 18 months to complete an initial business combination) without the need for a separate stockholder vote. Pursuant to the terms of our amended and restated certificate of incorporation and the trust agreement, the only way to extend the time available for us to consummate our initial business combination without the need for a separate stockholder vote is for our initial stockholders or their affiliates or designees, upon five days’ advance notice prior to the applicable deadline, to deposit into the trust account $1,725,000 (due to the exercise in full of the underwriters’ over-allotment option) ($0.10 per share), if extended for the full 3 months, on or prior to the date of the applicable deadline. Pursuant to our amended and restated certificate of incorporation and the trust agreement, if such funds are not deposited, the time to complete an initial business combination cannot be extended unless our stockholders otherwise approve an extension on different terms. In the event that they elected to extend the time to complete a business combination and deposited the applicable amount of money into trust, the initial stockholders would receive a non-interest bearing, unsecured promissory note equal to the amount of any such deposit that will not be repaid in the event that we are unable to close a business combination unless there are funds available outside the trust account to do so. Such notes would be paid upon consummation of our initial business combination. In the event that we receive notice from our insiders five days prior to the applicable deadline of their intent to effect an extension, we intend to issue a press release announcing such intention at least three days prior to the applicable deadline.</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distribution. It is our intention to redeem our public shares as soon as reasonably possible following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(or up to the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month, as applicable) from the closing of the IPO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seek to have all third parties and any prospective target businesses enter into valid and enforceable agreements with us waiving any right, title, interest or claim of any kind they may have in or to any monies held in the trust account. The underwriters in the IPO have executed such a waiver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spacing w:after="0" w:line="284"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refuses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refuses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third parties execute such agreements with us, they will not seek recourse against the trust account. Certain of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the IPO against certain liabilities, including liabilities under the Securities Act. Our board of directors has evaluated such insiders’ financial net worth and believes they will be able to satisfy any indemnification obligations that may arise. However, these insiders may not be able to satisfy their indemnification obligations, as we have not required them to retain any assets to provide for their indemnification obligations, nor have we taken any further steps to ensure that they will be able to satisfy any indemnification obligations that arise. Moreover, these insiders will not be liable to our public stockholders, and instead will only have liability to us. As a result, if we liquidate, the per-share distribution from the trust account could be less than the estimated $10.10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w:t>
      </w:r>
    </w:p>
    <w:p>
      <w:pPr>
        <w:spacing w:after="0" w:line="3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$50,000), and have agreed not to seek repayment of such expenses. Each holder of public shares will receive a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$10.10.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on the income earned on the trust account)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pay to Chardan Capital Markets, LLC, an affiliate of Chardan Investments, a fee of $10,000 per month for use of office space and certain office and secretarial services. The office space is located at 1 East Putnam Avenue, Floor 4, Greenwich, CT 06830. We consider our current office space adequate for our current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have four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and Other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(which we refer to herein as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date of the IPO,</w:t>
      </w:r>
    </w:p>
    <w:p>
      <w:pPr>
        <w:spacing w:after="0" w:line="46" w:lineRule="exact"/>
        <w:rPr>
          <w:sz w:val="20"/>
          <w:szCs w:val="20"/>
          <w:color w:val="auto"/>
        </w:rPr>
      </w:pPr>
    </w:p>
    <w:p>
      <w:pPr>
        <w:jc w:val="both"/>
        <w:ind w:firstLine="8"/>
        <w:spacing w:after="0" w:line="277" w:lineRule="auto"/>
        <w:tabs>
          <w:tab w:leader="none" w:pos="268"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which we have total annual gross revenue of at least $1.07 billion, or (c) in which we are deemed to be a large accelerated filer, which means the market value of our shares of common stock that are held by non-affiliates exceeds $700 million on the last day of the second fiscal quarter of any given fiscal year, and (2) the date on which we have issued more than $1.0 billion in non-convertible debt during the prior three year period.</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pay to Chardan Capital Markets, LLC, an affiliate of Chardan Investments, a fee of $10,000 per month for use of office space and certain office and secretarial services. The office space is located at 1 East Putnam Avenue, Floor 4, Greenwich, CT 06830. We consider our current office space adequate for our current operations.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be subject to legal proceedings, investigations and claims incidental to the conduct of our business from time to time. We are not currently a party to any material litigation or other legal proceedings brought against us. We are also not aware of any legal proceeding, investigation or claim, or other legal exposure that has a more than remote possibility of having a material adverse effect on our business, financial condition or results of operations.</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010000"/>
        </w:rPr>
        <w:t>PART II</w:t>
      </w:r>
    </w:p>
    <w:p>
      <w:pPr>
        <w:spacing w:after="0" w:line="225"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010000"/>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units, common stock, rights and warrants trade on The Nasdaq Stock Market LLC, or Nasdaq, under the symbols “VTAQU,” “VTAQ,” “VTAQR” and “VTAQW,”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29, 2021, there were 21,562,500 shares of common stock issued and outstanding held by one stockholder of record. The number of record holders was determined from the records of our transfer agent and does not include beneficial owners of shares of common stock whose shares are held in the names of various security brokers, dealers, and registered clearing agencies.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share dividends in the foreseeable future. Further, if we incur any indebtedness, our ability to declare dividends may be limited by restrictive covenants we may agree to in connection therewith.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unregistered securities to report which have not been previously included in a Quarterly Report on Form 10-Q or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our audited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“Forward-Looking Statements” and elsewhere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 blank check company formed under the laws of the State of Delaware on July 10, 2019 for the purpose of effecting a merger, share exchange, asset acquisition, share purchase, reorganization or similar business combination with one or more businesses. We intend to effectuate our initial business combination using cash from the proceeds of the IPO and the sale of the Private Warrants, our capital stock, debt or a combination of cash, stock and debt.</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an initial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neither engaged in any operations (other than searching for a target for our initial business combination after our IPO) nor generated any revenues to date. Our only activities from July 10, 2019 (inception) through December 31, 2020 were organizational activities, including those necessary to prepare for the IPO. We do not expect to generate any operating revenues until after the completion of our initial business combination. We expect to generate non-operating income in the form of interest earned on investments held since the IPO. We incur expenses as a result of being a public company (for legal, financial reporting, accounting and auditing compliance), as well as for due diligence expenses.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and the period from July 10, 2019 (inception) through December 31, 2019, we had net losses of $18,208 and $1,450, respectively, which consisted of formation and operational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30, 2020, we consummated the IPO of 15,000,000 Units at a price of $10.00 per Unit, generating gross proceeds of $150,000,000. Simultaneously with the closing of the IPO, we consummated the sale of 6,000,000 Private Warrants, at a price of $1.00 per Private Warrant, in a private placement to our initial stockholders, generating gross proceeds of $6,000,000.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IPO, a total of $151,500,000 was placed in the Trust Account. We incurred $3,543,017 in transaction costs, including $3,000,000 in cash underwriting fees and $543,017 of other offering costs.</w:t>
      </w:r>
    </w:p>
    <w:p>
      <w:pPr>
        <w:spacing w:after="0" w:line="17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On December 29, 2020, the underwriters notified the Company of their intent to fully exercise their over-allotment option. Closing of the over-allotment option occurred on January 5, 2021, when the Company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 Transaction costs related to the underwriters’ exercise of their over-allotment option were $450,000, consisting of underwriting fees. As a result of the underwriters’ election to exercise their over-allotment option in full, 562,500 founder shares are no longer subject to forfeiture.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2020, cash used in operating activities was $30,735. Net loss of $18,208 was affected by changes in operating assets and liabilities, which used $12,527 of cash from operating activities.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we had cash held in the trust account of $151,500,000, which excludes an additional $22,725,000 of net proceeds deposited on January 5, 2021. We intend to use substantially all of the funds held in the trust account, including any amounts representing interest earned on the funds held in the trust account, to complete our initial business combination. We may withdraw, from time to time, any interest earned on the funds in the trust account that we may need to pay our tax obligations. During the year ended December 31, 2020, we did not withdraw any interest income from the trust account.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7"/>
          <w:szCs w:val="17"/>
          <w:color w:val="auto"/>
        </w:rPr>
        <w:t>As of December 31, 2020, we had $1,071,253 of cash held outside of the trust account. We intend to use the funds held outside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initial business combination.</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fund working capital deficiencies or finance transaction costs in connection with an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$1.00 per private warrant. The warrants would be identical to the Private Warrants. If we do not complete a business combination, the loans will only be repaid with funds not held in the trust account, to the extent available. Loans made by Chardan Capital Markets or any of its related persons will not be convertible into private warrants, and Chardan Capital Markets and its related persons will have no recourse with respect to their ability to convert their loans into private warrants. Except for the foregoing, the terms of such working capital loans, if any, have not been determined and no written agreements exist with respect to such loans.</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to redeem a significant number of our public shares upon consummation of our initial business combination, in which case we may issue additional securities or incur debt in connection with such initial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Chardan Capital Markets, LLC a monthly fee of $10,000 for office space, utilities, secretarial and administrative support services. As of December 31, 2020, there were no amounts incurred under this agreement.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granted the underwriters a 45-day option from the date of the IPO to purchase up to 2,250,000 additional Units to cover over-allotments, if any, at the IPO price less the underwriting discounts and commissions. On January 5, 2021, the closing of the underwriters’ over-allotment option occurred. The underwriters were paid cash underwriting discount of $0.20 per Unit, or $3,450,000 in the aggregate, upon the closing of the IPO and the over-allotment option.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ind w:right="20"/>
        <w:spacing w:after="0" w:line="254" w:lineRule="auto"/>
        <w:rPr>
          <w:sz w:val="20"/>
          <w:szCs w:val="20"/>
          <w:color w:val="auto"/>
        </w:rPr>
      </w:pPr>
      <w:r>
        <w:rPr>
          <w:rFonts w:ascii="Arial" w:cs="Arial" w:eastAsia="Arial" w:hAnsi="Arial"/>
          <w:sz w:val="18"/>
          <w:szCs w:val="18"/>
          <w:color w:val="auto"/>
        </w:rPr>
        <w:t>The Company has engaged Chardan Capital Markets, LLC as an advisor in connection with an initial business combination to assist the Company in holding meetings with its stockholders to discuss the potential initial business combination and the target business’s attributes, introduce the Company to potential investors that are interested in purchasing the Company’s securities in connection with the potential initial business combination, assist the Company in obtaining stockholder approval for the initial business combination and assist the Company with its press releases and public filings in connection with initial business combination. The Company will pay Chardan Capital Markets, LLC a marketing fee for such services upon the consummation of an initial business combination in an amount equal to, in the aggregate, 3.5% of the gross proceeds of the IPO, including proceeds from the exercise of the underwriters’ over-allotment option. As a result, Chardan Capital Markets, LLC will not be entitled to such fee unless the Company consummates its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Shares of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common stock subject to possible redemption is presented as temporary equity, outside of the stockholders’ equity section of the Company’s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apply the two-class method in calculating earnings per share. Net income per common share, basic and diluted for redeemable common stock is calculated by dividing the interest income earned on the trust account, net of applicable franchise and income taxes, by the weighted average number of redeemable common stock outstanding for the period. Net loss per common share, basic and diluted for non-redeemable common stock is calculated by dividing the net income, less income attributable to redeemable common stock, by the weighted average number of non-redeemable common stock outstanding for the period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consummation of our IPO, the proceeds held in the trust account have been invested in U.S. government treasury obligations with a maturity of 183 days or less or in certain money market funds that invest solely in U.S. treasuries. Due to the short-term nature of these investments, we believe there will be no associated material exposure to interest rate risk.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financial statements and supplementary data required by this Item are listed in Part IV, Item 15 of this Annual Report on Form 10-K (or are incorporated therein by reference) and are presented beginning on Page F-1.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2020, pursuant to Rule 13a-15(b) under the Exchange Act. Based upon that evaluation, our Certifying Officers concluded that, as of December 31, 2020, our disclosure controls and procedures were effective.</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010000"/>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10.</w:t>
      </w:r>
      <w:r>
        <w:rPr>
          <w:rFonts w:ascii="Arial" w:cs="Arial" w:eastAsia="Arial" w:hAnsi="Arial"/>
          <w:sz w:val="18"/>
          <w:szCs w:val="18"/>
          <w:b w:val="1"/>
          <w:bCs w:val="1"/>
          <w:color w:val="auto"/>
        </w:rPr>
        <w:tab/>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current directors and executive officers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Age</w:t>
            </w:r>
          </w:p>
        </w:tc>
        <w:tc>
          <w:tcPr>
            <w:tcW w:w="708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Edward Scheetz</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top w:val="single" w:sz="8" w:color="CCEEFF"/>
            </w:tcBorders>
            <w:shd w:val="clear" w:color="auto" w:fill="CCEEFF"/>
          </w:tcPr>
          <w:p>
            <w:pPr>
              <w:spacing w:after="0"/>
              <w:rPr>
                <w:sz w:val="18"/>
                <w:szCs w:val="18"/>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Chief Executive Officer, 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Matthew MacDonald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Chief Financial Officer and Secretary, 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Brock Strasbourger</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Prasad Phatak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Chief Investment Officer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Jonas Grossman</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Woodrow H. Levin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 Weil</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Julie Atkinson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Ahrens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Bernard Van der Lande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Edward Scheetz</w:t>
      </w:r>
      <w:r>
        <w:rPr>
          <w:rFonts w:ascii="Arial" w:cs="Arial" w:eastAsia="Arial" w:hAnsi="Arial"/>
          <w:sz w:val="16"/>
          <w:szCs w:val="16"/>
          <w:color w:val="auto"/>
        </w:rPr>
        <w:t>, 56, has been our Chief Executive Officer and Chairman since August 2020. He is also the co-founder, Chief Executive Officer and</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Ventoux Acquisition.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Company,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Matthew MacDonald</w:t>
      </w:r>
      <w:r>
        <w:rPr>
          <w:rFonts w:ascii="Arial" w:cs="Arial" w:eastAsia="Arial" w:hAnsi="Arial"/>
          <w:sz w:val="18"/>
          <w:szCs w:val="18"/>
          <w:color w:val="auto"/>
        </w:rPr>
        <w:t>, 36, has been our Chief Financial Officer and Secretary, and a director since August 2020. He is also the co-founder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of Ventoux Acquisition. Prior to co-founding Ventoux Acquisition in August 2020, Mr. MacDonald worked at Hyatt Hotels Corporation as the Vice President of Capital Strategy and Wellness Development, where he focused on acquiring hospitality companies and brands. Mr. MacDonald joined Hyatt in January 2017 as a result of Hyatt’s acquisition of Miraval Group, a leading hospitality wellness company. Mr. MacDonald joined Miraval Group, a KSL Capital portfolio company, as Vice President of Development in May 2016 following four years at Starwood Hotels and Resorts. Mr. MacDonald is a graduate of the University of Denver and received a Master in Real Estate Finance from New York University. We believe Mr. MacDonald is qualified to serve on our board of directors because of his experience in sourcing, negotiating and executing merger transactions within the hospitality, leisure, travel and dining sectors.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b w:val="1"/>
          <w:bCs w:val="1"/>
          <w:color w:val="auto"/>
        </w:rPr>
        <w:t>Brock Strasbourger</w:t>
      </w:r>
      <w:r>
        <w:rPr>
          <w:rFonts w:ascii="Arial" w:cs="Arial" w:eastAsia="Arial" w:hAnsi="Arial"/>
          <w:sz w:val="18"/>
          <w:szCs w:val="18"/>
          <w:color w:val="auto"/>
        </w:rPr>
        <w:t>, 33, has been our Chief Operating Officer since October 2020. He is also the Chief Operating Officer of Ventoux Acquisition.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his work at Ventoux Acquisition, Mr. Strasbourger worked for Convene since December 2018 as the Vice President and Head of Strategic Partnerships, focusing on corporate development, opening new revenue streams, and driving growth through external channels. Prior to Convene, Mr. Strasbourger was the Vice President of Digital at OTG Management, an airport hospitality and technology business, from March 2016 through November 2018 and spent nearly three years at Fancy.com as the Head of Business. To begin his career, Mr. Strasbourger spent nearly four years on the Emerging Markets Fixed Income Sales and Trading desk at Barclays Capital (NYSE: BCS). Mr. Strasbourger is a graduate from the University of Michigan with honors and distinction.</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Prasad Phatak</w:t>
      </w:r>
      <w:r>
        <w:rPr>
          <w:rFonts w:ascii="Arial" w:cs="Arial" w:eastAsia="Arial" w:hAnsi="Arial"/>
          <w:sz w:val="16"/>
          <w:szCs w:val="16"/>
          <w:color w:val="auto"/>
        </w:rPr>
        <w:t>, 38, has been our Chief Investment Officer since September 2020. He is also the Chief Investment Officer of Ventoux Acquisition. Since</w:t>
      </w:r>
      <w:r>
        <w:rPr>
          <w:rFonts w:ascii="Arial" w:cs="Arial" w:eastAsia="Arial" w:hAnsi="Arial"/>
          <w:sz w:val="16"/>
          <w:szCs w:val="16"/>
          <w:b w:val="1"/>
          <w:bCs w:val="1"/>
          <w:color w:val="auto"/>
        </w:rPr>
        <w:t xml:space="preserve"> </w:t>
      </w:r>
      <w:r>
        <w:rPr>
          <w:rFonts w:ascii="Arial" w:cs="Arial" w:eastAsia="Arial" w:hAnsi="Arial"/>
          <w:sz w:val="16"/>
          <w:szCs w:val="16"/>
          <w:color w:val="auto"/>
        </w:rPr>
        <w:t>July 2011, Mr. Phatak has been the Managing Member of Tappan Street Partners LLC, where he has led the investment research and portfolio management for several private investment funds these past nine years. Additionally, from December 2019 to September 2020, Mr. Phatak was a Partner at Markley Capital Management, a US-focused investment firm. Mr. Phatak founded Tappan Street Partners after leaving Eton Park Capital Management, where he began as a Research Associate in October 2005 and focused on investing in both public and private investments in a variety of industries. Prior to Eton Park, Mr. Phatak worked as a private equity associate for Madison Dearborn Partners from July 2005 to October 2005, and began his career in July 2003 at the Blackstone Group (NYSE: BX) in the Restructuring and Reorganization Advisory Group, where he worked for two years as an investment banking analyst, analyzing complex corporate restructurings in both out of court and Chapter 11 reorganizations. Mr. Phatak graduated with high distinction from the University of Michigan Ross School of Business with a B.B.A. in Finance and Accounting in May 2003.</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Jonas Grossman</w:t>
      </w:r>
      <w:r>
        <w:rPr>
          <w:rFonts w:ascii="Arial" w:cs="Arial" w:eastAsia="Arial" w:hAnsi="Arial"/>
          <w:sz w:val="17"/>
          <w:szCs w:val="17"/>
          <w:color w:val="auto"/>
        </w:rPr>
        <w:t>, 47, has been our director since July 2019. Mr. Grossman was the Chief Executive Officer and President of Chardan Healthcare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Corp. from March 2018 until its merger in October 2019 with BiomX (NYSE: PHGE). Mr. Grossman is currently a director of BiomX. Mr. Grossman was a director of LifeSci Acquisition Corp. from March 2020 until its merger in December 2020 with Vincera Pharma, Inc. (now Vincerx Pharma, Inc.) (NASDAQ: VINC). He currently serves as Chief Executive Officer, President and director of Chardan Healthcare Acquisition 2 Corp., which announced its merger with Renovacor in March 2021. Mr. Grossman currently serves as Chief Executive Officer, President and director of each of Chardan NexTech Acquisition Corp. and Chardan NexTech Acquisition 2 Corp. Mr. Grossman has served as Partner and Head of Capital Markets for Chardan Capital Markets, LLC, a New York headquartered broker/dealer, since December 2003, and has served as President of Chardan Capital Markets, LLC since September 2015. Since 2003, Mr. Grossman has overseen the firm’s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We believe Mr. Grossman is qualified to serve on our board of directors because of his long-running capital markets experience as well as his previous company board positions.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Woodrow (“Woody”) H. Levin</w:t>
      </w:r>
      <w:r>
        <w:rPr>
          <w:rFonts w:ascii="Arial" w:cs="Arial" w:eastAsia="Arial" w:hAnsi="Arial"/>
          <w:sz w:val="16"/>
          <w:szCs w:val="16"/>
          <w:color w:val="auto"/>
        </w:rPr>
        <w:t>, 42, has been our director since December 2020. Mr. Levin is the founder, and has been the Chief Executive Officer since</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2019, of Extend, Inc. Mr. Levin was the Chief Executive Officer of 3.0 Capital GP, LLC from November 2017 until January 2019. From September 2015 until October 2017, Mr. Levin served as Vice President of Growth at DocuSign, Inc. (NASDAQ: DOCU). In addition, Mr. Levin served as the founder and Chief Executive Officer of Estate Assist, Inc., from February 2014 to September 2015 (at which time it was acquired), and BringIt, Inc., from June 2009 to September 2012 (at which time it was acquired by DocuSign). Before that, Mr. Levin served as Director Emerging Business — Office of the CTO at International Game Technology PLC (NYSE: IGT). Since May 2013, Mr. Levin has served as a member of the board of directors of DraftKings Inc. (NASDAQ: DKNG), and he has served as a member of the board of directors of Extend, Inc. since February 2019. Since September 2020, Mr. Levin has been a member of the board of directors of 10X Capital Venture Acquisition Corp., a special purpose acquisition company. Mr. Levin received his J.D. from Chicago-Kent College of Law, Illinois Institute of Technology, and his B.A. from the University of Wisconsin. We believe Mr. Levin is qualified to serve on our board of directors because of his extensive experience and knowledge as an executive for technology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spacing w:after="0" w:line="291" w:lineRule="auto"/>
        <w:rPr>
          <w:sz w:val="20"/>
          <w:szCs w:val="20"/>
          <w:color w:val="auto"/>
        </w:rPr>
      </w:pPr>
      <w:r>
        <w:rPr>
          <w:rFonts w:ascii="Arial" w:cs="Arial" w:eastAsia="Arial" w:hAnsi="Arial"/>
          <w:sz w:val="16"/>
          <w:szCs w:val="16"/>
          <w:b w:val="1"/>
          <w:bCs w:val="1"/>
          <w:color w:val="auto"/>
        </w:rPr>
        <w:t>Alex Weil, 49</w:t>
      </w:r>
      <w:r>
        <w:rPr>
          <w:rFonts w:ascii="Arial" w:cs="Arial" w:eastAsia="Arial" w:hAnsi="Arial"/>
          <w:sz w:val="16"/>
          <w:szCs w:val="16"/>
          <w:color w:val="auto"/>
        </w:rPr>
        <w:t>, has been our director since December 2020. Mr. Weil has served as Managing Director and Co-Head of Fintech Investment Banking at</w:t>
      </w:r>
      <w:r>
        <w:rPr>
          <w:rFonts w:ascii="Arial" w:cs="Arial" w:eastAsia="Arial" w:hAnsi="Arial"/>
          <w:sz w:val="16"/>
          <w:szCs w:val="16"/>
          <w:b w:val="1"/>
          <w:bCs w:val="1"/>
          <w:color w:val="auto"/>
        </w:rPr>
        <w:t xml:space="preserve"> </w:t>
      </w:r>
      <w:r>
        <w:rPr>
          <w:rFonts w:ascii="Arial" w:cs="Arial" w:eastAsia="Arial" w:hAnsi="Arial"/>
          <w:sz w:val="16"/>
          <w:szCs w:val="16"/>
          <w:color w:val="auto"/>
        </w:rPr>
        <w:t>Chardan Capital Markets, LLC, a New York headquartered broker/dealer, since March 2020. Mr. Weil currently serves as Chief Financial Officer, and has agreed to become a director, of each of Chardan NexTech Acquisition Corp. and Chardan NexTech Acquisition 2 Corp. From January 2018 to March 2020, Mr. Weil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based on his extensive capital markets and transaction management experience and network of relationships.</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Julie Atkinson, 47</w:t>
      </w:r>
      <w:r>
        <w:rPr>
          <w:rFonts w:ascii="Arial" w:cs="Arial" w:eastAsia="Arial" w:hAnsi="Arial"/>
          <w:sz w:val="17"/>
          <w:szCs w:val="17"/>
          <w:color w:val="auto"/>
        </w:rPr>
        <w:t>, has been our director since December 2020. Ms. Atkinson served as Chief Marketing Officer for Founders Table Restaurant Group</w:t>
      </w:r>
      <w:r>
        <w:rPr>
          <w:rFonts w:ascii="Arial" w:cs="Arial" w:eastAsia="Arial" w:hAnsi="Arial"/>
          <w:sz w:val="17"/>
          <w:szCs w:val="17"/>
          <w:b w:val="1"/>
          <w:bCs w:val="1"/>
          <w:color w:val="auto"/>
        </w:rPr>
        <w:t xml:space="preserve"> </w:t>
      </w:r>
      <w:r>
        <w:rPr>
          <w:rFonts w:ascii="Arial" w:cs="Arial" w:eastAsia="Arial" w:hAnsi="Arial"/>
          <w:sz w:val="17"/>
          <w:szCs w:val="17"/>
          <w:color w:val="auto"/>
        </w:rPr>
        <w:t>since October 2019.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Since December 2017, Ms. Atkinson has served as a member of the Board of Directors of Bright Horizons Family Solutions Inc. (NYSE: BFAM). Ms. Atkinson holds a B.A. in English and Political Science from Amherst College. We believe Ms. Atkinson is qualified to serve on our board of directors because of her 20-year track record of executing innovative strategic and tactical leadership for global consumer brand.</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Christian (“Chris”) Ahrens</w:t>
      </w:r>
      <w:r>
        <w:rPr>
          <w:rFonts w:ascii="Arial" w:cs="Arial" w:eastAsia="Arial" w:hAnsi="Arial"/>
          <w:sz w:val="17"/>
          <w:szCs w:val="17"/>
          <w:color w:val="auto"/>
        </w:rPr>
        <w:t>, 44, has been our director since December 2020. Mr. Ahrens has been an Advisor with Certares Management LLC since</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2017. From January 2015 until September 2017 Mr. Ahrens was a Partner with Certares. Prior to December 2015 Mr. Ahrens was a Managing Director at One Equity Partners, the private equity investing arm of JPMorgan Chase, which he joined in September 2001. Mr. Ahrens has served as a board member at Internova Travel Group since January 2015. Mr. Ahrens received his A.B. from Princeton University. We believe Mr. Ahrens is qualified to serve on our board of directors because of his experience in corporate finance and investing.</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Bernard A. Van der Lande, 38</w:t>
      </w:r>
      <w:r>
        <w:rPr>
          <w:rFonts w:ascii="Arial" w:cs="Arial" w:eastAsia="Arial" w:hAnsi="Arial"/>
          <w:sz w:val="18"/>
          <w:szCs w:val="18"/>
          <w:color w:val="auto"/>
        </w:rPr>
        <w:t>, has been our director since December 2020. Mr. Van der Lande has been a Managing Director of Cindat USA LLC since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2020. Mr. Van der Lande was Chief Issuance Officer of Templum, Inc. from February 2019 until August 2019. From November 2017 until January 2019, Mr. Van der Lande served as Managing Director of Easterly Capital, LLC. Before that, Mr. Van der Lande was with CBRE, Inc. from January 2013 until November 2017, where he served in capacities of Managing Director of its investment banking division, Capital Advisors, and Senior Vice President of its international hotels brokerage business. In addition, Mr. Van der Lande served as Managing Director of Hodges Ward Elliott’s Lodging Capital Markets business, where he worked from October 2008 until December 2012. Mr. Van der Lande received his B.A. from Davidson College. We believe Mr. Van der Lande is qualified to serve on our board of directors because of his extensive experience in the global capital markets, public and private markets, and with cross-border lodging and hospitality transactions, as well as his knowledge as an executive for emerging technology, and private equity companies.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Ventoux Acquisition has agreed with one of its members to re-nominate each of our current directors for any election of directors we hold prior to the closing of our initial business combination, and that it will vote in favor of the election of such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Qualifications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officers and board of directors are composed of a diverse group of leaders with a wide array of professional roles. In these roles, they have gained experience in core management skills, such as strategic and financial planning, financial reporting, compliance, risk management, and leadership development. Many of our officers and directors also have experience serving on boards of directors and board committees of other companies, and have an understanding of corporate governance practices and trends, which provides an understanding of different business processes, challenges, and strategies. Further, our officers and directors also have other experience that makes them valuable, managing and investing assets or facilitating the consummation of business combinations.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along with our officers and directors, believe that the above-mentioned attributes, along with the leadership skills and other experiences of our officers and board members described below, provide us with a diverse range of perspectives and judgment necessary to facilitate our goals of consummating an acquisition transaction.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has a standing audit, nominating and corporate governance, and compensation committee. The independent directors oversee director nominations. Each committee has a charter, each in the form previously filed with the SEC as an exhibit to the Company’s Registration Statement on Form S-1, as amended, adopted in connection with the consummation of the IPO.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which is established in accordance with Section 3(a)(58)(A) of the Exchange Act, engages the Company’s independent accountants, reviewing their independence and performance, and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no formal meetings during 2020 as the Company did not have any underlying business, relying on monthly reports and written approvals as required.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members of the Audit Committee are Mr. Weil, Mr. Levin, and Mr. Ahrens, each of whom is an independent director under Nasdaq’s listing standards. Mr. Weil is the Chairperson of the Audit Committee. The Board has determined that Mr. Weil qualifies as an “audit committee financial expert,” as defined under the rules and regulations of Nasdaq and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Nominating and Corporate Governance Committee is responsible for overseeing the selection of persons to be nominated to serve on our Board. Specifically, the Nominating and Corporate Governance Committee makes recommendations to the Board regarding the size and composition of the Board, establishes procedures for the director nomination process and screens and recommends candidates for election to the Board. On an annual basis, the Nominating and Corporate Governance Committee recommends for approval by the Board certain desired qualifications and characteristics for board membership. Additionally, the Nominating and Corporate Governance Committee establishes and administers a periodic assessment procedure relating to the performance of the Board as a whole and its individual members. The Nominating and Corporate Governance Committee will consider a number of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does not distinguish among nominees recommended by stockholders and other persons. The Nominating and Corporate Governance Committee did not hold any meetings during 2020.</w:t>
      </w:r>
    </w:p>
    <w:p>
      <w:pPr>
        <w:spacing w:after="0" w:line="1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members of the Nominating and Corporate Governance Committee are Mr. Weil, Mr. Ahrens, and Ms. Atkinson, each of whom is an independent director under Nasdaq’s listing standards. Mr. Ahrens is the Chairperson of the Nominating and Corporate Governance Committee.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did not meet during 2020.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including our directors, or any of their respective affiliates, prior to, or for any services they render in order to effectuate, the consummation of a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Compensation Committee are Mr. Levin, Ms. Atkinson, and Mr. Van der Lande, each of whom is an independent director under Nasdaq’s listing standards. Mr. Levin is the Chairperson of the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adopted a code of conduct and ethics applicable to our directors, officers and employees in accordance with applicable federal securities laws. The code of ethics codifies the business and ethical principles that govern all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a registered class of our equity securities to file with the SEC initial reports of ownership and reports of changes in ownership of our shares of common stock and other equity securities. These executive officers, directors, and greater than 10% beneficial owners are required by SEC regulation to furnish us with copies of all Section 16(a) forms filed by such reporting persons.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11.</w:t>
      </w:r>
      <w:r>
        <w:rPr>
          <w:rFonts w:ascii="Arial" w:cs="Arial" w:eastAsia="Arial" w:hAnsi="Arial"/>
          <w:sz w:val="18"/>
          <w:szCs w:val="18"/>
          <w:b w:val="1"/>
          <w:bCs w:val="1"/>
          <w:color w:val="auto"/>
        </w:rPr>
        <w:tab/>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entered into any employment agreements with our executive officers and have not made any agreements to provide benefits upon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executive officer has received any cash compensation for services rendered to us. No compensation of any kind, including finders, consulting or other similar fees, will be paid to any of our existing stockholders, including our directors, or any of their respective affiliates, prior to, or for any services they render in order to effectuate, the consummation of a business combination. However, such individuals will be reimbursed for any out-of-pocket expenses incurred in connection with activities on our behalf such as identifying potential target businesses and performing due diligence on suitable business combinations. There is no limit on the amount of these out-of-pocket expenses and there will be no review of the reasonableness of the expenses by anyone other than our board of directors and Audit Committee, which includes persons who may seek reimbursement, or a court of competent jurisdiction if such reimbursement is challenged.</w:t>
      </w:r>
    </w:p>
    <w:p>
      <w:pPr>
        <w:spacing w:after="0" w:line="191"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010000"/>
        </w:rPr>
        <w:t>ITEM 12.</w:t>
      </w:r>
      <w:r>
        <w:rPr>
          <w:rFonts w:ascii="Arial" w:cs="Arial" w:eastAsia="Arial" w:hAnsi="Arial"/>
          <w:sz w:val="18"/>
          <w:szCs w:val="18"/>
          <w:b w:val="1"/>
          <w:bCs w:val="1"/>
          <w:color w:val="auto"/>
        </w:rPr>
        <w:tab/>
        <w:t>SECURITY OWNERSHIP OF CERTAIN BENEFICIAL OWNERS AND MANAGEMENT AND RELATED STOCKHOLDER MATTERS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as of March 29, 2021, certain information regarding beneficial ownership of the Company’s common stock by each person who is known by the Company to beneficially own more than 5% of the Company’s common stock. The table also identifies the stock ownership of each of the Company’s directors and officers, and all directors and officers as a group. Except as otherwise indicated, the stockholders listed in the table have sole voting and investment powers with respect to the shares indicated.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both"/>
        <w:spacing w:after="0" w:line="311" w:lineRule="auto"/>
        <w:rPr>
          <w:sz w:val="20"/>
          <w:szCs w:val="20"/>
          <w:color w:val="auto"/>
        </w:rPr>
      </w:pPr>
      <w:r>
        <w:rPr>
          <w:rFonts w:ascii="Arial" w:cs="Arial" w:eastAsia="Arial" w:hAnsi="Arial"/>
          <w:sz w:val="16"/>
          <w:szCs w:val="16"/>
          <w:color w:val="auto"/>
        </w:rPr>
        <w:t>Shares of common stock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Amount and Nature</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Approximate Percentage</w:t>
            </w:r>
          </w:p>
        </w:tc>
      </w:tr>
      <w:tr>
        <w:trPr>
          <w:trHeight w:val="216"/>
        </w:trPr>
        <w:tc>
          <w:tcPr>
            <w:tcW w:w="3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of Beneficial</w:t>
            </w:r>
          </w:p>
        </w:tc>
        <w:tc>
          <w:tcPr>
            <w:tcW w:w="2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of Outstanding</w:t>
            </w:r>
          </w:p>
        </w:tc>
      </w:tr>
      <w:tr>
        <w:trPr>
          <w:trHeight w:val="241"/>
        </w:trPr>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 and Address of Beneficial Owner(1)</w:t>
            </w:r>
          </w:p>
        </w:tc>
        <w:tc>
          <w:tcPr>
            <w:tcW w:w="10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Ownership(2)</w:t>
            </w:r>
          </w:p>
        </w:tc>
        <w:tc>
          <w:tcPr>
            <w:tcW w:w="22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Common Stock (%)</w:t>
            </w:r>
          </w:p>
        </w:tc>
        <w:tc>
          <w:tcPr>
            <w:tcW w:w="160" w:type="dxa"/>
            <w:vAlign w:val="bottom"/>
            <w:tcBorders>
              <w:bottom w:val="single" w:sz="8" w:color="CCEEFF"/>
            </w:tcBorders>
          </w:tcPr>
          <w:p>
            <w:pPr>
              <w:spacing w:after="0"/>
              <w:rPr>
                <w:sz w:val="20"/>
                <w:szCs w:val="20"/>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Scheetz(3)</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2,728,875</w:t>
            </w: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Matthew MacDonald(3)</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2,728,875</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Brock Strasbourger</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Prasad Phatak</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Jonas Grossman(4)</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1,493,625</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Alex Weil</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Woodrow H. Levin(5)</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Julie Atkinson</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22,500</w:t>
            </w:r>
          </w:p>
        </w:tc>
        <w:tc>
          <w:tcPr>
            <w:tcW w:w="2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Christian Ahrens</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Bernard Van der Lande</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officers and directors as a group (10 individuals)(3)(4)</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4,290,000</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Ventoux Acquisition Holdings LLC(6)</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2,728,875</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Chardan International Investments, LLC(7)</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1,493,625</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MMCAP International Inc. SPC (8)</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1,300,000</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Polar Asset Management Partners Inc.(9)</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1,300,000</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Mizuho Financial Group, Inc.(10)</w:t>
            </w:r>
          </w:p>
        </w:tc>
        <w:tc>
          <w:tcPr>
            <w:tcW w:w="2340" w:type="dxa"/>
            <w:vAlign w:val="bottom"/>
            <w:gridSpan w:val="2"/>
          </w:tcPr>
          <w:p>
            <w:pPr>
              <w:jc w:val="right"/>
              <w:ind w:right="220"/>
              <w:spacing w:after="0"/>
              <w:rPr>
                <w:sz w:val="20"/>
                <w:szCs w:val="20"/>
                <w:color w:val="auto"/>
              </w:rPr>
            </w:pPr>
            <w:r>
              <w:rPr>
                <w:rFonts w:ascii="Arial" w:cs="Arial" w:eastAsia="Arial" w:hAnsi="Arial"/>
                <w:sz w:val="18"/>
                <w:szCs w:val="18"/>
                <w:color w:val="auto"/>
              </w:rPr>
              <w:t>1,150,000</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Weiss Asset Management LP(11)</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1,200,000</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6240" w:type="dxa"/>
            <w:vAlign w:val="bottom"/>
            <w:gridSpan w:val="2"/>
          </w:tcPr>
          <w:p>
            <w:pPr>
              <w:ind w:left="280"/>
              <w:spacing w:after="0"/>
              <w:rPr>
                <w:sz w:val="20"/>
                <w:szCs w:val="20"/>
                <w:color w:val="auto"/>
              </w:rPr>
            </w:pPr>
            <w:r>
              <w:rPr>
                <w:rFonts w:ascii="Arial" w:cs="Arial" w:eastAsia="Arial" w:hAnsi="Arial"/>
                <w:sz w:val="18"/>
                <w:szCs w:val="18"/>
                <w:color w:val="auto"/>
              </w:rPr>
              <w:t>Less than 1%.</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stockholders is c/o Ventoux CCM Acquisition Corp., 1 East Putnam Avenue, Floor 4, Greenwich, CT 06830.</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shares issuable pursuant to warrants and rights issued in connection with the IPO. The warrants will not become exercisable until the later of one year after the closing of the IPO or the consummation of an initial business combination. Each holder of a right will receive one-twentieth (1/20) of a share of common stock upon consummation of our initial business combination.</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shares owned by Ventoux Acquisition Holdings LLC, for which Edward Scheetz and Matthew MacDonald are the managing members.</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shares owned by Chardan International Investments, LLC, for which Jonas Grossman is the managing member.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shares owned by Blind 1212, LLC for which Woodrow H. Levin is the sole and managing member.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Edward Scheetz and Matthew MacDonald are the managing members of Ventoux Acquisition Holdings LLC.</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Jonas Grossman is the managing member of Chardan International Investments,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ind w:left="660" w:hanging="652"/>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reported is based on a Schedule 13G filed on February 10, 2021. According to the Schedule 13G, as of December 30, 2020, each of MMCAP International Inc. SPC and MM Asset Management Inc. has shared voting and dispositive power over 1,300,000 units convertible into 1,300,000 shares, warrants exercisable for 650,000 shares and rights exchangeable for 65,000 shares of our common stock. The address for MMCAP International Inc. is Mourant Governance Services (Cayman) Limited, 94 Solaris Avenue, Camana Bay, P.O. Box 1348, Grand Cayman, KY1-1108, Cayman Islands. The address for MM Asset Management Inc. is 161 Bay Street, TD Canada Trust Tower Ste 2240, Toronto, ON M5J 2S1, Canada.</w:t>
      </w:r>
    </w:p>
    <w:p>
      <w:pPr>
        <w:spacing w:after="0" w:line="192"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reported is based on a Schedule 13G filed on February 11, 2021. According to the Schedule 13G, as of December 31, 2020, Polar Asset Management Partners Inc. (“Polar”), which serves as the investment advisor to Polar Multi-Strategy Master Fund (“PMSMF”) with respect to the 1,3000,000 shares of our common stock directly held by PMSMF, has sole voting and dispositive power with respect to such securities. The address for Polar is 401 Bay Street, Suite 1900, PO Box 19, Toronto, Ontario M5H 2Y4, Canada.</w:t>
      </w:r>
    </w:p>
    <w:p>
      <w:pPr>
        <w:spacing w:after="0" w:line="171" w:lineRule="exact"/>
        <w:rPr>
          <w:rFonts w:ascii="Arial" w:cs="Arial" w:eastAsia="Arial" w:hAnsi="Arial"/>
          <w:sz w:val="17"/>
          <w:szCs w:val="17"/>
          <w:color w:val="auto"/>
        </w:rPr>
      </w:pPr>
    </w:p>
    <w:p>
      <w:pPr>
        <w:jc w:val="both"/>
        <w:ind w:left="660" w:hanging="652"/>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is based on a Schedule 13G filed on February 12, 2021. According to the Schedule 13G, as of December 31, 2020, Mizuho Financial Group, Inc., Mizuho Bank, Ltd. and Mizuho Americas LLC may be deemed to be indirect beneficial owners of 1,150,000 shares of our common stock held by Mizuho Securities USA LLC, which is their wholly-owned subsidiary. Mizuho Financial Group, Inc. has sole voting and dispositive power over such securities. The address of each of Mizuho Financial Group, Inc. and Mizuho Bank, Ltd. is 1–5–5, Otemachi, Chiyoda–ku, Tokyo 100–8176, Japan. The address of each of Mizuho Americas LLC and Mizuho Securities USA LLC is 1271 Avenue of the Americas, New York, NY 10020.</w:t>
      </w:r>
    </w:p>
    <w:p>
      <w:pPr>
        <w:spacing w:after="0" w:line="192"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is based on a Schedule 13G filed on February 12, 2021. According to the Schedule 13G, as of December 31, 2020, each of Weiss Asset Management LP, WAM GP LLC and Andrew M. Weiss has shared voting and dispositive power over 1,200,000 shares of our common stock. Weiss Asset Management LP is the sole investment manager to a private investment partnership (the “Partnership”) and a private investment fund (“Fund”). WAM GP LLC is the sole general partner of Weiss Asset Management LP. Andrew Weiss is the managing member of WAM GP LLC. Shares reported for WAM GP LLC, Andrew Weiss and Weiss Asset Management LP include shares beneficially owned by the Partnership and the Fund. The address for each of Weiss Asset Management LP, WAM GP LLC and Andrew M. Weiss is 222 Berkeley St., 16th floor, Boston, MA 02116.</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13.</w:t>
      </w:r>
      <w:r>
        <w:rPr>
          <w:rFonts w:ascii="Arial" w:cs="Arial" w:eastAsia="Arial" w:hAnsi="Arial"/>
          <w:sz w:val="18"/>
          <w:szCs w:val="18"/>
          <w:b w:val="1"/>
          <w:bCs w:val="1"/>
          <w:color w:val="auto"/>
        </w:rPr>
        <w:tab/>
        <w:t>CERTAIN RELATIONSHIPS AND RELATED TRANSACTIONS, AND DIRECTOR INDEPENDENCE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20, 2020, the Company issued an unsecured promissory note to Ventoux Acquisition. The outstanding balance under the promissory note of $151,812 was repaid in full on December 31, 2020.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at the closing of the IPO, the Company’s stockholders prior to the IPO purchased from the Company an aggregate of 6,000,000 Private Warrants at $1.00 per Private Warrant (for a total purchase price of $6,000,000). In connection with the closing of the issuance sale of the Over-Allotment Option Units, the Company’s stockholders prior to the IPO purchased from the Company an aggregate of 675,000 Private Warrants at $1.00 per Private Warrant (for a total purchase price of $675,000). As of December 31, 2020, the Company had no loans outstanding, including any loans from its directors or officers.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Jonas Grossman and Alex Weil are affiliated with Chardan Capital Markets, in addition to being directors of the Company. While no direct compensation arrangements regarding such individuals have been entered into regarding such fees, these executives may benefit indirectly from any such amounts payable to Chardan Capital Markets in respect of marketing fees, costs and expenses incurred by Chardan Capital Markets in connection with the identification, review and negotiation and approval of the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w:t>
      </w:r>
    </w:p>
    <w:p>
      <w:pPr>
        <w:spacing w:after="0" w:line="2" w:lineRule="exact"/>
        <w:rPr>
          <w:sz w:val="20"/>
          <w:szCs w:val="20"/>
          <w:color w:val="auto"/>
        </w:rPr>
      </w:pPr>
    </w:p>
    <w:p>
      <w:pPr>
        <w:jc w:val="both"/>
        <w:ind w:firstLine="8"/>
        <w:spacing w:after="0" w:line="253" w:lineRule="auto"/>
        <w:tabs>
          <w:tab w:leader="none" w:pos="2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Audit Committee, pursuant to its written charter, is responsible for reviewing and approving related-party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of directors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listing standards require that a majority of our board of directors be independent. For a description of the director independence, see above Part III, Item 10 – Directors, Executive Officers and Corporate Governance.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firm of WithumSmith+Brown, PC, or Withum, acts as our independent registered public accounting firm. The following is a summary of fees paid to Withum for services rendered.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For the year ended December 31, 2020, fees for our independent registered public accounting firm were approximately $65,400,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Withum performed in connection with our IPO and the audit of our December 31, 2020 financial statements included in this Annual Report on Form 10-K.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For the year ended December 31, 2020, our independent registered public accounting firm did not render assurance and related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performance of the audit or review of financial statements.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For the year ended December 31, 2020, fees for our independent registered public accounting firm were approximately $7,500 for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tax advice and tax planning.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For the year ended December 31, 2020, there were no fees billed for products and services provided by our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other than those set forth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Audit Committee was formed upon the consummation of our IPO.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ind w:left="5260"/>
        <w:spacing w:after="0"/>
        <w:rPr>
          <w:sz w:val="20"/>
          <w:szCs w:val="20"/>
          <w:color w:val="auto"/>
        </w:rPr>
      </w:pPr>
      <w:r>
        <w:rPr>
          <w:rFonts w:ascii="Arial" w:cs="Arial" w:eastAsia="Arial" w:hAnsi="Arial"/>
          <w:sz w:val="18"/>
          <w:szCs w:val="18"/>
          <w:b w:val="1"/>
          <w:bCs w:val="1"/>
          <w:color w:val="010000"/>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15.</w:t>
      </w:r>
      <w:r>
        <w:rPr>
          <w:rFonts w:ascii="Arial" w:cs="Arial" w:eastAsia="Arial" w:hAnsi="Arial"/>
          <w:sz w:val="18"/>
          <w:szCs w:val="18"/>
          <w:b w:val="1"/>
          <w:bCs w:val="1"/>
          <w:color w:val="auto"/>
        </w:rPr>
        <w:tab/>
        <w:t>EXHIBIT AND FINANCIAL STATEMENT SCHEDULES</w:t>
      </w:r>
    </w:p>
    <w:p>
      <w:pPr>
        <w:spacing w:after="0" w:line="22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are filed with this report:</w:t>
      </w:r>
    </w:p>
    <w:p>
      <w:pPr>
        <w:spacing w:after="0" w:line="225" w:lineRule="exact"/>
        <w:rPr>
          <w:rFonts w:ascii="Arial" w:cs="Arial" w:eastAsia="Arial" w:hAnsi="Arial"/>
          <w:sz w:val="18"/>
          <w:szCs w:val="18"/>
          <w:color w:val="auto"/>
        </w:rPr>
      </w:pPr>
    </w:p>
    <w:p>
      <w:pPr>
        <w:ind w:left="1000" w:hanging="331"/>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196"/>
        </w:trPr>
        <w:tc>
          <w:tcPr>
            <w:tcW w:w="10120" w:type="dxa"/>
            <w:vAlign w:val="bottom"/>
            <w:gridSpan w:val="9"/>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Report of Independent Registered Public Accounting Firm</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422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Financial Statements:</w:t>
            </w:r>
          </w:p>
        </w:tc>
        <w:tc>
          <w:tcPr>
            <w:tcW w:w="5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9960" w:type="dxa"/>
            <w:vAlign w:val="bottom"/>
            <w:gridSpan w:val="8"/>
            <w:shd w:val="clear" w:color="auto" w:fill="CCEEFF"/>
          </w:tcPr>
          <w:p>
            <w:pPr>
              <w:ind w:left="2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Balance Sheets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F-3</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9960" w:type="dxa"/>
            <w:vAlign w:val="bottom"/>
            <w:gridSpan w:val="8"/>
          </w:tcPr>
          <w:p>
            <w:pPr>
              <w:ind w:lef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Statements of Operations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21"/>
        </w:trPr>
        <w:tc>
          <w:tcPr>
            <w:tcW w:w="1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Statements of Changes in Stockholders’ Equity</w:t>
              </w:r>
            </w:hyperlink>
          </w:p>
        </w:tc>
        <w:tc>
          <w:tcPr>
            <w:tcW w:w="656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176"/>
        </w:trPr>
        <w:tc>
          <w:tcPr>
            <w:tcW w:w="160" w:type="dxa"/>
            <w:vAlign w:val="bottom"/>
          </w:tcPr>
          <w:p>
            <w:pPr>
              <w:spacing w:after="0"/>
              <w:rPr>
                <w:sz w:val="15"/>
                <w:szCs w:val="15"/>
                <w:color w:val="auto"/>
              </w:rPr>
            </w:pPr>
          </w:p>
        </w:tc>
        <w:tc>
          <w:tcPr>
            <w:tcW w:w="9960" w:type="dxa"/>
            <w:vAlign w:val="bottom"/>
            <w:gridSpan w:val="8"/>
          </w:tcPr>
          <w:p>
            <w:pPr>
              <w:ind w:left="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Statements of Cash Flows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20"/>
        </w:trPr>
        <w:tc>
          <w:tcPr>
            <w:tcW w:w="1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9960" w:type="dxa"/>
            <w:vAlign w:val="bottom"/>
            <w:gridSpan w:val="8"/>
            <w:shd w:val="clear" w:color="auto" w:fill="CCEEFF"/>
          </w:tcPr>
          <w:p>
            <w:pPr>
              <w:ind w:left="2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Notes to Financial Statements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F-7</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7"/>
          </w:tcPr>
          <w:p>
            <w:pPr>
              <w:ind w:left="220"/>
              <w:spacing w:after="0"/>
              <w:rPr>
                <w:sz w:val="20"/>
                <w:szCs w:val="20"/>
                <w:color w:val="auto"/>
              </w:rPr>
            </w:pPr>
            <w:r>
              <w:rPr>
                <w:rFonts w:ascii="Arial" w:cs="Arial" w:eastAsia="Arial" w:hAnsi="Arial"/>
                <w:sz w:val="18"/>
                <w:szCs w:val="18"/>
                <w:color w:val="auto"/>
              </w:rPr>
              <w:t>(2)  Financial Statement Schedules:</w:t>
            </w:r>
          </w:p>
        </w:tc>
        <w:tc>
          <w:tcPr>
            <w:tcW w:w="112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80" w:type="dxa"/>
            <w:vAlign w:val="bottom"/>
            <w:gridSpan w:val="7"/>
          </w:tcPr>
          <w:p>
            <w:pPr>
              <w:ind w:left="540"/>
              <w:spacing w:after="0"/>
              <w:rPr>
                <w:sz w:val="20"/>
                <w:szCs w:val="20"/>
                <w:color w:val="auto"/>
              </w:rPr>
            </w:pPr>
            <w:r>
              <w:rPr>
                <w:rFonts w:ascii="Arial" w:cs="Arial" w:eastAsia="Arial" w:hAnsi="Arial"/>
                <w:sz w:val="18"/>
                <w:szCs w:val="18"/>
                <w:color w:val="auto"/>
              </w:rPr>
              <w:t>None.</w:t>
            </w:r>
          </w:p>
        </w:tc>
        <w:tc>
          <w:tcPr>
            <w:tcW w:w="1120" w:type="dxa"/>
            <w:vAlign w:val="bottom"/>
          </w:tcPr>
          <w:p>
            <w:pPr>
              <w:spacing w:after="0"/>
              <w:rPr>
                <w:sz w:val="24"/>
                <w:szCs w:val="24"/>
                <w:color w:val="auto"/>
              </w:rPr>
            </w:pPr>
          </w:p>
        </w:tc>
      </w:tr>
      <w:tr>
        <w:trPr>
          <w:trHeight w:val="432"/>
        </w:trPr>
        <w:tc>
          <w:tcPr>
            <w:tcW w:w="440" w:type="dxa"/>
            <w:vAlign w:val="bottom"/>
            <w:gridSpan w:val="2"/>
          </w:tcPr>
          <w:p>
            <w:pPr>
              <w:spacing w:after="0"/>
              <w:rPr>
                <w:sz w:val="20"/>
                <w:szCs w:val="20"/>
                <w:color w:val="auto"/>
              </w:rPr>
            </w:pPr>
            <w:r>
              <w:rPr>
                <w:rFonts w:ascii="Arial" w:cs="Arial" w:eastAsia="Arial" w:hAnsi="Arial"/>
                <w:sz w:val="18"/>
                <w:szCs w:val="18"/>
                <w:color w:val="auto"/>
              </w:rPr>
              <w:t>(b)</w:t>
            </w:r>
          </w:p>
        </w:tc>
        <w:tc>
          <w:tcPr>
            <w:tcW w:w="9680" w:type="dxa"/>
            <w:vAlign w:val="bottom"/>
            <w:gridSpan w:val="7"/>
          </w:tcPr>
          <w:p>
            <w:pPr>
              <w:ind w:left="220"/>
              <w:spacing w:after="0"/>
              <w:rPr>
                <w:sz w:val="20"/>
                <w:szCs w:val="20"/>
                <w:color w:val="auto"/>
              </w:rPr>
            </w:pPr>
            <w:r>
              <w:rPr>
                <w:rFonts w:ascii="Arial" w:cs="Arial" w:eastAsia="Arial" w:hAnsi="Arial"/>
                <w:sz w:val="18"/>
                <w:szCs w:val="18"/>
                <w:color w:val="auto"/>
              </w:rPr>
              <w:t>Exhibits</w:t>
            </w:r>
          </w:p>
        </w:tc>
        <w:tc>
          <w:tcPr>
            <w:tcW w:w="112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exhibits are filed with this report. Exhibits which are incorporated herein by reference can be obtained from the SEC’s website at http://www.sec.gov.</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00" w:type="dxa"/>
            <w:vAlign w:val="bottom"/>
            <w:gridSpan w:val="10"/>
          </w:tcPr>
          <w:p>
            <w:pPr>
              <w:spacing w:after="0"/>
              <w:rPr>
                <w:sz w:val="20"/>
                <w:szCs w:val="20"/>
                <w:color w:val="auto"/>
              </w:rPr>
            </w:pPr>
            <w:r>
              <w:rPr>
                <w:rFonts w:ascii="Arial" w:cs="Arial" w:eastAsia="Arial" w:hAnsi="Arial"/>
                <w:sz w:val="18"/>
                <w:szCs w:val="18"/>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0"/>
            <w:shd w:val="clear" w:color="auto" w:fill="CCEEFF"/>
          </w:tcPr>
          <w:p>
            <w:pPr>
              <w:spacing w:after="0" w:line="176" w:lineRule="exact"/>
              <w:rPr>
                <w:rFonts w:ascii="Arial" w:cs="Arial" w:eastAsia="Arial" w:hAnsi="Arial"/>
                <w:sz w:val="18"/>
                <w:szCs w:val="18"/>
                <w:color w:val="0000EE"/>
                <w:w w:val="93"/>
              </w:rPr>
            </w:pPr>
            <w:hyperlink r:id="rId43">
              <w:r>
                <w:rPr>
                  <w:rFonts w:ascii="Arial" w:cs="Arial" w:eastAsia="Arial" w:hAnsi="Arial"/>
                  <w:sz w:val="18"/>
                  <w:szCs w:val="18"/>
                  <w:color w:val="0000EE"/>
                  <w:w w:val="93"/>
                </w:rPr>
                <w:t>Underwriting Agreement, dated December 23, 2020, by and between the Company and Chardan Capital Markets, LLC (incorporated by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w w:val="94"/>
              </w:rPr>
            </w:pPr>
            <w:hyperlink r:id="rId43">
              <w:r>
                <w:rPr>
                  <w:rFonts w:ascii="Arial" w:cs="Arial" w:eastAsia="Arial" w:hAnsi="Arial"/>
                  <w:sz w:val="18"/>
                  <w:szCs w:val="18"/>
                  <w:color w:val="0000EE"/>
                  <w:w w:val="94"/>
                </w:rPr>
                <w:t>reference to Exhibit 1.1 to the Current Report on Form 8-K filed with the Securities and Exchange Commission on December 31, 2020)</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0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Amended and Restated Certificate of Incorporation (incorporated by reference to Exhibit 3.1 to the Current Report on Form 8-K filed with</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the Securities and Exchange Commission on December 31,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7"/>
              </w:rPr>
            </w:pPr>
            <w:hyperlink r:id="rId45">
              <w:r>
                <w:rPr>
                  <w:rFonts w:ascii="Arial" w:cs="Arial" w:eastAsia="Arial" w:hAnsi="Arial"/>
                  <w:sz w:val="18"/>
                  <w:szCs w:val="18"/>
                  <w:color w:val="0000EE"/>
                  <w:w w:val="97"/>
                </w:rPr>
                <w:t>Bylaws (incorporated by reference to Exhibit 3.5 to the Registration Statement on Form S-1 filed with the Securities and Exchange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Commission on December 1, 2020)</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3"/>
              </w:rPr>
            </w:pPr>
            <w:hyperlink r:id="rId46">
              <w:r>
                <w:rPr>
                  <w:rFonts w:ascii="Arial" w:cs="Arial" w:eastAsia="Arial" w:hAnsi="Arial"/>
                  <w:sz w:val="18"/>
                  <w:szCs w:val="18"/>
                  <w:color w:val="0000EE"/>
                  <w:w w:val="93"/>
                </w:rPr>
                <w:t>Specimen Unit Certificate (incorporated by reference to Exhibit 4.1 to the Registration Statement on Form S-1/A filed with the Securities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and Exchange Commission on December 15,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Specimen Common Stock Certificate (incorporated by reference to Exhibit 4.2 to the Registration Statement on Form S-1/A filed with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Securities and Exchange Commission on December 15, 2020)</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8"/>
              </w:rPr>
            </w:pPr>
            <w:hyperlink r:id="rId48">
              <w:r>
                <w:rPr>
                  <w:rFonts w:ascii="Arial" w:cs="Arial" w:eastAsia="Arial" w:hAnsi="Arial"/>
                  <w:sz w:val="18"/>
                  <w:szCs w:val="18"/>
                  <w:color w:val="0000EE"/>
                  <w:w w:val="98"/>
                </w:rPr>
                <w:t>Specimen Warrant Certificate (incorporated by reference to Exhibit 4.3 to the Registration Statement on Form S-1/A filed with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Securities and Exchange Commission on December 15,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8"/>
              </w:rPr>
            </w:pPr>
            <w:hyperlink r:id="rId49">
              <w:r>
                <w:rPr>
                  <w:rFonts w:ascii="Arial" w:cs="Arial" w:eastAsia="Arial" w:hAnsi="Arial"/>
                  <w:sz w:val="18"/>
                  <w:szCs w:val="18"/>
                  <w:color w:val="0000EE"/>
                  <w:w w:val="98"/>
                </w:rPr>
                <w:t>Warrant Agreement, dated December 23, 2020, by and between the Company and Continental Stock Transfer &amp; Trust Company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7"/>
              </w:rPr>
            </w:pPr>
            <w:hyperlink r:id="rId49">
              <w:r>
                <w:rPr>
                  <w:rFonts w:ascii="Arial" w:cs="Arial" w:eastAsia="Arial" w:hAnsi="Arial"/>
                  <w:sz w:val="18"/>
                  <w:szCs w:val="18"/>
                  <w:color w:val="0000EE"/>
                  <w:w w:val="97"/>
                </w:rPr>
                <w:t>(incorporated by reference to Exhibit 4.1 to the Current Report on Form 8-K filed with the Securities and Exchange Commission on</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49">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9"/>
              </w:rPr>
            </w:pPr>
            <w:hyperlink r:id="rId50">
              <w:r>
                <w:rPr>
                  <w:rFonts w:ascii="Arial" w:cs="Arial" w:eastAsia="Arial" w:hAnsi="Arial"/>
                  <w:sz w:val="18"/>
                  <w:szCs w:val="18"/>
                  <w:color w:val="0000EE"/>
                  <w:w w:val="99"/>
                </w:rPr>
                <w:t>Rights Agreement, dated December 23, 2020, by and between the Company and Continental Stock Transfer &amp; Trust Company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r:id="rId50">
              <w:r>
                <w:rPr>
                  <w:rFonts w:ascii="Arial" w:cs="Arial" w:eastAsia="Arial" w:hAnsi="Arial"/>
                  <w:sz w:val="18"/>
                  <w:szCs w:val="18"/>
                  <w:color w:val="0000EE"/>
                  <w:w w:val="97"/>
                </w:rPr>
                <w:t>(incorporated by reference to Exhibit 4.2 to the Current Report on Form 8-K filed with the Securities and Exchange Commission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December 31,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Description of Securities</w:t>
              </w:r>
            </w:hyperlink>
          </w:p>
        </w:tc>
        <w:tc>
          <w:tcPr>
            <w:tcW w:w="8300" w:type="dxa"/>
            <w:vAlign w:val="bottom"/>
            <w:tcBorders>
              <w:bottom w:val="single" w:sz="8" w:color="CCEEFF"/>
            </w:tcBorders>
            <w:gridSpan w:val="8"/>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Letter Agreements, dated December 23, 2020, by and between the Company and the Company’s officers, directors and initial stockholders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51">
              <w:r>
                <w:rPr>
                  <w:rFonts w:ascii="Arial" w:cs="Arial" w:eastAsia="Arial" w:hAnsi="Arial"/>
                  <w:sz w:val="18"/>
                  <w:szCs w:val="18"/>
                  <w:color w:val="0000EE"/>
                  <w:w w:val="96"/>
                </w:rPr>
                <w:t>(incorporated by reference to Exhibit 10.1 to the Current Report on Form 8-K filed with the Securities and Exchange Commission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December 31,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3"/>
              </w:rPr>
            </w:pPr>
            <w:hyperlink r:id="rId52">
              <w:r>
                <w:rPr>
                  <w:rFonts w:ascii="Arial" w:cs="Arial" w:eastAsia="Arial" w:hAnsi="Arial"/>
                  <w:sz w:val="18"/>
                  <w:szCs w:val="18"/>
                  <w:color w:val="0000EE"/>
                  <w:w w:val="93"/>
                </w:rPr>
                <w:t>Investment Management Trust Agreement, dated December 23, 2020, by and between the Company and Continental Stock Transfer &amp;</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w w:val="96"/>
              </w:rPr>
            </w:pPr>
            <w:hyperlink r:id="rId52">
              <w:r>
                <w:rPr>
                  <w:rFonts w:ascii="Arial" w:cs="Arial" w:eastAsia="Arial" w:hAnsi="Arial"/>
                  <w:sz w:val="18"/>
                  <w:szCs w:val="18"/>
                  <w:color w:val="0000EE"/>
                  <w:w w:val="96"/>
                </w:rPr>
                <w:t>Trust Company (incorporated by reference to Exhibit 10.2 to the Current Report on Form 8-K filed with the Securities and Exchange</w:t>
              </w:r>
            </w:hyperlink>
          </w:p>
        </w:tc>
      </w:tr>
      <w:tr>
        <w:trPr>
          <w:trHeight w:val="216"/>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6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Commission on December 31, 2020)</w:t>
              </w:r>
            </w:hyperlink>
          </w:p>
        </w:tc>
        <w:tc>
          <w:tcPr>
            <w:tcW w:w="742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ind w:left="4400"/>
              <w:spacing w:after="0"/>
              <w:rPr>
                <w:sz w:val="20"/>
                <w:szCs w:val="20"/>
                <w:color w:val="auto"/>
              </w:rPr>
            </w:pPr>
            <w:r>
              <w:rPr>
                <w:rFonts w:ascii="Arial" w:cs="Arial" w:eastAsia="Arial" w:hAnsi="Arial"/>
                <w:sz w:val="18"/>
                <w:szCs w:val="18"/>
                <w:color w:val="auto"/>
              </w:rPr>
              <w:t>29</w:t>
            </w:r>
          </w:p>
        </w:tc>
        <w:tc>
          <w:tcPr>
            <w:tcW w:w="5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10.3</w:t>
            </w:r>
          </w:p>
        </w:tc>
        <w:tc>
          <w:tcPr>
            <w:tcW w:w="10100" w:type="dxa"/>
            <w:vAlign w:val="bottom"/>
            <w:tcBorders>
              <w:bottom w:val="single" w:sz="8" w:color="0000EE"/>
            </w:tcBorders>
            <w:gridSpan w:val="10"/>
            <w:shd w:val="clear" w:color="auto" w:fill="CCEEFF"/>
          </w:tcPr>
          <w:p>
            <w:pPr>
              <w:spacing w:after="0"/>
              <w:rPr>
                <w:rFonts w:ascii="Arial" w:cs="Arial" w:eastAsia="Arial" w:hAnsi="Arial"/>
                <w:sz w:val="18"/>
                <w:szCs w:val="18"/>
                <w:color w:val="0000EE"/>
                <w:w w:val="94"/>
              </w:rPr>
            </w:pPr>
            <w:hyperlink r:id="rId53">
              <w:r>
                <w:rPr>
                  <w:rFonts w:ascii="Arial" w:cs="Arial" w:eastAsia="Arial" w:hAnsi="Arial"/>
                  <w:sz w:val="18"/>
                  <w:szCs w:val="18"/>
                  <w:color w:val="0000EE"/>
                  <w:w w:val="94"/>
                </w:rPr>
                <w:t>Stock Escrow Agreement, dated December 23, 2020, by and between the Company and Continental Stock Transfer &amp; Trust Company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6"/>
              </w:rPr>
            </w:pPr>
            <w:hyperlink r:id="rId53">
              <w:r>
                <w:rPr>
                  <w:rFonts w:ascii="Arial" w:cs="Arial" w:eastAsia="Arial" w:hAnsi="Arial"/>
                  <w:sz w:val="18"/>
                  <w:szCs w:val="18"/>
                  <w:color w:val="0000EE"/>
                  <w:w w:val="96"/>
                </w:rPr>
                <w:t>(incorporated by reference to Exhibit 10.3 to the Current Report on Form 8-K filed with the Securities and Exchange Commission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53">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10100" w:type="dxa"/>
            <w:vAlign w:val="bottom"/>
            <w:gridSpan w:val="10"/>
          </w:tcPr>
          <w:p>
            <w:pPr>
              <w:spacing w:after="0" w:line="176" w:lineRule="exact"/>
              <w:rPr>
                <w:rFonts w:ascii="Arial" w:cs="Arial" w:eastAsia="Arial" w:hAnsi="Arial"/>
                <w:sz w:val="18"/>
                <w:szCs w:val="18"/>
                <w:color w:val="0000EE"/>
                <w:w w:val="94"/>
              </w:rPr>
            </w:pPr>
            <w:hyperlink r:id="rId54">
              <w:r>
                <w:rPr>
                  <w:rFonts w:ascii="Arial" w:cs="Arial" w:eastAsia="Arial" w:hAnsi="Arial"/>
                  <w:sz w:val="18"/>
                  <w:szCs w:val="18"/>
                  <w:color w:val="0000EE"/>
                  <w:w w:val="94"/>
                </w:rPr>
                <w:t>Registration Rights Agreement, dated December 23, 2020, by and between the Company and the initial stockholders of the Company</w:t>
              </w:r>
            </w:hyperlink>
          </w:p>
        </w:tc>
      </w:tr>
      <w:tr>
        <w:trPr>
          <w:trHeight w:val="20"/>
        </w:trPr>
        <w:tc>
          <w:tcPr>
            <w:tcW w:w="11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54">
              <w:r>
                <w:rPr>
                  <w:rFonts w:ascii="Arial" w:cs="Arial" w:eastAsia="Arial" w:hAnsi="Arial"/>
                  <w:sz w:val="18"/>
                  <w:szCs w:val="18"/>
                  <w:color w:val="0000EE"/>
                  <w:w w:val="96"/>
                </w:rPr>
                <w:t>(incorporated by reference to Exhibit 10.4 to the Current Report on Form 8-K filed with the Securities and Exchange Commission on</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December 31, 2020)</w:t>
              </w:r>
            </w:hyperlink>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9"/>
              </w:rPr>
            </w:pPr>
            <w:hyperlink r:id="rId55">
              <w:r>
                <w:rPr>
                  <w:rFonts w:ascii="Arial" w:cs="Arial" w:eastAsia="Arial" w:hAnsi="Arial"/>
                  <w:sz w:val="18"/>
                  <w:szCs w:val="18"/>
                  <w:color w:val="0000EE"/>
                  <w:w w:val="99"/>
                </w:rPr>
                <w:t>Indemnity Agreements, dated December 23, 2020, by and between the Company and the directors and officers of the Company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6"/>
              </w:rPr>
            </w:pPr>
            <w:hyperlink r:id="rId55">
              <w:r>
                <w:rPr>
                  <w:rFonts w:ascii="Arial" w:cs="Arial" w:eastAsia="Arial" w:hAnsi="Arial"/>
                  <w:sz w:val="18"/>
                  <w:szCs w:val="18"/>
                  <w:color w:val="0000EE"/>
                  <w:w w:val="96"/>
                </w:rPr>
                <w:t>(incorporated by reference to Exhibit 10.5 to the Current Report on Form 8-K filed with the Securities and Exchange Commission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55">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Subscription Agreement, dated December 23, 2020, by and between the Company and Ventoux Acquisition Holdings LLC (incorporated by</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reference to Exhibit 10.6 to the Current Report on Form 8-K filed with the Securities and Exchange Commission on December 31, 2020)</w:t>
              </w:r>
            </w:hyperlink>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5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9"/>
              </w:rPr>
            </w:pPr>
            <w:hyperlink r:id="rId57">
              <w:r>
                <w:rPr>
                  <w:rFonts w:ascii="Arial" w:cs="Arial" w:eastAsia="Arial" w:hAnsi="Arial"/>
                  <w:sz w:val="18"/>
                  <w:szCs w:val="18"/>
                  <w:color w:val="0000EE"/>
                  <w:w w:val="99"/>
                </w:rPr>
                <w:t>Subscription Agreement, dated December 23, 2020, by and between the Company and Chardan International Investments, LLC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6"/>
              </w:rPr>
            </w:pPr>
            <w:hyperlink r:id="rId57">
              <w:r>
                <w:rPr>
                  <w:rFonts w:ascii="Arial" w:cs="Arial" w:eastAsia="Arial" w:hAnsi="Arial"/>
                  <w:sz w:val="18"/>
                  <w:szCs w:val="18"/>
                  <w:color w:val="0000EE"/>
                  <w:w w:val="96"/>
                </w:rPr>
                <w:t>(incorporated by reference to Exhibit 10.7 to the Current Report on Form 8-K filed with the Securities and Exchange Commission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57">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10100" w:type="dxa"/>
            <w:vAlign w:val="bottom"/>
            <w:gridSpan w:val="10"/>
          </w:tcPr>
          <w:p>
            <w:pPr>
              <w:spacing w:after="0" w:line="17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Business Combination Marketing Agreement, dated December 23, 2020, by and between the Company and Chardan Capital Markets, LLC</w:t>
              </w:r>
            </w:hyperlink>
          </w:p>
        </w:tc>
      </w:tr>
      <w:tr>
        <w:trPr>
          <w:trHeight w:val="20"/>
        </w:trPr>
        <w:tc>
          <w:tcPr>
            <w:tcW w:w="11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58">
              <w:r>
                <w:rPr>
                  <w:rFonts w:ascii="Arial" w:cs="Arial" w:eastAsia="Arial" w:hAnsi="Arial"/>
                  <w:sz w:val="18"/>
                  <w:szCs w:val="18"/>
                  <w:color w:val="0000EE"/>
                  <w:w w:val="96"/>
                </w:rPr>
                <w:t>(incorporated by reference to Exhibit 10.8 to the Current Report on Form 8-K filed with the Securities and Exchange Commission on</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December 31, 2020)</w:t>
              </w:r>
            </w:hyperlink>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7"/>
              </w:rPr>
            </w:pPr>
            <w:hyperlink r:id="rId59">
              <w:r>
                <w:rPr>
                  <w:rFonts w:ascii="Arial" w:cs="Arial" w:eastAsia="Arial" w:hAnsi="Arial"/>
                  <w:sz w:val="18"/>
                  <w:szCs w:val="18"/>
                  <w:color w:val="0000EE"/>
                  <w:w w:val="97"/>
                </w:rPr>
                <w:t>Administrative Services Agreement, dated December 23, 2020, by and between the Company and Chardan Capital Markets, LLC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6"/>
              </w:rPr>
            </w:pPr>
            <w:hyperlink r:id="rId59">
              <w:r>
                <w:rPr>
                  <w:rFonts w:ascii="Arial" w:cs="Arial" w:eastAsia="Arial" w:hAnsi="Arial"/>
                  <w:sz w:val="18"/>
                  <w:szCs w:val="18"/>
                  <w:color w:val="0000EE"/>
                  <w:w w:val="96"/>
                </w:rPr>
                <w:t>(incorporated by reference to Exhibit 10.9 to the Current Report on Form 8-K filed with the Securities and Exchange Commission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December 31, 2020)</w:t>
              </w:r>
            </w:hyperlink>
          </w:p>
        </w:tc>
        <w:tc>
          <w:tcPr>
            <w:tcW w:w="8620" w:type="dxa"/>
            <w:vAlign w:val="bottom"/>
            <w:tcBorders>
              <w:bottom w:val="single" w:sz="8" w:color="CCEEFF"/>
            </w:tcBorders>
            <w:gridSpan w:val="9"/>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14.1</w:t>
            </w:r>
          </w:p>
        </w:tc>
        <w:tc>
          <w:tcPr>
            <w:tcW w:w="10100" w:type="dxa"/>
            <w:vAlign w:val="bottom"/>
            <w:gridSpan w:val="10"/>
          </w:tcPr>
          <w:p>
            <w:pPr>
              <w:spacing w:after="0" w:line="176" w:lineRule="exact"/>
              <w:rPr>
                <w:rFonts w:ascii="Arial" w:cs="Arial" w:eastAsia="Arial" w:hAnsi="Arial"/>
                <w:sz w:val="18"/>
                <w:szCs w:val="18"/>
                <w:color w:val="0000EE"/>
                <w:w w:val="94"/>
              </w:rPr>
            </w:pPr>
            <w:hyperlink r:id="rId60">
              <w:r>
                <w:rPr>
                  <w:rFonts w:ascii="Arial" w:cs="Arial" w:eastAsia="Arial" w:hAnsi="Arial"/>
                  <w:sz w:val="18"/>
                  <w:szCs w:val="18"/>
                  <w:color w:val="0000EE"/>
                  <w:w w:val="94"/>
                </w:rPr>
                <w:t>Form of Code of Ethics (incorporated by reference to Exhibit 14.1 to the Registration Statement on Form S-1/A filed with the Securities</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and Exchange Commission on December 15, 2020)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adopted pursuant to Section 302 of the Sarbanes-Oxley Act of 2002.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Certification of Principal Financial Officer pursuant to Rules 13a-14(a) and 15d-14(a) under the Securities Exchange Act of 1934, as</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adopted pursuant to Section 302 of the Sarbanes-Oxley Act of 2002.</w:t>
              </w:r>
            </w:hyperlink>
          </w:p>
        </w:tc>
      </w:tr>
      <w:tr>
        <w:trPr>
          <w:trHeight w:val="21"/>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Certification of Principal Executive Officer and Principal Financial Officer pursuant to 18 U.S.C. Section 1350, as adopted pursuant to</w:t>
              </w:r>
            </w:hyperlink>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346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Section 906 of the Sarbanes-Oxley Act of 2002.</w:t>
              </w:r>
            </w:hyperlink>
          </w:p>
        </w:tc>
        <w:tc>
          <w:tcPr>
            <w:tcW w:w="6640" w:type="dxa"/>
            <w:vAlign w:val="bottom"/>
            <w:tcBorders>
              <w:bottom w:val="single" w:sz="8" w:color="CCEEFF"/>
            </w:tcBorders>
            <w:gridSpan w:val="8"/>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99.1</w:t>
            </w: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8"/>
              </w:rPr>
            </w:pPr>
            <w:hyperlink r:id="rId61">
              <w:r>
                <w:rPr>
                  <w:rFonts w:ascii="Arial" w:cs="Arial" w:eastAsia="Arial" w:hAnsi="Arial"/>
                  <w:sz w:val="18"/>
                  <w:szCs w:val="18"/>
                  <w:color w:val="0000EE"/>
                  <w:w w:val="98"/>
                </w:rPr>
                <w:t>Form of Nominating and Corporate Governance Committee Charter (incorporated by reference to Exhibit 99.1 to the Registration</w:t>
              </w:r>
            </w:hyperlink>
          </w:p>
        </w:tc>
      </w:tr>
      <w:tr>
        <w:trPr>
          <w:trHeight w:val="196"/>
        </w:trPr>
        <w:tc>
          <w:tcPr>
            <w:tcW w:w="1140" w:type="dxa"/>
            <w:vAlign w:val="bottom"/>
          </w:tcPr>
          <w:p>
            <w:pPr>
              <w:spacing w:after="0"/>
              <w:rPr>
                <w:sz w:val="17"/>
                <w:szCs w:val="17"/>
                <w:color w:val="auto"/>
              </w:rPr>
            </w:pPr>
          </w:p>
        </w:tc>
        <w:tc>
          <w:tcPr>
            <w:tcW w:w="10100" w:type="dxa"/>
            <w:vAlign w:val="bottom"/>
            <w:gridSpan w:val="10"/>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Statement on Form S-1/A filed with the Securities and Exchange Commission on December 15, 2020)</w:t>
              </w:r>
            </w:hyperlink>
          </w:p>
        </w:tc>
      </w:tr>
      <w:tr>
        <w:trPr>
          <w:trHeight w:val="20"/>
        </w:trPr>
        <w:tc>
          <w:tcPr>
            <w:tcW w:w="114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01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r:id="rId62">
              <w:r>
                <w:rPr>
                  <w:rFonts w:ascii="Arial" w:cs="Arial" w:eastAsia="Arial" w:hAnsi="Arial"/>
                  <w:sz w:val="18"/>
                  <w:szCs w:val="18"/>
                  <w:color w:val="0000EE"/>
                  <w:w w:val="94"/>
                </w:rPr>
                <w:t>Form of Audit Committee Charter (incorporated by reference to Exhibit 99.2 to the Registration Statement on Form S-1/A filed with the</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Securities and Exchange Commission on December 15, 2020)</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99.3</w:t>
            </w:r>
          </w:p>
        </w:tc>
        <w:tc>
          <w:tcPr>
            <w:tcW w:w="10100" w:type="dxa"/>
            <w:vAlign w:val="bottom"/>
            <w:tcBorders>
              <w:bottom w:val="single" w:sz="8" w:color="0000EE"/>
            </w:tcBorders>
            <w:gridSpan w:val="10"/>
          </w:tcPr>
          <w:p>
            <w:pPr>
              <w:spacing w:after="0" w:line="176"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Form of Compensation Committee Charter (incorporated by reference to Exhibit 99.3 to the Registration Statement on Form S-1/A filed</w:t>
              </w:r>
            </w:hyperlink>
          </w:p>
        </w:tc>
      </w:tr>
      <w:tr>
        <w:trPr>
          <w:trHeight w:val="196"/>
        </w:trPr>
        <w:tc>
          <w:tcPr>
            <w:tcW w:w="1140" w:type="dxa"/>
            <w:vAlign w:val="bottom"/>
          </w:tcPr>
          <w:p>
            <w:pPr>
              <w:spacing w:after="0"/>
              <w:rPr>
                <w:sz w:val="17"/>
                <w:szCs w:val="17"/>
                <w:color w:val="auto"/>
              </w:rPr>
            </w:pPr>
          </w:p>
        </w:tc>
        <w:tc>
          <w:tcPr>
            <w:tcW w:w="51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with the Securities and Exchange Commission on December 15, 2020)</w:t>
              </w:r>
            </w:hyperlink>
          </w:p>
        </w:tc>
        <w:tc>
          <w:tcPr>
            <w:tcW w:w="5000" w:type="dxa"/>
            <w:vAlign w:val="bottom"/>
            <w:gridSpan w:val="4"/>
          </w:tcPr>
          <w:p>
            <w:pPr>
              <w:spacing w:after="0"/>
              <w:rPr>
                <w:sz w:val="17"/>
                <w:szCs w:val="17"/>
                <w:color w:val="auto"/>
              </w:rPr>
            </w:pPr>
          </w:p>
        </w:tc>
      </w:tr>
    </w:tbl>
    <w:p>
      <w:pPr>
        <w:spacing w:after="0" w:line="22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10000"/>
        </w:rPr>
        <w:t>ITEM 16.</w:t>
      </w:r>
      <w:r>
        <w:rPr>
          <w:rFonts w:ascii="Arial" w:cs="Arial" w:eastAsia="Arial" w:hAnsi="Arial"/>
          <w:sz w:val="18"/>
          <w:szCs w:val="18"/>
          <w:b w:val="1"/>
          <w:bCs w:val="1"/>
          <w:color w:val="auto"/>
        </w:rPr>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7020" w:type="dxa"/>
            <w:vAlign w:val="bottom"/>
            <w:gridSpan w:val="2"/>
          </w:tcPr>
          <w:p>
            <w:pPr>
              <w:ind w:left="2540"/>
              <w:spacing w:after="0"/>
              <w:rPr>
                <w:sz w:val="20"/>
                <w:szCs w:val="20"/>
                <w:color w:val="auto"/>
              </w:rPr>
            </w:pPr>
            <w:r>
              <w:rPr>
                <w:rFonts w:ascii="Arial" w:cs="Arial" w:eastAsia="Arial" w:hAnsi="Arial"/>
                <w:sz w:val="18"/>
                <w:szCs w:val="18"/>
                <w:b w:val="1"/>
                <w:bCs w:val="1"/>
                <w:color w:val="auto"/>
              </w:rPr>
              <w:t>VENTOUX CCM ACQUISITION CORP.</w:t>
            </w:r>
          </w:p>
        </w:tc>
      </w:tr>
      <w:tr>
        <w:trPr>
          <w:trHeight w:val="439"/>
        </w:trPr>
        <w:tc>
          <w:tcPr>
            <w:tcW w:w="4220" w:type="dxa"/>
            <w:vAlign w:val="bottom"/>
          </w:tcPr>
          <w:p>
            <w:pPr>
              <w:spacing w:after="0"/>
              <w:rPr>
                <w:sz w:val="20"/>
                <w:szCs w:val="20"/>
                <w:color w:val="auto"/>
              </w:rPr>
            </w:pPr>
            <w:r>
              <w:rPr>
                <w:rFonts w:ascii="Arial" w:cs="Arial" w:eastAsia="Arial" w:hAnsi="Arial"/>
                <w:sz w:val="18"/>
                <w:szCs w:val="18"/>
                <w:color w:val="auto"/>
              </w:rPr>
              <w:t>Dated: March 30, 2021</w:t>
            </w:r>
          </w:p>
        </w:tc>
        <w:tc>
          <w:tcPr>
            <w:tcW w:w="3220" w:type="dxa"/>
            <w:vAlign w:val="bottom"/>
          </w:tcPr>
          <w:p>
            <w:pPr>
              <w:ind w:left="254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Scheetz</w:t>
            </w:r>
          </w:p>
        </w:tc>
      </w:tr>
      <w:tr>
        <w:trPr>
          <w:trHeight w:val="202"/>
        </w:trPr>
        <w:tc>
          <w:tcPr>
            <w:tcW w:w="4220" w:type="dxa"/>
            <w:vAlign w:val="bottom"/>
          </w:tcPr>
          <w:p>
            <w:pPr>
              <w:spacing w:after="0"/>
              <w:rPr>
                <w:sz w:val="17"/>
                <w:szCs w:val="17"/>
                <w:color w:val="auto"/>
              </w:rPr>
            </w:pPr>
          </w:p>
        </w:tc>
        <w:tc>
          <w:tcPr>
            <w:tcW w:w="3220" w:type="dxa"/>
            <w:vAlign w:val="bottom"/>
          </w:tcPr>
          <w:p>
            <w:pPr>
              <w:ind w:left="2540"/>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Edward Scheetz</w:t>
            </w:r>
          </w:p>
        </w:tc>
      </w:tr>
      <w:tr>
        <w:trPr>
          <w:trHeight w:val="230"/>
        </w:trPr>
        <w:tc>
          <w:tcPr>
            <w:tcW w:w="4220" w:type="dxa"/>
            <w:vAlign w:val="bottom"/>
          </w:tcPr>
          <w:p>
            <w:pPr>
              <w:spacing w:after="0"/>
              <w:rPr>
                <w:sz w:val="20"/>
                <w:szCs w:val="20"/>
                <w:color w:val="auto"/>
              </w:rPr>
            </w:pPr>
          </w:p>
        </w:tc>
        <w:tc>
          <w:tcPr>
            <w:tcW w:w="3220" w:type="dxa"/>
            <w:vAlign w:val="bottom"/>
          </w:tcPr>
          <w:p>
            <w:pPr>
              <w:ind w:left="2540"/>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1933, this report has been signed below by the following persons in the capacities and on the dates indicated.</w:t>
      </w:r>
    </w:p>
    <w:p>
      <w:pPr>
        <w:sectPr>
          <w:pgSz w:w="11900" w:h="16838" w:orient="portrait"/>
          <w:cols w:equalWidth="0" w:num="1">
            <w:col w:w="11240"/>
          </w:cols>
          <w:pgMar w:left="320" w:top="337" w:right="339" w:bottom="1440" w:gutter="0" w:footer="0" w:header="0"/>
        </w:sectPr>
      </w:pPr>
    </w:p>
    <w:p>
      <w:pPr>
        <w:spacing w:after="0" w:line="166"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3179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Edward Scheetz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Matthew MacDonald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Jonas Grossman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Alex Weil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Woodrow H. Levin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Julie Atkinson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Christian Ahrens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Bernard Van der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179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Bernard Van der Lande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45"/>
        </w:trPr>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and Chief Executive Officer</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March 30, 2021</w:t>
            </w:r>
          </w:p>
        </w:tc>
      </w:tr>
      <w:tr>
        <w:trPr>
          <w:trHeight w:val="230"/>
        </w:trPr>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1900" w:type="dxa"/>
            <w:vAlign w:val="bottom"/>
          </w:tcPr>
          <w:p>
            <w:pPr>
              <w:spacing w:after="0"/>
              <w:rPr>
                <w:sz w:val="20"/>
                <w:szCs w:val="20"/>
                <w:color w:val="auto"/>
              </w:rPr>
            </w:pPr>
          </w:p>
        </w:tc>
      </w:tr>
      <w:tr>
        <w:trPr>
          <w:trHeight w:val="431"/>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March 30, 2021</w:t>
            </w:r>
          </w:p>
        </w:tc>
      </w:tr>
      <w:tr>
        <w:trPr>
          <w:trHeight w:val="216"/>
        </w:trPr>
        <w:tc>
          <w:tcPr>
            <w:tcW w:w="46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(Principal Accounting and Financial Officer),</w:t>
            </w:r>
          </w:p>
        </w:tc>
        <w:tc>
          <w:tcPr>
            <w:tcW w:w="1900" w:type="dxa"/>
            <w:vAlign w:val="bottom"/>
          </w:tcPr>
          <w:p>
            <w:pPr>
              <w:spacing w:after="0"/>
              <w:rPr>
                <w:sz w:val="18"/>
                <w:szCs w:val="18"/>
                <w:color w:val="auto"/>
              </w:rPr>
            </w:pPr>
          </w:p>
        </w:tc>
      </w:tr>
      <w:tr>
        <w:trPr>
          <w:trHeight w:val="230"/>
        </w:trPr>
        <w:tc>
          <w:tcPr>
            <w:tcW w:w="46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Secretary and Director</w:t>
            </w:r>
          </w:p>
        </w:tc>
        <w:tc>
          <w:tcPr>
            <w:tcW w:w="1900" w:type="dxa"/>
            <w:vAlign w:val="bottom"/>
          </w:tcPr>
          <w:p>
            <w:pPr>
              <w:spacing w:after="0"/>
              <w:rPr>
                <w:sz w:val="20"/>
                <w:szCs w:val="20"/>
                <w:color w:val="auto"/>
              </w:rPr>
            </w:pPr>
          </w:p>
        </w:tc>
      </w:tr>
      <w:tr>
        <w:trPr>
          <w:trHeight w:val="446"/>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March 30,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March 30,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March 30,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March 30,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March 30, 2021</w:t>
            </w:r>
          </w:p>
        </w:tc>
      </w:tr>
      <w:tr>
        <w:trPr>
          <w:trHeight w:val="675"/>
        </w:trPr>
        <w:tc>
          <w:tcPr>
            <w:tcW w:w="4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March 30, 2021</w:t>
            </w:r>
          </w:p>
        </w:tc>
      </w:tr>
      <w:tr>
        <w:trPr>
          <w:trHeight w:val="662"/>
        </w:trPr>
        <w:tc>
          <w:tcPr>
            <w:tcW w:w="4480" w:type="dxa"/>
            <w:vAlign w:val="bottom"/>
          </w:tcPr>
          <w:p>
            <w:pPr>
              <w:jc w:val="right"/>
              <w:ind w:right="34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020" w:space="720"/>
            <w:col w:w="6500"/>
          </w:cols>
          <w:pgMar w:left="320" w:top="337"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340" w:type="dxa"/>
            <w:vAlign w:val="bottom"/>
            <w:gridSpan w:val="2"/>
          </w:tcPr>
          <w:p>
            <w:pPr>
              <w:jc w:val="center"/>
              <w:ind w:right="1130"/>
              <w:spacing w:after="0"/>
              <w:rPr>
                <w:sz w:val="20"/>
                <w:szCs w:val="20"/>
                <w:color w:val="auto"/>
              </w:rPr>
            </w:pPr>
            <w:r>
              <w:rPr>
                <w:rFonts w:ascii="Arial" w:cs="Arial" w:eastAsia="Arial" w:hAnsi="Arial"/>
                <w:sz w:val="18"/>
                <w:szCs w:val="18"/>
                <w:b w:val="1"/>
                <w:bCs w:val="1"/>
                <w:color w:val="auto"/>
              </w:rPr>
              <w:t>VENTOUX CCM ACQUISITION CORP.</w:t>
            </w:r>
          </w:p>
        </w:tc>
        <w:tc>
          <w:tcPr>
            <w:tcW w:w="234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340" w:type="dxa"/>
            <w:vAlign w:val="bottom"/>
            <w:gridSpan w:val="2"/>
          </w:tcPr>
          <w:p>
            <w:pPr>
              <w:jc w:val="center"/>
              <w:ind w:right="1130"/>
              <w:spacing w:after="0"/>
              <w:rPr>
                <w:sz w:val="20"/>
                <w:szCs w:val="20"/>
                <w:color w:val="auto"/>
              </w:rPr>
            </w:pPr>
            <w:r>
              <w:rPr>
                <w:rFonts w:ascii="Arial" w:cs="Arial" w:eastAsia="Arial" w:hAnsi="Arial"/>
                <w:sz w:val="18"/>
                <w:szCs w:val="18"/>
                <w:b w:val="1"/>
                <w:bCs w:val="1"/>
                <w:color w:val="auto"/>
              </w:rPr>
              <w:t>INDEX TO FINANCIAL STATEMENTS</w:t>
            </w:r>
          </w:p>
        </w:tc>
        <w:tc>
          <w:tcPr>
            <w:tcW w:w="234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196"/>
        </w:trPr>
        <w:tc>
          <w:tcPr>
            <w:tcW w:w="8900" w:type="dxa"/>
            <w:vAlign w:val="bottom"/>
            <w:gridSpan w:val="8"/>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Report of Independent Registered Public Accounting Firm</w:t>
              </w:r>
            </w:hyperlink>
          </w:p>
        </w:tc>
        <w:tc>
          <w:tcPr>
            <w:tcW w:w="2340" w:type="dxa"/>
            <w:vAlign w:val="bottom"/>
            <w:shd w:val="clear" w:color="auto" w:fill="CCEEFF"/>
          </w:tcPr>
          <w:p>
            <w:pPr>
              <w:ind w:left="1640"/>
              <w:spacing w:after="0" w:line="176" w:lineRule="exact"/>
              <w:rPr>
                <w:sz w:val="20"/>
                <w:szCs w:val="20"/>
                <w:color w:val="auto"/>
              </w:rPr>
            </w:pPr>
            <w:r>
              <w:rPr>
                <w:rFonts w:ascii="Arial" w:cs="Arial" w:eastAsia="Arial" w:hAnsi="Arial"/>
                <w:sz w:val="18"/>
                <w:szCs w:val="18"/>
                <w:color w:val="auto"/>
              </w:rPr>
              <w:t>F-2</w:t>
            </w:r>
          </w:p>
        </w:tc>
      </w:tr>
      <w:tr>
        <w:trPr>
          <w:trHeight w:val="216"/>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46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37">
              <w:r>
                <w:rPr>
                  <w:rFonts w:ascii="Arial" w:cs="Arial" w:eastAsia="Arial" w:hAnsi="Arial"/>
                  <w:sz w:val="18"/>
                  <w:szCs w:val="18"/>
                  <w:color w:val="0000EE"/>
                  <w:w w:val="85"/>
                </w:rPr>
                <w:t>Balance Sheets</w:t>
              </w:r>
            </w:hyperlink>
          </w:p>
        </w:tc>
        <w:tc>
          <w:tcPr>
            <w:tcW w:w="7640" w:type="dxa"/>
            <w:vAlign w:val="bottom"/>
            <w:tcBorders>
              <w:bottom w:val="single" w:sz="8" w:color="CCEEFF"/>
            </w:tcBorders>
            <w:gridSpan w:val="6"/>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ind w:left="1640"/>
              <w:spacing w:after="0" w:line="176" w:lineRule="exact"/>
              <w:rPr>
                <w:sz w:val="20"/>
                <w:szCs w:val="20"/>
                <w:color w:val="auto"/>
              </w:rPr>
            </w:pPr>
            <w:r>
              <w:rPr>
                <w:rFonts w:ascii="Arial" w:cs="Arial" w:eastAsia="Arial" w:hAnsi="Arial"/>
                <w:sz w:val="18"/>
                <w:szCs w:val="18"/>
                <w:color w:val="auto"/>
              </w:rPr>
              <w:t>F-3</w:t>
            </w:r>
          </w:p>
        </w:tc>
      </w:tr>
      <w:tr>
        <w:trPr>
          <w:trHeight w:val="175"/>
        </w:trPr>
        <w:tc>
          <w:tcPr>
            <w:tcW w:w="8900" w:type="dxa"/>
            <w:vAlign w:val="bottom"/>
            <w:gridSpan w:val="8"/>
          </w:tcPr>
          <w:p>
            <w:pPr>
              <w:ind w:left="16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Statements of Operations</w:t>
              </w:r>
            </w:hyperlink>
          </w:p>
        </w:tc>
        <w:tc>
          <w:tcPr>
            <w:tcW w:w="2340" w:type="dxa"/>
            <w:vAlign w:val="bottom"/>
          </w:tcPr>
          <w:p>
            <w:pPr>
              <w:ind w:left="1640"/>
              <w:spacing w:after="0" w:line="176" w:lineRule="exact"/>
              <w:rPr>
                <w:sz w:val="20"/>
                <w:szCs w:val="20"/>
                <w:color w:val="auto"/>
              </w:rPr>
            </w:pPr>
            <w:r>
              <w:rPr>
                <w:rFonts w:ascii="Arial" w:cs="Arial" w:eastAsia="Arial" w:hAnsi="Arial"/>
                <w:sz w:val="18"/>
                <w:szCs w:val="18"/>
                <w:color w:val="auto"/>
              </w:rPr>
              <w:t>F-4</w:t>
            </w:r>
          </w:p>
        </w:tc>
      </w:tr>
      <w:tr>
        <w:trPr>
          <w:trHeight w:val="21"/>
        </w:trPr>
        <w:tc>
          <w:tcPr>
            <w:tcW w:w="16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8740" w:type="dxa"/>
            <w:vAlign w:val="bottom"/>
            <w:gridSpan w:val="7"/>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Statements of Changes in Stockholders’ Equity</w:t>
              </w:r>
            </w:hyperlink>
          </w:p>
        </w:tc>
        <w:tc>
          <w:tcPr>
            <w:tcW w:w="2340" w:type="dxa"/>
            <w:vAlign w:val="bottom"/>
            <w:shd w:val="clear" w:color="auto" w:fill="CCEEFF"/>
          </w:tcPr>
          <w:p>
            <w:pPr>
              <w:ind w:left="1640"/>
              <w:spacing w:after="0" w:line="176" w:lineRule="exact"/>
              <w:rPr>
                <w:sz w:val="20"/>
                <w:szCs w:val="20"/>
                <w:color w:val="auto"/>
              </w:rPr>
            </w:pPr>
            <w:r>
              <w:rPr>
                <w:rFonts w:ascii="Arial" w:cs="Arial" w:eastAsia="Arial" w:hAnsi="Arial"/>
                <w:sz w:val="18"/>
                <w:szCs w:val="18"/>
                <w:color w:val="auto"/>
              </w:rPr>
              <w:t>F-5</w:t>
            </w:r>
          </w:p>
        </w:tc>
      </w:tr>
      <w:tr>
        <w:trPr>
          <w:trHeight w:val="176"/>
        </w:trPr>
        <w:tc>
          <w:tcPr>
            <w:tcW w:w="160" w:type="dxa"/>
            <w:vAlign w:val="bottom"/>
            <w:tcBorders>
              <w:top w:val="single" w:sz="8" w:color="CCEEFF"/>
            </w:tcBorders>
          </w:tcPr>
          <w:p>
            <w:pPr>
              <w:spacing w:after="0"/>
              <w:rPr>
                <w:sz w:val="15"/>
                <w:szCs w:val="15"/>
                <w:color w:val="auto"/>
              </w:rPr>
            </w:pPr>
          </w:p>
        </w:tc>
        <w:tc>
          <w:tcPr>
            <w:tcW w:w="340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Statements of Cash Flows</w:t>
              </w:r>
            </w:hyperlink>
          </w:p>
        </w:tc>
        <w:tc>
          <w:tcPr>
            <w:tcW w:w="5340" w:type="dxa"/>
            <w:vAlign w:val="bottom"/>
            <w:tcBorders>
              <w:top w:val="single" w:sz="8" w:color="CCEEFF"/>
            </w:tcBorders>
            <w:gridSpan w:val="2"/>
          </w:tcPr>
          <w:p>
            <w:pPr>
              <w:spacing w:after="0"/>
              <w:rPr>
                <w:sz w:val="15"/>
                <w:szCs w:val="15"/>
                <w:color w:val="auto"/>
              </w:rPr>
            </w:pPr>
          </w:p>
        </w:tc>
        <w:tc>
          <w:tcPr>
            <w:tcW w:w="2340" w:type="dxa"/>
            <w:vAlign w:val="bottom"/>
            <w:tcBorders>
              <w:top w:val="single" w:sz="8" w:color="CCEEFF"/>
            </w:tcBorders>
          </w:tcPr>
          <w:p>
            <w:pPr>
              <w:ind w:left="1640"/>
              <w:spacing w:after="0" w:line="176" w:lineRule="exact"/>
              <w:rPr>
                <w:sz w:val="20"/>
                <w:szCs w:val="20"/>
                <w:color w:val="auto"/>
              </w:rPr>
            </w:pPr>
            <w:r>
              <w:rPr>
                <w:rFonts w:ascii="Arial" w:cs="Arial" w:eastAsia="Arial" w:hAnsi="Arial"/>
                <w:sz w:val="18"/>
                <w:szCs w:val="18"/>
                <w:color w:val="auto"/>
              </w:rPr>
              <w:t>F-6</w:t>
            </w:r>
          </w:p>
        </w:tc>
      </w:tr>
      <w:tr>
        <w:trPr>
          <w:trHeight w:val="20"/>
        </w:trPr>
        <w:tc>
          <w:tcPr>
            <w:tcW w:w="16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900" w:type="dxa"/>
            <w:vAlign w:val="bottom"/>
            <w:gridSpan w:val="8"/>
            <w:shd w:val="clear" w:color="auto" w:fill="CCEEFF"/>
          </w:tcPr>
          <w:p>
            <w:pPr>
              <w:ind w:left="16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Notes to Financial Statements</w:t>
              </w:r>
            </w:hyperlink>
          </w:p>
        </w:tc>
        <w:tc>
          <w:tcPr>
            <w:tcW w:w="2340" w:type="dxa"/>
            <w:vAlign w:val="bottom"/>
            <w:shd w:val="clear" w:color="auto" w:fill="CCEEFF"/>
          </w:tcPr>
          <w:p>
            <w:pPr>
              <w:ind w:left="1640"/>
              <w:spacing w:after="0" w:line="176" w:lineRule="exact"/>
              <w:rPr>
                <w:sz w:val="20"/>
                <w:szCs w:val="20"/>
                <w:color w:val="auto"/>
              </w:rPr>
            </w:pPr>
            <w:r>
              <w:rPr>
                <w:rFonts w:ascii="Arial" w:cs="Arial" w:eastAsia="Arial" w:hAnsi="Arial"/>
                <w:sz w:val="18"/>
                <w:szCs w:val="18"/>
                <w:color w:val="auto"/>
              </w:rPr>
              <w:t>F-7</w:t>
            </w:r>
          </w:p>
        </w:tc>
      </w:tr>
      <w:tr>
        <w:trPr>
          <w:trHeight w:val="655"/>
        </w:trPr>
        <w:tc>
          <w:tcPr>
            <w:tcW w:w="16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4680" w:type="dxa"/>
            <w:vAlign w:val="bottom"/>
            <w:tcBorders>
              <w:top w:val="single" w:sz="8" w:color="CCEEFF"/>
              <w:bottom w:val="single" w:sz="8" w:color="auto"/>
            </w:tcBorders>
          </w:tcPr>
          <w:p>
            <w:pPr>
              <w:jc w:val="center"/>
              <w:ind w:right="1790"/>
              <w:spacing w:after="0"/>
              <w:rPr>
                <w:sz w:val="20"/>
                <w:szCs w:val="20"/>
                <w:color w:val="auto"/>
              </w:rPr>
            </w:pPr>
            <w:r>
              <w:rPr>
                <w:rFonts w:ascii="Arial" w:cs="Arial" w:eastAsia="Arial" w:hAnsi="Arial"/>
                <w:sz w:val="18"/>
                <w:szCs w:val="18"/>
                <w:color w:val="auto"/>
                <w:w w:val="88"/>
              </w:rPr>
              <w:t>F-1</w:t>
            </w:r>
          </w:p>
        </w:tc>
        <w:tc>
          <w:tcPr>
            <w:tcW w:w="23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5" w:name="page36"/>
    <w:bookmarkEnd w:id="35"/>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balance sheets of Ventoux CCM Acquisition Corp. (the “Company”) as of December 31, 2020 and 2019, the related statements of operations, changes in stockholders’ equity and cash flows for year ended December 31, 2020 and for the period from July 10, 2019 (inception) through December 31,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 ended December 31, 2020 and for the period from July 10, 2019 (inception) through December 31, 2019,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1,071,253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29,200</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1,100,453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held in Trust Account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151,500,000</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3"/>
              </w:rPr>
              <w:t>152,600,453</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25,000</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18,123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1,450</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Advances from related parties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120,005</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138,128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1,450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1"/>
              </w:rPr>
              <w:t>Common stock subject to possible redemption, 14,600,230 and 0 shares as of December 31, 2020 and 2019 (at $10.10</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ind w:left="160"/>
              <w:spacing w:after="0"/>
              <w:rPr>
                <w:sz w:val="20"/>
                <w:szCs w:val="20"/>
                <w:color w:val="auto"/>
              </w:rPr>
            </w:pPr>
            <w:r>
              <w:rPr>
                <w:rFonts w:ascii="Arial" w:cs="Arial" w:eastAsia="Arial" w:hAnsi="Arial"/>
                <w:sz w:val="18"/>
                <w:szCs w:val="18"/>
                <w:color w:val="auto"/>
              </w:rPr>
              <w:t>per share),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147,462,323</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8"/>
              </w:rPr>
              <w:t>Common stock, $0.0001 par value; 50,000,000 shares authorized; 4,712,270 and 4,312,500 shares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w w:val="91"/>
              </w:rPr>
              <w:t>outstanding (excluding 14,600,230 and 0 shares subject to possible redemption) as of December 31, 2020 and 2019,</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tcPr>
          <w:p>
            <w:pPr>
              <w:ind w:left="160"/>
              <w:spacing w:after="0"/>
              <w:rPr>
                <w:sz w:val="20"/>
                <w:szCs w:val="20"/>
                <w:color w:val="auto"/>
              </w:rPr>
            </w:pPr>
            <w:r>
              <w:rPr>
                <w:rFonts w:ascii="Arial" w:cs="Arial" w:eastAsia="Arial" w:hAnsi="Arial"/>
                <w:sz w:val="18"/>
                <w:szCs w:val="18"/>
                <w:color w:val="auto"/>
              </w:rPr>
              <w:t>respectively (1)</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5,019,189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24,569</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(19,658)</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(1,450)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23,550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3"/>
              </w:rPr>
              <w:t>152,600,453</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25,000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8"/>
        <w:spacing w:after="0" w:line="342"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numbers include up to 562,500 shares of common stock subject to forfeiture if the over-allotment option is not exercised in full or in part by the underwriters. On January 5, 2021, the underwriters fully exercised the over-allotment option; thus, these shares are no longer subject to forfeiture.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9"/>
              </w:rPr>
              <w:t>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July 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19"/>
                <w:szCs w:val="19"/>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18,208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(18,208)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redeemable common stock</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15,000,000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net income per share, redeemable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 of non-redeemable common stock (1)</w:t>
            </w:r>
          </w:p>
        </w:tc>
        <w:tc>
          <w:tcPr>
            <w:tcW w:w="100" w:type="dxa"/>
            <w:vAlign w:val="bottom"/>
          </w:tcPr>
          <w:p>
            <w:pPr>
              <w:spacing w:after="0"/>
              <w:rPr>
                <w:sz w:val="22"/>
                <w:szCs w:val="22"/>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3,750,000</w:t>
            </w:r>
          </w:p>
        </w:tc>
        <w:tc>
          <w:tcPr>
            <w:tcW w:w="12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non-redeemable common stock</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8"/>
        <w:spacing w:after="0" w:line="342"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These numbers exclude up to 562,500 shares of common stock subject to forfeiture if the over-allotment option is not exercised in full or in part by the underwriters. On January 5, 2021, the underwriters fully exercised the over-allotment option; thus, these shares are no longer subject to forfeiture.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434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gridSpan w:val="9"/>
          </w:tcPr>
          <w:p>
            <w:pPr>
              <w:ind w:left="3100"/>
              <w:spacing w:after="0"/>
              <w:rPr>
                <w:sz w:val="20"/>
                <w:szCs w:val="20"/>
                <w:color w:val="auto"/>
              </w:rPr>
            </w:pPr>
            <w:r>
              <w:rPr>
                <w:rFonts w:ascii="Arial" w:cs="Arial" w:eastAsia="Arial" w:hAnsi="Arial"/>
                <w:sz w:val="18"/>
                <w:szCs w:val="18"/>
                <w:b w:val="1"/>
                <w:bCs w:val="1"/>
                <w:color w:val="auto"/>
              </w:rPr>
              <w:t>STATEMENTS OF CHANGES IN STOCKHOLDERS’ EQUITY</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July 10, 2019 (inception)</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Issuance of common stock to Initial Stockholders </w:t>
            </w:r>
            <w:r>
              <w:rPr>
                <w:rFonts w:ascii="Arial" w:cs="Arial" w:eastAsia="Arial" w:hAnsi="Arial"/>
                <w:sz w:val="29"/>
                <w:szCs w:val="29"/>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4,312,500</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24,569</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 December 31, 2019</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4,312,500</w:t>
            </w: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431</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24,569</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(1,450)</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23,550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7"/>
              </w:rPr>
              <w:t>Sale of 15,000,000 Units, net of underwriting discounts and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60"/>
              <w:spacing w:after="0"/>
              <w:rPr>
                <w:sz w:val="20"/>
                <w:szCs w:val="20"/>
                <w:color w:val="auto"/>
              </w:rPr>
            </w:pPr>
            <w:r>
              <w:rPr>
                <w:rFonts w:ascii="Arial" w:cs="Arial" w:eastAsia="Arial" w:hAnsi="Arial"/>
                <w:sz w:val="18"/>
                <w:szCs w:val="18"/>
                <w:color w:val="auto"/>
              </w:rPr>
              <w:t>offering 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15,000,000</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146,455,483</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146,456,983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Sale of 6,000,000 Private Warrants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6,000,000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(14,600,230)</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(147,460,863)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(147,462,323)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(18,208)</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(18,208)</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4,172,270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5,019,189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(19,658</w:t>
            </w:r>
          </w:p>
        </w:tc>
        <w:tc>
          <w:tcPr>
            <w:tcW w:w="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5,000,002</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8"/>
        <w:spacing w:after="0" w:line="342"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number includes up to 562,500 shares of common stock subject to forfeiture if the over-allotment option is not exercised in full or in part by the underwriters. On January 5, 2021, the underwriters fully exercised the over-allotment option; thus, these shares are no longer subject to forfeiture.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July 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(18,208)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0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(29,200)</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16,673</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44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(30,735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into Trust Account</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6"/>
              </w:rPr>
              <w:t>(151,500,000)</w:t>
            </w: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440"/>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6"/>
              </w:rPr>
              <w:t>(151,500,000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to Sponsor</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147,000,000</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Warrants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6,000,000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Advances from related parties</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2,520,005</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Repayment of advances from related parties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(2,400,000)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145,000</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(151,812)</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(536,205)</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Net cash provided by financing activities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152,576,988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1,046,253</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1,071,253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147,480,442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Offering costs paid through promissory note</w:t>
            </w: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6,812</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Ventoux CCM Acquisition Corp. (formerly known as Chardan Global Acquisition Corp.) (the “Company”) was incorporated in Delaware on July 10, 2019. The Company was formed for the purpose of entering into a merger, share exchange, asset acquisition, stock purchase, recapitalization, reorganization or other similar business transaction with one or more businesses or entities that the Company has not yet identified (a “Business Combination”).</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the Company had not commenced any operations. All activity through December 31, 2020 relates to the Company’s formation and the initial public offering (“Initial Public Offering”), which is described below.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December 23, 2020. On December 30, 2020, the Company consummated the Initial Public Offering of 15,000,000 Units (the “Units” and, with respect to the shares of common stock included in the Units sold, the “Public Shares”), at $10.00 per Unit, generating gross proceeds of $150,000,000, which is described in Note 3.</w:t>
      </w:r>
    </w:p>
    <w:p>
      <w:pPr>
        <w:spacing w:after="0" w:line="184"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Simultaneously with the closing of the Initial Public Offering, the Company consummated the sale of 6,000,000 warrants (the “Private Warrants”) at a price of $1.00 per Private Warrant in a private placement to Ventoux Acquisition Holdings LLC (“Ventoux Acquisition”), the co-sponsor and an affiliate of certain of the Company’s officers and directors, and Chardan International Investments, LLC (“Chardan Investments”), the co-sponsor and an affiliate of certain of the Company’s directors and Chardan Capital Markets, LLC, generating gross proceeds of $6,000,000, which is described in Note 4.</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Transaction costs charged to equity amounted to $3,543,017, consisting of $3,000,000 in cash underwriting fees and $543,017 of other offering costs.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Following the closing of the Initial Public Offering on December 30, 2020, an amount of $151,500,000 ($10.10 per Unit) from the net proceeds of the sale of the Units in the Initial Public Offering and the sale of the Private Warrants was placed in a trust account (the “Trust Account”), to be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as described below.</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29, 2020, the underwriters notified the Company of their intent to fully exercise their over-allotment option. Closing of the over-allotment option occurred on January 5, 2021, when the Company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 Transaction costs related to the underwriters’ exercise of their over-allotment option were $450,000, consisting of underwriting fees. As a result of the underwriters’ election to exercise their over-allotment option in full, 562,500 Founder Shares (as defined in Note 5) are no longer subject to forfeiture.</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firstLine="324"/>
        <w:spacing w:after="0" w:line="271" w:lineRule="auto"/>
        <w:rPr>
          <w:sz w:val="20"/>
          <w:szCs w:val="20"/>
          <w:color w:val="auto"/>
        </w:rPr>
      </w:pPr>
      <w:r>
        <w:rPr>
          <w:rFonts w:ascii="Arial" w:cs="Arial" w:eastAsia="Arial" w:hAnsi="Arial"/>
          <w:sz w:val="17"/>
          <w:szCs w:val="17"/>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$10.10 per share, plus any pro rata interest earned on the funds held in the Trust Account and not previously released to the Company to pay its tax obligations). There will be no redemption rights upon the completion of a Business Combination with respect to the Company’s rights or warrants.</w:t>
      </w:r>
    </w:p>
    <w:p>
      <w:pPr>
        <w:spacing w:after="0" w:line="1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Initial Public Offering (collectively, the “Initial Stockholders”) have agreed to (a) vote their Founder Shares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have until March 30, 2022 to consummate a Business Combination. However, if the Company anticipates that it may not be able to consummate a Business Combination by March 30, 2022, the Company may extend the period of time to consummate a Business Combination one time by an additional three months (until June 30, 2022) to complete a Business Combination (the “Combination Period”). In order to extend the time available for the Company to consummate a Business Combination, the Initial Stockholders or their affiliates or designees must deposit into the Trust Account $1,725,000 (due to the exercise in full of the underwriters’ over-allotment option) ($0.10 per Public Share), on or prior to the date of the applicable deadline.</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Initial Stockholders have agreed to (i) waive their redemption rights with respect to Founder Shares and any Public Shares they may acquire during or after the Initial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9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order to protect the amounts held in the Trust Account, certain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financial statements are presented in accordance with accounting principles generally accepted in the United States of America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preparation of the financial statements in conformity with GAAP requires management to make estimates and assumptions that affect the reported amounts of assets and liabilities and disclosure of contingent assets and liabilities at the date of the financial statement.</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December 31,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Shares of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common stock subject to possible redemption is presented as temporary equity, outside of the stockholders’ equity section of the Company’s balance sheet.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Offering costs consist of underwriting, legal, accounting and other expenses incurred through the Initial Public Offering that are directly related to the Initial Public Offering. Offering costs amounting to $3,543,017 were charged to stockholders’ equity upon the completion of the Initial Public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w:t>
      </w:r>
    </w:p>
    <w:p>
      <w:pPr>
        <w:spacing w:after="0" w:line="16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loss per common share is computed by dividing net income (loss) by the weighted average number of common shares outstanding for the period. The Company has not considered the effect of warrants or rights sold in the Initial Public Offering and private placement to purchase 14,250,000 shares of common stock in the calculation of diluted income (loss) per share, since the exercise of the warrants and rights are contingent upon the occurrence of future events and the inclusion of such warrants and rights would be anti-dilutive.</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Company’s statements of operations include a presentation of income (loss) per share for common shares subject to redemption in a manner similar to the two-class method of income (loss) per share. Net loss per common share, basic and diluted, for redeemable common stock is calculated by dividing the interest income earned on the Trust Account, by the weighted average number of redeemable common stock for the periods of 15,000,000 shares as of December 31, 2020 and none as of December 31, 2019. Net loss per common share, basic and diluted, for non-redeemable common stock is calculated by dividing the net income (loss), less income attributable to redeemable common stock, by the weighted average number of non-redeemable common stock outstanding of 3,750,000 for both December 31, 2020 and 2019. These amounts exclude 562,500 subject to forfeiture if the underwriter does not exercise their over-allotment option. Non-redeemable common stock includes the Founder Shares as these shares do not have any redemption features and do not participate in the income earned on the Trust Account.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left="340"/>
        <w:spacing w:after="0"/>
        <w:rPr>
          <w:sz w:val="20"/>
          <w:szCs w:val="20"/>
          <w:color w:val="auto"/>
        </w:rPr>
      </w:pPr>
      <w:r>
        <w:rPr>
          <w:rFonts w:ascii="Arial" w:cs="Arial" w:eastAsia="Arial" w:hAnsi="Arial"/>
          <w:sz w:val="16"/>
          <w:szCs w:val="16"/>
          <w:color w:val="auto"/>
        </w:rPr>
        <w:t>The following table reflects the calculation of basic and diluted net income (loss) per share for common shares (in dollars,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July 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Redeemable Common Stock</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Numerator: Earnings allocable to Redeemable Class A Common Stock</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Income Tax and Franchise Tax</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Earnings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Denominator: Weighted Average Redeemable Common Stock</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Common Stock, Basic and Diluted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680" w:type="dxa"/>
            <w:vAlign w:val="bottom"/>
          </w:tcPr>
          <w:p>
            <w:pPr>
              <w:ind w:left="180"/>
              <w:spacing w:after="0"/>
              <w:rPr>
                <w:sz w:val="20"/>
                <w:szCs w:val="20"/>
                <w:color w:val="auto"/>
              </w:rPr>
            </w:pPr>
            <w:r>
              <w:rPr>
                <w:rFonts w:ascii="Arial" w:cs="Arial" w:eastAsia="Arial" w:hAnsi="Arial"/>
                <w:sz w:val="18"/>
                <w:szCs w:val="18"/>
                <w:color w:val="auto"/>
              </w:rPr>
              <w:t>Earnings/Basic and Diluted Redeemable Class A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Non-Redeemable Common Stock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 Net Loss minus Redeemable Net Earnings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(18,208)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Net Earnings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Arial" w:cs="Arial" w:eastAsia="Arial" w:hAnsi="Arial"/>
                <w:sz w:val="18"/>
                <w:szCs w:val="18"/>
                <w:color w:val="auto"/>
              </w:rPr>
              <w:t>Non-Redeemable 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(18,208)</w:t>
            </w:r>
          </w:p>
        </w:tc>
        <w:tc>
          <w:tcPr>
            <w:tcW w:w="2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(1,450)</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 Weighted Average Non-Redeemable Common Stock</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Non-Redeemable Common Stock, Basic and Diluted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3,750,000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Loss/Basic and Diluted Non-Redeemable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2020 and 2019, basic and diluted shares are the same as there are no securities that are dilutive to the Company’s common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Coverage of $250,000. At December 31, 2020 and 2019, the Company has not experienced losses on these accounts and management believes the Company is not exposed to significant risks on such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Initial Public Offering on December 30, 2020, the Company sold 15,000,000 Units at a purchase price of $10.00 per Unit. Each Unit consists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Ventoux Acquisition purchased an aggregate of 4,000,000 Private Warrants and Chardan Investments purchased an aggregate of 2,000,000 Private Warrants, at $1.00 per Private Warrant resulting in combined aggregate purchase price of $6,000,000 in a private placement. Ventoux Acquisition purchased an additional 450,000 Private Warrants and Chardan Investments purchased an additional 225,000 Private Warrants, at a price of $1.00 per Private Warrant, or $675,000 in the aggregate, upon the full exercise of the over-allotment option (see Note 10).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As of the date hereof, Ventoux Acquisition holds 2,728,875 Founder Shares.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4,312,500 Founder Shares included an aggregate of up to 562,500 shares subject to forfeiture by the Initial Stockholders to the extent that the underwriters’ over-allotment were not exercised in full or in part, so that the Initial Stockholders would collectively own approximately 20% of the Company’s issued and outstanding shares after the Initial Public Offering (assuming the Initial Stockholders do not purchase any Public Shares in the Initial Public Offering). As a result of the underwriters’ election to fully exercise their over-allotment option, the Founder Shares are no longer subject to forfeiture (see Note 10). All share and per-share amounts have been retroactively restated.</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entered into an agreement, commencing on December 23, 2020 through the earlier of the Company’s consummation of a Business Combination or its liquidation, to pay Chardan Capital Markets, LLC a total of $10,000 per month for office space, utilities and secretarial support. As of December 31, 2020, there were no amounts incurred under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August 20, 2020, the Company issued an unsecured promissory note to Ventoux Acquisition (the “Promissory Note”), pursuant to which the Company could borrow up to an aggregate principal amount of $250,000. The Promissory Note was non-interest bearing and payable promptly after (i) the date on which the consummation of the Initial Public Offering or (ii) the date on which it is determined not to consummate the Initial Public Offering. The outstanding balance under the Promissory Note of $151,812 was repaid in full on December 31, 2020.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 As of December 31, 2020 and 2019, no Working Capital Loans were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Extension Loans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discussed in Note 1, the Company may extend the period of time to consummate a Business Combination one time, for an additional three months (until June 30, 2022) to complete a Business Combination. In order to extend the time available for the Company to consummate a Business Combination, the Initial Stockholders or their affiliates or designees must deposit into the Trust Account $1,725,000 (due to the exercise in full of the underwriters’ over-allotment option),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Advances from Related Parties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Related parties advanced the Company approximately $2,520,000 to pay for certain offering costs in connection with the Initial Public Offering. A majority of these advances were repaid and, at December 31, 2020, $120,005 was still owed to some of these related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a registration rights agreement entered into on December 23, 2020, the holders of the Founder Shares and the Private Warrants and securities that may be issued upon conversion of Working Capital Loans will be entitled to registration and stockholder rights pursuant to an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granted the underwriters a 45-day option from the date of the Initial Public Offering to purchase up to 2,250,000 additional Units to cover over-allotments, if any, at the Initial Public Offering price less the underwriting discounts and commissions. On January 5, 2021, the closing of the underwriters’ over-allotment option occurred (see Note 10).</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underwriters were paid cash underwriting discount of $0.20 per Unit, or $3,450,000 in the aggregate, upon the closing of the Initial Public Offering and the over-allotment option (see Note 10).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consummates its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Per the Company’s Amended and Restated Certificate of Incorporation, the Company is authorized to issue up to 1,000,000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preferred stock. As of December 31, 2020 and 2019, the Company has not issued shares of preferred stock</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Common Stock </w:t>
      </w:r>
      <w:r>
        <w:rPr>
          <w:rFonts w:ascii="Arial" w:cs="Arial" w:eastAsia="Arial" w:hAnsi="Arial"/>
          <w:sz w:val="17"/>
          <w:szCs w:val="17"/>
          <w:color w:val="auto"/>
        </w:rPr>
        <w:t>— The Company is authorized to issue 50,000,000 shares of common stock with a par value of $0.0001 per share. Holders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common stock are entitled to one vote for each share. At December 31, 2020, there were 4,712,270 shares of common stock issued and outstanding, excluding 14,600,230 shares of common stock subject to possible redemption, of which 562,500 shares were subject to forfeiture to the extent that the underwriters’ over-allotment option was not exercised in full so that the Initial Stockholders would collectively own approximately 20% of the issued and outstanding shares after the Initial Public Offering (assuming the Initial Stockholders do not purchase any Public Shares in the Initial Public Offering). As a result of the underwriters’ election to fully exercise their over-allotment option, the Founder Shares are no longer subject to forfeiture (see Note 10). At December 31, 2019, there were 4,312,500 shares of common stock issued and outstanding.</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—The Public Warrants will become exercisable at any time commencing on the later of one year after the closing of the Initial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jc w:val="both"/>
        <w:ind w:firstLine="324"/>
        <w:spacing w:after="0" w:line="291" w:lineRule="auto"/>
        <w:rPr>
          <w:sz w:val="20"/>
          <w:szCs w:val="20"/>
          <w:color w:val="auto"/>
        </w:rPr>
      </w:pPr>
      <w:r>
        <w:rPr>
          <w:rFonts w:ascii="Arial" w:cs="Arial" w:eastAsia="Arial" w:hAnsi="Arial"/>
          <w:sz w:val="16"/>
          <w:szCs w:val="16"/>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Private Warrants are identical to the Public Warrants underlying the Units sold in the Initial Public Offering except that each Private Warrant is exercisable for one share of common stock at an exercise price of $11.50 per share,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Except in cases where the Company is not the surviving company in a Business Combination, each holder of a right will automatically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1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not issue fractional shares in connection with an exchange of rights, so holders must hold rights in denominations of 20 in order to receive a share of the Company’s common stock at the closing of the initial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NOTE 8. INCOME TAX</w:t>
            </w:r>
          </w:p>
        </w:tc>
        <w:tc>
          <w:tcPr>
            <w:tcW w:w="3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40" w:type="dxa"/>
            <w:vAlign w:val="bottom"/>
          </w:tcPr>
          <w:p>
            <w:pPr>
              <w:ind w:left="340"/>
              <w:spacing w:after="0"/>
              <w:rPr>
                <w:sz w:val="20"/>
                <w:szCs w:val="20"/>
                <w:color w:val="auto"/>
              </w:rPr>
            </w:pPr>
            <w:r>
              <w:rPr>
                <w:rFonts w:ascii="Arial" w:cs="Arial" w:eastAsia="Arial" w:hAnsi="Arial"/>
                <w:sz w:val="18"/>
                <w:szCs w:val="18"/>
                <w:color w:val="auto"/>
              </w:rPr>
              <w:t>The Company’s net deferred tax assets are as follows:</w:t>
            </w: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48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r>
      <w:tr>
        <w:trPr>
          <w:trHeight w:val="236"/>
        </w:trPr>
        <w:tc>
          <w:tcPr>
            <w:tcW w:w="48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Deferred tax asset</w:t>
            </w:r>
          </w:p>
        </w:tc>
        <w:tc>
          <w:tcPr>
            <w:tcW w:w="3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w:t>
            </w:r>
          </w:p>
        </w:tc>
        <w:tc>
          <w:tcPr>
            <w:tcW w:w="40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7"/>
        </w:trPr>
        <w:tc>
          <w:tcPr>
            <w:tcW w:w="4840" w:type="dxa"/>
            <w:vAlign w:val="bottom"/>
          </w:tcPr>
          <w:p>
            <w:pPr>
              <w:ind w:left="180"/>
              <w:spacing w:after="0"/>
              <w:rPr>
                <w:sz w:val="20"/>
                <w:szCs w:val="20"/>
                <w:color w:val="auto"/>
              </w:rPr>
            </w:pPr>
            <w:r>
              <w:rPr>
                <w:rFonts w:ascii="Arial" w:cs="Arial" w:eastAsia="Arial" w:hAnsi="Arial"/>
                <w:sz w:val="18"/>
                <w:szCs w:val="18"/>
                <w:color w:val="auto"/>
              </w:rPr>
              <w:t>Organizational costs/Startup expenses</w:t>
            </w:r>
          </w:p>
        </w:tc>
        <w:tc>
          <w:tcPr>
            <w:tcW w:w="40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3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Valuation allowance</w:t>
            </w:r>
          </w:p>
        </w:tc>
        <w:tc>
          <w:tcPr>
            <w:tcW w:w="3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(3,824)</w:t>
            </w:r>
          </w:p>
        </w:tc>
        <w:tc>
          <w:tcPr>
            <w:tcW w:w="24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 net of allowance</w:t>
            </w:r>
          </w:p>
        </w:tc>
        <w:tc>
          <w:tcPr>
            <w:tcW w:w="3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8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2"/>
          </w:tcPr>
          <w:p>
            <w:pPr>
              <w:jc w:val="right"/>
              <w:ind w:right="3047"/>
              <w:spacing w:after="0"/>
              <w:rPr>
                <w:sz w:val="20"/>
                <w:szCs w:val="20"/>
                <w:color w:val="auto"/>
              </w:rPr>
            </w:pPr>
            <w:r>
              <w:rPr>
                <w:rFonts w:ascii="Arial" w:cs="Arial" w:eastAsia="Arial" w:hAnsi="Arial"/>
                <w:sz w:val="18"/>
                <w:szCs w:val="18"/>
                <w:color w:val="auto"/>
              </w:rPr>
              <w:t>F-15</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The income tax provision consists of the following:</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(3,824)</w:t>
            </w: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3,824</w:t>
            </w:r>
          </w:p>
        </w:tc>
        <w:tc>
          <w:tcPr>
            <w:tcW w:w="24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a U.S. federal net operating loss carryover of approximately $4,000 available to offset future taxable income.</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2020 and for the period from July 10, 2019 (inception) through December 31, 2019, the change in the valuation allowance was $3,824 and $0, respectively.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federal income tax rate to the Company’s effective tax rate is as follows:</w:t>
      </w:r>
    </w:p>
    <w:p>
      <w:pPr>
        <w:spacing w:after="0" w:line="221"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48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21.0%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State taxes, net of federal tax benefit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(21.0)%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Income tax provision</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240" w:right="20" w:hanging="890"/>
        <w:spacing w:after="0" w:line="308" w:lineRule="auto"/>
        <w:tabs>
          <w:tab w:leader="none" w:pos="12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6" w:lineRule="exact"/>
        <w:rPr>
          <w:sz w:val="20"/>
          <w:szCs w:val="20"/>
          <w:color w:val="auto"/>
        </w:rPr>
      </w:pPr>
    </w:p>
    <w:p>
      <w:pPr>
        <w:ind w:left="1240" w:right="20" w:hanging="890"/>
        <w:spacing w:after="0" w:line="277" w:lineRule="auto"/>
        <w:tabs>
          <w:tab w:leader="none" w:pos="12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340"/>
        <w:spacing w:after="0"/>
        <w:tabs>
          <w:tab w:leader="none" w:pos="12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ind w:firstLine="324"/>
        <w:spacing w:after="0" w:line="308" w:lineRule="auto"/>
        <w:rPr>
          <w:sz w:val="20"/>
          <w:szCs w:val="20"/>
          <w:color w:val="auto"/>
        </w:rPr>
      </w:pPr>
      <w:r>
        <w:rPr>
          <w:rFonts w:ascii="Arial" w:cs="Arial" w:eastAsia="Arial" w:hAnsi="Arial"/>
          <w:sz w:val="17"/>
          <w:szCs w:val="17"/>
          <w:color w:val="auto"/>
        </w:rPr>
        <w:t>At December 31, 2020, assets held in the Trust Account were comprised of $151,500,000 in a money market fund which is classified as Level 1.For the year ended December 31, 2020 there were no transfers between levels. At December 31, 2019, no assets were held in the Trust Account.</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information about the Company’s assets that are measured at fair value on a recurring basis at December 31, 2020 and indicates the fair value hierarchy of the valuation inputs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Level</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10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151,500,000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29, 2020, the underwriters notified the Company of their intention to fully exercise their over-allotment option. On January 5, 2021, the Company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costs related to the underwriters’ exercise of their over-allotment option were $450,000, consisting of underwriting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the underwriters’ election to exercise their over-allotment option in full, 562,500 Founder Shares are no longer subject to forfeiture.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ind w:left="10400"/>
        <w:spacing w:after="0"/>
        <w:rPr>
          <w:sz w:val="20"/>
          <w:szCs w:val="20"/>
          <w:color w:val="auto"/>
        </w:rPr>
      </w:pPr>
      <w:r>
        <w:rPr>
          <w:rFonts w:ascii="Arial" w:cs="Arial" w:eastAsia="Arial" w:hAnsi="Arial"/>
          <w:sz w:val="16"/>
          <w:szCs w:val="16"/>
          <w:b w:val="1"/>
          <w:bCs w:val="1"/>
          <w:color w:val="auto"/>
        </w:rPr>
        <w:t>Exhibit 4.6</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u w:val="single" w:color="auto"/>
          <w:color w:val="auto"/>
        </w:rPr>
        <w:t>DESCRIPTION OF REGISTRANT’S SECURITIES REGISTERED PURSUANT TO SECTION 12 OF THE SECURITIES EXCHANGE ACT OF 1934</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As of December 31, 2020, the end of the period covered by this Annual Report on Form 10-K, the Company has four classes of securities registered under Section 12 of the Securities Exchange Act of 1934, as amended (the “Exchange Act”): the Company’s common stock, $0.0001 par value (“common stock”), rights to receive common stock (“rights”), warrants to purchase common stock (“warrants”), and units comprised of one share of common stock, one right entitling the holder to receive one-twentieth (1/20) of a share of common stock, and one warrant to purchase one-half (1/2) of one share of common stock.</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 of the Company’s capital stock and provisions of the Company’s amended and restated certificate of incorporation, bylaws and the Delaware General Corporation Law are summaries and are qualified in their entirety by reference to the Company’s amended and restated certificate of incorporation and bylaws and the text of the Delaware General Corporation Law. Copies of these documents have been filed with the SEC as exhibits to the Annual Report on Form 10-K to which this description has been filed as an exhibit.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authorized capital stock consists of 50,000,000 shares of common stock, par value $0.0001 per share, and 1,000,000 shares of preferred stock, par value $0.0001 per share. The authorized and unissued shares of common stock and preferred stock are available for issuance without further action by the Company’s stockholders, unless such action is required by applicable law or the rules of any stock exchange on which the Company’s securities may be listed. Unless approval of stockholders is so required, the Company’s board of directors will not seek stockholder approval for the issuance and sale of common stock. No preferred shares are issued or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unit consists of one share of common stock, one right and one warrant. Each right entitles the holder to receive one-twentieth (1/20) of a share of common stock. Each warrant entitles the holder thereof to purchase one-half (1/2) of one share of common stock at a price of $11.50 per whole share, subject to adjustment. Each warrant will become exercisable on the later of one year after the closing of the IPO or the consummation of an initial business combination, and will expire five years after the completion of an initial business combination, or earlier upon redemption. The private warrants purchased by Chardan International Investments, LLC (“Chardan Investments”) will not be exercisable more than five years from the effective date of the Company’s registration statement, in accordance with FINRA Rule 5110(g)(8), as long as Chardan Capital Markets, LLC or any of its related persons beneficially own these private warrants.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not issue fractional shares upon conversion of the rights, and no cash will be payable in lieu thereof. As a result, a holder must have 20 rights to receive one share of common stock at the closing of the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holders of record of the Company’s common stock are entitled to one vote for each share held on all matters to be voted on by stockholders. In connection with any vote held to approve the Company’s initial business combination, the Company’s insiders, officers and directors, have agreed to vote their respective shares of common stock owned by them immediately prior to this offering, including both the insider shares and any shares acquired in this offering or following this offering in the open market, in favor of the proposed business combination.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will consummate its initial business combination only if public stockholders do not exercise conversion rights in an amount that would cause its net tangible assets to be less than $5,000,001 and a majority of the outstanding shares of common stock voted are voted in favor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spacing w:after="0" w:line="286" w:lineRule="auto"/>
        <w:rPr>
          <w:sz w:val="20"/>
          <w:szCs w:val="20"/>
          <w:color w:val="auto"/>
        </w:rPr>
      </w:pPr>
      <w:r>
        <w:rPr>
          <w:rFonts w:ascii="Arial" w:cs="Arial" w:eastAsia="Arial" w:hAnsi="Arial"/>
          <w:sz w:val="16"/>
          <w:szCs w:val="16"/>
          <w:color w:val="auto"/>
        </w:rPr>
        <w:t>Pursuant to the Company’s certificate of incorporation, if the Company does not consummate its initial business combination within 15 months (or up to 18 months, as applicable) from the closing of the IPO, the Company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w:t>
      </w:r>
    </w:p>
    <w:p>
      <w:pPr>
        <w:spacing w:after="0" w:line="1" w:lineRule="exact"/>
        <w:rPr>
          <w:sz w:val="20"/>
          <w:szCs w:val="20"/>
          <w:color w:val="auto"/>
        </w:rPr>
      </w:pPr>
    </w:p>
    <w:p>
      <w:pPr>
        <w:jc w:val="both"/>
        <w:ind w:firstLine="8"/>
        <w:spacing w:after="0" w:line="284" w:lineRule="auto"/>
        <w:tabs>
          <w:tab w:leader="none" w:pos="342"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 The Company’s insiders have agreed to waive their rights to share in any distribution with respect to their insider shares. However, if the Company anticipates that it may not be able to consummate its initial business combination within 15 months, the initial stockholders or their affiliates may, but are not obligated to, extend the period of time to consummate an initial business combination one time by up to an additional three months (for a total of up to 18 months to complete an initial business combination) without the need for a separate stockholder vote. Pursuant to the terms of the amended and restated certificate of incorporation and the trust agreement between the Company and Continental Stock Transfer &amp; Trust Company, the only way to extend the time available for the Company to consummate its initial business combination without the need for a separate stockholder vote is for the initial stockholders or their affiliates or designees, upon five days’ advance notice prior to the applicable deadline, to deposit into the trust account $1,725,000 (due to the exercise in full of the underwriters’ over-allotment option) ($0.10 per share), if extended for the full 3 months, on or prior to the date of the applicable deadline. Pursuant to the amended and restated certificate of incorporation and the trust agreement, if such funds are not deposited, the time to complete an initial business combination cannot be extended unless the Company’s stockholders otherwise approve an extension on different terms. In the event that they elected to extend the time to complete an initial business combination and deposited the applicable amount of money into trust, the initial stockholders would receive a non-interest bearing, unsecured promissory note equal to the amount of any such deposit that will not be repaid in the event that the Company is unable to close a business combination unless there are funds available outside the trust account to do so. Such notes would be paid upon consummation of the initial business combination. In the event that the Company receives notice from the insiders five days prior to the applicable deadline of their intent to effect an extension, the Company intends to issue a press release announcing such intention at least three days prior to the applicable deadline.</w:t>
      </w:r>
    </w:p>
    <w:p>
      <w:pPr>
        <w:spacing w:after="0" w:line="3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stockholders have no conversion, preemptive or other subscription rights and there are no sinking fund or redemption provisions applicable to the shares of common stock, except that public stockholders have the right to sell their shares to the Company in any tender offer or have their shares of common stock converted to cash equal to their pro rata share of the trust account if they vote on the proposed business combination and the business combination is completed. In order for a public stockholder to have his, her or its shares redeemed for cash in connection with any proposed business combination, the Company may require that the public stockholders vote either in favor of or against a proposed business combination. If required to vote pursuant to the procedures specified in the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holds a stockholder vote to amend any provisions of the certificate of incorporation relating to stockholder’s rights or pre-business combination activity (including the substance or timing within which the Company to complete a business combination), the Company will provide the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no shares of preferred stock outstanding. The board of directors is empowered, without stockholder approval, to issue preferred stock with dividend, liquidation, conversion, voting or other rights which could adversely affect the voting power or other rights of the holders of common stock. However, the underwriting agreement between the Company and the underwriters in the IPO prohibits the Company, prior to a business combination, from issuing preferred stock which participates in any manner in the proceeds of the trust account, or which votes as a class with the common stock on the initial business combination. The Company may issue some or all of the preferred stock to effect the initial business combination. In addition, the preferred stock could be utilized as a method of discouraging, delaying or preventing a change in control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public warrant entitles the registered holder to purchase one-half (1/2) of one share of common stock at a price of $11.50 per whole share, subject to adjustment as described below, at any time commencing on the later of one year after the closing of the IPO or the consummation of an initial business combination. However, no public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120 days from the closing of the initial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The warrants will expire five years from the closing of the initial business combination at 5:00 p.m., New York City time.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jc w:val="both"/>
        <w:spacing w:after="0" w:line="273" w:lineRule="auto"/>
        <w:rPr>
          <w:sz w:val="20"/>
          <w:szCs w:val="20"/>
          <w:color w:val="auto"/>
        </w:rPr>
      </w:pPr>
      <w:r>
        <w:rPr>
          <w:rFonts w:ascii="Arial" w:cs="Arial" w:eastAsia="Arial" w:hAnsi="Arial"/>
          <w:sz w:val="17"/>
          <w:szCs w:val="17"/>
          <w:color w:val="auto"/>
        </w:rPr>
        <w:t>The private warrants are identical to the public warrants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the Company, in each case so long as they are still held by the initial purchasers or their affiliates. The private warrants purchased by Chardan Investments will not be exercisable more than five years from the effective date of the registration statement, in accordance with FINRA Rule 5110(g)(8), as long as Chardan Capital Markets, LLC or any of its related persons beneficially own these private warrants.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call the outstanding warrants for redemption (excluding the private warrants but including any warrants already issued upon exercise of the unit purchase option), in whole and not in part, at a price of $0.01 per warrant:</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$16.50 per share, for any 20 trading days within a 30-day trading period ending on the third business day prior to the notice of redemption to warrant holders, and</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redemption criteria for the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the redemption call, the redemption will not cause the share price to drop below the exercise price of the warrants.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shall mean the average reported last sale price of the common stock for the 10 trading days ending on the third trading day prior to the date on which the notice of redemption is sent to the holders of warrants. Whether the Company will exercise the option to require all holders to exercise their warrants on a “cashless basis” will depend on a variety of factors including the price of the shares of common stock at the time the warrants are called for redemption, the Company’s cash needs at such time and concerns regarding dilutive share issuances.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were issued in registered form under a warrant agreement between Continental Stock Transfer &amp; Trust Company, as warrant agent, and the Company. The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exercise price and number of shares of common stock issuable on exercise of the warrants may be adjusted in certain circumstances including in the event of a share dividend, extraordinary dividend or recapitalization, reorganization, merger or consolidation. In addition, if the Company issues additional shares of common stock or equity-linked securities for capital raising purposes in connection with the closing of the initial business combination at a newly issued price of less than $9.20 per share of common stock (with such issue price or effective issue price to be determined in good faith by the Company’s board of directors and, in the case of any such issuance to the initial stockholders or their affiliates, without taking into account any founder shares or private warrants held by them, as applicable, prior to such issuance),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the common stock during the 20 trading day period starting on the trading day prior to the consummation of an initial business combination).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the Company,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Except as described above, no public warrants will be exercisable for cash, and the Company will not be obligated to issue shares of common stock unless at the time a holder seeks to exercise such warrant,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warrant agreement, the Company has agreed to use its best efforts to meet these conditions and to maintain a current prospectus relating to the shares of common stock issuable upon exercise of the warrants until the expiration of the warrants. However, the Company cannot assure you that it will be able to do so and, if the Company does not maintain a current prospectus relating to the shares of common stock issuable upon exercise of the warrants, holders will be unable to exercise their warrants, and the Company will not be required to settle any such warrant exercise. If the prospectus relating to the shares of common stock issuable upon the exercise of the warrants is not current or if the common stock is not qualified or exempt from qualification in the jurisdictions in which the holders of the warrants reside, the Company will not be required to net cash settle or cash settle the warrant exercise, the warrants may have no value, the market for the warrants may be limited, and the warrants may expire worthless.</w:t>
      </w:r>
    </w:p>
    <w:p>
      <w:pPr>
        <w:spacing w:after="0" w:line="1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4.99% or 9.99% (or such other amount as a holder may specify) of common stock outstanding.</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the Company will, upon exercise, round down to the nearest whole number the number of shares of common stock to be issued to the warrant holder.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agreed that, subject to applicable law, any action, proceeding or claim against the Company arising out of or relating in any way to the warrant agreement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Arrangements with respect to the Certain Warrants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agreed that so long as the private warrants are still held by the initial purchasers or their affiliates, the Company will not redeem such warrants, and it will allow the holders to exercise such warrants on a cashless basis (even if a registration statement covering the shares of common stock issuable upon exercise of such warrants is not effective). However, once any of the foregoing warrants are transferred from the initial purchasers or their affiliates, these arrangements will no longer apply. Furthermore, because the private warrants will be issued in a private transaction, the holders and their transferees will be allowed to exercise the private warrants for cash even if a registration statement covering the shares of common stock issuable upon exercise of such warrants is not effective and receive unregistered shares of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right represents the right to receive one-twentieth (1/20) of one share of common stock upon the consummation of the Company’s initial business combination, so each holder of 20 rights will receive one share of common stock upon consummation of the initial business combination, whether or not the Company will be the surviving entity and even if the holder of such right redeemed all common stock held by him, her or it in connection with the initial business combination or an amendment to the Company’s amended and restated certificate of incorporation with respect to the Company’s pre-business combination activities. No fractional shares will be issued upon conversion of any rights, so holders must hold rights in denominations of 20 in order to receive a share of common stock at the closing of the initial business combination. No additional consideration will be required to be paid by a holder of rights in order to receive his, her or its additional common stock upon consummation of an initial business combination as the consideration related thereto has been included in the unit purchase price previously paid for by investors. The shares issuable upon exchange of the rights will be freely tradable (except to the extent held by affiliates of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spacing w:after="0" w:line="259" w:lineRule="auto"/>
        <w:rPr>
          <w:sz w:val="20"/>
          <w:szCs w:val="20"/>
          <w:color w:val="auto"/>
        </w:rPr>
      </w:pPr>
      <w:r>
        <w:rPr>
          <w:rFonts w:ascii="Arial" w:cs="Arial" w:eastAsia="Arial" w:hAnsi="Arial"/>
          <w:sz w:val="18"/>
          <w:szCs w:val="18"/>
          <w:color w:val="auto"/>
        </w:rPr>
        <w:t>As soon as practicable upon the occurrence of an initial business combination, the Company will direct holders of the rights to return their rights certificates to Continental Stock Transfer &amp; Trust Company, in its capacity as rights agent. Upon receipt of the rights certificate, in a business combination in which the Company will be the surviving entity, the Company will issue to the registered holder of such rights the number of full shares of common stock to which the holder is entitled.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Company enters into a definitive agreement for a business combination in which the Company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his, her or its rights in order to receive the one-twentieth (1/20) share underlying each right (without paying any additional consideration) upon consummation of the business combination. More specifically, the right holder will be required to indicate his, her or its election to convert the rights into underlying shares as well as to return the original rights certificates to the Company.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Promptly upon the consummation of the initial business combination, the Company will direct registered holders of the rights to return their rights to the Company’s rights agent. Upon receipt of the rights, the rights agent will issue to the registered holder of such right(s) the number of full shares of common stock to which he, she or it is entitled. The Company will notify registered holders of the rights to deliver their rights to the rights agent promptly upon consummation of such business combination. The Company has been informed by the rights agent that the process of exchanging their rights for common stock should take no more than a matter of days. The foregoing exchange of rights is solely ministerial in nature and is not intended to provide the Company with any means of avoiding its obligation to issue the shares underlying the rights upon consummation of the initial business combination. Other than confirming that the rights delivered by a registered holder are valid, the Company will have no ability to avoid delivery of the shares underlying the rights. Nevertheless, there are no contractual penalties for failure to deliver securities to the holders of the rights upon consummation of an initial business combination. Additionally, in no event will the Company be required to net cash settle the rights. Accordingly, the rights may expire worthless.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not issue any fractional shares upon conversions of the rights upon separation of the units, and no cash will be payable in lieu thereof. As a result, a holder must have 20 rights to receive one share of common stock. In the event that any holder would otherwise be entitled to any fractional share upon exchange of his, her or its rights, the Company will reserve the option, to the fullest extent permitted by applicable law, to deal with any such fractional entitlement at the relevant time as the Company sees fit, which would include the rounding down of any entitlement to receive common stock to the nearest whole share (and in effect extinguishing any fractional entitlement), or the holder being entitled to hold any remaining fractional entitlement (without any share being issued) and to aggregate the same with any future fractional entitlement to receive shares in the company until the holder is entitled to receive a whole number. Any rounding down and extinguishment may be done with or without any in lieu cash payment or other compensation being made to the holder of the relevant rights, such that value received on exchange of the rights may be considered less than the value that the holder would otherwise expect to receive. All holders of rights shall be treated in the same manner with respect to the issuance of shares upon conversions of the rights.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agreed that, subject to applicable law, any action, proceeding or claim against the Company arising out of or relating in any way to the rights agreement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of stockholders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bylaws provide that special meetings of stockholders may be called only by a majority vote of the board of directors, by the president or by the chairman.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bylaws provide that stockholders seeking to bring business before an annual meeting of stockholders, or to nominate candidates for election as directors at an annual meeting of stockholders must provide timely notice of their intent in writing. To be timely, a stockholder’s notice will need to be delivered to the Company’s principal executive offices not later than the close of business on the 90th day nor earlier than the opening of business on the 120th day prior to the scheduled date of the annual meeting of stockholders. The Company’s bylaws also specify certain requirements as to the form and content of a stockholders’ meeting. These provisions may preclude the Company’s stockholders from bringing matters before an annual meeting of stockholders or from making nominations for directors at an annual meeting of stockholders.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could render more difficult or discourage an attempt to obtain control of the Company by means of a proxy contest, tender offer, merger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 For Certain Lawsuits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amended and restated certificate of incorporation provides that, unless the Company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(A) any derivative claim or cause of action brought on behalf of the Company; (B) any claim or cause of action for breach of a fiduciary duty owed by any current or former director, officer, employee or agent of the Company, to the Company or the Company’s stockholders, or any claim or cause of action for aiding and abetting any such breach; (C) any claim or cause of action against the Company or any current or former director, officer or other employee of the Company, arising out of or pursuant to any provision of the Delaware General Corporation Law, the amended and restated certificate of incorporation or the bylaws of the Company (as each may be amended from time to time); (D) any claim or cause of action seeking to interpret, apply, enforce or determine the validity of the amended and restated certificate of Incorporation or the bylaws of the Company (as each may be amended from time to time, including any right, obligation, or remedy thereunder); (E) any claim or cause of action as to which the Delaware General Corporation Law confers jurisdiction on the Court of Chancery of the State of Delaware; and (F) any claim or cause of action against the Company or any current or former director, officer or other employee of the Company, governed by the internal-affairs doctrine, in all cases to the fullest extent permitted by law and subject to the court having personal jurisdiction over the indispensable parties named as defendants. Notwithstanding the foregoing, the inclusion of such provision in our amended and restated certificate of incorporation will not be deemed to be a waiver by the stockholders of the Company’s obligation to comply with federal securities laws, rules and regulations, and the provisions of this paragraph will not apply to claims or causes of action brought to enforce a duty or liability created by the Securities Act, or the Exchange Act or any other claim for which the federal courts have exclusive jurisdiction.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Scheetz,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Ventoux CCM Acquisition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(Paragraph omitted pursuant to SEC Release Nos. and 33-8392/34-49313); and</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MacDonald,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Ventoux CCM Acquisition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 and</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33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Ventoux CCM Acquisition Corp. (the “Company”) on Form 10-K for the year ended December 31, 2020 as filed with the Securities and Exchange Commission on the date hereof (the “Report”), each of the undersigned, in the capacities and on the dates indicated below, hereby certifies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20" w:hanging="328"/>
        <w:spacing w:after="0" w:line="50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 Date: March 30,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30,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upp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lowerLetter"/>
      <w:start w:val="2"/>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1"/>
    </w:lvl>
    <w:lvl w:ilvl="1">
      <w:lvlJc w:val="left"/>
      <w:lvlText w:val="(%2)"/>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Roman"/>
      <w:start w:val="3"/>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43" Type="http://schemas.openxmlformats.org/officeDocument/2006/relationships/hyperlink" Target="http://www.sec.gov/Archives/edgar/data/1822145/000121390020045520/ea132405ex1-1_ventouxccm.htm" TargetMode="External"/><Relationship Id="rId44" Type="http://schemas.openxmlformats.org/officeDocument/2006/relationships/hyperlink" Target="https://www.sec.gov/Archives/edgar/data/1822145/000121390020045520/ea132405ex3-1_ventouxccm.htm" TargetMode="External"/><Relationship Id="rId45" Type="http://schemas.openxmlformats.org/officeDocument/2006/relationships/hyperlink" Target="http://www.sec.gov/Archives/edgar/data/1822145/000121390020040143/fs12020ex3-5_ventoux.htm" TargetMode="External"/><Relationship Id="rId46" Type="http://schemas.openxmlformats.org/officeDocument/2006/relationships/hyperlink" Target="http://www.sec.gov/Archives/edgar/data/1822145/000121390020042648/fs12020a1ex4-1_ventouxccm.htm" TargetMode="External"/><Relationship Id="rId47" Type="http://schemas.openxmlformats.org/officeDocument/2006/relationships/hyperlink" Target="http://www.sec.gov/Archives/edgar/data/1822145/000121390020042648/fs12020a1ex4-2_ventouxccm.htm" TargetMode="External"/><Relationship Id="rId48" Type="http://schemas.openxmlformats.org/officeDocument/2006/relationships/hyperlink" Target="http://www.sec.gov/Archives/edgar/data/1822145/000121390020042648/fs12020a1ex4-3_ventouxccm.htm" TargetMode="External"/><Relationship Id="rId49" Type="http://schemas.openxmlformats.org/officeDocument/2006/relationships/hyperlink" Target="http://www.sec.gov/Archives/edgar/data/1822145/000121390020045520/ea132405ex4-1_ventouxccm.htm" TargetMode="External"/><Relationship Id="rId50" Type="http://schemas.openxmlformats.org/officeDocument/2006/relationships/hyperlink" Target="http://www.sec.gov/Archives/edgar/data/1822145/000121390020045520/ea132405ex4-2_ventouxccm.htm" TargetMode="External"/><Relationship Id="rId51" Type="http://schemas.openxmlformats.org/officeDocument/2006/relationships/hyperlink" Target="http://www.sec.gov/Archives/edgar/data/1822145/000121390020045520/ea132405ex10-1_ventouxccm.htm" TargetMode="External"/><Relationship Id="rId52" Type="http://schemas.openxmlformats.org/officeDocument/2006/relationships/hyperlink" Target="http://www.sec.gov/Archives/edgar/data/1822145/000121390020045520/ea132405ex10-2_ventouxccm.htm" TargetMode="External"/><Relationship Id="rId53" Type="http://schemas.openxmlformats.org/officeDocument/2006/relationships/hyperlink" Target="http://www.sec.gov/Archives/edgar/data/1822145/000121390020045520/ea132405ex10-3_ventouxccm.htm" TargetMode="External"/><Relationship Id="rId54" Type="http://schemas.openxmlformats.org/officeDocument/2006/relationships/hyperlink" Target="http://www.sec.gov/Archives/edgar/data/1822145/000121390020045520/ea132405ex10-4_ventouxccm.htm" TargetMode="External"/><Relationship Id="rId55" Type="http://schemas.openxmlformats.org/officeDocument/2006/relationships/hyperlink" Target="http://www.sec.gov/Archives/edgar/data/1822145/000121390020045520/ea132405ex10-5_ventouxccm.htm" TargetMode="External"/><Relationship Id="rId56" Type="http://schemas.openxmlformats.org/officeDocument/2006/relationships/hyperlink" Target="http://www.sec.gov/Archives/edgar/data/1822145/000121390020045520/ea132405ex10-6_ventouxccm.htm" TargetMode="External"/><Relationship Id="rId57" Type="http://schemas.openxmlformats.org/officeDocument/2006/relationships/hyperlink" Target="http://www.sec.gov/Archives/edgar/data/1822145/000121390020045520/ea132405ex10-7_ventouxccm.htm" TargetMode="External"/><Relationship Id="rId58" Type="http://schemas.openxmlformats.org/officeDocument/2006/relationships/hyperlink" Target="http://www.sec.gov/Archives/edgar/data/1822145/000121390020045520/ea132405ex10-8_ventouxccm.htm" TargetMode="External"/><Relationship Id="rId59" Type="http://schemas.openxmlformats.org/officeDocument/2006/relationships/hyperlink" Target="http://www.sec.gov/Archives/edgar/data/1822145/000121390020045520/ea132405ex10-9_ventouxccm.htm" TargetMode="External"/><Relationship Id="rId60" Type="http://schemas.openxmlformats.org/officeDocument/2006/relationships/hyperlink" Target="http://www.sec.gov/Archives/edgar/data/1822145/000121390020042648/fs12020a1ex14-1_ventouxccm.htm" TargetMode="External"/><Relationship Id="rId61" Type="http://schemas.openxmlformats.org/officeDocument/2006/relationships/hyperlink" Target="http://www.sec.gov/Archives/edgar/data/1822145/000121390020042648/fs12020a1ex99-1_ventouxccm.htm" TargetMode="External"/><Relationship Id="rId62" Type="http://schemas.openxmlformats.org/officeDocument/2006/relationships/hyperlink" Target="http://www.sec.gov/Archives/edgar/data/1822145/000121390020042648/fs12020a1ex99-2_ventouxccm.htm" TargetMode="External"/><Relationship Id="rId63" Type="http://schemas.openxmlformats.org/officeDocument/2006/relationships/hyperlink" Target="http://www.sec.gov/Archives/edgar/data/1822145/000121390020042648/fs12020a1ex99-3_ventouxcc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2021-03-30T17:58:00Z</dcterms:created>
  <dcterms:modified xsi:type="dcterms:W3CDTF">2021-03-30T17:58:00Z</dcterms:modified>
</cp:coreProperties>
</file>