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Mosher Dan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880" w:type="dxa"/>
            <w:vAlign w:val="bottom"/>
          </w:tcPr>
          <w:p>
            <w:pPr>
              <w:ind w:left="8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985 INDUSTRIAL ROAD, SUITE 205</w:t>
            </w:r>
          </w:p>
        </w:tc>
      </w:tr>
      <w:tr>
        <w:trPr>
          <w:trHeight w:val="212"/>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w w:val="98"/>
              </w:rPr>
              <w:t>SAN CARLOS</w:t>
            </w:r>
          </w:p>
        </w:tc>
        <w:tc>
          <w:tcPr>
            <w:tcW w:w="880" w:type="dxa"/>
            <w:vAlign w:val="bottom"/>
          </w:tcPr>
          <w:p>
            <w:pPr>
              <w:ind w:left="8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94070</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880" w:type="dxa"/>
            <w:vAlign w:val="bottom"/>
          </w:tcPr>
          <w:p>
            <w:pPr>
              <w:ind w:left="8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Presto Automation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PRST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64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03/31/2023</w:t>
            </w: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vMerge w:val="restart"/>
          </w:tcPr>
          <w:p>
            <w:pPr>
              <w:ind w:left="680"/>
              <w:spacing w:after="0"/>
              <w:rPr>
                <w:sz w:val="20"/>
                <w:szCs w:val="20"/>
                <w:color w:val="auto"/>
              </w:rPr>
            </w:pPr>
            <w:r>
              <w:rPr>
                <w:rFonts w:ascii="Arial" w:cs="Arial" w:eastAsia="Arial" w:hAnsi="Arial"/>
                <w:sz w:val="18"/>
                <w:szCs w:val="18"/>
                <w:color w:val="0000FF"/>
                <w:w w:val="91"/>
              </w:rPr>
              <w:t>PRESIDENT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Stock, $0.0001 par value</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03/31/2023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1,762</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1.58</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19,836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July 25, 2022, the reporting person was granted 21,598 restricted stock units ("RSUs") that vest in five equal annual installments beginning on March 31, 2023. Each RSU represents the right to receive one share of PRST common stock upon vesting. On March 31, 2023, in an exempt disposition to the issuer under Rule 16b-3(e), the reporting person forfeited 1,762 shares to the issuer to satisfy the reporting person's tax obligations arising out of the vesting of 4,319 RSUs.</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17,279 RSUs following the reported transaction.</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Dan Mosher</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06/22/2023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904"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2023-06-23T09:31:53Z</dcterms:created>
  <dcterms:modified xsi:type="dcterms:W3CDTF">2023-06-23T09:31:53Z</dcterms:modified>
</cp:coreProperties>
</file>